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方正仿宋_GB2312" w:hAnsi="方正仿宋_GB2312" w:eastAsia="方正仿宋_GB2312" w:cs="方正仿宋_GB2312"/>
          <w:color w:val="auto"/>
          <w:sz w:val="36"/>
          <w:szCs w:val="36"/>
          <w:highlight w:val="none"/>
        </w:rPr>
      </w:pPr>
    </w:p>
    <w:p>
      <w:pPr>
        <w:rPr>
          <w:rFonts w:ascii="方正仿宋_GB2312" w:hAnsi="方正仿宋_GB2312" w:eastAsia="方正仿宋_GB2312" w:cs="方正仿宋_GB2312"/>
          <w:color w:val="auto"/>
          <w:sz w:val="36"/>
          <w:szCs w:val="36"/>
          <w:highlight w:val="none"/>
        </w:rPr>
      </w:pPr>
    </w:p>
    <w:p>
      <w:pPr>
        <w:rPr>
          <w:rFonts w:ascii="方正仿宋_GB2312" w:hAnsi="方正仿宋_GB2312" w:eastAsia="方正仿宋_GB2312" w:cs="方正仿宋_GB2312"/>
          <w:color w:val="auto"/>
          <w:sz w:val="36"/>
          <w:szCs w:val="36"/>
          <w:highlight w:val="none"/>
        </w:rPr>
      </w:pPr>
    </w:p>
    <w:p>
      <w:pPr>
        <w:rPr>
          <w:rFonts w:ascii="方正仿宋_GB2312" w:hAnsi="方正仿宋_GB2312" w:eastAsia="方正仿宋_GB2312" w:cs="方正仿宋_GB2312"/>
          <w:color w:val="auto"/>
          <w:sz w:val="36"/>
          <w:szCs w:val="36"/>
          <w:highlight w:val="none"/>
        </w:rPr>
      </w:pPr>
    </w:p>
    <w:p>
      <w:pPr>
        <w:pStyle w:val="34"/>
        <w:bidi w:val="0"/>
        <w:rPr>
          <w:rFonts w:hint="eastAsia"/>
          <w:color w:val="auto"/>
          <w:highlight w:val="none"/>
        </w:rPr>
      </w:pPr>
      <w:r>
        <w:rPr>
          <w:rFonts w:hint="eastAsia"/>
          <w:color w:val="auto"/>
          <w:highlight w:val="none"/>
        </w:rPr>
        <w:t>建设项目环境影响报告表</w:t>
      </w:r>
    </w:p>
    <w:p>
      <w:pPr>
        <w:keepNext w:val="0"/>
        <w:keepLines w:val="0"/>
        <w:pageBreakBefore w:val="0"/>
        <w:widowControl w:val="0"/>
        <w:kinsoku/>
        <w:wordWrap/>
        <w:overflowPunct/>
        <w:topLinePunct w:val="0"/>
        <w:autoSpaceDE/>
        <w:autoSpaceDN/>
        <w:bidi w:val="0"/>
        <w:adjustRightInd w:val="0"/>
        <w:snapToGrid w:val="0"/>
        <w:spacing w:before="192" w:beforeLines="80"/>
        <w:ind w:firstLine="0" w:firstLineChars="0"/>
        <w:jc w:val="center"/>
        <w:textAlignment w:val="auto"/>
        <w:rPr>
          <w:rFonts w:hint="eastAsia" w:ascii="方正楷体_GB2312" w:eastAsia="方正楷体_GB2312"/>
          <w:bCs/>
          <w:color w:val="auto"/>
          <w:sz w:val="48"/>
          <w:szCs w:val="48"/>
          <w:highlight w:val="none"/>
        </w:rPr>
      </w:pPr>
      <w:r>
        <w:rPr>
          <w:rFonts w:hint="eastAsia" w:ascii="方正楷体_GB2312" w:eastAsia="方正楷体_GB2312"/>
          <w:bCs/>
          <w:color w:val="auto"/>
          <w:sz w:val="48"/>
          <w:szCs w:val="48"/>
          <w:highlight w:val="none"/>
        </w:rPr>
        <w:t>（污染影响类）</w:t>
      </w:r>
    </w:p>
    <w:p>
      <w:pPr>
        <w:adjustRightInd w:val="0"/>
        <w:snapToGrid w:val="0"/>
        <w:spacing w:line="288" w:lineRule="auto"/>
        <w:jc w:val="center"/>
        <w:outlineLvl w:val="9"/>
        <w:rPr>
          <w:rFonts w:ascii="华文仿宋" w:hAnsi="华文仿宋" w:eastAsia="华文仿宋" w:cs="华文仿宋"/>
          <w:color w:val="auto"/>
          <w:kern w:val="44"/>
          <w:sz w:val="44"/>
          <w:szCs w:val="44"/>
          <w:highlight w:val="none"/>
        </w:rPr>
      </w:pPr>
    </w:p>
    <w:p>
      <w:pPr>
        <w:jc w:val="center"/>
        <w:rPr>
          <w:rFonts w:eastAsia="仿宋"/>
          <w:color w:val="auto"/>
          <w:sz w:val="52"/>
          <w:szCs w:val="52"/>
          <w:highlight w:val="none"/>
        </w:rPr>
      </w:pPr>
    </w:p>
    <w:p>
      <w:pPr>
        <w:ind w:firstLine="1040"/>
        <w:rPr>
          <w:rFonts w:eastAsia="仿宋"/>
          <w:color w:val="auto"/>
          <w:sz w:val="44"/>
          <w:szCs w:val="44"/>
          <w:highlight w:val="none"/>
        </w:rPr>
      </w:pPr>
    </w:p>
    <w:p>
      <w:pPr>
        <w:ind w:firstLine="1040"/>
        <w:rPr>
          <w:rFonts w:eastAsia="仿宋"/>
          <w:color w:val="auto"/>
          <w:sz w:val="44"/>
          <w:szCs w:val="44"/>
          <w:highlight w:val="none"/>
        </w:rPr>
      </w:pPr>
    </w:p>
    <w:p>
      <w:pPr>
        <w:pStyle w:val="12"/>
        <w:rPr>
          <w:rFonts w:eastAsia="仿宋"/>
          <w:color w:val="auto"/>
          <w:sz w:val="44"/>
          <w:szCs w:val="44"/>
          <w:highlight w:val="none"/>
        </w:rPr>
      </w:pPr>
    </w:p>
    <w:p>
      <w:pPr>
        <w:ind w:firstLine="1040"/>
        <w:rPr>
          <w:rFonts w:eastAsia="仿宋"/>
          <w:color w:val="auto"/>
          <w:sz w:val="44"/>
          <w:szCs w:val="44"/>
          <w:highlight w:val="none"/>
        </w:rPr>
      </w:pPr>
    </w:p>
    <w:p>
      <w:pPr>
        <w:ind w:firstLine="1040"/>
        <w:rPr>
          <w:rFonts w:eastAsia="仿宋"/>
          <w:color w:val="auto"/>
          <w:sz w:val="44"/>
          <w:szCs w:val="44"/>
          <w:highlight w:val="none"/>
        </w:rPr>
      </w:pPr>
    </w:p>
    <w:p>
      <w:pPr>
        <w:keepNext w:val="0"/>
        <w:keepLines w:val="0"/>
        <w:pageBreakBefore w:val="0"/>
        <w:widowControl w:val="0"/>
        <w:kinsoku/>
        <w:wordWrap w:val="0"/>
        <w:overflowPunct/>
        <w:topLinePunct/>
        <w:autoSpaceDE/>
        <w:autoSpaceDN/>
        <w:bidi w:val="0"/>
        <w:adjustRightInd w:val="0"/>
        <w:snapToGrid w:val="0"/>
        <w:spacing w:line="288" w:lineRule="auto"/>
        <w:ind w:firstLine="360" w:firstLineChars="100"/>
        <w:jc w:val="both"/>
        <w:textAlignment w:val="auto"/>
        <w:rPr>
          <w:rFonts w:hint="eastAsia" w:ascii="方正仿宋_GB2312" w:eastAsia="方正仿宋_GB2312"/>
          <w:color w:val="auto"/>
          <w:sz w:val="36"/>
          <w:szCs w:val="36"/>
          <w:highlight w:val="none"/>
          <w:u w:val="none"/>
          <w:lang w:val="en-US" w:eastAsia="zh-CN"/>
        </w:rPr>
      </w:pPr>
    </w:p>
    <w:p>
      <w:pPr>
        <w:keepNext w:val="0"/>
        <w:keepLines w:val="0"/>
        <w:pageBreakBefore w:val="0"/>
        <w:widowControl w:val="0"/>
        <w:kinsoku/>
        <w:wordWrap w:val="0"/>
        <w:overflowPunct/>
        <w:topLinePunct/>
        <w:autoSpaceDE/>
        <w:autoSpaceDN/>
        <w:bidi w:val="0"/>
        <w:adjustRightInd w:val="0"/>
        <w:snapToGrid w:val="0"/>
        <w:spacing w:line="288" w:lineRule="auto"/>
        <w:jc w:val="both"/>
        <w:textAlignment w:val="auto"/>
        <w:rPr>
          <w:rFonts w:hint="eastAsia" w:ascii="方正仿宋_GB2312" w:eastAsia="方正仿宋_GB2312"/>
          <w:color w:val="auto"/>
          <w:sz w:val="36"/>
          <w:szCs w:val="36"/>
          <w:highlight w:val="none"/>
          <w:u w:val="none"/>
          <w:lang w:val="en-US" w:eastAsia="zh-CN"/>
        </w:rPr>
      </w:pPr>
    </w:p>
    <w:p>
      <w:pPr>
        <w:keepNext w:val="0"/>
        <w:keepLines w:val="0"/>
        <w:pageBreakBefore w:val="0"/>
        <w:widowControl w:val="0"/>
        <w:kinsoku/>
        <w:wordWrap w:val="0"/>
        <w:overflowPunct/>
        <w:topLinePunct/>
        <w:autoSpaceDE/>
        <w:autoSpaceDN/>
        <w:bidi w:val="0"/>
        <w:adjustRightInd w:val="0"/>
        <w:snapToGrid w:val="0"/>
        <w:spacing w:line="288" w:lineRule="auto"/>
        <w:jc w:val="both"/>
        <w:textAlignment w:val="auto"/>
        <w:rPr>
          <w:rFonts w:hint="eastAsia" w:ascii="方正仿宋_GB2312" w:eastAsia="方正仿宋_GB2312"/>
          <w:color w:val="auto"/>
          <w:sz w:val="36"/>
          <w:szCs w:val="36"/>
          <w:highlight w:val="none"/>
          <w:u w:val="none"/>
          <w:vertAlign w:val="baseline"/>
        </w:rPr>
      </w:pPr>
      <w:r>
        <w:rPr>
          <w:rFonts w:hint="eastAsia" w:ascii="方正仿宋_GB2312" w:eastAsia="方正仿宋_GB2312"/>
          <w:color w:val="auto"/>
          <w:sz w:val="36"/>
          <w:szCs w:val="36"/>
          <w:highlight w:val="none"/>
          <w:u w:val="none"/>
          <w:lang w:val="en-US" w:eastAsia="zh-CN"/>
        </w:rPr>
        <w:t xml:space="preserve">    </w:t>
      </w:r>
    </w:p>
    <w:tbl>
      <w:tblPr>
        <w:tblStyle w:val="2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0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060" w:type="dxa"/>
            <w:tcBorders>
              <w:tl2br w:val="nil"/>
              <w:tr2bl w:val="nil"/>
            </w:tcBorders>
            <w:vAlign w:val="center"/>
          </w:tcPr>
          <w:p>
            <w:pPr>
              <w:keepNext w:val="0"/>
              <w:keepLines w:val="0"/>
              <w:pageBreakBefore w:val="0"/>
              <w:widowControl w:val="0"/>
              <w:kinsoku/>
              <w:wordWrap w:val="0"/>
              <w:overflowPunct/>
              <w:topLinePunct/>
              <w:autoSpaceDE/>
              <w:autoSpaceDN/>
              <w:bidi w:val="0"/>
              <w:adjustRightInd w:val="0"/>
              <w:snapToGrid w:val="0"/>
              <w:spacing w:line="288" w:lineRule="auto"/>
              <w:ind w:left="0" w:leftChars="0" w:firstLine="720" w:firstLineChars="200"/>
              <w:jc w:val="left"/>
              <w:textAlignment w:val="auto"/>
              <w:rPr>
                <w:rFonts w:hint="eastAsia" w:ascii="方正仿宋_GB2312" w:eastAsia="方正仿宋_GB2312"/>
                <w:color w:val="auto"/>
                <w:sz w:val="36"/>
                <w:szCs w:val="36"/>
                <w:highlight w:val="none"/>
                <w:u w:val="single"/>
                <w:lang w:val="en-US" w:eastAsia="zh-CN"/>
              </w:rPr>
            </w:pPr>
            <w:r>
              <w:rPr>
                <w:rFonts w:hint="eastAsia" w:ascii="方正仿宋_GB2312" w:eastAsia="方正仿宋_GB2312"/>
                <w:color w:val="auto"/>
                <w:sz w:val="36"/>
                <w:szCs w:val="36"/>
                <w:highlight w:val="none"/>
                <w:u w:val="none"/>
              </w:rPr>
              <w:t>项目名称：</w:t>
            </w:r>
            <w:r>
              <w:rPr>
                <w:rFonts w:hint="eastAsia" w:ascii="方正仿宋_GB2312" w:eastAsia="方正仿宋_GB2312"/>
                <w:color w:val="auto"/>
                <w:sz w:val="36"/>
                <w:szCs w:val="36"/>
                <w:highlight w:val="none"/>
                <w:u w:val="single"/>
                <w:lang w:val="en-US" w:eastAsia="zh-CN"/>
              </w:rPr>
              <w:t>年产八万套石墨烯电发热元件技改及</w:t>
            </w:r>
          </w:p>
          <w:p>
            <w:pPr>
              <w:keepNext w:val="0"/>
              <w:keepLines w:val="0"/>
              <w:pageBreakBefore w:val="0"/>
              <w:widowControl w:val="0"/>
              <w:kinsoku/>
              <w:wordWrap w:val="0"/>
              <w:overflowPunct/>
              <w:topLinePunct/>
              <w:autoSpaceDE/>
              <w:autoSpaceDN/>
              <w:bidi w:val="0"/>
              <w:adjustRightInd w:val="0"/>
              <w:snapToGrid w:val="0"/>
              <w:spacing w:line="288" w:lineRule="auto"/>
              <w:ind w:left="0" w:leftChars="0" w:firstLine="2520" w:firstLineChars="700"/>
              <w:jc w:val="left"/>
              <w:textAlignment w:val="auto"/>
              <w:rPr>
                <w:rFonts w:hint="default" w:ascii="方正仿宋_GB2312" w:eastAsia="方正仿宋_GB2312"/>
                <w:color w:val="auto"/>
                <w:sz w:val="36"/>
                <w:szCs w:val="36"/>
                <w:highlight w:val="none"/>
                <w:u w:val="none"/>
                <w:vertAlign w:val="baseline"/>
                <w:lang w:val="en-US"/>
              </w:rPr>
            </w:pPr>
            <w:r>
              <w:rPr>
                <w:rFonts w:hint="eastAsia" w:ascii="方正仿宋_GB2312" w:eastAsia="方正仿宋_GB2312"/>
                <w:color w:val="auto"/>
                <w:sz w:val="36"/>
                <w:szCs w:val="36"/>
                <w:highlight w:val="none"/>
                <w:u w:val="single"/>
                <w:lang w:val="en-US" w:eastAsia="zh-CN"/>
              </w:rPr>
              <w:t>年产五万台节能速热电锅炉建设项目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060" w:type="dxa"/>
            <w:tcBorders>
              <w:tl2br w:val="nil"/>
              <w:tr2bl w:val="nil"/>
            </w:tcBorders>
            <w:vAlign w:val="center"/>
          </w:tcPr>
          <w:p>
            <w:pPr>
              <w:keepNext w:val="0"/>
              <w:keepLines w:val="0"/>
              <w:pageBreakBefore w:val="0"/>
              <w:widowControl w:val="0"/>
              <w:kinsoku/>
              <w:wordWrap w:val="0"/>
              <w:overflowPunct/>
              <w:topLinePunct/>
              <w:autoSpaceDE/>
              <w:autoSpaceDN/>
              <w:bidi w:val="0"/>
              <w:adjustRightInd w:val="0"/>
              <w:snapToGrid w:val="0"/>
              <w:spacing w:line="288" w:lineRule="auto"/>
              <w:ind w:left="0" w:leftChars="0" w:firstLine="720" w:firstLineChars="200"/>
              <w:jc w:val="left"/>
              <w:textAlignment w:val="auto"/>
              <w:rPr>
                <w:rFonts w:hint="default" w:ascii="方正仿宋_GB2312" w:eastAsia="方正仿宋_GB2312"/>
                <w:color w:val="auto"/>
                <w:sz w:val="36"/>
                <w:szCs w:val="36"/>
                <w:highlight w:val="none"/>
                <w:u w:val="none"/>
                <w:vertAlign w:val="baseline"/>
                <w:lang w:val="en-US"/>
              </w:rPr>
            </w:pPr>
            <w:r>
              <w:rPr>
                <w:rFonts w:hint="eastAsia" w:ascii="方正仿宋_GB2312" w:eastAsia="方正仿宋_GB2312"/>
                <w:color w:val="auto"/>
                <w:sz w:val="36"/>
                <w:szCs w:val="36"/>
                <w:highlight w:val="none"/>
                <w:u w:val="none"/>
              </w:rPr>
              <w:t>建设</w:t>
            </w:r>
            <w:r>
              <w:rPr>
                <w:rFonts w:hint="eastAsia" w:ascii="方正仿宋_GB2312" w:eastAsia="方正仿宋_GB2312"/>
                <w:color w:val="auto"/>
                <w:spacing w:val="6"/>
                <w:sz w:val="36"/>
                <w:szCs w:val="36"/>
                <w:highlight w:val="none"/>
                <w:u w:val="none"/>
              </w:rPr>
              <w:t>单位</w:t>
            </w:r>
            <w:r>
              <w:rPr>
                <w:rFonts w:hint="eastAsia" w:ascii="方正仿宋_GB2312" w:eastAsia="方正仿宋_GB2312"/>
                <w:color w:val="auto"/>
                <w:sz w:val="36"/>
                <w:szCs w:val="36"/>
                <w:highlight w:val="none"/>
                <w:u w:val="none"/>
              </w:rPr>
              <w:t>（</w:t>
            </w:r>
            <w:r>
              <w:rPr>
                <w:rFonts w:hint="eastAsia" w:ascii="方正仿宋_GB2312" w:eastAsia="方正仿宋_GB2312"/>
                <w:color w:val="auto"/>
                <w:spacing w:val="6"/>
                <w:sz w:val="36"/>
                <w:szCs w:val="36"/>
                <w:highlight w:val="none"/>
                <w:u w:val="none"/>
              </w:rPr>
              <w:t>盖章</w:t>
            </w:r>
            <w:r>
              <w:rPr>
                <w:rFonts w:hint="eastAsia" w:ascii="方正仿宋_GB2312" w:eastAsia="方正仿宋_GB2312"/>
                <w:color w:val="auto"/>
                <w:sz w:val="36"/>
                <w:szCs w:val="36"/>
                <w:highlight w:val="none"/>
                <w:u w:val="none"/>
              </w:rPr>
              <w:t>）：</w:t>
            </w:r>
            <w:r>
              <w:rPr>
                <w:rFonts w:hint="eastAsia" w:ascii="方正仿宋_GB2312" w:eastAsia="方正仿宋_GB2312"/>
                <w:color w:val="auto"/>
                <w:spacing w:val="6"/>
                <w:sz w:val="36"/>
                <w:szCs w:val="36"/>
                <w:highlight w:val="none"/>
                <w:u w:val="single"/>
                <w:lang w:val="en-US" w:eastAsia="zh-CN"/>
              </w:rPr>
              <w:t xml:space="preserve"> 唐山烯彤科技有限公司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060" w:type="dxa"/>
            <w:tcBorders>
              <w:tl2br w:val="nil"/>
              <w:tr2bl w:val="nil"/>
            </w:tcBorders>
            <w:vAlign w:val="center"/>
          </w:tcPr>
          <w:p>
            <w:pPr>
              <w:keepNext w:val="0"/>
              <w:keepLines w:val="0"/>
              <w:pageBreakBefore w:val="0"/>
              <w:widowControl w:val="0"/>
              <w:kinsoku/>
              <w:wordWrap w:val="0"/>
              <w:overflowPunct/>
              <w:topLinePunct/>
              <w:autoSpaceDE/>
              <w:autoSpaceDN/>
              <w:bidi w:val="0"/>
              <w:adjustRightInd w:val="0"/>
              <w:snapToGrid w:val="0"/>
              <w:spacing w:line="288" w:lineRule="auto"/>
              <w:ind w:left="0" w:leftChars="0" w:firstLine="720" w:firstLineChars="200"/>
              <w:jc w:val="left"/>
              <w:textAlignment w:val="auto"/>
              <w:rPr>
                <w:rFonts w:hint="default" w:ascii="方正仿宋_GB2312" w:eastAsia="方正仿宋_GB2312"/>
                <w:color w:val="auto"/>
                <w:sz w:val="36"/>
                <w:szCs w:val="36"/>
                <w:highlight w:val="none"/>
                <w:u w:val="none"/>
                <w:vertAlign w:val="baseline"/>
                <w:lang w:val="en-US"/>
              </w:rPr>
            </w:pPr>
            <w:r>
              <w:rPr>
                <w:rFonts w:hint="eastAsia" w:ascii="方正仿宋_GB2312" w:eastAsia="方正仿宋_GB2312"/>
                <w:color w:val="auto"/>
                <w:sz w:val="36"/>
                <w:szCs w:val="36"/>
                <w:highlight w:val="none"/>
                <w:u w:val="none"/>
              </w:rPr>
              <w:t>编制日期：</w:t>
            </w:r>
            <w:r>
              <w:rPr>
                <w:rFonts w:hint="eastAsia" w:ascii="方正仿宋_GB2312" w:eastAsia="方正仿宋_GB2312"/>
                <w:color w:val="auto"/>
                <w:sz w:val="36"/>
                <w:szCs w:val="36"/>
                <w:highlight w:val="none"/>
                <w:u w:val="single"/>
              </w:rPr>
              <w:t xml:space="preserve"> </w:t>
            </w:r>
            <w:r>
              <w:rPr>
                <w:rFonts w:ascii="方正仿宋_GB2312" w:eastAsia="方正仿宋_GB2312"/>
                <w:color w:val="auto"/>
                <w:sz w:val="36"/>
                <w:szCs w:val="36"/>
                <w:highlight w:val="none"/>
                <w:u w:val="single"/>
              </w:rPr>
              <w:t xml:space="preserve"> </w:t>
            </w:r>
            <w:r>
              <w:rPr>
                <w:rFonts w:hint="eastAsia" w:ascii="方正仿宋_GB2312" w:eastAsia="方正仿宋_GB2312"/>
                <w:color w:val="auto"/>
                <w:sz w:val="36"/>
                <w:szCs w:val="36"/>
                <w:highlight w:val="none"/>
                <w:u w:val="single"/>
                <w:lang w:val="en-US" w:eastAsia="zh-CN"/>
              </w:rPr>
              <w:t xml:space="preserve">          </w:t>
            </w:r>
            <w:r>
              <w:rPr>
                <w:rFonts w:hint="eastAsia" w:ascii="方正仿宋_GB2312" w:eastAsia="方正仿宋_GB2312"/>
                <w:color w:val="auto"/>
                <w:spacing w:val="-6"/>
                <w:sz w:val="36"/>
                <w:szCs w:val="36"/>
                <w:highlight w:val="none"/>
                <w:u w:val="single"/>
                <w:lang w:val="en-US" w:eastAsia="zh-CN"/>
              </w:rPr>
              <w:t>2023年07月</w:t>
            </w:r>
            <w:r>
              <w:rPr>
                <w:rFonts w:hint="eastAsia" w:ascii="方正仿宋_GB2312" w:eastAsia="方正仿宋_GB2312"/>
                <w:color w:val="auto"/>
                <w:sz w:val="36"/>
                <w:szCs w:val="36"/>
                <w:highlight w:val="none"/>
                <w:u w:val="single"/>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060" w:type="dxa"/>
            <w:tcBorders>
              <w:tl2br w:val="nil"/>
              <w:tr2bl w:val="nil"/>
            </w:tcBorders>
            <w:vAlign w:val="center"/>
          </w:tcPr>
          <w:p>
            <w:pPr>
              <w:keepNext w:val="0"/>
              <w:keepLines w:val="0"/>
              <w:pageBreakBefore w:val="0"/>
              <w:widowControl w:val="0"/>
              <w:kinsoku/>
              <w:wordWrap w:val="0"/>
              <w:overflowPunct/>
              <w:topLinePunct/>
              <w:autoSpaceDE/>
              <w:autoSpaceDN/>
              <w:bidi w:val="0"/>
              <w:adjustRightInd w:val="0"/>
              <w:snapToGrid w:val="0"/>
              <w:spacing w:line="288" w:lineRule="auto"/>
              <w:ind w:left="0" w:leftChars="0" w:firstLine="360" w:firstLineChars="100"/>
              <w:jc w:val="left"/>
              <w:textAlignment w:val="auto"/>
              <w:rPr>
                <w:rFonts w:hint="eastAsia" w:ascii="方正仿宋_GB2312" w:eastAsia="方正仿宋_GB2312"/>
                <w:color w:val="auto"/>
                <w:sz w:val="36"/>
                <w:szCs w:val="36"/>
                <w:highlight w:val="none"/>
                <w:u w:val="none"/>
              </w:rPr>
            </w:pPr>
            <w:bookmarkStart w:id="0" w:name="_Hlk57884087"/>
          </w:p>
        </w:tc>
      </w:tr>
    </w:tbl>
    <w:p>
      <w:pPr>
        <w:adjustRightInd w:val="0"/>
        <w:snapToGrid w:val="0"/>
        <w:spacing w:line="288" w:lineRule="auto"/>
        <w:ind w:firstLine="1040"/>
        <w:rPr>
          <w:rFonts w:ascii="方正仿宋_GB2312" w:eastAsia="方正仿宋_GB2312"/>
          <w:color w:val="auto"/>
          <w:sz w:val="36"/>
          <w:szCs w:val="36"/>
          <w:highlight w:val="none"/>
        </w:rPr>
      </w:pPr>
    </w:p>
    <w:bookmarkEnd w:id="0"/>
    <w:p>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center"/>
        <w:textAlignment w:val="auto"/>
        <w:rPr>
          <w:rFonts w:hint="eastAsia" w:ascii="方正楷体_GB2312" w:eastAsia="方正楷体_GB2312"/>
          <w:color w:val="auto"/>
          <w:sz w:val="36"/>
          <w:szCs w:val="36"/>
          <w:highlight w:val="none"/>
        </w:rPr>
      </w:pPr>
      <w:r>
        <w:rPr>
          <w:rFonts w:hint="eastAsia" w:ascii="方正楷体_GB2312" w:eastAsia="方正楷体_GB2312"/>
          <w:color w:val="auto"/>
          <w:sz w:val="36"/>
          <w:szCs w:val="36"/>
          <w:highlight w:val="none"/>
        </w:rPr>
        <w:t>中华人民共和国生态环境部制</w:t>
      </w:r>
    </w:p>
    <w:p>
      <w:pPr>
        <w:adjustRightInd w:val="0"/>
        <w:snapToGrid w:val="0"/>
        <w:spacing w:line="288" w:lineRule="auto"/>
        <w:jc w:val="center"/>
        <w:rPr>
          <w:rFonts w:ascii="方正仿宋_GB2312" w:eastAsia="方正仿宋_GB2312"/>
          <w:color w:val="auto"/>
          <w:sz w:val="36"/>
          <w:szCs w:val="36"/>
          <w:highlight w:val="none"/>
        </w:rPr>
        <w:sectPr>
          <w:footerReference r:id="rId5" w:type="default"/>
          <w:footerReference r:id="rId6" w:type="even"/>
          <w:pgSz w:w="11906" w:h="16838"/>
          <w:pgMar w:top="1417" w:right="1247" w:bottom="1417" w:left="1531" w:header="851" w:footer="1077" w:gutter="0"/>
          <w:pgBorders>
            <w:top w:val="none" w:sz="0" w:space="0"/>
            <w:left w:val="none" w:sz="0" w:space="0"/>
            <w:bottom w:val="none" w:sz="0" w:space="0"/>
            <w:right w:val="none" w:sz="0" w:space="0"/>
          </w:pgBorders>
          <w:pgNumType w:fmt="decimal" w:start="3"/>
          <w:cols w:space="720" w:num="1"/>
          <w:docGrid w:linePitch="312" w:charSpace="0"/>
        </w:sectPr>
      </w:pPr>
      <w:r>
        <w:rPr>
          <w:rFonts w:ascii="方正仿宋_GB2312" w:eastAsia="方正仿宋_GB2312"/>
          <w:color w:val="auto"/>
          <w:sz w:val="36"/>
          <w:szCs w:val="36"/>
          <w:highlight w:val="none"/>
        </w:rPr>
        <w:br w:type="page"/>
      </w:r>
    </w:p>
    <w:p>
      <w:pPr>
        <w:rPr>
          <w:rFonts w:hint="eastAsia" w:ascii="黑体" w:hAnsi="黑体" w:eastAsia="黑体"/>
          <w:snapToGrid w:val="0"/>
          <w:color w:val="auto"/>
          <w:sz w:val="30"/>
          <w:szCs w:val="30"/>
          <w:highlight w:val="none"/>
        </w:rPr>
      </w:pPr>
      <w:r>
        <w:rPr>
          <w:rFonts w:hint="eastAsia" w:ascii="黑体" w:hAnsi="黑体" w:eastAsia="黑体"/>
          <w:snapToGrid w:val="0"/>
          <w:color w:val="auto"/>
          <w:sz w:val="30"/>
          <w:szCs w:val="30"/>
          <w:highlight w:val="none"/>
        </w:rPr>
        <w:br w:type="page"/>
      </w:r>
    </w:p>
    <w:sdt>
      <w:sdtPr>
        <w:rPr>
          <w:rFonts w:ascii="宋体" w:hAnsi="宋体" w:eastAsia="宋体" w:cs="Times New Roman"/>
          <w:color w:val="auto"/>
          <w:kern w:val="2"/>
          <w:sz w:val="21"/>
          <w:szCs w:val="24"/>
          <w:lang w:val="en-US" w:eastAsia="zh-CN" w:bidi="ar-SA"/>
        </w:rPr>
        <w:id w:val="147461741"/>
        <w15:color w:val="DBDBDB"/>
        <w:docPartObj>
          <w:docPartGallery w:val="Table of Contents"/>
          <w:docPartUnique/>
        </w:docPartObj>
      </w:sdtPr>
      <w:sdtEndPr>
        <w:rPr>
          <w:rFonts w:ascii="宋体" w:hAnsi="宋体" w:eastAsia="宋体" w:cs="Times New Roman"/>
          <w:color w:val="auto"/>
          <w:kern w:val="2"/>
          <w:sz w:val="21"/>
          <w:szCs w:val="24"/>
          <w:lang w:val="en-US" w:eastAsia="zh-CN" w:bidi="ar-SA"/>
        </w:rPr>
      </w:sdtEndPr>
      <w:sdtContent>
        <w:p>
          <w:pPr>
            <w:spacing w:before="0" w:beforeLines="0" w:after="0" w:afterLines="0" w:line="240" w:lineRule="auto"/>
            <w:ind w:left="0" w:leftChars="0" w:right="0" w:rightChars="0" w:firstLine="0" w:firstLineChars="0"/>
            <w:jc w:val="center"/>
            <w:rPr>
              <w:rFonts w:hint="default" w:ascii="Times New Roman" w:hAnsi="Times New Roman" w:eastAsia="宋体" w:cs="Times New Roman"/>
              <w:color w:val="auto"/>
              <w:sz w:val="24"/>
              <w:szCs w:val="24"/>
            </w:rPr>
          </w:pPr>
          <w:bookmarkStart w:id="12" w:name="_GoBack"/>
          <w:bookmarkEnd w:id="12"/>
          <w:r>
            <w:rPr>
              <w:rFonts w:hint="default" w:ascii="Times New Roman" w:hAnsi="Times New Roman" w:eastAsia="宋体" w:cs="Times New Roman"/>
              <w:color w:val="auto"/>
              <w:sz w:val="32"/>
              <w:szCs w:val="32"/>
            </w:rPr>
            <w:t>目录</w:t>
          </w:r>
        </w:p>
        <w:p>
          <w:pPr>
            <w:pStyle w:val="17"/>
            <w:tabs>
              <w:tab w:val="right" w:leader="dot" w:pos="9242"/>
            </w:tabs>
            <w:rPr>
              <w:rFonts w:hint="default" w:ascii="Times New Roman" w:hAnsi="Times New Roman" w:eastAsia="宋体" w:cs="Times New Roman"/>
              <w:color w:val="auto"/>
            </w:rPr>
          </w:pP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TOC \o "1-1" \h \u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Cs w:val="24"/>
            </w:rPr>
            <w:fldChar w:fldCharType="begin"/>
          </w:r>
          <w:r>
            <w:rPr>
              <w:rFonts w:hint="default" w:ascii="Times New Roman" w:hAnsi="Times New Roman" w:eastAsia="宋体" w:cs="Times New Roman"/>
              <w:color w:val="auto"/>
              <w:szCs w:val="24"/>
            </w:rPr>
            <w:instrText xml:space="preserve"> HYPERLINK \l _Toc10302 </w:instrText>
          </w:r>
          <w:r>
            <w:rPr>
              <w:rFonts w:hint="default" w:ascii="Times New Roman" w:hAnsi="Times New Roman" w:eastAsia="宋体" w:cs="Times New Roman"/>
              <w:color w:val="auto"/>
              <w:szCs w:val="24"/>
            </w:rPr>
            <w:fldChar w:fldCharType="separate"/>
          </w:r>
          <w:r>
            <w:rPr>
              <w:rFonts w:hint="default" w:ascii="Times New Roman" w:hAnsi="Times New Roman" w:eastAsia="宋体" w:cs="Times New Roman"/>
              <w:snapToGrid w:val="0"/>
              <w:color w:val="auto"/>
              <w:szCs w:val="30"/>
              <w:highlight w:val="none"/>
            </w:rPr>
            <w:t>一、建设项目基本情况</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_Toc10302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1</w:t>
          </w:r>
          <w:r>
            <w:rPr>
              <w:rFonts w:hint="default" w:ascii="Times New Roman" w:hAnsi="Times New Roman" w:eastAsia="宋体" w:cs="Times New Roman"/>
              <w:color w:val="auto"/>
            </w:rPr>
            <w:fldChar w:fldCharType="end"/>
          </w:r>
          <w:r>
            <w:rPr>
              <w:rFonts w:hint="default" w:ascii="Times New Roman" w:hAnsi="Times New Roman" w:eastAsia="宋体" w:cs="Times New Roman"/>
              <w:color w:val="auto"/>
              <w:szCs w:val="24"/>
            </w:rPr>
            <w:fldChar w:fldCharType="end"/>
          </w:r>
        </w:p>
        <w:p>
          <w:pPr>
            <w:pStyle w:val="17"/>
            <w:tabs>
              <w:tab w:val="right" w:leader="dot" w:pos="9242"/>
            </w:tabs>
            <w:rPr>
              <w:rFonts w:hint="default" w:ascii="Times New Roman" w:hAnsi="Times New Roman" w:eastAsia="宋体" w:cs="Times New Roman"/>
              <w:color w:val="auto"/>
            </w:rPr>
          </w:pPr>
          <w:r>
            <w:rPr>
              <w:rFonts w:hint="default" w:ascii="Times New Roman" w:hAnsi="Times New Roman" w:eastAsia="宋体" w:cs="Times New Roman"/>
              <w:color w:val="auto"/>
              <w:szCs w:val="24"/>
            </w:rPr>
            <w:fldChar w:fldCharType="begin"/>
          </w:r>
          <w:r>
            <w:rPr>
              <w:rFonts w:hint="default" w:ascii="Times New Roman" w:hAnsi="Times New Roman" w:eastAsia="宋体" w:cs="Times New Roman"/>
              <w:color w:val="auto"/>
              <w:szCs w:val="24"/>
            </w:rPr>
            <w:instrText xml:space="preserve"> HYPERLINK \l _Toc15867 </w:instrText>
          </w:r>
          <w:r>
            <w:rPr>
              <w:rFonts w:hint="default" w:ascii="Times New Roman" w:hAnsi="Times New Roman" w:eastAsia="宋体" w:cs="Times New Roman"/>
              <w:color w:val="auto"/>
              <w:szCs w:val="24"/>
            </w:rPr>
            <w:fldChar w:fldCharType="separate"/>
          </w:r>
          <w:r>
            <w:rPr>
              <w:rFonts w:hint="default" w:ascii="Times New Roman" w:hAnsi="Times New Roman" w:eastAsia="宋体" w:cs="Times New Roman"/>
              <w:snapToGrid w:val="0"/>
              <w:color w:val="auto"/>
              <w:szCs w:val="30"/>
              <w:highlight w:val="none"/>
            </w:rPr>
            <w:t>二、建设项目工程分析</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_Toc15867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20</w:t>
          </w:r>
          <w:r>
            <w:rPr>
              <w:rFonts w:hint="default" w:ascii="Times New Roman" w:hAnsi="Times New Roman" w:eastAsia="宋体" w:cs="Times New Roman"/>
              <w:color w:val="auto"/>
            </w:rPr>
            <w:fldChar w:fldCharType="end"/>
          </w:r>
          <w:r>
            <w:rPr>
              <w:rFonts w:hint="default" w:ascii="Times New Roman" w:hAnsi="Times New Roman" w:eastAsia="宋体" w:cs="Times New Roman"/>
              <w:color w:val="auto"/>
              <w:szCs w:val="24"/>
            </w:rPr>
            <w:fldChar w:fldCharType="end"/>
          </w:r>
        </w:p>
        <w:p>
          <w:pPr>
            <w:pStyle w:val="17"/>
            <w:tabs>
              <w:tab w:val="right" w:leader="dot" w:pos="9242"/>
            </w:tabs>
            <w:rPr>
              <w:rFonts w:hint="default" w:ascii="Times New Roman" w:hAnsi="Times New Roman" w:eastAsia="宋体" w:cs="Times New Roman"/>
              <w:color w:val="auto"/>
            </w:rPr>
          </w:pPr>
          <w:r>
            <w:rPr>
              <w:rFonts w:hint="default" w:ascii="Times New Roman" w:hAnsi="Times New Roman" w:eastAsia="宋体" w:cs="Times New Roman"/>
              <w:color w:val="auto"/>
              <w:szCs w:val="24"/>
            </w:rPr>
            <w:fldChar w:fldCharType="begin"/>
          </w:r>
          <w:r>
            <w:rPr>
              <w:rFonts w:hint="default" w:ascii="Times New Roman" w:hAnsi="Times New Roman" w:eastAsia="宋体" w:cs="Times New Roman"/>
              <w:color w:val="auto"/>
              <w:szCs w:val="24"/>
            </w:rPr>
            <w:instrText xml:space="preserve"> HYPERLINK \l _Toc31686 </w:instrText>
          </w:r>
          <w:r>
            <w:rPr>
              <w:rFonts w:hint="default" w:ascii="Times New Roman" w:hAnsi="Times New Roman" w:eastAsia="宋体" w:cs="Times New Roman"/>
              <w:color w:val="auto"/>
              <w:szCs w:val="24"/>
            </w:rPr>
            <w:fldChar w:fldCharType="separate"/>
          </w:r>
          <w:r>
            <w:rPr>
              <w:rFonts w:hint="default" w:ascii="Times New Roman" w:hAnsi="Times New Roman" w:eastAsia="宋体" w:cs="Times New Roman"/>
              <w:snapToGrid w:val="0"/>
              <w:color w:val="auto"/>
              <w:szCs w:val="30"/>
              <w:highlight w:val="none"/>
            </w:rPr>
            <w:t>三、区域环境质量现状、环境保护目标及评价标准</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_Toc31686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49</w:t>
          </w:r>
          <w:r>
            <w:rPr>
              <w:rFonts w:hint="default" w:ascii="Times New Roman" w:hAnsi="Times New Roman" w:eastAsia="宋体" w:cs="Times New Roman"/>
              <w:color w:val="auto"/>
            </w:rPr>
            <w:fldChar w:fldCharType="end"/>
          </w:r>
          <w:r>
            <w:rPr>
              <w:rFonts w:hint="default" w:ascii="Times New Roman" w:hAnsi="Times New Roman" w:eastAsia="宋体" w:cs="Times New Roman"/>
              <w:color w:val="auto"/>
              <w:szCs w:val="24"/>
            </w:rPr>
            <w:fldChar w:fldCharType="end"/>
          </w:r>
        </w:p>
        <w:p>
          <w:pPr>
            <w:pStyle w:val="17"/>
            <w:tabs>
              <w:tab w:val="right" w:leader="dot" w:pos="9242"/>
            </w:tabs>
            <w:rPr>
              <w:rFonts w:hint="default" w:ascii="Times New Roman" w:hAnsi="Times New Roman" w:eastAsia="宋体" w:cs="Times New Roman"/>
              <w:color w:val="auto"/>
            </w:rPr>
          </w:pPr>
          <w:r>
            <w:rPr>
              <w:rFonts w:hint="default" w:ascii="Times New Roman" w:hAnsi="Times New Roman" w:eastAsia="宋体" w:cs="Times New Roman"/>
              <w:color w:val="auto"/>
              <w:szCs w:val="24"/>
            </w:rPr>
            <w:fldChar w:fldCharType="begin"/>
          </w:r>
          <w:r>
            <w:rPr>
              <w:rFonts w:hint="default" w:ascii="Times New Roman" w:hAnsi="Times New Roman" w:eastAsia="宋体" w:cs="Times New Roman"/>
              <w:color w:val="auto"/>
              <w:szCs w:val="24"/>
            </w:rPr>
            <w:instrText xml:space="preserve"> HYPERLINK \l _Toc1102 </w:instrText>
          </w:r>
          <w:r>
            <w:rPr>
              <w:rFonts w:hint="default" w:ascii="Times New Roman" w:hAnsi="Times New Roman" w:eastAsia="宋体" w:cs="Times New Roman"/>
              <w:color w:val="auto"/>
              <w:szCs w:val="24"/>
            </w:rPr>
            <w:fldChar w:fldCharType="separate"/>
          </w:r>
          <w:r>
            <w:rPr>
              <w:rFonts w:hint="default" w:ascii="Times New Roman" w:hAnsi="Times New Roman" w:eastAsia="宋体" w:cs="Times New Roman"/>
              <w:snapToGrid w:val="0"/>
              <w:color w:val="auto"/>
              <w:szCs w:val="30"/>
              <w:highlight w:val="none"/>
            </w:rPr>
            <w:t>四、主要环境影响和保护措施</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_Toc1102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56</w:t>
          </w:r>
          <w:r>
            <w:rPr>
              <w:rFonts w:hint="default" w:ascii="Times New Roman" w:hAnsi="Times New Roman" w:eastAsia="宋体" w:cs="Times New Roman"/>
              <w:color w:val="auto"/>
            </w:rPr>
            <w:fldChar w:fldCharType="end"/>
          </w:r>
          <w:r>
            <w:rPr>
              <w:rFonts w:hint="default" w:ascii="Times New Roman" w:hAnsi="Times New Roman" w:eastAsia="宋体" w:cs="Times New Roman"/>
              <w:color w:val="auto"/>
              <w:szCs w:val="24"/>
            </w:rPr>
            <w:fldChar w:fldCharType="end"/>
          </w:r>
        </w:p>
        <w:p>
          <w:pPr>
            <w:pStyle w:val="17"/>
            <w:tabs>
              <w:tab w:val="right" w:leader="dot" w:pos="9242"/>
            </w:tabs>
            <w:rPr>
              <w:rFonts w:hint="default" w:ascii="Times New Roman" w:hAnsi="Times New Roman" w:eastAsia="宋体" w:cs="Times New Roman"/>
              <w:color w:val="auto"/>
            </w:rPr>
          </w:pPr>
          <w:r>
            <w:rPr>
              <w:rFonts w:hint="default" w:ascii="Times New Roman" w:hAnsi="Times New Roman" w:eastAsia="宋体" w:cs="Times New Roman"/>
              <w:color w:val="auto"/>
              <w:szCs w:val="24"/>
            </w:rPr>
            <w:fldChar w:fldCharType="begin"/>
          </w:r>
          <w:r>
            <w:rPr>
              <w:rFonts w:hint="default" w:ascii="Times New Roman" w:hAnsi="Times New Roman" w:eastAsia="宋体" w:cs="Times New Roman"/>
              <w:color w:val="auto"/>
              <w:szCs w:val="24"/>
            </w:rPr>
            <w:instrText xml:space="preserve"> HYPERLINK \l _Toc10289 </w:instrText>
          </w:r>
          <w:r>
            <w:rPr>
              <w:rFonts w:hint="default" w:ascii="Times New Roman" w:hAnsi="Times New Roman" w:eastAsia="宋体" w:cs="Times New Roman"/>
              <w:color w:val="auto"/>
              <w:szCs w:val="24"/>
            </w:rPr>
            <w:fldChar w:fldCharType="separate"/>
          </w:r>
          <w:r>
            <w:rPr>
              <w:rFonts w:hint="default" w:ascii="Times New Roman" w:hAnsi="Times New Roman" w:eastAsia="宋体" w:cs="Times New Roman"/>
              <w:snapToGrid w:val="0"/>
              <w:color w:val="auto"/>
              <w:szCs w:val="30"/>
              <w:highlight w:val="none"/>
            </w:rPr>
            <w:t>五、环境保护措施监督检查清单</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_Toc10289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76</w:t>
          </w:r>
          <w:r>
            <w:rPr>
              <w:rFonts w:hint="default" w:ascii="Times New Roman" w:hAnsi="Times New Roman" w:eastAsia="宋体" w:cs="Times New Roman"/>
              <w:color w:val="auto"/>
            </w:rPr>
            <w:fldChar w:fldCharType="end"/>
          </w:r>
          <w:r>
            <w:rPr>
              <w:rFonts w:hint="default" w:ascii="Times New Roman" w:hAnsi="Times New Roman" w:eastAsia="宋体" w:cs="Times New Roman"/>
              <w:color w:val="auto"/>
              <w:szCs w:val="24"/>
            </w:rPr>
            <w:fldChar w:fldCharType="end"/>
          </w:r>
        </w:p>
        <w:p>
          <w:pPr>
            <w:pStyle w:val="17"/>
            <w:tabs>
              <w:tab w:val="right" w:leader="dot" w:pos="9242"/>
            </w:tabs>
            <w:rPr>
              <w:rFonts w:hint="default" w:ascii="Times New Roman" w:hAnsi="Times New Roman" w:eastAsia="宋体" w:cs="Times New Roman"/>
              <w:color w:val="auto"/>
            </w:rPr>
          </w:pPr>
          <w:r>
            <w:rPr>
              <w:rFonts w:hint="default" w:ascii="Times New Roman" w:hAnsi="Times New Roman" w:eastAsia="宋体" w:cs="Times New Roman"/>
              <w:color w:val="auto"/>
              <w:szCs w:val="24"/>
            </w:rPr>
            <w:fldChar w:fldCharType="begin"/>
          </w:r>
          <w:r>
            <w:rPr>
              <w:rFonts w:hint="default" w:ascii="Times New Roman" w:hAnsi="Times New Roman" w:eastAsia="宋体" w:cs="Times New Roman"/>
              <w:color w:val="auto"/>
              <w:szCs w:val="24"/>
            </w:rPr>
            <w:instrText xml:space="preserve"> HYPERLINK \l _Toc14984 </w:instrText>
          </w:r>
          <w:r>
            <w:rPr>
              <w:rFonts w:hint="default" w:ascii="Times New Roman" w:hAnsi="Times New Roman" w:eastAsia="宋体" w:cs="Times New Roman"/>
              <w:color w:val="auto"/>
              <w:szCs w:val="24"/>
            </w:rPr>
            <w:fldChar w:fldCharType="separate"/>
          </w:r>
          <w:r>
            <w:rPr>
              <w:rFonts w:hint="default" w:ascii="Times New Roman" w:hAnsi="Times New Roman" w:eastAsia="宋体" w:cs="Times New Roman"/>
              <w:snapToGrid w:val="0"/>
              <w:color w:val="auto"/>
              <w:szCs w:val="30"/>
              <w:highlight w:val="none"/>
              <w:lang w:val="en-US" w:eastAsia="zh-CN"/>
            </w:rPr>
            <w:t>六、结论</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_Toc14984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94</w:t>
          </w:r>
          <w:r>
            <w:rPr>
              <w:rFonts w:hint="default" w:ascii="Times New Roman" w:hAnsi="Times New Roman" w:eastAsia="宋体" w:cs="Times New Roman"/>
              <w:color w:val="auto"/>
            </w:rPr>
            <w:fldChar w:fldCharType="end"/>
          </w:r>
          <w:r>
            <w:rPr>
              <w:rFonts w:hint="default" w:ascii="Times New Roman" w:hAnsi="Times New Roman" w:eastAsia="宋体" w:cs="Times New Roman"/>
              <w:color w:val="auto"/>
              <w:szCs w:val="24"/>
            </w:rPr>
            <w:fldChar w:fldCharType="end"/>
          </w:r>
        </w:p>
        <w:p>
          <w:pPr>
            <w:pStyle w:val="17"/>
            <w:tabs>
              <w:tab w:val="right" w:leader="dot" w:pos="9242"/>
            </w:tabs>
            <w:rPr>
              <w:rFonts w:hint="default" w:ascii="Times New Roman" w:hAnsi="Times New Roman" w:eastAsia="宋体" w:cs="Times New Roman"/>
              <w:color w:val="auto"/>
            </w:rPr>
          </w:pPr>
          <w:r>
            <w:rPr>
              <w:rFonts w:hint="default" w:ascii="Times New Roman" w:hAnsi="Times New Roman" w:eastAsia="宋体" w:cs="Times New Roman"/>
              <w:color w:val="auto"/>
              <w:szCs w:val="24"/>
            </w:rPr>
            <w:fldChar w:fldCharType="begin"/>
          </w:r>
          <w:r>
            <w:rPr>
              <w:rFonts w:hint="default" w:ascii="Times New Roman" w:hAnsi="Times New Roman" w:eastAsia="宋体" w:cs="Times New Roman"/>
              <w:color w:val="auto"/>
              <w:szCs w:val="24"/>
            </w:rPr>
            <w:instrText xml:space="preserve"> HYPERLINK \l _Toc9780 </w:instrText>
          </w:r>
          <w:r>
            <w:rPr>
              <w:rFonts w:hint="default" w:ascii="Times New Roman" w:hAnsi="Times New Roman" w:eastAsia="宋体" w:cs="Times New Roman"/>
              <w:color w:val="auto"/>
              <w:szCs w:val="24"/>
            </w:rPr>
            <w:fldChar w:fldCharType="separate"/>
          </w:r>
          <w:r>
            <w:rPr>
              <w:rFonts w:hint="default" w:ascii="Times New Roman" w:hAnsi="Times New Roman" w:eastAsia="宋体" w:cs="Times New Roman"/>
              <w:snapToGrid w:val="0"/>
              <w:color w:val="auto"/>
              <w:szCs w:val="32"/>
              <w:highlight w:val="none"/>
            </w:rPr>
            <w:t>附表</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_Toc9780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95</w:t>
          </w:r>
          <w:r>
            <w:rPr>
              <w:rFonts w:hint="default" w:ascii="Times New Roman" w:hAnsi="Times New Roman" w:eastAsia="宋体" w:cs="Times New Roman"/>
              <w:color w:val="auto"/>
            </w:rPr>
            <w:fldChar w:fldCharType="end"/>
          </w:r>
          <w:r>
            <w:rPr>
              <w:rFonts w:hint="default" w:ascii="Times New Roman" w:hAnsi="Times New Roman" w:eastAsia="宋体" w:cs="Times New Roman"/>
              <w:color w:val="auto"/>
              <w:szCs w:val="24"/>
            </w:rPr>
            <w:fldChar w:fldCharType="end"/>
          </w:r>
        </w:p>
        <w:p>
          <w:pPr>
            <w:pStyle w:val="17"/>
            <w:tabs>
              <w:tab w:val="right" w:leader="dot" w:pos="9242"/>
            </w:tabs>
            <w:rPr>
              <w:color w:val="auto"/>
            </w:rPr>
          </w:pPr>
        </w:p>
        <w:p>
          <w:pPr>
            <w:keepNext w:val="0"/>
            <w:keepLines w:val="0"/>
            <w:pageBreakBefore w:val="0"/>
            <w:widowControl/>
            <w:kinsoku/>
            <w:wordWrap/>
            <w:overflowPunct/>
            <w:topLinePunct w:val="0"/>
            <w:autoSpaceDE/>
            <w:autoSpaceDN/>
            <w:bidi w:val="0"/>
            <w:adjustRightInd/>
            <w:snapToGrid/>
            <w:spacing w:line="480" w:lineRule="exact"/>
            <w:textAlignment w:val="auto"/>
            <w:rPr>
              <w:color w:val="auto"/>
            </w:rPr>
          </w:pPr>
          <w:r>
            <w:rPr>
              <w:rFonts w:hint="default" w:ascii="Times New Roman" w:hAnsi="Times New Roman" w:eastAsia="宋体" w:cs="Times New Roman"/>
              <w:color w:val="auto"/>
              <w:szCs w:val="24"/>
            </w:rPr>
            <w:fldChar w:fldCharType="end"/>
          </w:r>
        </w:p>
      </w:sdtContent>
    </w:sdt>
    <w:p>
      <w:pPr>
        <w:rPr>
          <w:rFonts w:hint="eastAsia" w:ascii="黑体" w:hAnsi="黑体" w:eastAsia="黑体"/>
          <w:snapToGrid w:val="0"/>
          <w:color w:val="auto"/>
          <w:sz w:val="30"/>
          <w:szCs w:val="30"/>
          <w:highlight w:val="none"/>
        </w:rPr>
      </w:pPr>
      <w:r>
        <w:rPr>
          <w:rFonts w:hint="eastAsia" w:ascii="黑体" w:hAnsi="黑体" w:eastAsia="黑体"/>
          <w:snapToGrid w:val="0"/>
          <w:color w:val="auto"/>
          <w:sz w:val="30"/>
          <w:szCs w:val="30"/>
          <w:highlight w:val="none"/>
        </w:rPr>
        <w:br w:type="page"/>
      </w:r>
    </w:p>
    <w:p>
      <w:pPr>
        <w:rPr>
          <w:rFonts w:hint="eastAsia" w:ascii="黑体" w:hAnsi="黑体" w:eastAsia="黑体"/>
          <w:snapToGrid w:val="0"/>
          <w:color w:val="auto"/>
          <w:sz w:val="30"/>
          <w:szCs w:val="30"/>
          <w:highlight w:val="none"/>
        </w:rPr>
      </w:pPr>
      <w:r>
        <w:rPr>
          <w:rFonts w:hint="eastAsia" w:ascii="黑体" w:hAnsi="黑体" w:eastAsia="黑体"/>
          <w:snapToGrid w:val="0"/>
          <w:color w:val="auto"/>
          <w:sz w:val="30"/>
          <w:szCs w:val="30"/>
          <w:highlight w:val="none"/>
        </w:rPr>
        <w:br w:type="page"/>
      </w:r>
    </w:p>
    <w:p>
      <w:pPr>
        <w:pStyle w:val="21"/>
        <w:keepNext w:val="0"/>
        <w:keepLines w:val="0"/>
        <w:pageBreakBefore w:val="0"/>
        <w:widowControl/>
        <w:kinsoku/>
        <w:wordWrap/>
        <w:overflowPunct/>
        <w:topLinePunct w:val="0"/>
        <w:autoSpaceDE/>
        <w:autoSpaceDN/>
        <w:bidi w:val="0"/>
        <w:adjustRightInd/>
        <w:snapToGrid/>
        <w:ind w:firstLine="0" w:firstLineChars="0"/>
        <w:jc w:val="center"/>
        <w:textAlignment w:val="auto"/>
        <w:outlineLvl w:val="9"/>
        <w:rPr>
          <w:rFonts w:hint="eastAsia" w:ascii="黑体" w:hAnsi="黑体" w:eastAsia="黑体"/>
          <w:snapToGrid w:val="0"/>
          <w:color w:val="auto"/>
          <w:sz w:val="30"/>
          <w:szCs w:val="30"/>
          <w:highlight w:val="none"/>
        </w:rPr>
        <w:sectPr>
          <w:footerReference r:id="rId7" w:type="default"/>
          <w:pgSz w:w="11906" w:h="16838"/>
          <w:pgMar w:top="1440" w:right="1247" w:bottom="1440" w:left="1417"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p>
    <w:p>
      <w:pPr>
        <w:pStyle w:val="21"/>
        <w:keepNext w:val="0"/>
        <w:keepLines w:val="0"/>
        <w:pageBreakBefore w:val="0"/>
        <w:widowControl/>
        <w:kinsoku/>
        <w:wordWrap/>
        <w:overflowPunct/>
        <w:topLinePunct w:val="0"/>
        <w:autoSpaceDE/>
        <w:autoSpaceDN/>
        <w:bidi w:val="0"/>
        <w:adjustRightInd/>
        <w:snapToGrid/>
        <w:ind w:firstLine="0" w:firstLineChars="0"/>
        <w:jc w:val="center"/>
        <w:textAlignment w:val="auto"/>
        <w:outlineLvl w:val="0"/>
        <w:rPr>
          <w:rFonts w:hint="eastAsia" w:ascii="黑体" w:hAnsi="黑体" w:eastAsia="黑体"/>
          <w:snapToGrid w:val="0"/>
          <w:color w:val="auto"/>
          <w:sz w:val="30"/>
          <w:szCs w:val="30"/>
          <w:highlight w:val="none"/>
        </w:rPr>
      </w:pPr>
      <w:bookmarkStart w:id="1" w:name="_Toc10302"/>
      <w:r>
        <w:rPr>
          <w:rFonts w:hint="eastAsia" w:ascii="黑体" w:hAnsi="黑体" w:eastAsia="黑体"/>
          <w:snapToGrid w:val="0"/>
          <w:color w:val="auto"/>
          <w:sz w:val="30"/>
          <w:szCs w:val="30"/>
          <w:highlight w:val="none"/>
        </w:rPr>
        <w:t>一、建设项目基本情况</w:t>
      </w:r>
      <w:bookmarkEnd w:id="1"/>
    </w:p>
    <w:tbl>
      <w:tblPr>
        <w:tblStyle w:val="24"/>
        <w:tblW w:w="935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722"/>
        <w:gridCol w:w="1979"/>
        <w:gridCol w:w="2236"/>
        <w:gridCol w:w="341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88" w:hRule="atLeast"/>
          <w:jc w:val="center"/>
        </w:trPr>
        <w:tc>
          <w:tcPr>
            <w:tcW w:w="1722" w:type="dxa"/>
            <w:noWrap w:val="0"/>
            <w:tcMar>
              <w:top w:w="16" w:type="dxa"/>
              <w:left w:w="16" w:type="dxa"/>
              <w:right w:w="16" w:type="dxa"/>
            </w:tcMar>
            <w:vAlign w:val="center"/>
          </w:tcPr>
          <w:p>
            <w:pPr>
              <w:pStyle w:val="32"/>
              <w:bidi w:val="0"/>
              <w:rPr>
                <w:color w:val="auto"/>
                <w:sz w:val="24"/>
                <w:szCs w:val="24"/>
                <w:highlight w:val="none"/>
              </w:rPr>
            </w:pPr>
            <w:r>
              <w:rPr>
                <w:rFonts w:hint="eastAsia"/>
                <w:color w:val="auto"/>
                <w:sz w:val="24"/>
                <w:szCs w:val="24"/>
                <w:highlight w:val="none"/>
              </w:rPr>
              <w:t>建设项目名称</w:t>
            </w:r>
          </w:p>
        </w:tc>
        <w:tc>
          <w:tcPr>
            <w:tcW w:w="7632" w:type="dxa"/>
            <w:gridSpan w:val="3"/>
            <w:noWrap w:val="0"/>
            <w:vAlign w:val="center"/>
          </w:tcPr>
          <w:p>
            <w:pPr>
              <w:pStyle w:val="32"/>
              <w:bidi w:val="0"/>
              <w:rPr>
                <w:rFonts w:hint="default"/>
                <w:color w:val="auto"/>
                <w:sz w:val="24"/>
                <w:szCs w:val="24"/>
                <w:highlight w:val="none"/>
                <w:lang w:val="en-US" w:eastAsia="zh-CN"/>
              </w:rPr>
            </w:pPr>
            <w:r>
              <w:rPr>
                <w:rFonts w:hint="eastAsia"/>
                <w:color w:val="auto"/>
                <w:sz w:val="24"/>
                <w:szCs w:val="24"/>
                <w:highlight w:val="none"/>
                <w:shd w:val="clear"/>
                <w:lang w:val="en-US" w:eastAsia="zh-CN"/>
              </w:rPr>
              <w:t>年产八万套石墨烯电发热元件技改及年产五万台节能速热电锅炉建设项目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74" w:hRule="atLeast"/>
          <w:jc w:val="center"/>
        </w:trPr>
        <w:tc>
          <w:tcPr>
            <w:tcW w:w="1722" w:type="dxa"/>
            <w:noWrap w:val="0"/>
            <w:tcMar>
              <w:top w:w="16" w:type="dxa"/>
              <w:left w:w="16" w:type="dxa"/>
              <w:right w:w="16" w:type="dxa"/>
            </w:tcMar>
            <w:vAlign w:val="center"/>
          </w:tcPr>
          <w:p>
            <w:pPr>
              <w:pStyle w:val="32"/>
              <w:bidi w:val="0"/>
              <w:rPr>
                <w:color w:val="auto"/>
                <w:sz w:val="24"/>
                <w:szCs w:val="24"/>
                <w:highlight w:val="none"/>
              </w:rPr>
            </w:pPr>
            <w:r>
              <w:rPr>
                <w:rFonts w:hint="eastAsia"/>
                <w:color w:val="auto"/>
                <w:sz w:val="24"/>
                <w:szCs w:val="24"/>
                <w:highlight w:val="none"/>
              </w:rPr>
              <w:t>项目代码</w:t>
            </w:r>
          </w:p>
        </w:tc>
        <w:tc>
          <w:tcPr>
            <w:tcW w:w="7632" w:type="dxa"/>
            <w:gridSpan w:val="3"/>
            <w:noWrap w:val="0"/>
            <w:vAlign w:val="center"/>
          </w:tcPr>
          <w:p>
            <w:pPr>
              <w:pStyle w:val="32"/>
              <w:bidi w:val="0"/>
              <w:rPr>
                <w:rFonts w:hint="default"/>
                <w:color w:val="auto"/>
                <w:sz w:val="24"/>
                <w:szCs w:val="24"/>
                <w:highlight w:val="none"/>
                <w:lang w:val="en-US" w:eastAsia="zh-CN"/>
              </w:rPr>
            </w:pPr>
            <w:r>
              <w:rPr>
                <w:rFonts w:hint="eastAsia"/>
                <w:color w:val="auto"/>
                <w:sz w:val="24"/>
                <w:szCs w:val="24"/>
                <w:highlight w:val="none"/>
                <w:lang w:val="en-US" w:eastAsia="zh-CN"/>
              </w:rPr>
              <w:t>2306-130273-89-02-899657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06" w:hRule="atLeast"/>
          <w:jc w:val="center"/>
        </w:trPr>
        <w:tc>
          <w:tcPr>
            <w:tcW w:w="1722" w:type="dxa"/>
            <w:noWrap w:val="0"/>
            <w:tcMar>
              <w:top w:w="16" w:type="dxa"/>
              <w:left w:w="16" w:type="dxa"/>
              <w:right w:w="16" w:type="dxa"/>
            </w:tcMar>
            <w:vAlign w:val="center"/>
          </w:tcPr>
          <w:p>
            <w:pPr>
              <w:pStyle w:val="32"/>
              <w:bidi w:val="0"/>
              <w:rPr>
                <w:rFonts w:hint="eastAsia"/>
                <w:color w:val="auto"/>
                <w:sz w:val="24"/>
                <w:szCs w:val="24"/>
                <w:highlight w:val="none"/>
              </w:rPr>
            </w:pPr>
            <w:r>
              <w:rPr>
                <w:rFonts w:hint="eastAsia"/>
                <w:color w:val="auto"/>
                <w:sz w:val="24"/>
                <w:szCs w:val="24"/>
                <w:highlight w:val="none"/>
              </w:rPr>
              <w:t>建设单位联系人</w:t>
            </w:r>
          </w:p>
        </w:tc>
        <w:tc>
          <w:tcPr>
            <w:tcW w:w="1979" w:type="dxa"/>
            <w:noWrap w:val="0"/>
            <w:vAlign w:val="center"/>
          </w:tcPr>
          <w:p>
            <w:pPr>
              <w:pStyle w:val="32"/>
              <w:bidi w:val="0"/>
              <w:rPr>
                <w:rFonts w:hint="default"/>
                <w:color w:val="auto"/>
                <w:sz w:val="24"/>
                <w:szCs w:val="24"/>
                <w:highlight w:val="none"/>
                <w:lang w:val="en-US" w:eastAsia="zh-CN"/>
              </w:rPr>
            </w:pPr>
            <w:r>
              <w:rPr>
                <w:rFonts w:hint="eastAsia"/>
                <w:color w:val="auto"/>
                <w:sz w:val="24"/>
                <w:szCs w:val="24"/>
                <w:highlight w:val="none"/>
                <w:lang w:val="en-US" w:eastAsia="zh-CN"/>
              </w:rPr>
              <w:t>常宗图</w:t>
            </w:r>
          </w:p>
        </w:tc>
        <w:tc>
          <w:tcPr>
            <w:tcW w:w="2236" w:type="dxa"/>
            <w:noWrap w:val="0"/>
            <w:vAlign w:val="center"/>
          </w:tcPr>
          <w:p>
            <w:pPr>
              <w:pStyle w:val="32"/>
              <w:bidi w:val="0"/>
              <w:rPr>
                <w:color w:val="auto"/>
                <w:sz w:val="24"/>
                <w:szCs w:val="24"/>
                <w:highlight w:val="none"/>
              </w:rPr>
            </w:pPr>
            <w:r>
              <w:rPr>
                <w:rFonts w:hint="eastAsia"/>
                <w:color w:val="auto"/>
                <w:sz w:val="24"/>
                <w:szCs w:val="24"/>
                <w:highlight w:val="none"/>
              </w:rPr>
              <w:t>联系方式</w:t>
            </w:r>
          </w:p>
        </w:tc>
        <w:tc>
          <w:tcPr>
            <w:tcW w:w="3417" w:type="dxa"/>
            <w:noWrap w:val="0"/>
            <w:vAlign w:val="center"/>
          </w:tcPr>
          <w:p>
            <w:pPr>
              <w:pStyle w:val="32"/>
              <w:bidi w:val="0"/>
              <w:rPr>
                <w:rFonts w:hint="default" w:eastAsia="宋体"/>
                <w:color w:val="auto"/>
                <w:sz w:val="24"/>
                <w:szCs w:val="24"/>
                <w:highlight w:val="none"/>
                <w:lang w:val="en-US" w:eastAsia="zh-CN"/>
              </w:rPr>
            </w:pPr>
            <w:r>
              <w:rPr>
                <w:rFonts w:hint="eastAsia"/>
                <w:color w:val="auto"/>
                <w:sz w:val="24"/>
                <w:szCs w:val="24"/>
                <w:highlight w:val="none"/>
                <w:lang w:val="en-US" w:eastAsia="zh-CN"/>
              </w:rPr>
              <w:t>18633119957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34" w:hRule="atLeast"/>
          <w:jc w:val="center"/>
        </w:trPr>
        <w:tc>
          <w:tcPr>
            <w:tcW w:w="1722" w:type="dxa"/>
            <w:noWrap w:val="0"/>
            <w:tcMar>
              <w:top w:w="16" w:type="dxa"/>
              <w:left w:w="16" w:type="dxa"/>
              <w:right w:w="16" w:type="dxa"/>
            </w:tcMar>
            <w:vAlign w:val="center"/>
          </w:tcPr>
          <w:p>
            <w:pPr>
              <w:pStyle w:val="32"/>
              <w:bidi w:val="0"/>
              <w:rPr>
                <w:color w:val="auto"/>
                <w:sz w:val="24"/>
                <w:szCs w:val="24"/>
                <w:highlight w:val="none"/>
              </w:rPr>
            </w:pPr>
            <w:r>
              <w:rPr>
                <w:rFonts w:hint="eastAsia"/>
                <w:color w:val="auto"/>
                <w:sz w:val="24"/>
                <w:szCs w:val="24"/>
                <w:highlight w:val="none"/>
              </w:rPr>
              <w:t>建设地点</w:t>
            </w:r>
          </w:p>
        </w:tc>
        <w:tc>
          <w:tcPr>
            <w:tcW w:w="7632" w:type="dxa"/>
            <w:gridSpan w:val="3"/>
            <w:noWrap w:val="0"/>
            <w:vAlign w:val="center"/>
          </w:tcPr>
          <w:p>
            <w:pPr>
              <w:pStyle w:val="32"/>
              <w:bidi w:val="0"/>
              <w:rPr>
                <w:rFonts w:hint="default"/>
                <w:color w:val="auto"/>
                <w:sz w:val="24"/>
                <w:szCs w:val="24"/>
                <w:highlight w:val="none"/>
                <w:lang w:val="en-US"/>
              </w:rPr>
            </w:pPr>
            <w:r>
              <w:rPr>
                <w:rFonts w:hint="eastAsia"/>
                <w:color w:val="auto"/>
                <w:sz w:val="24"/>
                <w:szCs w:val="24"/>
                <w:highlight w:val="none"/>
                <w:lang w:val="en-US" w:eastAsia="zh-CN"/>
              </w:rPr>
              <w:t>唐山市高新区学院北路1718-1号，唐山烯彤科技有限公司院内</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24" w:hRule="atLeast"/>
          <w:jc w:val="center"/>
        </w:trPr>
        <w:tc>
          <w:tcPr>
            <w:tcW w:w="1722" w:type="dxa"/>
            <w:noWrap w:val="0"/>
            <w:tcMar>
              <w:top w:w="16" w:type="dxa"/>
              <w:left w:w="16" w:type="dxa"/>
              <w:right w:w="16" w:type="dxa"/>
            </w:tcMar>
            <w:vAlign w:val="center"/>
          </w:tcPr>
          <w:p>
            <w:pPr>
              <w:pStyle w:val="32"/>
              <w:bidi w:val="0"/>
              <w:rPr>
                <w:color w:val="auto"/>
                <w:sz w:val="24"/>
                <w:szCs w:val="24"/>
                <w:highlight w:val="none"/>
              </w:rPr>
            </w:pPr>
            <w:r>
              <w:rPr>
                <w:rFonts w:hint="eastAsia"/>
                <w:color w:val="auto"/>
                <w:sz w:val="24"/>
                <w:szCs w:val="24"/>
                <w:highlight w:val="none"/>
              </w:rPr>
              <w:t>地理坐标</w:t>
            </w:r>
          </w:p>
        </w:tc>
        <w:tc>
          <w:tcPr>
            <w:tcW w:w="7632" w:type="dxa"/>
            <w:gridSpan w:val="3"/>
            <w:noWrap w:val="0"/>
            <w:vAlign w:val="center"/>
          </w:tcPr>
          <w:p>
            <w:pPr>
              <w:pStyle w:val="32"/>
              <w:bidi w:val="0"/>
              <w:rPr>
                <w:rFonts w:hint="eastAsia" w:eastAsia="宋体"/>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东经：118°08'52.641"</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lang w:val="en-US" w:eastAsia="zh-CN"/>
              </w:rPr>
              <w:t>北纬：</w:t>
            </w:r>
            <w:r>
              <w:rPr>
                <w:rFonts w:hint="default" w:ascii="Times New Roman" w:hAnsi="Times New Roman" w:cs="Times New Roman"/>
                <w:color w:val="auto"/>
                <w:sz w:val="24"/>
                <w:szCs w:val="24"/>
                <w:highlight w:val="none"/>
                <w:lang w:eastAsia="zh-CN"/>
              </w:rPr>
              <w:t>39°42'19.603"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047" w:hRule="atLeast"/>
          <w:jc w:val="center"/>
        </w:trPr>
        <w:tc>
          <w:tcPr>
            <w:tcW w:w="1722" w:type="dxa"/>
            <w:noWrap w:val="0"/>
            <w:tcMar>
              <w:top w:w="16" w:type="dxa"/>
              <w:left w:w="16" w:type="dxa"/>
              <w:right w:w="16" w:type="dxa"/>
            </w:tcMar>
            <w:vAlign w:val="center"/>
          </w:tcPr>
          <w:p>
            <w:pPr>
              <w:pStyle w:val="32"/>
              <w:bidi w:val="0"/>
              <w:rPr>
                <w:rFonts w:hint="eastAsia"/>
                <w:color w:val="auto"/>
                <w:sz w:val="24"/>
                <w:szCs w:val="24"/>
                <w:highlight w:val="none"/>
              </w:rPr>
            </w:pPr>
            <w:r>
              <w:rPr>
                <w:rFonts w:hint="eastAsia"/>
                <w:color w:val="auto"/>
                <w:sz w:val="24"/>
                <w:szCs w:val="24"/>
                <w:highlight w:val="none"/>
              </w:rPr>
              <w:t>国民经济</w:t>
            </w:r>
          </w:p>
          <w:p>
            <w:pPr>
              <w:pStyle w:val="32"/>
              <w:bidi w:val="0"/>
              <w:rPr>
                <w:color w:val="auto"/>
                <w:sz w:val="24"/>
                <w:szCs w:val="24"/>
                <w:highlight w:val="none"/>
              </w:rPr>
            </w:pPr>
            <w:r>
              <w:rPr>
                <w:rFonts w:hint="eastAsia"/>
                <w:color w:val="auto"/>
                <w:sz w:val="24"/>
                <w:szCs w:val="24"/>
                <w:highlight w:val="none"/>
              </w:rPr>
              <w:t>行业类别</w:t>
            </w:r>
          </w:p>
        </w:tc>
        <w:tc>
          <w:tcPr>
            <w:tcW w:w="197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r>
              <w:rPr>
                <w:rFonts w:hint="eastAsia"/>
                <w:color w:val="auto"/>
                <w:highlight w:val="none"/>
                <w:lang w:val="en-US" w:eastAsia="zh-CN"/>
              </w:rPr>
              <w:t>C3859其他家用电力器具制造</w:t>
            </w:r>
          </w:p>
        </w:tc>
        <w:tc>
          <w:tcPr>
            <w:tcW w:w="2236" w:type="dxa"/>
            <w:noWrap w:val="0"/>
            <w:vAlign w:val="center"/>
          </w:tcPr>
          <w:p>
            <w:pPr>
              <w:pStyle w:val="32"/>
              <w:bidi w:val="0"/>
              <w:rPr>
                <w:rFonts w:hint="default" w:ascii="Times New Roman" w:hAnsi="Times New Roman" w:cs="Times New Roman"/>
                <w:color w:val="auto"/>
                <w:sz w:val="24"/>
                <w:szCs w:val="24"/>
                <w:highlight w:val="none"/>
              </w:rPr>
            </w:pPr>
            <w:bookmarkStart w:id="2" w:name="_Hlk49843745"/>
            <w:r>
              <w:rPr>
                <w:rFonts w:hint="default" w:ascii="Times New Roman" w:hAnsi="Times New Roman" w:cs="Times New Roman"/>
                <w:color w:val="auto"/>
                <w:sz w:val="24"/>
                <w:szCs w:val="24"/>
                <w:highlight w:val="none"/>
              </w:rPr>
              <w:t>建设项目</w:t>
            </w:r>
          </w:p>
          <w:p>
            <w:pPr>
              <w:pStyle w:val="32"/>
              <w:bidi w:val="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行业类别</w:t>
            </w:r>
            <w:bookmarkEnd w:id="2"/>
          </w:p>
        </w:tc>
        <w:tc>
          <w:tcPr>
            <w:tcW w:w="3417"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color w:val="auto"/>
                <w:highlight w:val="none"/>
                <w:lang w:val="en-US" w:eastAsia="zh-CN"/>
              </w:rPr>
            </w:pPr>
            <w:r>
              <w:rPr>
                <w:rFonts w:hint="eastAsia"/>
                <w:color w:val="auto"/>
                <w:sz w:val="24"/>
                <w:szCs w:val="24"/>
                <w:highlight w:val="none"/>
                <w:lang w:val="en-US" w:eastAsia="zh-CN"/>
              </w:rPr>
              <w:t>三十五、电气机械和器材制造业38-77.家用电力器具制造385-其他（仅分割、焊接、组装的除外；年用非溶剂型低VOCs含量涂料10吨以下的除外）</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365" w:hRule="atLeast"/>
          <w:jc w:val="center"/>
        </w:trPr>
        <w:tc>
          <w:tcPr>
            <w:tcW w:w="1722" w:type="dxa"/>
            <w:noWrap w:val="0"/>
            <w:tcMar>
              <w:top w:w="16" w:type="dxa"/>
              <w:left w:w="16" w:type="dxa"/>
              <w:right w:w="16" w:type="dxa"/>
            </w:tcMar>
            <w:vAlign w:val="center"/>
          </w:tcPr>
          <w:p>
            <w:pPr>
              <w:pStyle w:val="32"/>
              <w:bidi w:val="0"/>
              <w:rPr>
                <w:b w:val="0"/>
                <w:bCs w:val="0"/>
                <w:color w:val="auto"/>
                <w:sz w:val="24"/>
                <w:szCs w:val="24"/>
                <w:highlight w:val="none"/>
              </w:rPr>
            </w:pPr>
            <w:r>
              <w:rPr>
                <w:rFonts w:hint="eastAsia"/>
                <w:b w:val="0"/>
                <w:bCs w:val="0"/>
                <w:color w:val="auto"/>
                <w:sz w:val="24"/>
                <w:szCs w:val="24"/>
                <w:highlight w:val="none"/>
              </w:rPr>
              <w:t>建设性质</w:t>
            </w:r>
          </w:p>
        </w:tc>
        <w:tc>
          <w:tcPr>
            <w:tcW w:w="1979" w:type="dxa"/>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jc w:val="left"/>
              <w:textAlignment w:val="auto"/>
              <w:rPr>
                <w:b w:val="0"/>
                <w:bCs w:val="0"/>
                <w:color w:val="auto"/>
                <w:sz w:val="24"/>
                <w:szCs w:val="24"/>
                <w:highlight w:val="none"/>
              </w:rPr>
            </w:pPr>
            <w:r>
              <w:rPr>
                <w:rFonts w:hint="eastAsia" w:ascii="宋体" w:hAnsi="宋体" w:eastAsia="宋体" w:cs="宋体"/>
                <w:b w:val="0"/>
                <w:bCs w:val="0"/>
                <w:color w:val="auto"/>
                <w:sz w:val="24"/>
                <w:szCs w:val="24"/>
                <w:highlight w:val="none"/>
              </w:rPr>
              <w:sym w:font="Wingdings" w:char="00A8"/>
            </w:r>
            <w:r>
              <w:rPr>
                <w:rFonts w:hint="eastAsia"/>
                <w:b w:val="0"/>
                <w:bCs w:val="0"/>
                <w:color w:val="auto"/>
                <w:sz w:val="24"/>
                <w:szCs w:val="24"/>
                <w:highlight w:val="none"/>
              </w:rPr>
              <w:t>新建（迁建）</w:t>
            </w:r>
          </w:p>
          <w:p>
            <w:pPr>
              <w:pStyle w:val="32"/>
              <w:keepNext w:val="0"/>
              <w:keepLines w:val="0"/>
              <w:pageBreakBefore w:val="0"/>
              <w:widowControl w:val="0"/>
              <w:kinsoku/>
              <w:wordWrap/>
              <w:overflowPunct/>
              <w:topLinePunct w:val="0"/>
              <w:autoSpaceDE/>
              <w:autoSpaceDN/>
              <w:bidi w:val="0"/>
              <w:adjustRightInd/>
              <w:snapToGrid/>
              <w:spacing w:before="0" w:after="0"/>
              <w:jc w:val="left"/>
              <w:textAlignment w:val="auto"/>
              <w:rPr>
                <w:rFonts w:hint="eastAsia"/>
                <w:b w:val="0"/>
                <w:bCs w:val="0"/>
                <w:color w:val="auto"/>
                <w:sz w:val="24"/>
                <w:szCs w:val="24"/>
                <w:highlight w:val="none"/>
              </w:rPr>
            </w:pPr>
            <w:r>
              <w:rPr>
                <w:rFonts w:hint="eastAsia"/>
                <w:b w:val="0"/>
                <w:bCs w:val="0"/>
                <w:color w:val="auto"/>
                <w:sz w:val="24"/>
                <w:szCs w:val="24"/>
                <w:highlight w:val="none"/>
              </w:rPr>
              <w:sym w:font="Wingdings" w:char="00FE"/>
            </w:r>
            <w:r>
              <w:rPr>
                <w:rFonts w:hint="eastAsia"/>
                <w:b w:val="0"/>
                <w:bCs w:val="0"/>
                <w:color w:val="auto"/>
                <w:sz w:val="24"/>
                <w:szCs w:val="24"/>
                <w:highlight w:val="none"/>
              </w:rPr>
              <w:t>改建</w:t>
            </w:r>
          </w:p>
          <w:p>
            <w:pPr>
              <w:pStyle w:val="32"/>
              <w:keepNext w:val="0"/>
              <w:keepLines w:val="0"/>
              <w:pageBreakBefore w:val="0"/>
              <w:widowControl w:val="0"/>
              <w:kinsoku/>
              <w:wordWrap/>
              <w:overflowPunct/>
              <w:topLinePunct w:val="0"/>
              <w:autoSpaceDE/>
              <w:autoSpaceDN/>
              <w:bidi w:val="0"/>
              <w:adjustRightInd/>
              <w:snapToGrid/>
              <w:spacing w:before="0" w:after="0"/>
              <w:jc w:val="left"/>
              <w:textAlignment w:val="auto"/>
              <w:rPr>
                <w:rFonts w:hint="eastAsia"/>
                <w:b w:val="0"/>
                <w:bCs w:val="0"/>
                <w:color w:val="auto"/>
                <w:sz w:val="24"/>
                <w:szCs w:val="24"/>
                <w:highlight w:val="none"/>
              </w:rPr>
            </w:pPr>
            <w:r>
              <w:rPr>
                <w:rFonts w:hint="eastAsia"/>
                <w:b w:val="0"/>
                <w:bCs w:val="0"/>
                <w:color w:val="auto"/>
                <w:sz w:val="24"/>
                <w:szCs w:val="24"/>
                <w:highlight w:val="none"/>
              </w:rPr>
              <w:sym w:font="Wingdings" w:char="00FE"/>
            </w:r>
            <w:r>
              <w:rPr>
                <w:rFonts w:hint="eastAsia"/>
                <w:b w:val="0"/>
                <w:bCs w:val="0"/>
                <w:color w:val="auto"/>
                <w:sz w:val="24"/>
                <w:szCs w:val="24"/>
                <w:highlight w:val="none"/>
              </w:rPr>
              <w:t>扩建</w:t>
            </w:r>
          </w:p>
          <w:p>
            <w:pPr>
              <w:pStyle w:val="32"/>
              <w:keepNext w:val="0"/>
              <w:keepLines w:val="0"/>
              <w:pageBreakBefore w:val="0"/>
              <w:widowControl w:val="0"/>
              <w:kinsoku/>
              <w:wordWrap/>
              <w:overflowPunct/>
              <w:topLinePunct w:val="0"/>
              <w:autoSpaceDE/>
              <w:autoSpaceDN/>
              <w:bidi w:val="0"/>
              <w:adjustRightInd/>
              <w:snapToGrid/>
              <w:spacing w:before="0" w:after="0"/>
              <w:jc w:val="left"/>
              <w:textAlignment w:val="auto"/>
              <w:rPr>
                <w:b w:val="0"/>
                <w:bCs w:val="0"/>
                <w:color w:val="auto"/>
                <w:sz w:val="24"/>
                <w:szCs w:val="24"/>
                <w:highlight w:val="none"/>
              </w:rPr>
            </w:pPr>
            <w:r>
              <w:rPr>
                <w:rFonts w:hint="eastAsia"/>
                <w:b w:val="0"/>
                <w:bCs w:val="0"/>
                <w:color w:val="auto"/>
                <w:sz w:val="24"/>
                <w:szCs w:val="24"/>
                <w:highlight w:val="none"/>
              </w:rPr>
              <w:sym w:font="Wingdings" w:char="00A8"/>
            </w:r>
            <w:r>
              <w:rPr>
                <w:rFonts w:hint="eastAsia"/>
                <w:b w:val="0"/>
                <w:bCs w:val="0"/>
                <w:color w:val="auto"/>
                <w:sz w:val="24"/>
                <w:szCs w:val="24"/>
                <w:highlight w:val="none"/>
              </w:rPr>
              <w:t>技术改造</w:t>
            </w:r>
          </w:p>
        </w:tc>
        <w:tc>
          <w:tcPr>
            <w:tcW w:w="2236" w:type="dxa"/>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rFonts w:hint="eastAsia"/>
                <w:b w:val="0"/>
                <w:bCs w:val="0"/>
                <w:color w:val="auto"/>
                <w:sz w:val="24"/>
                <w:szCs w:val="24"/>
                <w:highlight w:val="none"/>
              </w:rPr>
            </w:pPr>
            <w:r>
              <w:rPr>
                <w:rFonts w:hint="eastAsia"/>
                <w:b w:val="0"/>
                <w:bCs w:val="0"/>
                <w:color w:val="auto"/>
                <w:sz w:val="24"/>
                <w:szCs w:val="24"/>
                <w:highlight w:val="none"/>
              </w:rPr>
              <w:t>建设项目</w:t>
            </w:r>
          </w:p>
          <w:p>
            <w:pPr>
              <w:pStyle w:val="32"/>
              <w:keepNext w:val="0"/>
              <w:keepLines w:val="0"/>
              <w:pageBreakBefore w:val="0"/>
              <w:widowControl w:val="0"/>
              <w:kinsoku/>
              <w:wordWrap/>
              <w:overflowPunct/>
              <w:topLinePunct w:val="0"/>
              <w:autoSpaceDE/>
              <w:autoSpaceDN/>
              <w:bidi w:val="0"/>
              <w:adjustRightInd/>
              <w:snapToGrid/>
              <w:spacing w:before="0" w:after="0"/>
              <w:textAlignment w:val="auto"/>
              <w:rPr>
                <w:b w:val="0"/>
                <w:bCs w:val="0"/>
                <w:color w:val="auto"/>
                <w:sz w:val="24"/>
                <w:szCs w:val="24"/>
                <w:highlight w:val="none"/>
              </w:rPr>
            </w:pPr>
            <w:r>
              <w:rPr>
                <w:rFonts w:hint="eastAsia"/>
                <w:b w:val="0"/>
                <w:bCs w:val="0"/>
                <w:color w:val="auto"/>
                <w:sz w:val="24"/>
                <w:szCs w:val="24"/>
                <w:highlight w:val="none"/>
              </w:rPr>
              <w:t>申报情形</w:t>
            </w:r>
          </w:p>
        </w:tc>
        <w:tc>
          <w:tcPr>
            <w:tcW w:w="3417" w:type="dxa"/>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jc w:val="left"/>
              <w:textAlignment w:val="auto"/>
              <w:rPr>
                <w:b w:val="0"/>
                <w:bCs w:val="0"/>
                <w:color w:val="auto"/>
                <w:sz w:val="24"/>
                <w:szCs w:val="24"/>
                <w:highlight w:val="none"/>
              </w:rPr>
            </w:pPr>
            <w:r>
              <w:rPr>
                <w:rFonts w:hint="default" w:ascii="Times New Roman" w:hAnsi="Times New Roman" w:cs="Times New Roman"/>
                <w:b w:val="0"/>
                <w:bCs w:val="0"/>
                <w:color w:val="auto"/>
                <w:sz w:val="24"/>
                <w:szCs w:val="24"/>
                <w:highlight w:val="none"/>
              </w:rPr>
              <w:sym w:font="Wingdings" w:char="00FE"/>
            </w:r>
            <w:r>
              <w:rPr>
                <w:rFonts w:hint="eastAsia"/>
                <w:b w:val="0"/>
                <w:bCs w:val="0"/>
                <w:color w:val="auto"/>
                <w:sz w:val="24"/>
                <w:szCs w:val="24"/>
                <w:highlight w:val="none"/>
              </w:rPr>
              <w:t>首次申报项目</w:t>
            </w:r>
            <w:r>
              <w:rPr>
                <w:b w:val="0"/>
                <w:bCs w:val="0"/>
                <w:color w:val="auto"/>
                <w:sz w:val="24"/>
                <w:szCs w:val="24"/>
                <w:highlight w:val="none"/>
              </w:rPr>
              <w:t xml:space="preserve">             </w:t>
            </w:r>
          </w:p>
          <w:p>
            <w:pPr>
              <w:pStyle w:val="32"/>
              <w:keepNext w:val="0"/>
              <w:keepLines w:val="0"/>
              <w:pageBreakBefore w:val="0"/>
              <w:widowControl w:val="0"/>
              <w:kinsoku/>
              <w:wordWrap/>
              <w:overflowPunct/>
              <w:topLinePunct w:val="0"/>
              <w:autoSpaceDE/>
              <w:autoSpaceDN/>
              <w:bidi w:val="0"/>
              <w:adjustRightInd/>
              <w:snapToGrid/>
              <w:spacing w:before="0" w:after="0"/>
              <w:jc w:val="left"/>
              <w:textAlignment w:val="auto"/>
              <w:rPr>
                <w:b w:val="0"/>
                <w:bCs w:val="0"/>
                <w:color w:val="auto"/>
                <w:sz w:val="24"/>
                <w:szCs w:val="24"/>
                <w:highlight w:val="none"/>
              </w:rPr>
            </w:pPr>
            <w:r>
              <w:rPr>
                <w:rFonts w:hint="eastAsia"/>
                <w:b w:val="0"/>
                <w:bCs w:val="0"/>
                <w:color w:val="auto"/>
                <w:sz w:val="24"/>
                <w:szCs w:val="24"/>
                <w:highlight w:val="none"/>
              </w:rPr>
              <w:sym w:font="Wingdings" w:char="00A8"/>
            </w:r>
            <w:r>
              <w:rPr>
                <w:rFonts w:hint="eastAsia"/>
                <w:b w:val="0"/>
                <w:bCs w:val="0"/>
                <w:color w:val="auto"/>
                <w:sz w:val="24"/>
                <w:szCs w:val="24"/>
                <w:highlight w:val="none"/>
              </w:rPr>
              <w:t>不予批准后再次申报项目</w:t>
            </w:r>
          </w:p>
          <w:p>
            <w:pPr>
              <w:pStyle w:val="32"/>
              <w:keepNext w:val="0"/>
              <w:keepLines w:val="0"/>
              <w:pageBreakBefore w:val="0"/>
              <w:widowControl w:val="0"/>
              <w:kinsoku/>
              <w:wordWrap/>
              <w:overflowPunct/>
              <w:topLinePunct w:val="0"/>
              <w:autoSpaceDE/>
              <w:autoSpaceDN/>
              <w:bidi w:val="0"/>
              <w:adjustRightInd/>
              <w:snapToGrid/>
              <w:spacing w:before="0" w:after="0"/>
              <w:jc w:val="left"/>
              <w:textAlignment w:val="auto"/>
              <w:rPr>
                <w:b w:val="0"/>
                <w:bCs w:val="0"/>
                <w:color w:val="auto"/>
                <w:sz w:val="24"/>
                <w:szCs w:val="24"/>
                <w:highlight w:val="none"/>
              </w:rPr>
            </w:pPr>
            <w:r>
              <w:rPr>
                <w:rFonts w:hint="eastAsia"/>
                <w:b w:val="0"/>
                <w:bCs w:val="0"/>
                <w:color w:val="auto"/>
                <w:sz w:val="24"/>
                <w:szCs w:val="24"/>
                <w:highlight w:val="none"/>
              </w:rPr>
              <w:sym w:font="Wingdings" w:char="00A8"/>
            </w:r>
            <w:r>
              <w:rPr>
                <w:rFonts w:hint="eastAsia"/>
                <w:b w:val="0"/>
                <w:bCs w:val="0"/>
                <w:color w:val="auto"/>
                <w:sz w:val="24"/>
                <w:szCs w:val="24"/>
                <w:highlight w:val="none"/>
              </w:rPr>
              <w:t>超五年重新审核项目</w:t>
            </w:r>
            <w:r>
              <w:rPr>
                <w:b w:val="0"/>
                <w:bCs w:val="0"/>
                <w:color w:val="auto"/>
                <w:sz w:val="24"/>
                <w:szCs w:val="24"/>
                <w:highlight w:val="none"/>
              </w:rPr>
              <w:t xml:space="preserve">     </w:t>
            </w:r>
          </w:p>
          <w:p>
            <w:pPr>
              <w:pStyle w:val="32"/>
              <w:keepNext w:val="0"/>
              <w:keepLines w:val="0"/>
              <w:pageBreakBefore w:val="0"/>
              <w:widowControl w:val="0"/>
              <w:kinsoku/>
              <w:wordWrap/>
              <w:overflowPunct/>
              <w:topLinePunct w:val="0"/>
              <w:autoSpaceDE/>
              <w:autoSpaceDN/>
              <w:bidi w:val="0"/>
              <w:adjustRightInd/>
              <w:snapToGrid/>
              <w:spacing w:before="0" w:after="0"/>
              <w:jc w:val="left"/>
              <w:textAlignment w:val="auto"/>
              <w:rPr>
                <w:b w:val="0"/>
                <w:bCs w:val="0"/>
                <w:color w:val="auto"/>
                <w:sz w:val="24"/>
                <w:szCs w:val="24"/>
                <w:highlight w:val="none"/>
              </w:rPr>
            </w:pPr>
            <w:r>
              <w:rPr>
                <w:rFonts w:hint="eastAsia"/>
                <w:b w:val="0"/>
                <w:bCs w:val="0"/>
                <w:color w:val="auto"/>
                <w:sz w:val="24"/>
                <w:szCs w:val="24"/>
                <w:highlight w:val="none"/>
              </w:rPr>
              <w:sym w:font="Wingdings" w:char="00A8"/>
            </w:r>
            <w:r>
              <w:rPr>
                <w:rFonts w:hint="eastAsia"/>
                <w:b w:val="0"/>
                <w:bCs w:val="0"/>
                <w:color w:val="auto"/>
                <w:sz w:val="24"/>
                <w:szCs w:val="24"/>
                <w:highlight w:val="none"/>
              </w:rPr>
              <w:t>重大变动重新报批项目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041" w:hRule="atLeast"/>
          <w:jc w:val="center"/>
        </w:trPr>
        <w:tc>
          <w:tcPr>
            <w:tcW w:w="1722" w:type="dxa"/>
            <w:noWrap w:val="0"/>
            <w:tcMar>
              <w:top w:w="16" w:type="dxa"/>
              <w:left w:w="16" w:type="dxa"/>
              <w:right w:w="16" w:type="dxa"/>
            </w:tcMar>
            <w:vAlign w:val="center"/>
          </w:tcPr>
          <w:p>
            <w:pPr>
              <w:pStyle w:val="32"/>
              <w:bidi w:val="0"/>
              <w:rPr>
                <w:color w:val="auto"/>
                <w:sz w:val="24"/>
                <w:szCs w:val="24"/>
                <w:highlight w:val="none"/>
              </w:rPr>
            </w:pPr>
            <w:r>
              <w:rPr>
                <w:rFonts w:hint="eastAsia"/>
                <w:color w:val="auto"/>
                <w:sz w:val="24"/>
                <w:szCs w:val="24"/>
                <w:highlight w:val="none"/>
              </w:rPr>
              <w:t>项目审批（核准</w:t>
            </w:r>
            <w:r>
              <w:rPr>
                <w:color w:val="auto"/>
                <w:sz w:val="24"/>
                <w:szCs w:val="24"/>
                <w:highlight w:val="none"/>
              </w:rPr>
              <w:t>/</w:t>
            </w:r>
            <w:r>
              <w:rPr>
                <w:rFonts w:hint="eastAsia"/>
                <w:color w:val="auto"/>
                <w:sz w:val="24"/>
                <w:szCs w:val="24"/>
                <w:highlight w:val="none"/>
              </w:rPr>
              <w:t>备案）部门（选填）</w:t>
            </w:r>
          </w:p>
        </w:tc>
        <w:tc>
          <w:tcPr>
            <w:tcW w:w="1979" w:type="dxa"/>
            <w:noWrap w:val="0"/>
            <w:vAlign w:val="center"/>
          </w:tcPr>
          <w:p>
            <w:pPr>
              <w:pStyle w:val="32"/>
              <w:bidi w:val="0"/>
              <w:rPr>
                <w:rFonts w:hint="default"/>
                <w:color w:val="auto"/>
                <w:sz w:val="24"/>
                <w:szCs w:val="24"/>
                <w:highlight w:val="none"/>
                <w:lang w:val="en-US" w:eastAsia="zh-CN"/>
              </w:rPr>
            </w:pPr>
            <w:r>
              <w:rPr>
                <w:rFonts w:hint="eastAsia"/>
                <w:color w:val="auto"/>
                <w:sz w:val="24"/>
                <w:szCs w:val="24"/>
                <w:highlight w:val="none"/>
                <w:lang w:val="en-US" w:eastAsia="zh-CN"/>
              </w:rPr>
              <w:t>唐山高新技术产业开发区行政审批局</w:t>
            </w:r>
          </w:p>
        </w:tc>
        <w:tc>
          <w:tcPr>
            <w:tcW w:w="2236" w:type="dxa"/>
            <w:noWrap w:val="0"/>
            <w:vAlign w:val="center"/>
          </w:tcPr>
          <w:p>
            <w:pPr>
              <w:pStyle w:val="32"/>
              <w:bidi w:val="0"/>
              <w:rPr>
                <w:rFonts w:hint="eastAsia"/>
                <w:color w:val="auto"/>
                <w:sz w:val="24"/>
                <w:szCs w:val="24"/>
                <w:highlight w:val="none"/>
              </w:rPr>
            </w:pPr>
            <w:r>
              <w:rPr>
                <w:rFonts w:hint="eastAsia"/>
                <w:color w:val="auto"/>
                <w:sz w:val="24"/>
                <w:szCs w:val="24"/>
                <w:highlight w:val="none"/>
              </w:rPr>
              <w:t>项目审批（核准</w:t>
            </w:r>
            <w:r>
              <w:rPr>
                <w:color w:val="auto"/>
                <w:sz w:val="24"/>
                <w:szCs w:val="24"/>
                <w:highlight w:val="none"/>
              </w:rPr>
              <w:t>/</w:t>
            </w:r>
          </w:p>
          <w:p>
            <w:pPr>
              <w:pStyle w:val="32"/>
              <w:bidi w:val="0"/>
              <w:rPr>
                <w:rFonts w:hint="eastAsia"/>
                <w:color w:val="auto"/>
                <w:sz w:val="24"/>
                <w:szCs w:val="24"/>
                <w:highlight w:val="none"/>
              </w:rPr>
            </w:pPr>
            <w:r>
              <w:rPr>
                <w:rFonts w:hint="eastAsia"/>
                <w:color w:val="auto"/>
                <w:sz w:val="24"/>
                <w:szCs w:val="24"/>
                <w:highlight w:val="none"/>
              </w:rPr>
              <w:t>备案）文号（选填）</w:t>
            </w:r>
          </w:p>
        </w:tc>
        <w:tc>
          <w:tcPr>
            <w:tcW w:w="3417" w:type="dxa"/>
            <w:noWrap w:val="0"/>
            <w:vAlign w:val="center"/>
          </w:tcPr>
          <w:p>
            <w:pPr>
              <w:pStyle w:val="32"/>
              <w:bidi w:val="0"/>
              <w:rPr>
                <w:rFonts w:hint="default"/>
                <w:color w:val="auto"/>
                <w:sz w:val="24"/>
                <w:szCs w:val="24"/>
                <w:highlight w:val="none"/>
                <w:lang w:val="en-US" w:eastAsia="zh-CN"/>
              </w:rPr>
            </w:pPr>
            <w:r>
              <w:rPr>
                <w:rFonts w:hint="eastAsia"/>
                <w:color w:val="auto"/>
                <w:sz w:val="24"/>
                <w:szCs w:val="24"/>
                <w:highlight w:val="none"/>
                <w:lang w:val="en-US" w:eastAsia="zh-CN"/>
              </w:rPr>
              <w:t>唐高备字[2023]37号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05" w:hRule="atLeast"/>
          <w:jc w:val="center"/>
        </w:trPr>
        <w:tc>
          <w:tcPr>
            <w:tcW w:w="1722" w:type="dxa"/>
            <w:noWrap w:val="0"/>
            <w:tcMar>
              <w:top w:w="16" w:type="dxa"/>
              <w:left w:w="16" w:type="dxa"/>
              <w:right w:w="16" w:type="dxa"/>
            </w:tcMar>
            <w:vAlign w:val="center"/>
          </w:tcPr>
          <w:p>
            <w:pPr>
              <w:pStyle w:val="32"/>
              <w:bidi w:val="0"/>
              <w:rPr>
                <w:color w:val="auto"/>
                <w:sz w:val="24"/>
                <w:szCs w:val="24"/>
                <w:highlight w:val="none"/>
              </w:rPr>
            </w:pPr>
            <w:r>
              <w:rPr>
                <w:rFonts w:hint="eastAsia"/>
                <w:color w:val="auto"/>
                <w:sz w:val="24"/>
                <w:szCs w:val="24"/>
                <w:highlight w:val="none"/>
              </w:rPr>
              <w:t>总投资（万元）</w:t>
            </w:r>
          </w:p>
        </w:tc>
        <w:tc>
          <w:tcPr>
            <w:tcW w:w="1979" w:type="dxa"/>
            <w:noWrap w:val="0"/>
            <w:vAlign w:val="center"/>
          </w:tcPr>
          <w:p>
            <w:pPr>
              <w:pStyle w:val="32"/>
              <w:bidi w:val="0"/>
              <w:rPr>
                <w:rFonts w:hint="default"/>
                <w:color w:val="auto"/>
                <w:sz w:val="24"/>
                <w:szCs w:val="24"/>
                <w:highlight w:val="none"/>
                <w:lang w:val="en-US" w:eastAsia="zh-CN"/>
              </w:rPr>
            </w:pPr>
            <w:r>
              <w:rPr>
                <w:rFonts w:hint="eastAsia"/>
                <w:color w:val="auto"/>
                <w:sz w:val="24"/>
                <w:szCs w:val="24"/>
                <w:highlight w:val="none"/>
                <w:lang w:val="en-US" w:eastAsia="zh-CN"/>
              </w:rPr>
              <w:t>300</w:t>
            </w:r>
          </w:p>
        </w:tc>
        <w:tc>
          <w:tcPr>
            <w:tcW w:w="2236" w:type="dxa"/>
            <w:noWrap w:val="0"/>
            <w:tcMar>
              <w:top w:w="16" w:type="dxa"/>
              <w:left w:w="16" w:type="dxa"/>
              <w:right w:w="16" w:type="dxa"/>
            </w:tcMar>
            <w:vAlign w:val="center"/>
          </w:tcPr>
          <w:p>
            <w:pPr>
              <w:pStyle w:val="32"/>
              <w:bidi w:val="0"/>
              <w:rPr>
                <w:color w:val="auto"/>
                <w:sz w:val="24"/>
                <w:szCs w:val="24"/>
                <w:highlight w:val="none"/>
              </w:rPr>
            </w:pPr>
            <w:r>
              <w:rPr>
                <w:rFonts w:hint="eastAsia"/>
                <w:color w:val="auto"/>
                <w:sz w:val="24"/>
                <w:szCs w:val="24"/>
                <w:highlight w:val="none"/>
              </w:rPr>
              <w:t>环保投资（万元）</w:t>
            </w:r>
          </w:p>
        </w:tc>
        <w:tc>
          <w:tcPr>
            <w:tcW w:w="3417" w:type="dxa"/>
            <w:noWrap w:val="0"/>
            <w:vAlign w:val="center"/>
          </w:tcPr>
          <w:p>
            <w:pPr>
              <w:pStyle w:val="32"/>
              <w:bidi w:val="0"/>
              <w:rPr>
                <w:rFonts w:hint="default"/>
                <w:color w:val="auto"/>
                <w:sz w:val="24"/>
                <w:szCs w:val="24"/>
                <w:highlight w:val="none"/>
                <w:lang w:val="en-US" w:eastAsia="zh-CN"/>
              </w:rPr>
            </w:pPr>
            <w:r>
              <w:rPr>
                <w:rFonts w:hint="eastAsia"/>
                <w:color w:val="auto"/>
                <w:sz w:val="24"/>
                <w:szCs w:val="24"/>
                <w:highlight w:val="none"/>
                <w:lang w:val="en-US" w:eastAsia="zh-CN"/>
              </w:rPr>
              <w:t>10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15" w:hRule="atLeast"/>
          <w:jc w:val="center"/>
        </w:trPr>
        <w:tc>
          <w:tcPr>
            <w:tcW w:w="1722" w:type="dxa"/>
            <w:noWrap w:val="0"/>
            <w:tcMar>
              <w:top w:w="16" w:type="dxa"/>
              <w:left w:w="16" w:type="dxa"/>
              <w:right w:w="16" w:type="dxa"/>
            </w:tcMar>
            <w:vAlign w:val="center"/>
          </w:tcPr>
          <w:p>
            <w:pPr>
              <w:pStyle w:val="32"/>
              <w:bidi w:val="0"/>
              <w:rPr>
                <w:color w:val="auto"/>
                <w:sz w:val="24"/>
                <w:szCs w:val="24"/>
                <w:highlight w:val="none"/>
              </w:rPr>
            </w:pPr>
            <w:r>
              <w:rPr>
                <w:rFonts w:hint="eastAsia"/>
                <w:color w:val="auto"/>
                <w:sz w:val="24"/>
                <w:szCs w:val="24"/>
                <w:highlight w:val="none"/>
              </w:rPr>
              <w:t>环保投资占比（</w:t>
            </w:r>
            <w:r>
              <w:rPr>
                <w:color w:val="auto"/>
                <w:sz w:val="24"/>
                <w:szCs w:val="24"/>
                <w:highlight w:val="none"/>
              </w:rPr>
              <w:t>%</w:t>
            </w:r>
            <w:r>
              <w:rPr>
                <w:rFonts w:hint="eastAsia"/>
                <w:color w:val="auto"/>
                <w:sz w:val="24"/>
                <w:szCs w:val="24"/>
                <w:highlight w:val="none"/>
              </w:rPr>
              <w:t>）</w:t>
            </w:r>
          </w:p>
        </w:tc>
        <w:tc>
          <w:tcPr>
            <w:tcW w:w="1979" w:type="dxa"/>
            <w:noWrap w:val="0"/>
            <w:vAlign w:val="center"/>
          </w:tcPr>
          <w:p>
            <w:pPr>
              <w:pStyle w:val="32"/>
              <w:bidi w:val="0"/>
              <w:rPr>
                <w:rFonts w:hint="default"/>
                <w:color w:val="auto"/>
                <w:sz w:val="24"/>
                <w:szCs w:val="24"/>
                <w:highlight w:val="none"/>
                <w:lang w:val="en-US" w:eastAsia="zh-CN"/>
              </w:rPr>
            </w:pPr>
            <w:r>
              <w:rPr>
                <w:rFonts w:hint="eastAsia"/>
                <w:color w:val="auto"/>
                <w:sz w:val="24"/>
                <w:szCs w:val="24"/>
                <w:highlight w:val="none"/>
                <w:lang w:val="en-US" w:eastAsia="zh-CN"/>
              </w:rPr>
              <w:t>3.33</w:t>
            </w:r>
          </w:p>
        </w:tc>
        <w:tc>
          <w:tcPr>
            <w:tcW w:w="2236" w:type="dxa"/>
            <w:noWrap w:val="0"/>
            <w:tcMar>
              <w:top w:w="16" w:type="dxa"/>
              <w:left w:w="16" w:type="dxa"/>
              <w:right w:w="16" w:type="dxa"/>
            </w:tcMar>
            <w:vAlign w:val="center"/>
          </w:tcPr>
          <w:p>
            <w:pPr>
              <w:pStyle w:val="32"/>
              <w:bidi w:val="0"/>
              <w:rPr>
                <w:color w:val="auto"/>
                <w:sz w:val="24"/>
                <w:szCs w:val="24"/>
                <w:highlight w:val="none"/>
              </w:rPr>
            </w:pPr>
            <w:r>
              <w:rPr>
                <w:rFonts w:hint="eastAsia"/>
                <w:color w:val="auto"/>
                <w:sz w:val="24"/>
                <w:szCs w:val="24"/>
                <w:highlight w:val="none"/>
              </w:rPr>
              <w:t>施工工期</w:t>
            </w:r>
          </w:p>
        </w:tc>
        <w:tc>
          <w:tcPr>
            <w:tcW w:w="3417" w:type="dxa"/>
            <w:noWrap w:val="0"/>
            <w:vAlign w:val="center"/>
          </w:tcPr>
          <w:p>
            <w:pPr>
              <w:pStyle w:val="32"/>
              <w:bidi w:val="0"/>
              <w:rPr>
                <w:rFonts w:hint="default"/>
                <w:color w:val="auto"/>
                <w:sz w:val="24"/>
                <w:szCs w:val="24"/>
                <w:highlight w:val="none"/>
                <w:lang w:val="en-US" w:eastAsia="zh-CN"/>
              </w:rPr>
            </w:pPr>
            <w:r>
              <w:rPr>
                <w:rFonts w:hint="eastAsia"/>
                <w:color w:val="auto"/>
                <w:sz w:val="24"/>
                <w:szCs w:val="24"/>
                <w:highlight w:val="none"/>
                <w:lang w:val="en-US" w:eastAsia="zh-CN"/>
              </w:rPr>
              <w:t>1</w:t>
            </w:r>
            <w:r>
              <w:rPr>
                <w:rFonts w:hint="default"/>
                <w:color w:val="auto"/>
                <w:sz w:val="24"/>
                <w:szCs w:val="24"/>
                <w:highlight w:val="none"/>
                <w:lang w:val="en-US" w:eastAsia="zh-CN"/>
              </w:rPr>
              <w:t>个月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69" w:hRule="atLeast"/>
          <w:jc w:val="center"/>
        </w:trPr>
        <w:tc>
          <w:tcPr>
            <w:tcW w:w="1722" w:type="dxa"/>
            <w:noWrap w:val="0"/>
            <w:tcMar>
              <w:top w:w="16" w:type="dxa"/>
              <w:left w:w="16" w:type="dxa"/>
              <w:right w:w="16" w:type="dxa"/>
            </w:tcMar>
            <w:vAlign w:val="center"/>
          </w:tcPr>
          <w:p>
            <w:pPr>
              <w:pStyle w:val="32"/>
              <w:bidi w:val="0"/>
              <w:rPr>
                <w:rFonts w:hint="eastAsia"/>
                <w:color w:val="auto"/>
                <w:sz w:val="24"/>
                <w:szCs w:val="24"/>
                <w:highlight w:val="none"/>
              </w:rPr>
            </w:pPr>
            <w:r>
              <w:rPr>
                <w:rFonts w:hint="eastAsia"/>
                <w:color w:val="auto"/>
                <w:sz w:val="24"/>
                <w:szCs w:val="24"/>
                <w:highlight w:val="none"/>
              </w:rPr>
              <w:t>是否开工建设</w:t>
            </w:r>
          </w:p>
        </w:tc>
        <w:tc>
          <w:tcPr>
            <w:tcW w:w="1979" w:type="dxa"/>
            <w:noWrap w:val="0"/>
            <w:vAlign w:val="center"/>
          </w:tcPr>
          <w:p>
            <w:pPr>
              <w:pStyle w:val="32"/>
              <w:bidi w:val="0"/>
              <w:jc w:val="left"/>
              <w:rPr>
                <w:color w:val="auto"/>
                <w:sz w:val="24"/>
                <w:szCs w:val="24"/>
                <w:highlight w:val="none"/>
              </w:rPr>
            </w:pPr>
            <w:r>
              <w:rPr>
                <w:rFonts w:hint="eastAsia" w:ascii="宋体" w:hAnsi="宋体" w:eastAsia="宋体" w:cs="宋体"/>
                <w:b w:val="0"/>
                <w:bCs w:val="0"/>
                <w:color w:val="auto"/>
                <w:sz w:val="24"/>
                <w:szCs w:val="24"/>
                <w:highlight w:val="none"/>
              </w:rPr>
              <w:sym w:font="Wingdings" w:char="00FE"/>
            </w:r>
            <w:r>
              <w:rPr>
                <w:rFonts w:hint="eastAsia"/>
                <w:color w:val="auto"/>
                <w:sz w:val="24"/>
                <w:szCs w:val="24"/>
                <w:highlight w:val="none"/>
              </w:rPr>
              <w:t>否</w:t>
            </w:r>
          </w:p>
          <w:p>
            <w:pPr>
              <w:pStyle w:val="32"/>
              <w:bidi w:val="0"/>
              <w:jc w:val="left"/>
              <w:rPr>
                <w:color w:val="auto"/>
                <w:sz w:val="24"/>
                <w:szCs w:val="24"/>
                <w:highlight w:val="none"/>
              </w:rPr>
            </w:pPr>
            <w:r>
              <w:rPr>
                <w:rFonts w:hint="eastAsia" w:ascii="宋体" w:hAnsi="宋体" w:eastAsia="宋体" w:cs="宋体"/>
                <w:b w:val="0"/>
                <w:bCs w:val="0"/>
                <w:color w:val="auto"/>
                <w:sz w:val="24"/>
                <w:szCs w:val="24"/>
                <w:highlight w:val="none"/>
              </w:rPr>
              <w:sym w:font="Wingdings" w:char="00A8"/>
            </w:r>
            <w:r>
              <w:rPr>
                <w:rFonts w:hint="eastAsia"/>
                <w:color w:val="auto"/>
                <w:sz w:val="24"/>
                <w:szCs w:val="24"/>
                <w:highlight w:val="none"/>
              </w:rPr>
              <w:t>是：</w:t>
            </w:r>
            <w:r>
              <w:rPr>
                <w:rFonts w:hint="eastAsia"/>
                <w:color w:val="auto"/>
                <w:sz w:val="24"/>
                <w:szCs w:val="24"/>
                <w:highlight w:val="none"/>
                <w:u w:val="single"/>
                <w:lang w:val="en-US" w:eastAsia="zh-CN"/>
              </w:rPr>
              <w:t xml:space="preserve">              </w:t>
            </w:r>
            <w:r>
              <w:rPr>
                <w:rFonts w:hint="eastAsia"/>
                <w:color w:val="auto"/>
                <w:sz w:val="24"/>
                <w:szCs w:val="24"/>
                <w:highlight w:val="none"/>
              </w:rPr>
              <w:t xml:space="preserve">             </w:t>
            </w:r>
          </w:p>
        </w:tc>
        <w:tc>
          <w:tcPr>
            <w:tcW w:w="2236" w:type="dxa"/>
            <w:noWrap w:val="0"/>
            <w:tcMar>
              <w:top w:w="16" w:type="dxa"/>
              <w:left w:w="16" w:type="dxa"/>
              <w:right w:w="16" w:type="dxa"/>
            </w:tcMar>
            <w:vAlign w:val="center"/>
          </w:tcPr>
          <w:p>
            <w:pPr>
              <w:pStyle w:val="32"/>
              <w:bidi w:val="0"/>
              <w:rPr>
                <w:color w:val="auto"/>
                <w:sz w:val="24"/>
                <w:szCs w:val="24"/>
                <w:highlight w:val="none"/>
              </w:rPr>
            </w:pPr>
            <w:r>
              <w:rPr>
                <w:rFonts w:hint="eastAsia"/>
                <w:color w:val="auto"/>
                <w:sz w:val="24"/>
                <w:szCs w:val="24"/>
                <w:highlight w:val="none"/>
              </w:rPr>
              <w:t>用地（用海）</w:t>
            </w:r>
          </w:p>
          <w:p>
            <w:pPr>
              <w:pStyle w:val="32"/>
              <w:bidi w:val="0"/>
              <w:rPr>
                <w:rFonts w:hint="eastAsia"/>
                <w:color w:val="auto"/>
                <w:sz w:val="24"/>
                <w:szCs w:val="24"/>
                <w:highlight w:val="none"/>
              </w:rPr>
            </w:pPr>
            <w:r>
              <w:rPr>
                <w:rFonts w:hint="eastAsia"/>
                <w:color w:val="auto"/>
                <w:sz w:val="24"/>
                <w:szCs w:val="24"/>
                <w:highlight w:val="none"/>
              </w:rPr>
              <w:t>面积</w:t>
            </w:r>
            <w:r>
              <w:rPr>
                <w:rFonts w:hint="default"/>
                <w:color w:val="auto"/>
                <w:sz w:val="24"/>
                <w:szCs w:val="24"/>
                <w:highlight w:val="none"/>
              </w:rPr>
              <w:t>（m</w:t>
            </w:r>
            <w:r>
              <w:rPr>
                <w:rFonts w:hint="default"/>
                <w:color w:val="auto"/>
                <w:sz w:val="24"/>
                <w:szCs w:val="24"/>
                <w:highlight w:val="none"/>
                <w:vertAlign w:val="superscript"/>
              </w:rPr>
              <w:t>2</w:t>
            </w:r>
            <w:r>
              <w:rPr>
                <w:rFonts w:hint="default"/>
                <w:color w:val="auto"/>
                <w:sz w:val="24"/>
                <w:szCs w:val="24"/>
                <w:highlight w:val="none"/>
              </w:rPr>
              <w:t>）</w:t>
            </w:r>
          </w:p>
        </w:tc>
        <w:tc>
          <w:tcPr>
            <w:tcW w:w="3417" w:type="dxa"/>
            <w:noWrap w:val="0"/>
            <w:vAlign w:val="center"/>
          </w:tcPr>
          <w:p>
            <w:pPr>
              <w:pStyle w:val="32"/>
              <w:bidi w:val="0"/>
              <w:rPr>
                <w:rFonts w:hint="default" w:eastAsia="宋体"/>
                <w:color w:val="auto"/>
                <w:sz w:val="24"/>
                <w:szCs w:val="24"/>
                <w:highlight w:val="none"/>
                <w:vertAlign w:val="baseline"/>
                <w:lang w:val="en-US" w:eastAsia="zh-CN"/>
              </w:rPr>
            </w:pPr>
            <w:r>
              <w:rPr>
                <w:rFonts w:hint="eastAsia"/>
                <w:color w:val="auto"/>
                <w:sz w:val="24"/>
                <w:szCs w:val="24"/>
                <w:highlight w:val="none"/>
                <w:lang w:val="en-US" w:eastAsia="zh-CN"/>
              </w:rPr>
              <w:t>0（在现有厂区进行建设，不新增占地）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1722" w:type="dxa"/>
            <w:noWrap w:val="0"/>
            <w:vAlign w:val="center"/>
          </w:tcPr>
          <w:p>
            <w:pPr>
              <w:pStyle w:val="32"/>
              <w:bidi w:val="0"/>
              <w:jc w:val="center"/>
              <w:rPr>
                <w:color w:val="auto"/>
                <w:sz w:val="24"/>
                <w:szCs w:val="24"/>
                <w:highlight w:val="none"/>
              </w:rPr>
            </w:pPr>
            <w:r>
              <w:rPr>
                <w:rFonts w:hint="eastAsia"/>
                <w:color w:val="auto"/>
                <w:sz w:val="24"/>
                <w:szCs w:val="24"/>
                <w:highlight w:val="none"/>
              </w:rPr>
              <w:t>专项评价设置情况</w:t>
            </w:r>
          </w:p>
        </w:tc>
        <w:tc>
          <w:tcPr>
            <w:tcW w:w="7632" w:type="dxa"/>
            <w:gridSpan w:val="3"/>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line="360" w:lineRule="auto"/>
              <w:ind w:firstLine="0" w:firstLineChars="0"/>
              <w:jc w:val="center"/>
              <w:textAlignment w:val="auto"/>
              <w:rPr>
                <w:rFonts w:hint="default"/>
                <w:color w:val="auto"/>
                <w:sz w:val="24"/>
                <w:szCs w:val="24"/>
                <w:highlight w:val="none"/>
                <w:lang w:val="en-US" w:eastAsia="zh-CN"/>
              </w:rPr>
            </w:pPr>
            <w:r>
              <w:rPr>
                <w:rFonts w:hint="eastAsia"/>
                <w:color w:val="auto"/>
                <w:sz w:val="24"/>
                <w:szCs w:val="24"/>
                <w:highlight w:val="none"/>
                <w:lang w:val="en-US" w:eastAsia="zh-CN"/>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722" w:type="dxa"/>
            <w:noWrap w:val="0"/>
            <w:vAlign w:val="center"/>
          </w:tcPr>
          <w:p>
            <w:pPr>
              <w:pStyle w:val="32"/>
              <w:bidi w:val="0"/>
              <w:rPr>
                <w:rFonts w:hint="eastAsia"/>
                <w:color w:val="auto"/>
                <w:sz w:val="24"/>
                <w:szCs w:val="24"/>
                <w:highlight w:val="none"/>
              </w:rPr>
            </w:pPr>
            <w:r>
              <w:rPr>
                <w:rFonts w:hint="eastAsia"/>
                <w:color w:val="auto"/>
                <w:sz w:val="24"/>
                <w:szCs w:val="24"/>
                <w:highlight w:val="none"/>
              </w:rPr>
              <w:t>规划情况</w:t>
            </w:r>
          </w:p>
        </w:tc>
        <w:tc>
          <w:tcPr>
            <w:tcW w:w="7632" w:type="dxa"/>
            <w:gridSpan w:val="3"/>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color w:val="auto"/>
                <w:sz w:val="24"/>
                <w:szCs w:val="24"/>
                <w:highlight w:val="none"/>
                <w:lang w:val="en-US" w:eastAsia="zh-CN"/>
              </w:rPr>
            </w:pPr>
            <w:r>
              <w:rPr>
                <w:rFonts w:hint="eastAsia" w:cs="Times New Roman"/>
                <w:color w:val="auto"/>
                <w:sz w:val="24"/>
                <w:szCs w:val="24"/>
                <w:highlight w:val="none"/>
                <w:lang w:val="en-US" w:eastAsia="zh-CN"/>
              </w:rPr>
              <w:t>唐山高新区北部拓展区控制性详细规划</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22" w:type="dxa"/>
            <w:noWrap w:val="0"/>
            <w:vAlign w:val="center"/>
          </w:tcPr>
          <w:p>
            <w:pPr>
              <w:pStyle w:val="32"/>
              <w:bidi w:val="0"/>
              <w:rPr>
                <w:rFonts w:hint="eastAsia"/>
                <w:color w:val="auto"/>
                <w:sz w:val="24"/>
                <w:szCs w:val="24"/>
                <w:highlight w:val="none"/>
              </w:rPr>
            </w:pPr>
            <w:r>
              <w:rPr>
                <w:rFonts w:hint="eastAsia"/>
                <w:color w:val="auto"/>
                <w:sz w:val="24"/>
                <w:szCs w:val="24"/>
                <w:highlight w:val="none"/>
              </w:rPr>
              <w:t>规划环境影响评价情况</w:t>
            </w:r>
          </w:p>
        </w:tc>
        <w:tc>
          <w:tcPr>
            <w:tcW w:w="7632" w:type="dxa"/>
            <w:gridSpan w:val="3"/>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480" w:lineRule="exact"/>
              <w:ind w:left="0" w:leftChars="0" w:firstLine="0" w:firstLineChars="0"/>
              <w:textAlignment w:val="auto"/>
              <w:rPr>
                <w:rFonts w:hint="default"/>
                <w:color w:val="auto"/>
                <w:highlight w:val="none"/>
                <w:lang w:eastAsia="zh-CN"/>
              </w:rPr>
            </w:pPr>
            <w:r>
              <w:rPr>
                <w:rFonts w:hint="eastAsia"/>
                <w:color w:val="auto"/>
                <w:highlight w:val="none"/>
                <w:lang w:val="en-US" w:eastAsia="zh-CN"/>
              </w:rPr>
              <w:t>文件名称：</w:t>
            </w:r>
            <w:r>
              <w:rPr>
                <w:rFonts w:hint="eastAsia"/>
                <w:color w:val="auto"/>
                <w:highlight w:val="none"/>
              </w:rPr>
              <w:t>《</w:t>
            </w:r>
            <w:r>
              <w:rPr>
                <w:rFonts w:hint="eastAsia"/>
                <w:color w:val="auto"/>
                <w:highlight w:val="none"/>
                <w:lang w:val="en-US" w:eastAsia="zh-CN"/>
              </w:rPr>
              <w:t>唐山高新区北部拓展区规划环境影响报告书</w:t>
            </w:r>
            <w:r>
              <w:rPr>
                <w:rFonts w:hint="eastAsia"/>
                <w:color w:val="auto"/>
                <w:highlight w:val="none"/>
              </w:rPr>
              <w:t>》</w:t>
            </w:r>
            <w:r>
              <w:rPr>
                <w:rFonts w:hint="eastAsia"/>
                <w:color w:val="auto"/>
                <w:highlight w:val="none"/>
                <w:lang w:eastAsia="zh-CN"/>
              </w:rPr>
              <w:t>；</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0" w:firstLineChars="0"/>
              <w:jc w:val="both"/>
              <w:textAlignment w:val="auto"/>
              <w:outlineLvl w:val="9"/>
              <w:rPr>
                <w:rFonts w:hint="default"/>
                <w:color w:val="auto"/>
                <w:highlight w:val="none"/>
                <w:lang w:eastAsia="zh-CN"/>
              </w:rPr>
            </w:pPr>
            <w:r>
              <w:rPr>
                <w:rFonts w:hint="eastAsia"/>
                <w:color w:val="auto"/>
                <w:highlight w:val="none"/>
                <w:lang w:val="en-US" w:eastAsia="zh-CN"/>
              </w:rPr>
              <w:t>召集审查机关：</w:t>
            </w:r>
            <w:r>
              <w:rPr>
                <w:rFonts w:hint="default"/>
                <w:color w:val="auto"/>
                <w:highlight w:val="none"/>
                <w:lang w:eastAsia="zh-CN"/>
              </w:rPr>
              <w:t>河北省</w:t>
            </w:r>
            <w:r>
              <w:rPr>
                <w:rFonts w:hint="eastAsia"/>
                <w:color w:val="auto"/>
                <w:highlight w:val="none"/>
                <w:lang w:val="en-US" w:eastAsia="zh-CN"/>
              </w:rPr>
              <w:t>环境保护</w:t>
            </w:r>
            <w:r>
              <w:rPr>
                <w:rFonts w:hint="default"/>
                <w:color w:val="auto"/>
                <w:highlight w:val="none"/>
                <w:lang w:eastAsia="zh-CN"/>
              </w:rPr>
              <w:t>厅</w:t>
            </w:r>
            <w:r>
              <w:rPr>
                <w:rFonts w:hint="eastAsia"/>
                <w:color w:val="auto"/>
                <w:highlight w:val="none"/>
                <w:lang w:eastAsia="zh-CN"/>
              </w:rPr>
              <w:t>；</w:t>
            </w:r>
          </w:p>
          <w:p>
            <w:pPr>
              <w:keepNext w:val="0"/>
              <w:keepLines w:val="0"/>
              <w:pageBreakBefore w:val="0"/>
              <w:widowControl w:val="0"/>
              <w:kinsoku/>
              <w:wordWrap/>
              <w:overflowPunct/>
              <w:topLinePunct w:val="0"/>
              <w:autoSpaceDE w:val="0"/>
              <w:autoSpaceDN w:val="0"/>
              <w:bidi w:val="0"/>
              <w:adjustRightInd w:val="0"/>
              <w:snapToGrid w:val="0"/>
              <w:spacing w:line="480" w:lineRule="exact"/>
              <w:ind w:left="0" w:leftChars="0" w:firstLine="0" w:firstLineChars="0"/>
              <w:jc w:val="both"/>
              <w:textAlignment w:val="auto"/>
              <w:outlineLvl w:val="9"/>
              <w:rPr>
                <w:rFonts w:hint="eastAsia"/>
                <w:color w:val="auto"/>
                <w:highlight w:val="none"/>
                <w:lang w:val="en-US" w:eastAsia="zh-CN"/>
              </w:rPr>
            </w:pPr>
            <w:r>
              <w:rPr>
                <w:rFonts w:hint="eastAsia"/>
                <w:color w:val="auto"/>
                <w:highlight w:val="none"/>
                <w:lang w:val="en-US" w:eastAsia="zh-CN"/>
              </w:rPr>
              <w:t>审查文件及文号：</w:t>
            </w:r>
            <w:r>
              <w:rPr>
                <w:rFonts w:hint="default"/>
                <w:color w:val="auto"/>
                <w:highlight w:val="none"/>
                <w:lang w:eastAsia="zh-CN"/>
              </w:rPr>
              <w:t>《</w:t>
            </w:r>
            <w:r>
              <w:rPr>
                <w:rFonts w:hint="eastAsia"/>
                <w:color w:val="auto"/>
                <w:highlight w:val="none"/>
              </w:rPr>
              <w:t>关于转送</w:t>
            </w:r>
            <w:r>
              <w:rPr>
                <w:rFonts w:hint="eastAsia"/>
                <w:color w:val="auto"/>
                <w:highlight w:val="none"/>
                <w:lang w:val="en-US" w:eastAsia="zh-CN"/>
              </w:rPr>
              <w:t>唐山高新区北部拓展区规划环境影响</w:t>
            </w:r>
            <w:r>
              <w:rPr>
                <w:rFonts w:hint="eastAsia"/>
                <w:color w:val="auto"/>
                <w:highlight w:val="none"/>
              </w:rPr>
              <w:t>报告书审查意见的函</w:t>
            </w:r>
            <w:r>
              <w:rPr>
                <w:rFonts w:hint="default"/>
                <w:color w:val="auto"/>
                <w:highlight w:val="none"/>
                <w:lang w:eastAsia="zh-CN"/>
              </w:rPr>
              <w:t>》（</w:t>
            </w:r>
            <w:r>
              <w:rPr>
                <w:rFonts w:hint="eastAsia"/>
                <w:color w:val="auto"/>
                <w:highlight w:val="none"/>
              </w:rPr>
              <w:t>冀环评函</w:t>
            </w:r>
            <w:r>
              <w:rPr>
                <w:rFonts w:hint="eastAsia"/>
                <w:color w:val="auto"/>
                <w:highlight w:val="none"/>
                <w:lang w:val="en-US" w:eastAsia="zh-CN"/>
              </w:rPr>
              <w:t>[</w:t>
            </w:r>
            <w:r>
              <w:rPr>
                <w:rFonts w:hint="eastAsia"/>
                <w:color w:val="auto"/>
                <w:highlight w:val="none"/>
              </w:rPr>
              <w:t>20</w:t>
            </w:r>
            <w:r>
              <w:rPr>
                <w:rFonts w:hint="eastAsia"/>
                <w:color w:val="auto"/>
                <w:highlight w:val="none"/>
                <w:lang w:val="en-US" w:eastAsia="zh-CN"/>
              </w:rPr>
              <w:t>14]1011</w:t>
            </w:r>
            <w:r>
              <w:rPr>
                <w:rFonts w:hint="eastAsia"/>
                <w:color w:val="auto"/>
                <w:highlight w:val="none"/>
              </w:rPr>
              <w:t>号</w:t>
            </w:r>
            <w:r>
              <w:rPr>
                <w:rFonts w:hint="eastAsia"/>
                <w:color w:val="auto"/>
                <w:highlight w:val="none"/>
                <w:lang w:val="en-US" w:eastAsia="zh-CN"/>
              </w:rPr>
              <w:t>）。</w:t>
            </w:r>
          </w:p>
          <w:p>
            <w:pPr>
              <w:keepNext w:val="0"/>
              <w:keepLines w:val="0"/>
              <w:pageBreakBefore w:val="0"/>
              <w:widowControl w:val="0"/>
              <w:kinsoku/>
              <w:wordWrap/>
              <w:overflowPunct/>
              <w:topLinePunct w:val="0"/>
              <w:autoSpaceDE w:val="0"/>
              <w:autoSpaceDN w:val="0"/>
              <w:bidi w:val="0"/>
              <w:adjustRightInd w:val="0"/>
              <w:snapToGrid w:val="0"/>
              <w:spacing w:line="480" w:lineRule="exact"/>
              <w:ind w:left="0" w:leftChars="0" w:firstLine="0" w:firstLineChars="0"/>
              <w:textAlignment w:val="auto"/>
              <w:rPr>
                <w:rFonts w:hint="default"/>
                <w:color w:val="auto"/>
                <w:highlight w:val="none"/>
                <w:lang w:eastAsia="zh-CN"/>
              </w:rPr>
            </w:pPr>
            <w:r>
              <w:rPr>
                <w:rFonts w:hint="eastAsia"/>
                <w:color w:val="auto"/>
                <w:highlight w:val="none"/>
                <w:lang w:val="en-US" w:eastAsia="zh-CN"/>
              </w:rPr>
              <w:t>文件名称：</w:t>
            </w:r>
            <w:r>
              <w:rPr>
                <w:rFonts w:hint="eastAsia"/>
                <w:color w:val="auto"/>
                <w:highlight w:val="none"/>
                <w:lang w:eastAsia="zh-CN"/>
              </w:rPr>
              <w:t>《</w:t>
            </w:r>
            <w:r>
              <w:rPr>
                <w:rFonts w:hint="eastAsia"/>
                <w:color w:val="auto"/>
                <w:highlight w:val="none"/>
                <w:lang w:val="en-US" w:eastAsia="zh-CN"/>
              </w:rPr>
              <w:t>唐山高新区北部拓展区规划环境影响跟踪评价报告</w:t>
            </w:r>
            <w:r>
              <w:rPr>
                <w:rFonts w:hint="eastAsia"/>
                <w:color w:val="auto"/>
                <w:highlight w:val="none"/>
                <w:lang w:eastAsia="zh-CN"/>
              </w:rPr>
              <w:t>》；</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0" w:firstLineChars="0"/>
              <w:jc w:val="both"/>
              <w:textAlignment w:val="auto"/>
              <w:outlineLvl w:val="9"/>
              <w:rPr>
                <w:rFonts w:hint="default"/>
                <w:color w:val="auto"/>
                <w:highlight w:val="none"/>
                <w:lang w:eastAsia="zh-CN"/>
              </w:rPr>
            </w:pPr>
            <w:r>
              <w:rPr>
                <w:rFonts w:hint="eastAsia"/>
                <w:color w:val="auto"/>
                <w:highlight w:val="none"/>
                <w:lang w:val="en-US" w:eastAsia="zh-CN"/>
              </w:rPr>
              <w:t>召集审查机关：</w:t>
            </w:r>
            <w:r>
              <w:rPr>
                <w:rFonts w:hint="default"/>
                <w:color w:val="auto"/>
                <w:highlight w:val="none"/>
                <w:lang w:eastAsia="zh-CN"/>
              </w:rPr>
              <w:t>河北省</w:t>
            </w:r>
            <w:r>
              <w:rPr>
                <w:rFonts w:hint="eastAsia"/>
                <w:color w:val="auto"/>
                <w:highlight w:val="none"/>
                <w:lang w:val="en-US" w:eastAsia="zh-CN"/>
              </w:rPr>
              <w:t>生态环境</w:t>
            </w:r>
            <w:r>
              <w:rPr>
                <w:rFonts w:hint="default"/>
                <w:color w:val="auto"/>
                <w:highlight w:val="none"/>
                <w:lang w:eastAsia="zh-CN"/>
              </w:rPr>
              <w:t>厅</w:t>
            </w:r>
            <w:r>
              <w:rPr>
                <w:rFonts w:hint="eastAsia"/>
                <w:color w:val="auto"/>
                <w:highlight w:val="none"/>
                <w:lang w:eastAsia="zh-CN"/>
              </w:rPr>
              <w:t>；</w:t>
            </w:r>
          </w:p>
          <w:p>
            <w:pPr>
              <w:keepNext w:val="0"/>
              <w:keepLines w:val="0"/>
              <w:pageBreakBefore w:val="0"/>
              <w:widowControl w:val="0"/>
              <w:kinsoku/>
              <w:wordWrap/>
              <w:overflowPunct/>
              <w:topLinePunct w:val="0"/>
              <w:autoSpaceDE w:val="0"/>
              <w:autoSpaceDN w:val="0"/>
              <w:bidi w:val="0"/>
              <w:adjustRightInd w:val="0"/>
              <w:snapToGrid w:val="0"/>
              <w:spacing w:line="480" w:lineRule="exact"/>
              <w:ind w:left="0" w:leftChars="0" w:firstLine="0" w:firstLineChars="0"/>
              <w:jc w:val="both"/>
              <w:textAlignment w:val="auto"/>
              <w:outlineLvl w:val="9"/>
              <w:rPr>
                <w:rFonts w:hint="default"/>
                <w:color w:val="auto"/>
                <w:lang w:val="en-US" w:eastAsia="zh-CN"/>
              </w:rPr>
            </w:pPr>
            <w:r>
              <w:rPr>
                <w:rFonts w:hint="eastAsia"/>
                <w:color w:val="auto"/>
                <w:highlight w:val="none"/>
                <w:lang w:val="en-US" w:eastAsia="zh-CN"/>
              </w:rPr>
              <w:t>审查文件及文号：</w:t>
            </w:r>
            <w:r>
              <w:rPr>
                <w:rFonts w:hint="default"/>
                <w:color w:val="auto"/>
                <w:highlight w:val="none"/>
                <w:lang w:eastAsia="zh-CN"/>
              </w:rPr>
              <w:t>《</w:t>
            </w:r>
            <w:r>
              <w:rPr>
                <w:rFonts w:hint="eastAsia"/>
                <w:color w:val="auto"/>
                <w:highlight w:val="none"/>
              </w:rPr>
              <w:t>关于转送</w:t>
            </w:r>
            <w:r>
              <w:rPr>
                <w:rFonts w:hint="eastAsia"/>
                <w:color w:val="auto"/>
                <w:highlight w:val="none"/>
                <w:lang w:val="en-US" w:eastAsia="zh-CN"/>
              </w:rPr>
              <w:t>唐山高新区北部拓展区规划环境影响跟踪评价报告结论的函</w:t>
            </w:r>
            <w:r>
              <w:rPr>
                <w:rFonts w:hint="default"/>
                <w:color w:val="auto"/>
                <w:highlight w:val="none"/>
                <w:lang w:eastAsia="zh-CN"/>
              </w:rPr>
              <w:t>》（</w:t>
            </w:r>
            <w:r>
              <w:rPr>
                <w:rFonts w:hint="eastAsia"/>
                <w:color w:val="auto"/>
                <w:highlight w:val="none"/>
              </w:rPr>
              <w:t>冀环</w:t>
            </w:r>
            <w:r>
              <w:rPr>
                <w:rFonts w:hint="eastAsia"/>
                <w:color w:val="auto"/>
                <w:highlight w:val="none"/>
                <w:lang w:val="en-US" w:eastAsia="zh-CN"/>
              </w:rPr>
              <w:t>环</w:t>
            </w:r>
            <w:r>
              <w:rPr>
                <w:rFonts w:hint="eastAsia"/>
                <w:color w:val="auto"/>
                <w:highlight w:val="none"/>
              </w:rPr>
              <w:t>评函</w:t>
            </w:r>
            <w:r>
              <w:rPr>
                <w:rFonts w:hint="eastAsia"/>
                <w:color w:val="auto"/>
                <w:highlight w:val="none"/>
                <w:lang w:val="en-US" w:eastAsia="zh-CN"/>
              </w:rPr>
              <w:t>[</w:t>
            </w:r>
            <w:r>
              <w:rPr>
                <w:rFonts w:hint="eastAsia"/>
                <w:color w:val="auto"/>
                <w:highlight w:val="none"/>
              </w:rPr>
              <w:t>20</w:t>
            </w:r>
            <w:r>
              <w:rPr>
                <w:rFonts w:hint="eastAsia"/>
                <w:color w:val="auto"/>
                <w:highlight w:val="none"/>
                <w:lang w:val="en-US" w:eastAsia="zh-CN"/>
              </w:rPr>
              <w:t>22]376</w:t>
            </w:r>
            <w:r>
              <w:rPr>
                <w:rFonts w:hint="eastAsia"/>
                <w:color w:val="auto"/>
                <w:highlight w:val="none"/>
              </w:rPr>
              <w:t>号</w:t>
            </w:r>
            <w:r>
              <w:rPr>
                <w:rFonts w:hint="eastAsia"/>
                <w:color w:val="auto"/>
                <w:highlight w:val="none"/>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22" w:type="dxa"/>
            <w:noWrap w:val="0"/>
            <w:vAlign w:val="center"/>
          </w:tcPr>
          <w:p>
            <w:pPr>
              <w:pStyle w:val="32"/>
              <w:bidi w:val="0"/>
              <w:rPr>
                <w:rFonts w:hint="eastAsia"/>
                <w:color w:val="auto"/>
                <w:sz w:val="24"/>
                <w:szCs w:val="24"/>
                <w:highlight w:val="none"/>
              </w:rPr>
            </w:pPr>
            <w:r>
              <w:rPr>
                <w:rFonts w:hint="eastAsia"/>
                <w:color w:val="auto"/>
                <w:sz w:val="24"/>
                <w:szCs w:val="24"/>
                <w:highlight w:val="none"/>
              </w:rPr>
              <w:t>规划及规划环境影响评价符合性分析</w:t>
            </w:r>
          </w:p>
        </w:tc>
        <w:tc>
          <w:tcPr>
            <w:tcW w:w="7632" w:type="dxa"/>
            <w:gridSpan w:val="3"/>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480" w:lineRule="exact"/>
              <w:ind w:firstLine="0" w:firstLineChars="0"/>
              <w:jc w:val="both"/>
              <w:textAlignment w:val="auto"/>
              <w:outlineLvl w:val="9"/>
              <w:rPr>
                <w:rFonts w:hint="default"/>
                <w:b/>
                <w:bCs/>
                <w:color w:val="auto"/>
                <w:highlight w:val="none"/>
                <w:lang w:val="en-US" w:eastAsia="zh-CN"/>
              </w:rPr>
            </w:pPr>
            <w:r>
              <w:rPr>
                <w:rFonts w:hint="eastAsia"/>
                <w:b/>
                <w:bCs/>
                <w:color w:val="auto"/>
                <w:highlight w:val="none"/>
                <w:lang w:val="en-US" w:eastAsia="zh-CN"/>
              </w:rPr>
              <w:t>1、与规划的符合性分析</w:t>
            </w:r>
          </w:p>
          <w:p>
            <w:pPr>
              <w:bidi w:val="0"/>
              <w:rPr>
                <w:rFonts w:hint="eastAsia"/>
                <w:color w:val="auto"/>
                <w:highlight w:val="none"/>
                <w:lang w:val="en-US" w:eastAsia="zh-CN"/>
              </w:rPr>
            </w:pPr>
            <w:r>
              <w:rPr>
                <w:rFonts w:hint="eastAsia"/>
                <w:color w:val="auto"/>
                <w:highlight w:val="none"/>
                <w:lang w:eastAsia="zh-CN"/>
              </w:rPr>
              <w:t>（</w:t>
            </w:r>
            <w:r>
              <w:rPr>
                <w:rFonts w:hint="eastAsia"/>
                <w:color w:val="auto"/>
                <w:highlight w:val="none"/>
                <w:lang w:val="en-US" w:eastAsia="zh-CN"/>
              </w:rPr>
              <w:t>1</w:t>
            </w:r>
            <w:r>
              <w:rPr>
                <w:rFonts w:hint="eastAsia"/>
                <w:color w:val="auto"/>
                <w:highlight w:val="none"/>
                <w:lang w:eastAsia="zh-CN"/>
              </w:rPr>
              <w:t>）</w:t>
            </w:r>
            <w:r>
              <w:rPr>
                <w:rFonts w:hint="eastAsia"/>
                <w:color w:val="auto"/>
                <w:highlight w:val="none"/>
                <w:lang w:val="en-US" w:eastAsia="zh-CN"/>
              </w:rPr>
              <w:t>供水规划</w:t>
            </w:r>
          </w:p>
          <w:p>
            <w:pPr>
              <w:bidi w:val="0"/>
              <w:rPr>
                <w:rFonts w:hint="default"/>
                <w:color w:val="auto"/>
                <w:highlight w:val="none"/>
                <w:lang w:val="en-US" w:eastAsia="zh-CN"/>
              </w:rPr>
            </w:pPr>
            <w:r>
              <w:rPr>
                <w:rFonts w:hint="eastAsia" w:cs="Times New Roman"/>
                <w:b w:val="0"/>
                <w:bCs w:val="0"/>
                <w:color w:val="auto"/>
                <w:highlight w:val="none"/>
                <w:lang w:val="en-US" w:eastAsia="zh-CN"/>
              </w:rPr>
              <w:t>规划情况：</w:t>
            </w:r>
            <w:r>
              <w:rPr>
                <w:rFonts w:cs="Times New Roman"/>
                <w:b w:val="0"/>
                <w:bCs w:val="0"/>
                <w:color w:val="auto"/>
                <w:highlight w:val="none"/>
              </w:rPr>
              <w:t>高新区北部拓展区2020年需水总量7.55万m</w:t>
            </w:r>
            <w:r>
              <w:rPr>
                <w:rFonts w:cs="Times New Roman"/>
                <w:b w:val="0"/>
                <w:bCs w:val="0"/>
                <w:color w:val="auto"/>
                <w:highlight w:val="none"/>
                <w:vertAlign w:val="superscript"/>
              </w:rPr>
              <w:t>3</w:t>
            </w:r>
            <w:r>
              <w:rPr>
                <w:rFonts w:cs="Times New Roman"/>
                <w:b w:val="0"/>
                <w:bCs w:val="0"/>
                <w:color w:val="auto"/>
                <w:highlight w:val="none"/>
              </w:rPr>
              <w:t>/d，其中新鲜水需求量为5.42万m</w:t>
            </w:r>
            <w:r>
              <w:rPr>
                <w:rFonts w:cs="Times New Roman"/>
                <w:b w:val="0"/>
                <w:bCs w:val="0"/>
                <w:color w:val="auto"/>
                <w:highlight w:val="none"/>
                <w:vertAlign w:val="superscript"/>
              </w:rPr>
              <w:t>3</w:t>
            </w:r>
            <w:r>
              <w:rPr>
                <w:rFonts w:cs="Times New Roman"/>
                <w:b w:val="0"/>
                <w:bCs w:val="0"/>
                <w:color w:val="auto"/>
                <w:highlight w:val="none"/>
              </w:rPr>
              <w:t>/d，主要靠新扩建的庆南净水厂供给。庆南净水厂，为单一地表水源，投产时间为2007年，位于大庆道与学院路交叉口东南的位置，用地面积9.0公顷，设计处理能力15.0万m</w:t>
            </w:r>
            <w:r>
              <w:rPr>
                <w:rFonts w:cs="Times New Roman"/>
                <w:b w:val="0"/>
                <w:bCs w:val="0"/>
                <w:color w:val="auto"/>
                <w:highlight w:val="none"/>
                <w:vertAlign w:val="superscript"/>
              </w:rPr>
              <w:t>3</w:t>
            </w:r>
            <w:r>
              <w:rPr>
                <w:rFonts w:cs="Times New Roman"/>
                <w:b w:val="0"/>
                <w:bCs w:val="0"/>
                <w:color w:val="auto"/>
                <w:highlight w:val="none"/>
              </w:rPr>
              <w:t>/d，水源为陡河水库。陡河水库新建1座取水泵站，取水泵站一期设计能力为16.5万m</w:t>
            </w:r>
            <w:r>
              <w:rPr>
                <w:rFonts w:cs="Times New Roman"/>
                <w:b w:val="0"/>
                <w:bCs w:val="0"/>
                <w:color w:val="auto"/>
                <w:highlight w:val="none"/>
                <w:vertAlign w:val="superscript"/>
              </w:rPr>
              <w:t>3</w:t>
            </w:r>
            <w:r>
              <w:rPr>
                <w:rFonts w:cs="Times New Roman"/>
                <w:b w:val="0"/>
                <w:bCs w:val="0"/>
                <w:color w:val="auto"/>
                <w:highlight w:val="none"/>
              </w:rPr>
              <w:t>/d，供庆南净水厂。</w:t>
            </w:r>
          </w:p>
          <w:p>
            <w:pPr>
              <w:keepNext w:val="0"/>
              <w:keepLines w:val="0"/>
              <w:pageBreakBefore w:val="0"/>
              <w:widowControl w:val="0"/>
              <w:kinsoku/>
              <w:wordWrap/>
              <w:overflowPunct/>
              <w:topLinePunct w:val="0"/>
              <w:autoSpaceDE/>
              <w:autoSpaceDN/>
              <w:bidi w:val="0"/>
              <w:adjustRightInd/>
              <w:snapToGrid/>
              <w:textAlignment w:val="auto"/>
              <w:rPr>
                <w:rFonts w:hint="default"/>
                <w:color w:val="auto"/>
                <w:highlight w:val="none"/>
                <w:lang w:val="en-US" w:eastAsia="zh-CN"/>
              </w:rPr>
            </w:pPr>
            <w:r>
              <w:rPr>
                <w:rFonts w:hint="default"/>
                <w:color w:val="auto"/>
                <w:highlight w:val="none"/>
                <w:lang w:val="en-US" w:eastAsia="zh-CN"/>
              </w:rPr>
              <w:t>建设现状</w:t>
            </w:r>
            <w:r>
              <w:rPr>
                <w:rFonts w:hint="eastAsia"/>
                <w:color w:val="auto"/>
                <w:highlight w:val="none"/>
                <w:lang w:val="en-US" w:eastAsia="zh-CN"/>
              </w:rPr>
              <w:t>：</w:t>
            </w:r>
            <w:r>
              <w:rPr>
                <w:rFonts w:cs="Times New Roman"/>
                <w:b w:val="0"/>
                <w:bCs w:val="0"/>
                <w:color w:val="auto"/>
                <w:highlight w:val="none"/>
              </w:rPr>
              <w:t>开发区供水由庆南净水厂提供，水源来自陡河水库，供水能力12万m</w:t>
            </w:r>
            <w:r>
              <w:rPr>
                <w:rFonts w:cs="Times New Roman"/>
                <w:b w:val="0"/>
                <w:bCs w:val="0"/>
                <w:color w:val="auto"/>
                <w:highlight w:val="none"/>
                <w:vertAlign w:val="superscript"/>
              </w:rPr>
              <w:t>3</w:t>
            </w:r>
            <w:r>
              <w:rPr>
                <w:rFonts w:cs="Times New Roman"/>
                <w:b w:val="0"/>
                <w:bCs w:val="0"/>
                <w:color w:val="auto"/>
                <w:highlight w:val="none"/>
              </w:rPr>
              <w:t>/d。供水管网已辅设约20km，主要在中部、南部；其他部分建成比例较少；庆南净水厂2021年6月底改造提升后，总供水能力</w:t>
            </w:r>
            <w:r>
              <w:rPr>
                <w:rFonts w:hint="eastAsia" w:cs="Times New Roman"/>
                <w:b w:val="0"/>
                <w:bCs w:val="0"/>
                <w:color w:val="auto"/>
                <w:highlight w:val="none"/>
                <w:lang w:val="en-US" w:eastAsia="zh-CN"/>
              </w:rPr>
              <w:t>可</w:t>
            </w:r>
            <w:r>
              <w:rPr>
                <w:rFonts w:cs="Times New Roman"/>
                <w:b w:val="0"/>
                <w:bCs w:val="0"/>
                <w:color w:val="auto"/>
                <w:highlight w:val="none"/>
              </w:rPr>
              <w:t>达到30万m</w:t>
            </w:r>
            <w:r>
              <w:rPr>
                <w:rFonts w:cs="Times New Roman"/>
                <w:b w:val="0"/>
                <w:bCs w:val="0"/>
                <w:color w:val="auto"/>
                <w:highlight w:val="none"/>
                <w:vertAlign w:val="superscript"/>
              </w:rPr>
              <w:t>3</w:t>
            </w:r>
            <w:r>
              <w:rPr>
                <w:rFonts w:cs="Times New Roman"/>
                <w:b w:val="0"/>
                <w:bCs w:val="0"/>
                <w:color w:val="auto"/>
                <w:highlight w:val="none"/>
              </w:rPr>
              <w:t>/d，可满足北拓企业后续建设发展。部分企业采用自备水井供水</w:t>
            </w:r>
            <w:r>
              <w:rPr>
                <w:rFonts w:hint="eastAsia" w:cs="Times New Roman"/>
                <w:b w:val="0"/>
                <w:bCs w:val="0"/>
                <w:color w:val="auto"/>
                <w:highlight w:val="none"/>
                <w:lang w:eastAsia="zh-CN"/>
              </w:rPr>
              <w:t>，</w:t>
            </w:r>
            <w:r>
              <w:rPr>
                <w:rFonts w:hint="eastAsia" w:cs="Times New Roman"/>
                <w:b w:val="0"/>
                <w:bCs w:val="0"/>
                <w:color w:val="auto"/>
                <w:highlight w:val="none"/>
                <w:lang w:val="en-US" w:eastAsia="zh-CN"/>
              </w:rPr>
              <w:t>水井均为开发区划区前建成，位于附近村集体土地内</w:t>
            </w:r>
            <w:r>
              <w:rPr>
                <w:rFonts w:cs="Times New Roman"/>
                <w:b w:val="0"/>
                <w:bCs w:val="0"/>
                <w:color w:val="auto"/>
                <w:highlight w:val="none"/>
              </w:rPr>
              <w:t>。</w:t>
            </w:r>
            <w:r>
              <w:rPr>
                <w:rFonts w:hint="eastAsia"/>
                <w:color w:val="auto"/>
                <w:highlight w:val="none"/>
                <w:lang w:val="en-US" w:eastAsia="zh-CN"/>
              </w:rPr>
              <w:t>开发区已于2022年1月全部关停企业水井，供水由附近村内供水管道供水</w:t>
            </w:r>
            <w:r>
              <w:rPr>
                <w:rFonts w:hint="default"/>
                <w:color w:val="auto"/>
                <w:highlight w:val="none"/>
                <w:lang w:val="en-US" w:eastAsia="zh-CN"/>
              </w:rPr>
              <w:t>。</w:t>
            </w:r>
          </w:p>
          <w:p>
            <w:pPr>
              <w:bidi w:val="0"/>
              <w:rPr>
                <w:rFonts w:hint="eastAsia"/>
                <w:color w:val="auto"/>
                <w:highlight w:val="yellow"/>
                <w:lang w:val="en-US" w:eastAsia="zh-CN"/>
              </w:rPr>
            </w:pPr>
            <w:r>
              <w:rPr>
                <w:rFonts w:hint="eastAsia"/>
                <w:color w:val="auto"/>
                <w:highlight w:val="none"/>
                <w:lang w:val="en-US" w:eastAsia="zh-CN"/>
              </w:rPr>
              <w:t>本项目不新增用水量，现有工程用水由园区供水管网提供，可满足用水需求。</w:t>
            </w:r>
          </w:p>
          <w:p>
            <w:pPr>
              <w:keepNext w:val="0"/>
              <w:keepLines w:val="0"/>
              <w:pageBreakBefore w:val="0"/>
              <w:widowControl/>
              <w:suppressLineNumbers w:val="0"/>
              <w:kinsoku/>
              <w:wordWrap/>
              <w:overflowPunct/>
              <w:topLinePunct w:val="0"/>
              <w:autoSpaceDE/>
              <w:autoSpaceDN/>
              <w:bidi w:val="0"/>
              <w:adjustRightInd/>
              <w:snapToGrid/>
              <w:spacing w:line="480" w:lineRule="exact"/>
              <w:ind w:firstLine="480" w:firstLineChars="200"/>
              <w:jc w:val="both"/>
              <w:textAlignment w:val="auto"/>
              <w:rPr>
                <w:rFonts w:hint="default"/>
                <w:color w:val="auto"/>
                <w:highlight w:val="none"/>
              </w:rPr>
            </w:pPr>
            <w:r>
              <w:rPr>
                <w:rFonts w:hint="default"/>
                <w:color w:val="auto"/>
                <w:highlight w:val="none"/>
                <w:lang w:val="en-US" w:eastAsia="zh-CN"/>
              </w:rPr>
              <w:t>（2）</w:t>
            </w:r>
            <w:r>
              <w:rPr>
                <w:rFonts w:hint="eastAsia"/>
                <w:color w:val="auto"/>
                <w:highlight w:val="none"/>
                <w:lang w:val="en-US" w:eastAsia="zh-CN"/>
              </w:rPr>
              <w:t>雨水排除</w:t>
            </w:r>
            <w:r>
              <w:rPr>
                <w:rFonts w:hint="default"/>
                <w:color w:val="auto"/>
                <w:highlight w:val="none"/>
                <w:lang w:val="en-US" w:eastAsia="zh-CN"/>
              </w:rPr>
              <w:t xml:space="preserve">规划 </w:t>
            </w:r>
          </w:p>
          <w:p>
            <w:pPr>
              <w:keepNext w:val="0"/>
              <w:keepLines w:val="0"/>
              <w:pageBreakBefore w:val="0"/>
              <w:widowControl/>
              <w:suppressLineNumbers w:val="0"/>
              <w:kinsoku/>
              <w:wordWrap/>
              <w:overflowPunct/>
              <w:topLinePunct w:val="0"/>
              <w:autoSpaceDE/>
              <w:autoSpaceDN/>
              <w:bidi w:val="0"/>
              <w:adjustRightInd/>
              <w:snapToGrid/>
              <w:spacing w:line="480" w:lineRule="exact"/>
              <w:ind w:firstLine="480" w:firstLineChars="200"/>
              <w:jc w:val="both"/>
              <w:textAlignment w:val="auto"/>
              <w:rPr>
                <w:rFonts w:hint="default"/>
                <w:color w:val="auto"/>
                <w:highlight w:val="none"/>
                <w:lang w:val="en-US" w:eastAsia="zh-CN"/>
              </w:rPr>
            </w:pPr>
            <w:r>
              <w:rPr>
                <w:rFonts w:hint="eastAsia"/>
                <w:color w:val="auto"/>
                <w:sz w:val="24"/>
                <w:highlight w:val="none"/>
                <w:lang w:val="en-US" w:eastAsia="zh-CN"/>
              </w:rPr>
              <w:t>规划情况：</w:t>
            </w:r>
            <w:r>
              <w:rPr>
                <w:rFonts w:hint="eastAsia"/>
                <w:color w:val="auto"/>
                <w:sz w:val="24"/>
                <w:highlight w:val="none"/>
              </w:rPr>
              <w:t>高新区北部拓展区的排水体制采用雨污分流制，排水系统大致以建设路为界分为东、西两个排水分区。利用现状地形，最终排入现状河道及现状雨水管道内。</w:t>
            </w:r>
          </w:p>
          <w:p>
            <w:pPr>
              <w:keepNext w:val="0"/>
              <w:keepLines w:val="0"/>
              <w:pageBreakBefore w:val="0"/>
              <w:widowControl/>
              <w:suppressLineNumbers w:val="0"/>
              <w:kinsoku/>
              <w:wordWrap/>
              <w:overflowPunct/>
              <w:topLinePunct w:val="0"/>
              <w:autoSpaceDE/>
              <w:autoSpaceDN/>
              <w:bidi w:val="0"/>
              <w:adjustRightInd/>
              <w:snapToGrid/>
              <w:spacing w:line="480" w:lineRule="exact"/>
              <w:ind w:firstLine="480" w:firstLineChars="200"/>
              <w:jc w:val="both"/>
              <w:textAlignment w:val="auto"/>
              <w:rPr>
                <w:rFonts w:hint="eastAsia" w:eastAsia="宋体"/>
                <w:color w:val="auto"/>
                <w:highlight w:val="none"/>
                <w:lang w:val="en-US" w:eastAsia="zh-CN"/>
              </w:rPr>
            </w:pPr>
            <w:r>
              <w:rPr>
                <w:rFonts w:hint="eastAsia"/>
                <w:color w:val="auto"/>
                <w:highlight w:val="none"/>
                <w:lang w:val="en-US" w:eastAsia="zh-CN"/>
              </w:rPr>
              <w:t>建设现状：</w:t>
            </w:r>
            <w:r>
              <w:rPr>
                <w:rFonts w:cs="Times New Roman"/>
                <w:b w:val="0"/>
                <w:bCs w:val="0"/>
                <w:color w:val="auto"/>
                <w:highlight w:val="none"/>
              </w:rPr>
              <w:t>开发区已实现雨污分流，雨水经雨水管道汇集环城水系内，中部、南部区域已建成，其他部分建成比例较少。</w:t>
            </w:r>
            <w:r>
              <w:rPr>
                <w:rFonts w:hint="eastAsia" w:cs="Times New Roman"/>
                <w:b w:val="0"/>
                <w:bCs w:val="0"/>
                <w:color w:val="auto"/>
                <w:highlight w:val="none"/>
              </w:rPr>
              <w:t>开发区现有5处雨水排口，均排入李各庄河</w:t>
            </w:r>
            <w:r>
              <w:rPr>
                <w:rFonts w:hint="eastAsia" w:cs="Times New Roman"/>
                <w:b w:val="0"/>
                <w:bCs w:val="0"/>
                <w:color w:val="auto"/>
                <w:highlight w:val="none"/>
                <w:lang w:eastAsia="zh-CN"/>
              </w:rPr>
              <w:t>。</w:t>
            </w:r>
          </w:p>
          <w:p>
            <w:pPr>
              <w:keepNext w:val="0"/>
              <w:keepLines w:val="0"/>
              <w:pageBreakBefore w:val="0"/>
              <w:widowControl/>
              <w:suppressLineNumbers w:val="0"/>
              <w:kinsoku/>
              <w:wordWrap/>
              <w:overflowPunct/>
              <w:topLinePunct w:val="0"/>
              <w:autoSpaceDE/>
              <w:autoSpaceDN/>
              <w:bidi w:val="0"/>
              <w:adjustRightInd/>
              <w:snapToGrid/>
              <w:spacing w:line="480" w:lineRule="exact"/>
              <w:ind w:firstLine="480" w:firstLineChars="200"/>
              <w:jc w:val="both"/>
              <w:textAlignment w:val="auto"/>
              <w:rPr>
                <w:rFonts w:hint="default"/>
                <w:color w:val="auto"/>
                <w:highlight w:val="none"/>
                <w:lang w:val="en-US" w:eastAsia="zh-CN"/>
              </w:rPr>
            </w:pPr>
            <w:r>
              <w:rPr>
                <w:rFonts w:hint="eastAsia"/>
                <w:color w:val="auto"/>
                <w:highlight w:val="none"/>
                <w:lang w:val="en-US" w:eastAsia="zh-CN"/>
              </w:rPr>
              <w:t>本项目雨水排入市政雨水管网。</w:t>
            </w:r>
          </w:p>
          <w:p>
            <w:pPr>
              <w:keepNext w:val="0"/>
              <w:keepLines w:val="0"/>
              <w:pageBreakBefore w:val="0"/>
              <w:widowControl/>
              <w:suppressLineNumbers w:val="0"/>
              <w:kinsoku/>
              <w:wordWrap/>
              <w:overflowPunct/>
              <w:topLinePunct w:val="0"/>
              <w:autoSpaceDE/>
              <w:autoSpaceDN/>
              <w:bidi w:val="0"/>
              <w:adjustRightInd/>
              <w:snapToGrid/>
              <w:spacing w:line="480" w:lineRule="exact"/>
              <w:ind w:firstLine="480" w:firstLineChars="200"/>
              <w:jc w:val="both"/>
              <w:textAlignment w:val="auto"/>
              <w:rPr>
                <w:rFonts w:hint="default"/>
                <w:color w:val="auto"/>
                <w:highlight w:val="none"/>
                <w:lang w:val="en-US" w:eastAsia="zh-CN"/>
              </w:rPr>
            </w:pPr>
            <w:r>
              <w:rPr>
                <w:rFonts w:hint="eastAsia"/>
                <w:color w:val="auto"/>
                <w:highlight w:val="none"/>
                <w:lang w:val="en-US" w:eastAsia="zh-CN"/>
              </w:rPr>
              <w:t>（3）污水排除与治理规划</w:t>
            </w:r>
          </w:p>
          <w:p>
            <w:pPr>
              <w:bidi w:val="0"/>
              <w:rPr>
                <w:rFonts w:hint="default"/>
                <w:color w:val="auto"/>
                <w:highlight w:val="none"/>
                <w:lang w:val="en-US" w:eastAsia="zh-CN"/>
              </w:rPr>
            </w:pPr>
            <w:r>
              <w:rPr>
                <w:rFonts w:hint="eastAsia"/>
                <w:color w:val="auto"/>
                <w:highlight w:val="none"/>
                <w:lang w:val="en-US" w:eastAsia="zh-CN"/>
              </w:rPr>
              <w:t>规划情况：</w:t>
            </w:r>
            <w:r>
              <w:rPr>
                <w:color w:val="auto"/>
                <w:highlight w:val="none"/>
              </w:rPr>
              <w:t>将区域以建设路为界分为东侧和西侧两个污水系统。</w:t>
            </w:r>
            <w:r>
              <w:rPr>
                <w:rFonts w:cs="Times New Roman"/>
                <w:b w:val="0"/>
                <w:bCs w:val="0"/>
                <w:color w:val="auto"/>
                <w:highlight w:val="none"/>
              </w:rPr>
              <w:fldChar w:fldCharType="begin"/>
            </w:r>
            <w:r>
              <w:rPr>
                <w:rFonts w:cs="Times New Roman"/>
                <w:b w:val="0"/>
                <w:bCs w:val="0"/>
                <w:color w:val="auto"/>
                <w:highlight w:val="none"/>
              </w:rPr>
              <w:instrText xml:space="preserve"> = 1 \* GB3 \* MERGEFORMAT </w:instrText>
            </w:r>
            <w:r>
              <w:rPr>
                <w:rFonts w:cs="Times New Roman"/>
                <w:b w:val="0"/>
                <w:bCs w:val="0"/>
                <w:color w:val="auto"/>
                <w:highlight w:val="none"/>
              </w:rPr>
              <w:fldChar w:fldCharType="separate"/>
            </w:r>
            <w:r>
              <w:rPr>
                <w:rFonts w:cs="Times New Roman"/>
                <w:b w:val="0"/>
                <w:bCs w:val="0"/>
                <w:color w:val="auto"/>
                <w:highlight w:val="none"/>
              </w:rPr>
              <w:t>①</w:t>
            </w:r>
            <w:r>
              <w:rPr>
                <w:rFonts w:cs="Times New Roman"/>
                <w:b w:val="0"/>
                <w:bCs w:val="0"/>
                <w:color w:val="auto"/>
                <w:highlight w:val="none"/>
              </w:rPr>
              <w:fldChar w:fldCharType="end"/>
            </w:r>
            <w:r>
              <w:rPr>
                <w:rFonts w:cs="Times New Roman"/>
                <w:b w:val="0"/>
                <w:bCs w:val="0"/>
                <w:color w:val="auto"/>
                <w:highlight w:val="none"/>
              </w:rPr>
              <w:t>预测2020年高新区北部拓展区的污水量2.63万m</w:t>
            </w:r>
            <w:r>
              <w:rPr>
                <w:rFonts w:cs="Times New Roman"/>
                <w:b w:val="0"/>
                <w:bCs w:val="0"/>
                <w:color w:val="auto"/>
                <w:highlight w:val="none"/>
                <w:vertAlign w:val="superscript"/>
              </w:rPr>
              <w:t>3</w:t>
            </w:r>
            <w:r>
              <w:rPr>
                <w:rFonts w:cs="Times New Roman"/>
                <w:b w:val="0"/>
                <w:bCs w:val="0"/>
                <w:color w:val="auto"/>
                <w:highlight w:val="none"/>
              </w:rPr>
              <w:t>/d，高新区北部拓展区东侧污水最终排入北郊污水处理厂进行处理；</w:t>
            </w:r>
            <w:r>
              <w:rPr>
                <w:rFonts w:cs="Times New Roman"/>
                <w:b w:val="0"/>
                <w:bCs w:val="0"/>
                <w:color w:val="auto"/>
                <w:highlight w:val="none"/>
              </w:rPr>
              <w:fldChar w:fldCharType="begin"/>
            </w:r>
            <w:r>
              <w:rPr>
                <w:rFonts w:cs="Times New Roman"/>
                <w:b w:val="0"/>
                <w:bCs w:val="0"/>
                <w:color w:val="auto"/>
                <w:highlight w:val="none"/>
              </w:rPr>
              <w:instrText xml:space="preserve"> = 2 \* GB3 \* MERGEFORMAT </w:instrText>
            </w:r>
            <w:r>
              <w:rPr>
                <w:rFonts w:cs="Times New Roman"/>
                <w:b w:val="0"/>
                <w:bCs w:val="0"/>
                <w:color w:val="auto"/>
                <w:highlight w:val="none"/>
              </w:rPr>
              <w:fldChar w:fldCharType="separate"/>
            </w:r>
            <w:r>
              <w:rPr>
                <w:rFonts w:cs="Times New Roman"/>
                <w:b w:val="0"/>
                <w:bCs w:val="0"/>
                <w:color w:val="auto"/>
                <w:highlight w:val="none"/>
              </w:rPr>
              <w:t>②</w:t>
            </w:r>
            <w:r>
              <w:rPr>
                <w:rFonts w:cs="Times New Roman"/>
                <w:b w:val="0"/>
                <w:bCs w:val="0"/>
                <w:color w:val="auto"/>
                <w:highlight w:val="none"/>
              </w:rPr>
              <w:fldChar w:fldCharType="end"/>
            </w:r>
            <w:r>
              <w:rPr>
                <w:rFonts w:cs="Times New Roman"/>
                <w:b w:val="0"/>
                <w:bCs w:val="0"/>
                <w:color w:val="auto"/>
                <w:highlight w:val="none"/>
              </w:rPr>
              <w:t>西侧污水最终排入西郊污水处理厂进行处理。</w:t>
            </w:r>
          </w:p>
          <w:p>
            <w:pPr>
              <w:bidi w:val="0"/>
              <w:rPr>
                <w:rFonts w:hint="default"/>
                <w:color w:val="auto"/>
                <w:highlight w:val="none"/>
                <w:lang w:val="en-US" w:eastAsia="zh-CN"/>
              </w:rPr>
            </w:pPr>
            <w:r>
              <w:rPr>
                <w:rFonts w:hint="eastAsia"/>
                <w:color w:val="auto"/>
                <w:highlight w:val="none"/>
                <w:lang w:val="en-US" w:eastAsia="zh-CN"/>
              </w:rPr>
              <w:t>建设现状：</w:t>
            </w:r>
            <w:r>
              <w:rPr>
                <w:rFonts w:hint="eastAsia"/>
                <w:color w:val="auto"/>
                <w:highlight w:val="none"/>
              </w:rPr>
              <w:t>1、</w:t>
            </w:r>
            <w:r>
              <w:rPr>
                <w:color w:val="auto"/>
                <w:highlight w:val="none"/>
              </w:rPr>
              <w:t>现22家企业污水排入北郊污水处理厂进行处理；卫国路以西、庆丰道以南区域排入西郊污水处理厂，12家企业排入西郊污水处理厂处理。</w:t>
            </w:r>
            <w:r>
              <w:rPr>
                <w:rFonts w:hint="eastAsia"/>
                <w:color w:val="auto"/>
                <w:highlight w:val="none"/>
              </w:rPr>
              <w:t>现状两个污水处理厂排放达到一级A标准。</w:t>
            </w:r>
            <w:r>
              <w:rPr>
                <w:rFonts w:hint="eastAsia"/>
                <w:b w:val="0"/>
                <w:bCs w:val="0"/>
                <w:color w:val="auto"/>
                <w:highlight w:val="none"/>
              </w:rPr>
              <w:t>2、</w:t>
            </w:r>
            <w:r>
              <w:rPr>
                <w:b w:val="0"/>
                <w:bCs w:val="0"/>
                <w:color w:val="auto"/>
                <w:highlight w:val="none"/>
              </w:rPr>
              <w:t>东郊及北郊厂拟合并迁建成一个厂</w:t>
            </w:r>
            <w:r>
              <w:rPr>
                <w:rFonts w:hint="eastAsia"/>
                <w:b w:val="0"/>
                <w:bCs w:val="0"/>
                <w:color w:val="auto"/>
                <w:highlight w:val="none"/>
              </w:rPr>
              <w:t>，</w:t>
            </w:r>
            <w:r>
              <w:rPr>
                <w:b w:val="0"/>
                <w:bCs w:val="0"/>
                <w:color w:val="auto"/>
                <w:highlight w:val="none"/>
              </w:rPr>
              <w:t>迁建东北郊污水厂位于开平区越河镇塔头村北。西郊污水处理厂规划搬迁至韩城</w:t>
            </w:r>
            <w:r>
              <w:rPr>
                <w:rFonts w:hint="eastAsia"/>
                <w:b w:val="0"/>
                <w:bCs w:val="0"/>
                <w:color w:val="auto"/>
                <w:highlight w:val="none"/>
              </w:rPr>
              <w:t>，迁建后两个污水处理厂均达到北京市地方标准《城镇污水处理厂水污染物排</w:t>
            </w:r>
            <w:r>
              <w:rPr>
                <w:rFonts w:hint="eastAsia" w:cs="Times New Roman"/>
                <w:b w:val="0"/>
                <w:bCs w:val="0"/>
                <w:color w:val="auto"/>
                <w:highlight w:val="none"/>
              </w:rPr>
              <w:t>放标准》（DB11/890-2012）表1中的B标准</w:t>
            </w:r>
            <w:r>
              <w:rPr>
                <w:rFonts w:hint="eastAsia" w:cs="Times New Roman"/>
                <w:b w:val="0"/>
                <w:bCs w:val="0"/>
                <w:color w:val="auto"/>
                <w:highlight w:val="none"/>
                <w:lang w:eastAsia="zh-CN"/>
              </w:rPr>
              <w:t>。</w:t>
            </w:r>
            <w:r>
              <w:rPr>
                <w:rFonts w:hint="eastAsia" w:cs="Times New Roman"/>
                <w:b w:val="0"/>
                <w:bCs w:val="0"/>
                <w:color w:val="auto"/>
                <w:highlight w:val="none"/>
                <w:lang w:val="en-US" w:eastAsia="zh-CN"/>
              </w:rPr>
              <w:t>开发区内已实现工业污水100%集中收纳处置。</w:t>
            </w:r>
          </w:p>
          <w:p>
            <w:pPr>
              <w:keepNext w:val="0"/>
              <w:keepLines w:val="0"/>
              <w:pageBreakBefore w:val="0"/>
              <w:widowControl/>
              <w:suppressLineNumbers w:val="0"/>
              <w:kinsoku/>
              <w:wordWrap/>
              <w:overflowPunct/>
              <w:topLinePunct w:val="0"/>
              <w:autoSpaceDE/>
              <w:autoSpaceDN/>
              <w:bidi w:val="0"/>
              <w:adjustRightInd/>
              <w:snapToGrid/>
              <w:spacing w:line="480" w:lineRule="exact"/>
              <w:ind w:firstLine="480" w:firstLineChars="200"/>
              <w:jc w:val="both"/>
              <w:textAlignment w:val="auto"/>
              <w:rPr>
                <w:rFonts w:hint="default"/>
                <w:color w:val="auto"/>
                <w:highlight w:val="none"/>
                <w:lang w:val="en-US" w:eastAsia="zh-CN"/>
              </w:rPr>
            </w:pPr>
            <w:r>
              <w:rPr>
                <w:rFonts w:hint="eastAsia"/>
                <w:color w:val="auto"/>
                <w:highlight w:val="none"/>
                <w:lang w:val="en-US" w:eastAsia="zh-CN"/>
              </w:rPr>
              <w:t>本项目不新增废水产生，无废水外排。</w:t>
            </w:r>
          </w:p>
          <w:p>
            <w:pPr>
              <w:keepNext w:val="0"/>
              <w:keepLines w:val="0"/>
              <w:pageBreakBefore w:val="0"/>
              <w:widowControl/>
              <w:suppressLineNumbers w:val="0"/>
              <w:kinsoku/>
              <w:wordWrap/>
              <w:overflowPunct/>
              <w:topLinePunct w:val="0"/>
              <w:autoSpaceDE/>
              <w:autoSpaceDN/>
              <w:bidi w:val="0"/>
              <w:adjustRightInd/>
              <w:snapToGrid/>
              <w:spacing w:line="480" w:lineRule="exact"/>
              <w:ind w:firstLine="480" w:firstLineChars="200"/>
              <w:jc w:val="both"/>
              <w:textAlignment w:val="auto"/>
              <w:rPr>
                <w:rFonts w:hint="default"/>
                <w:color w:val="auto"/>
                <w:highlight w:val="none"/>
                <w:lang w:val="en-US" w:eastAsia="zh-CN"/>
              </w:rPr>
            </w:pPr>
            <w:r>
              <w:rPr>
                <w:rFonts w:hint="eastAsia"/>
                <w:color w:val="auto"/>
                <w:highlight w:val="none"/>
                <w:lang w:val="en-US" w:eastAsia="zh-CN"/>
              </w:rPr>
              <w:t>（4）电力工程规划</w:t>
            </w:r>
          </w:p>
          <w:p>
            <w:pPr>
              <w:bidi w:val="0"/>
              <w:rPr>
                <w:rFonts w:hint="default"/>
                <w:color w:val="auto"/>
                <w:highlight w:val="none"/>
                <w:lang w:val="en-US" w:eastAsia="zh-CN"/>
              </w:rPr>
            </w:pPr>
            <w:r>
              <w:rPr>
                <w:rFonts w:hint="eastAsia" w:cs="Times New Roman"/>
                <w:b w:val="0"/>
                <w:bCs w:val="0"/>
                <w:color w:val="auto"/>
                <w:highlight w:val="none"/>
                <w:lang w:val="en-US" w:eastAsia="zh-CN"/>
              </w:rPr>
              <w:t>规划情况：</w:t>
            </w:r>
            <w:r>
              <w:rPr>
                <w:rFonts w:cs="Times New Roman"/>
                <w:b w:val="0"/>
                <w:bCs w:val="0"/>
                <w:color w:val="auto"/>
                <w:highlight w:val="none"/>
              </w:rPr>
              <w:fldChar w:fldCharType="begin"/>
            </w:r>
            <w:r>
              <w:rPr>
                <w:rFonts w:cs="Times New Roman"/>
                <w:b w:val="0"/>
                <w:bCs w:val="0"/>
                <w:color w:val="auto"/>
                <w:highlight w:val="none"/>
              </w:rPr>
              <w:instrText xml:space="preserve"> = 1 \* GB3 \* MERGEFORMAT </w:instrText>
            </w:r>
            <w:r>
              <w:rPr>
                <w:rFonts w:cs="Times New Roman"/>
                <w:b w:val="0"/>
                <w:bCs w:val="0"/>
                <w:color w:val="auto"/>
                <w:highlight w:val="none"/>
              </w:rPr>
              <w:fldChar w:fldCharType="separate"/>
            </w:r>
            <w:r>
              <w:rPr>
                <w:rFonts w:cs="Times New Roman"/>
                <w:b w:val="0"/>
                <w:bCs w:val="0"/>
                <w:color w:val="auto"/>
                <w:highlight w:val="none"/>
              </w:rPr>
              <w:t>①</w:t>
            </w:r>
            <w:r>
              <w:rPr>
                <w:rFonts w:cs="Times New Roman"/>
                <w:b w:val="0"/>
                <w:bCs w:val="0"/>
                <w:color w:val="auto"/>
                <w:highlight w:val="none"/>
              </w:rPr>
              <w:fldChar w:fldCharType="end"/>
            </w:r>
            <w:r>
              <w:rPr>
                <w:rFonts w:cs="Times New Roman"/>
                <w:b w:val="0"/>
                <w:bCs w:val="0"/>
                <w:color w:val="auto"/>
                <w:highlight w:val="none"/>
              </w:rPr>
              <w:t>根据高新区北部拓展区的规划建筑规模及供电负荷指标，预测高新区北部拓展区的用电负荷为488.8MW。</w:t>
            </w:r>
            <w:r>
              <w:rPr>
                <w:rFonts w:cs="Times New Roman"/>
                <w:b w:val="0"/>
                <w:bCs w:val="0"/>
                <w:color w:val="auto"/>
                <w:highlight w:val="none"/>
              </w:rPr>
              <w:fldChar w:fldCharType="begin"/>
            </w:r>
            <w:r>
              <w:rPr>
                <w:rFonts w:cs="Times New Roman"/>
                <w:b w:val="0"/>
                <w:bCs w:val="0"/>
                <w:color w:val="auto"/>
                <w:highlight w:val="none"/>
              </w:rPr>
              <w:instrText xml:space="preserve"> = 2 \* GB3 \* MERGEFORMAT </w:instrText>
            </w:r>
            <w:r>
              <w:rPr>
                <w:rFonts w:cs="Times New Roman"/>
                <w:b w:val="0"/>
                <w:bCs w:val="0"/>
                <w:color w:val="auto"/>
                <w:highlight w:val="none"/>
              </w:rPr>
              <w:fldChar w:fldCharType="separate"/>
            </w:r>
            <w:r>
              <w:rPr>
                <w:rFonts w:cs="Times New Roman"/>
                <w:b w:val="0"/>
                <w:bCs w:val="0"/>
                <w:color w:val="auto"/>
                <w:highlight w:val="none"/>
              </w:rPr>
              <w:t>②</w:t>
            </w:r>
            <w:r>
              <w:rPr>
                <w:rFonts w:cs="Times New Roman"/>
                <w:b w:val="0"/>
                <w:bCs w:val="0"/>
                <w:color w:val="auto"/>
                <w:highlight w:val="none"/>
              </w:rPr>
              <w:fldChar w:fldCharType="end"/>
            </w:r>
            <w:r>
              <w:rPr>
                <w:rFonts w:cs="Times New Roman"/>
                <w:b w:val="0"/>
                <w:bCs w:val="0"/>
                <w:color w:val="auto"/>
                <w:highlight w:val="none"/>
              </w:rPr>
              <w:t>规划区共需建110KV变电站7座，保留孙家庄110KV变电站，用地面积0.76公顷；保留龙王庙110KV变电站，用地面积0.92公顷。</w:t>
            </w:r>
            <w:r>
              <w:rPr>
                <w:rFonts w:cs="Times New Roman"/>
                <w:b w:val="0"/>
                <w:bCs w:val="0"/>
                <w:color w:val="auto"/>
                <w:highlight w:val="none"/>
              </w:rPr>
              <w:fldChar w:fldCharType="begin"/>
            </w:r>
            <w:r>
              <w:rPr>
                <w:rFonts w:cs="Times New Roman"/>
                <w:b w:val="0"/>
                <w:bCs w:val="0"/>
                <w:color w:val="auto"/>
                <w:highlight w:val="none"/>
              </w:rPr>
              <w:instrText xml:space="preserve"> = 3 \* GB3 \* MERGEFORMAT </w:instrText>
            </w:r>
            <w:r>
              <w:rPr>
                <w:rFonts w:cs="Times New Roman"/>
                <w:b w:val="0"/>
                <w:bCs w:val="0"/>
                <w:color w:val="auto"/>
                <w:highlight w:val="none"/>
              </w:rPr>
              <w:fldChar w:fldCharType="separate"/>
            </w:r>
            <w:r>
              <w:rPr>
                <w:rFonts w:cs="Times New Roman"/>
                <w:b w:val="0"/>
                <w:bCs w:val="0"/>
                <w:color w:val="auto"/>
                <w:highlight w:val="none"/>
              </w:rPr>
              <w:t>③</w:t>
            </w:r>
            <w:r>
              <w:rPr>
                <w:rFonts w:cs="Times New Roman"/>
                <w:b w:val="0"/>
                <w:bCs w:val="0"/>
                <w:color w:val="auto"/>
                <w:highlight w:val="none"/>
              </w:rPr>
              <w:fldChar w:fldCharType="end"/>
            </w:r>
            <w:r>
              <w:rPr>
                <w:rFonts w:cs="Times New Roman"/>
                <w:b w:val="0"/>
                <w:bCs w:val="0"/>
                <w:color w:val="auto"/>
                <w:highlight w:val="none"/>
              </w:rPr>
              <w:t>规划新增加110KV变电站6处，总共用地面积3.8公顷，其变电站电源由贾庵子220KV变电站新建双回110KV线路提供。</w:t>
            </w:r>
            <w:r>
              <w:rPr>
                <w:rFonts w:cs="Times New Roman"/>
                <w:b w:val="0"/>
                <w:bCs w:val="0"/>
                <w:color w:val="auto"/>
                <w:highlight w:val="none"/>
              </w:rPr>
              <w:fldChar w:fldCharType="begin"/>
            </w:r>
            <w:r>
              <w:rPr>
                <w:rFonts w:cs="Times New Roman"/>
                <w:b w:val="0"/>
                <w:bCs w:val="0"/>
                <w:color w:val="auto"/>
                <w:highlight w:val="none"/>
              </w:rPr>
              <w:instrText xml:space="preserve"> = 4 \* GB3 \* MERGEFORMAT </w:instrText>
            </w:r>
            <w:r>
              <w:rPr>
                <w:rFonts w:cs="Times New Roman"/>
                <w:b w:val="0"/>
                <w:bCs w:val="0"/>
                <w:color w:val="auto"/>
                <w:highlight w:val="none"/>
              </w:rPr>
              <w:fldChar w:fldCharType="separate"/>
            </w:r>
            <w:r>
              <w:rPr>
                <w:rFonts w:cs="Times New Roman"/>
                <w:b w:val="0"/>
                <w:bCs w:val="0"/>
                <w:color w:val="auto"/>
                <w:highlight w:val="none"/>
              </w:rPr>
              <w:t>④</w:t>
            </w:r>
            <w:r>
              <w:rPr>
                <w:rFonts w:cs="Times New Roman"/>
                <w:b w:val="0"/>
                <w:bCs w:val="0"/>
                <w:color w:val="auto"/>
                <w:highlight w:val="none"/>
              </w:rPr>
              <w:fldChar w:fldCharType="end"/>
            </w:r>
            <w:r>
              <w:rPr>
                <w:rFonts w:cs="Times New Roman"/>
                <w:b w:val="0"/>
                <w:bCs w:val="0"/>
                <w:color w:val="auto"/>
                <w:highlight w:val="none"/>
              </w:rPr>
              <w:t>高新区10KV电力线路采用电力电缆排管敷设方式。</w:t>
            </w:r>
          </w:p>
          <w:p>
            <w:pPr>
              <w:bidi w:val="0"/>
              <w:rPr>
                <w:rFonts w:hint="default"/>
                <w:color w:val="auto"/>
                <w:highlight w:val="none"/>
                <w:lang w:val="en-US" w:eastAsia="zh-CN"/>
              </w:rPr>
            </w:pPr>
            <w:r>
              <w:rPr>
                <w:rFonts w:hint="eastAsia"/>
                <w:color w:val="auto"/>
                <w:highlight w:val="none"/>
                <w:lang w:val="en-US" w:eastAsia="zh-CN"/>
              </w:rPr>
              <w:t>建设现状：</w:t>
            </w:r>
            <w:r>
              <w:rPr>
                <w:rFonts w:cs="Times New Roman"/>
                <w:b w:val="0"/>
                <w:bCs w:val="0"/>
                <w:color w:val="auto"/>
                <w:highlight w:val="none"/>
              </w:rPr>
              <w:t>开发区已建成7座110KV变电站，建成区电力线路基本建成。</w:t>
            </w:r>
          </w:p>
          <w:p>
            <w:pPr>
              <w:keepNext w:val="0"/>
              <w:keepLines w:val="0"/>
              <w:pageBreakBefore w:val="0"/>
              <w:widowControl/>
              <w:suppressLineNumbers w:val="0"/>
              <w:kinsoku/>
              <w:wordWrap/>
              <w:overflowPunct/>
              <w:topLinePunct w:val="0"/>
              <w:autoSpaceDE/>
              <w:autoSpaceDN/>
              <w:bidi w:val="0"/>
              <w:adjustRightInd/>
              <w:snapToGrid w:val="0"/>
              <w:spacing w:line="480" w:lineRule="exact"/>
              <w:ind w:firstLine="480" w:firstLineChars="200"/>
              <w:jc w:val="both"/>
              <w:textAlignment w:val="auto"/>
              <w:rPr>
                <w:rFonts w:hint="default"/>
                <w:color w:val="auto"/>
                <w:highlight w:val="none"/>
                <w:lang w:val="en-US" w:eastAsia="zh-CN"/>
              </w:rPr>
            </w:pPr>
            <w:r>
              <w:rPr>
                <w:rFonts w:hint="eastAsia"/>
                <w:color w:val="auto"/>
                <w:highlight w:val="none"/>
                <w:lang w:val="en-US" w:eastAsia="zh-CN"/>
              </w:rPr>
              <w:t>园区供电线路覆盖本项目，能够满足本项目用电需求。</w:t>
            </w:r>
          </w:p>
          <w:p>
            <w:pPr>
              <w:keepNext w:val="0"/>
              <w:keepLines w:val="0"/>
              <w:pageBreakBefore w:val="0"/>
              <w:widowControl/>
              <w:suppressLineNumbers w:val="0"/>
              <w:kinsoku/>
              <w:wordWrap/>
              <w:overflowPunct/>
              <w:topLinePunct w:val="0"/>
              <w:autoSpaceDE/>
              <w:autoSpaceDN/>
              <w:bidi w:val="0"/>
              <w:adjustRightInd/>
              <w:snapToGrid w:val="0"/>
              <w:spacing w:line="480" w:lineRule="exact"/>
              <w:ind w:firstLine="480" w:firstLineChars="200"/>
              <w:jc w:val="both"/>
              <w:textAlignment w:val="auto"/>
              <w:rPr>
                <w:rFonts w:hint="default"/>
                <w:color w:val="auto"/>
                <w:highlight w:val="none"/>
              </w:rPr>
            </w:pPr>
            <w:r>
              <w:rPr>
                <w:rFonts w:hint="default"/>
                <w:color w:val="auto"/>
                <w:highlight w:val="none"/>
                <w:lang w:val="en-US" w:eastAsia="zh-CN"/>
              </w:rPr>
              <w:t>（</w:t>
            </w:r>
            <w:r>
              <w:rPr>
                <w:rFonts w:hint="eastAsia"/>
                <w:color w:val="auto"/>
                <w:highlight w:val="none"/>
                <w:lang w:val="en-US" w:eastAsia="zh-CN"/>
              </w:rPr>
              <w:t>5</w:t>
            </w:r>
            <w:r>
              <w:rPr>
                <w:rFonts w:hint="default"/>
                <w:color w:val="auto"/>
                <w:highlight w:val="none"/>
                <w:lang w:val="en-US" w:eastAsia="zh-CN"/>
              </w:rPr>
              <w:t xml:space="preserve">）供热工程规划 </w:t>
            </w:r>
          </w:p>
          <w:p>
            <w:pPr>
              <w:bidi w:val="0"/>
              <w:rPr>
                <w:rFonts w:hint="default"/>
                <w:color w:val="auto"/>
                <w:highlight w:val="none"/>
                <w:lang w:val="en-US" w:eastAsia="zh-CN"/>
              </w:rPr>
            </w:pPr>
            <w:r>
              <w:rPr>
                <w:rFonts w:hint="eastAsia"/>
                <w:color w:val="auto"/>
                <w:highlight w:val="none"/>
                <w:lang w:val="en-US" w:eastAsia="zh-CN"/>
              </w:rPr>
              <w:t>规划情况：</w:t>
            </w:r>
            <w:r>
              <w:rPr>
                <w:rFonts w:cs="Times New Roman"/>
                <w:b w:val="0"/>
                <w:bCs w:val="0"/>
                <w:color w:val="auto"/>
                <w:highlight w:val="none"/>
              </w:rPr>
              <w:fldChar w:fldCharType="begin"/>
            </w:r>
            <w:r>
              <w:rPr>
                <w:rFonts w:cs="Times New Roman"/>
                <w:b w:val="0"/>
                <w:bCs w:val="0"/>
                <w:color w:val="auto"/>
                <w:highlight w:val="none"/>
              </w:rPr>
              <w:instrText xml:space="preserve"> = 1 \* GB3 \* MERGEFORMAT </w:instrText>
            </w:r>
            <w:r>
              <w:rPr>
                <w:rFonts w:cs="Times New Roman"/>
                <w:b w:val="0"/>
                <w:bCs w:val="0"/>
                <w:color w:val="auto"/>
                <w:highlight w:val="none"/>
              </w:rPr>
              <w:fldChar w:fldCharType="separate"/>
            </w:r>
            <w:r>
              <w:rPr>
                <w:rFonts w:cs="Times New Roman"/>
                <w:b w:val="0"/>
                <w:bCs w:val="0"/>
                <w:color w:val="auto"/>
                <w:highlight w:val="none"/>
              </w:rPr>
              <w:t>①</w:t>
            </w:r>
            <w:r>
              <w:rPr>
                <w:rFonts w:cs="Times New Roman"/>
                <w:b w:val="0"/>
                <w:bCs w:val="0"/>
                <w:color w:val="auto"/>
                <w:highlight w:val="none"/>
              </w:rPr>
              <w:fldChar w:fldCharType="end"/>
            </w:r>
            <w:r>
              <w:rPr>
                <w:rFonts w:cs="Times New Roman"/>
                <w:b w:val="0"/>
                <w:bCs w:val="0"/>
                <w:color w:val="auto"/>
                <w:highlight w:val="none"/>
              </w:rPr>
              <w:t>高新区北部拓展区内规划综合热指标取为53.6 W/m</w:t>
            </w:r>
            <w:r>
              <w:rPr>
                <w:rFonts w:cs="Times New Roman"/>
                <w:b w:val="0"/>
                <w:bCs w:val="0"/>
                <w:color w:val="auto"/>
                <w:highlight w:val="none"/>
                <w:vertAlign w:val="superscript"/>
              </w:rPr>
              <w:t>2</w:t>
            </w:r>
            <w:r>
              <w:rPr>
                <w:rFonts w:cs="Times New Roman"/>
                <w:b w:val="0"/>
                <w:bCs w:val="0"/>
                <w:color w:val="auto"/>
                <w:highlight w:val="none"/>
              </w:rPr>
              <w:t>，根据建筑总量和综合热指标，2020年高新区北部拓展区规划总面积1600万m</w:t>
            </w:r>
            <w:r>
              <w:rPr>
                <w:rFonts w:cs="Times New Roman"/>
                <w:b w:val="0"/>
                <w:bCs w:val="0"/>
                <w:color w:val="auto"/>
                <w:highlight w:val="none"/>
                <w:vertAlign w:val="superscript"/>
              </w:rPr>
              <w:t>2</w:t>
            </w:r>
            <w:r>
              <w:rPr>
                <w:rFonts w:cs="Times New Roman"/>
                <w:b w:val="0"/>
                <w:bCs w:val="0"/>
                <w:color w:val="auto"/>
                <w:highlight w:val="none"/>
              </w:rPr>
              <w:t>，采暖热负荷为876 MW。</w:t>
            </w:r>
            <w:r>
              <w:rPr>
                <w:rFonts w:cs="Times New Roman"/>
                <w:b w:val="0"/>
                <w:bCs w:val="0"/>
                <w:color w:val="auto"/>
                <w:highlight w:val="none"/>
              </w:rPr>
              <w:fldChar w:fldCharType="begin"/>
            </w:r>
            <w:r>
              <w:rPr>
                <w:rFonts w:cs="Times New Roman"/>
                <w:b w:val="0"/>
                <w:bCs w:val="0"/>
                <w:color w:val="auto"/>
                <w:highlight w:val="none"/>
              </w:rPr>
              <w:instrText xml:space="preserve"> = 2 \* GB3 \* MERGEFORMAT </w:instrText>
            </w:r>
            <w:r>
              <w:rPr>
                <w:rFonts w:cs="Times New Roman"/>
                <w:b w:val="0"/>
                <w:bCs w:val="0"/>
                <w:color w:val="auto"/>
                <w:highlight w:val="none"/>
              </w:rPr>
              <w:fldChar w:fldCharType="separate"/>
            </w:r>
            <w:r>
              <w:rPr>
                <w:rFonts w:cs="Times New Roman"/>
                <w:b w:val="0"/>
                <w:bCs w:val="0"/>
                <w:color w:val="auto"/>
                <w:highlight w:val="none"/>
              </w:rPr>
              <w:t>②</w:t>
            </w:r>
            <w:r>
              <w:rPr>
                <w:rFonts w:cs="Times New Roman"/>
                <w:b w:val="0"/>
                <w:bCs w:val="0"/>
                <w:color w:val="auto"/>
                <w:highlight w:val="none"/>
              </w:rPr>
              <w:fldChar w:fldCharType="end"/>
            </w:r>
            <w:r>
              <w:rPr>
                <w:rFonts w:cs="Times New Roman"/>
                <w:b w:val="0"/>
                <w:bCs w:val="0"/>
                <w:color w:val="auto"/>
                <w:highlight w:val="none"/>
              </w:rPr>
              <w:t>高新区北部拓展区的供热由拟建北郊热电厂提供。但严禁自建供热锅炉。</w:t>
            </w:r>
            <w:r>
              <w:rPr>
                <w:rFonts w:cs="Times New Roman"/>
                <w:b w:val="0"/>
                <w:bCs w:val="0"/>
                <w:color w:val="auto"/>
                <w:highlight w:val="none"/>
              </w:rPr>
              <w:fldChar w:fldCharType="begin"/>
            </w:r>
            <w:r>
              <w:rPr>
                <w:rFonts w:cs="Times New Roman"/>
                <w:b w:val="0"/>
                <w:bCs w:val="0"/>
                <w:color w:val="auto"/>
                <w:highlight w:val="none"/>
              </w:rPr>
              <w:instrText xml:space="preserve"> = 3 \* GB3 \* MERGEFORMAT </w:instrText>
            </w:r>
            <w:r>
              <w:rPr>
                <w:rFonts w:cs="Times New Roman"/>
                <w:b w:val="0"/>
                <w:bCs w:val="0"/>
                <w:color w:val="auto"/>
                <w:highlight w:val="none"/>
              </w:rPr>
              <w:fldChar w:fldCharType="separate"/>
            </w:r>
            <w:r>
              <w:rPr>
                <w:rFonts w:cs="Times New Roman"/>
                <w:b w:val="0"/>
                <w:bCs w:val="0"/>
                <w:color w:val="auto"/>
                <w:highlight w:val="none"/>
              </w:rPr>
              <w:t>③</w:t>
            </w:r>
            <w:r>
              <w:rPr>
                <w:rFonts w:cs="Times New Roman"/>
                <w:b w:val="0"/>
                <w:bCs w:val="0"/>
                <w:color w:val="auto"/>
                <w:highlight w:val="none"/>
              </w:rPr>
              <w:fldChar w:fldCharType="end"/>
            </w:r>
            <w:r>
              <w:rPr>
                <w:rFonts w:cs="Times New Roman"/>
                <w:b w:val="0"/>
                <w:bCs w:val="0"/>
                <w:color w:val="auto"/>
                <w:highlight w:val="none"/>
              </w:rPr>
              <w:t>规划沿区内市政道路修建供热管道，根据《城市热力网设计规范》的规定及高新区地质、水位的具体情况，结合当前城市热力网的发展水平，管网采用直埋敷设形式。</w:t>
            </w:r>
            <w:r>
              <w:rPr>
                <w:rFonts w:cs="Times New Roman"/>
                <w:b w:val="0"/>
                <w:bCs w:val="0"/>
                <w:color w:val="auto"/>
                <w:highlight w:val="none"/>
              </w:rPr>
              <w:fldChar w:fldCharType="begin"/>
            </w:r>
            <w:r>
              <w:rPr>
                <w:rFonts w:cs="Times New Roman"/>
                <w:b w:val="0"/>
                <w:bCs w:val="0"/>
                <w:color w:val="auto"/>
                <w:highlight w:val="none"/>
              </w:rPr>
              <w:instrText xml:space="preserve"> = 3 \* GB3 \* MERGEFORMAT </w:instrText>
            </w:r>
            <w:r>
              <w:rPr>
                <w:rFonts w:cs="Times New Roman"/>
                <w:b w:val="0"/>
                <w:bCs w:val="0"/>
                <w:color w:val="auto"/>
                <w:highlight w:val="none"/>
              </w:rPr>
              <w:fldChar w:fldCharType="separate"/>
            </w:r>
            <w:r>
              <w:rPr>
                <w:rFonts w:cs="Times New Roman"/>
                <w:b w:val="0"/>
                <w:bCs w:val="0"/>
                <w:color w:val="auto"/>
                <w:highlight w:val="none"/>
              </w:rPr>
              <w:t>③</w:t>
            </w:r>
            <w:r>
              <w:rPr>
                <w:rFonts w:cs="Times New Roman"/>
                <w:b w:val="0"/>
                <w:bCs w:val="0"/>
                <w:color w:val="auto"/>
                <w:highlight w:val="none"/>
              </w:rPr>
              <w:fldChar w:fldCharType="end"/>
            </w:r>
            <w:r>
              <w:rPr>
                <w:rFonts w:cs="Times New Roman"/>
                <w:b w:val="0"/>
                <w:bCs w:val="0"/>
                <w:color w:val="auto"/>
                <w:highlight w:val="none"/>
              </w:rPr>
              <w:t>居住区按每10－20万m</w:t>
            </w:r>
            <w:r>
              <w:rPr>
                <w:rFonts w:cs="Times New Roman"/>
                <w:b w:val="0"/>
                <w:bCs w:val="0"/>
                <w:color w:val="auto"/>
                <w:highlight w:val="none"/>
                <w:vertAlign w:val="superscript"/>
              </w:rPr>
              <w:t>2</w:t>
            </w:r>
            <w:r>
              <w:rPr>
                <w:rFonts w:cs="Times New Roman"/>
                <w:b w:val="0"/>
                <w:bCs w:val="0"/>
                <w:color w:val="auto"/>
                <w:highlight w:val="none"/>
              </w:rPr>
              <w:t>建筑规模安排1座换热站为住宅供热，公共建筑区根据各单位的建设发展及采暖需求安排换热站。</w:t>
            </w:r>
          </w:p>
          <w:p>
            <w:pPr>
              <w:bidi w:val="0"/>
              <w:rPr>
                <w:rFonts w:hint="default"/>
                <w:color w:val="auto"/>
                <w:highlight w:val="none"/>
                <w:lang w:val="en-US" w:eastAsia="zh-CN"/>
              </w:rPr>
            </w:pPr>
            <w:r>
              <w:rPr>
                <w:rFonts w:hint="eastAsia"/>
                <w:color w:val="auto"/>
                <w:highlight w:val="none"/>
                <w:lang w:val="en-US" w:eastAsia="zh-CN"/>
              </w:rPr>
              <w:t>建设现状：</w:t>
            </w:r>
            <w:r>
              <w:rPr>
                <w:b w:val="0"/>
                <w:bCs w:val="0"/>
                <w:color w:val="auto"/>
                <w:highlight w:val="none"/>
              </w:rPr>
              <w:t>开发区</w:t>
            </w:r>
            <w:r>
              <w:rPr>
                <w:rFonts w:hint="eastAsia"/>
                <w:b w:val="0"/>
                <w:bCs w:val="0"/>
                <w:color w:val="auto"/>
                <w:highlight w:val="none"/>
              </w:rPr>
              <w:t>内部分</w:t>
            </w:r>
            <w:r>
              <w:rPr>
                <w:b w:val="0"/>
                <w:bCs w:val="0"/>
                <w:color w:val="auto"/>
                <w:highlight w:val="none"/>
              </w:rPr>
              <w:t>企业</w:t>
            </w:r>
            <w:r>
              <w:rPr>
                <w:rFonts w:hint="eastAsia"/>
                <w:b w:val="0"/>
                <w:bCs w:val="0"/>
                <w:color w:val="auto"/>
                <w:highlight w:val="none"/>
              </w:rPr>
              <w:t>建设</w:t>
            </w:r>
            <w:r>
              <w:rPr>
                <w:b w:val="0"/>
                <w:bCs w:val="0"/>
                <w:color w:val="auto"/>
                <w:highlight w:val="none"/>
              </w:rPr>
              <w:t>自备</w:t>
            </w:r>
            <w:r>
              <w:rPr>
                <w:rFonts w:hint="eastAsia"/>
                <w:b w:val="0"/>
                <w:bCs w:val="0"/>
                <w:color w:val="auto"/>
                <w:highlight w:val="none"/>
              </w:rPr>
              <w:t>燃气供热</w:t>
            </w:r>
            <w:r>
              <w:rPr>
                <w:b w:val="0"/>
                <w:bCs w:val="0"/>
                <w:color w:val="auto"/>
                <w:highlight w:val="none"/>
              </w:rPr>
              <w:t>锅炉，开发区供热管网已建成约7.5km，主要位</w:t>
            </w:r>
            <w:r>
              <w:rPr>
                <w:rFonts w:hint="eastAsia"/>
                <w:b w:val="0"/>
                <w:bCs w:val="0"/>
                <w:color w:val="auto"/>
                <w:highlight w:val="none"/>
                <w:lang w:val="en-US" w:eastAsia="zh-CN"/>
              </w:rPr>
              <w:t>于北安道、龙泽路、火炬路、庆北路、大庆道</w:t>
            </w:r>
            <w:r>
              <w:rPr>
                <w:b w:val="0"/>
                <w:bCs w:val="0"/>
                <w:color w:val="auto"/>
                <w:highlight w:val="none"/>
              </w:rPr>
              <w:t>。</w:t>
            </w:r>
            <w:r>
              <w:rPr>
                <w:rFonts w:hint="eastAsia"/>
                <w:b w:val="0"/>
                <w:bCs w:val="0"/>
                <w:color w:val="auto"/>
                <w:highlight w:val="none"/>
                <w:lang w:val="en-US" w:eastAsia="zh-CN"/>
              </w:rPr>
              <w:t>开发区已于2022年1月全部将企业自备采暖锅炉关停，有供暖需求的企业已具备集中供热条件</w:t>
            </w:r>
            <w:r>
              <w:rPr>
                <w:rFonts w:hint="eastAsia"/>
                <w:b w:val="0"/>
                <w:bCs w:val="0"/>
                <w:color w:val="auto"/>
                <w:highlight w:val="none"/>
              </w:rPr>
              <w:t>。</w:t>
            </w:r>
            <w:r>
              <w:rPr>
                <w:b w:val="0"/>
                <w:bCs w:val="0"/>
                <w:color w:val="auto"/>
                <w:highlight w:val="none"/>
              </w:rPr>
              <w:t>开发区内村庄已于2019年11月完成煤改</w:t>
            </w:r>
            <w:r>
              <w:rPr>
                <w:rFonts w:hint="eastAsia"/>
                <w:b w:val="0"/>
                <w:bCs w:val="0"/>
                <w:color w:val="auto"/>
                <w:highlight w:val="none"/>
              </w:rPr>
              <w:t>气。</w:t>
            </w:r>
          </w:p>
          <w:p>
            <w:pPr>
              <w:bidi w:val="0"/>
              <w:rPr>
                <w:rFonts w:hint="default"/>
                <w:color w:val="auto"/>
                <w:highlight w:val="none"/>
                <w:lang w:val="en-US" w:eastAsia="zh-CN"/>
              </w:rPr>
            </w:pPr>
            <w:r>
              <w:rPr>
                <w:rFonts w:hint="eastAsia"/>
                <w:color w:val="auto"/>
                <w:highlight w:val="none"/>
                <w:lang w:val="en-US" w:eastAsia="zh-CN"/>
              </w:rPr>
              <w:t>本项目车间不设取暖设施，办公取暖采用单体空调，以电为能源。</w:t>
            </w:r>
          </w:p>
          <w:p>
            <w:pPr>
              <w:keepNext w:val="0"/>
              <w:keepLines w:val="0"/>
              <w:pageBreakBefore w:val="0"/>
              <w:widowControl/>
              <w:numPr>
                <w:ilvl w:val="0"/>
                <w:numId w:val="1"/>
              </w:numPr>
              <w:suppressLineNumbers w:val="0"/>
              <w:kinsoku/>
              <w:wordWrap/>
              <w:overflowPunct/>
              <w:topLinePunct w:val="0"/>
              <w:autoSpaceDE/>
              <w:autoSpaceDN/>
              <w:bidi w:val="0"/>
              <w:adjustRightInd/>
              <w:snapToGrid w:val="0"/>
              <w:spacing w:line="480" w:lineRule="exact"/>
              <w:ind w:left="0" w:leftChars="0" w:firstLine="480" w:firstLineChars="200"/>
              <w:jc w:val="both"/>
              <w:textAlignment w:val="auto"/>
              <w:rPr>
                <w:rFonts w:hint="eastAsia"/>
                <w:color w:val="auto"/>
                <w:highlight w:val="none"/>
                <w:lang w:val="en-US" w:eastAsia="zh-CN"/>
              </w:rPr>
            </w:pPr>
            <w:r>
              <w:rPr>
                <w:rFonts w:hint="eastAsia"/>
                <w:color w:val="auto"/>
                <w:highlight w:val="none"/>
                <w:lang w:val="en-US" w:eastAsia="zh-CN"/>
              </w:rPr>
              <w:t>燃气工程规划</w:t>
            </w:r>
          </w:p>
          <w:p>
            <w:pPr>
              <w:bidi w:val="0"/>
              <w:rPr>
                <w:rFonts w:hint="default"/>
                <w:color w:val="auto"/>
                <w:highlight w:val="none"/>
                <w:lang w:val="en-US" w:eastAsia="zh-CN"/>
              </w:rPr>
            </w:pPr>
            <w:r>
              <w:rPr>
                <w:rFonts w:hint="eastAsia"/>
                <w:color w:val="auto"/>
                <w:highlight w:val="none"/>
                <w:lang w:val="en-US" w:eastAsia="zh-CN"/>
              </w:rPr>
              <w:t>规划情况：</w:t>
            </w:r>
            <w:r>
              <w:rPr>
                <w:rFonts w:cs="Times New Roman"/>
                <w:b w:val="0"/>
                <w:bCs w:val="0"/>
                <w:color w:val="auto"/>
                <w:highlight w:val="none"/>
              </w:rPr>
              <w:fldChar w:fldCharType="begin"/>
            </w:r>
            <w:r>
              <w:rPr>
                <w:rFonts w:cs="Times New Roman"/>
                <w:b w:val="0"/>
                <w:bCs w:val="0"/>
                <w:color w:val="auto"/>
                <w:highlight w:val="none"/>
              </w:rPr>
              <w:instrText xml:space="preserve"> = 1 \* GB3 \* MERGEFORMAT </w:instrText>
            </w:r>
            <w:r>
              <w:rPr>
                <w:rFonts w:cs="Times New Roman"/>
                <w:b w:val="0"/>
                <w:bCs w:val="0"/>
                <w:color w:val="auto"/>
                <w:highlight w:val="none"/>
              </w:rPr>
              <w:fldChar w:fldCharType="separate"/>
            </w:r>
            <w:r>
              <w:rPr>
                <w:rFonts w:cs="Times New Roman"/>
                <w:b w:val="0"/>
                <w:bCs w:val="0"/>
                <w:color w:val="auto"/>
                <w:highlight w:val="none"/>
              </w:rPr>
              <w:t>①</w:t>
            </w:r>
            <w:r>
              <w:rPr>
                <w:rFonts w:cs="Times New Roman"/>
                <w:b w:val="0"/>
                <w:bCs w:val="0"/>
                <w:color w:val="auto"/>
                <w:highlight w:val="none"/>
              </w:rPr>
              <w:fldChar w:fldCharType="end"/>
            </w:r>
            <w:r>
              <w:rPr>
                <w:rFonts w:cs="Times New Roman"/>
                <w:b w:val="0"/>
                <w:bCs w:val="0"/>
                <w:color w:val="auto"/>
                <w:highlight w:val="none"/>
              </w:rPr>
              <w:t>唐山高新区气源由冀东油田南堡到唐山55km的DN650天然气管线输送，其设计能力为300万m</w:t>
            </w:r>
            <w:r>
              <w:rPr>
                <w:rFonts w:cs="Times New Roman"/>
                <w:b w:val="0"/>
                <w:bCs w:val="0"/>
                <w:color w:val="auto"/>
                <w:highlight w:val="none"/>
                <w:vertAlign w:val="superscript"/>
              </w:rPr>
              <w:t>3</w:t>
            </w:r>
            <w:r>
              <w:rPr>
                <w:rFonts w:cs="Times New Roman"/>
                <w:b w:val="0"/>
                <w:bCs w:val="0"/>
                <w:color w:val="auto"/>
                <w:highlight w:val="none"/>
              </w:rPr>
              <w:t>/d。</w:t>
            </w:r>
            <w:r>
              <w:rPr>
                <w:rFonts w:cs="Times New Roman"/>
                <w:b w:val="0"/>
                <w:bCs w:val="0"/>
                <w:color w:val="auto"/>
                <w:highlight w:val="none"/>
              </w:rPr>
              <w:fldChar w:fldCharType="begin"/>
            </w:r>
            <w:r>
              <w:rPr>
                <w:rFonts w:cs="Times New Roman"/>
                <w:b w:val="0"/>
                <w:bCs w:val="0"/>
                <w:color w:val="auto"/>
                <w:highlight w:val="none"/>
              </w:rPr>
              <w:instrText xml:space="preserve"> = 2 \* GB3 \* MERGEFORMAT </w:instrText>
            </w:r>
            <w:r>
              <w:rPr>
                <w:rFonts w:cs="Times New Roman"/>
                <w:b w:val="0"/>
                <w:bCs w:val="0"/>
                <w:color w:val="auto"/>
                <w:highlight w:val="none"/>
              </w:rPr>
              <w:fldChar w:fldCharType="separate"/>
            </w:r>
            <w:r>
              <w:rPr>
                <w:rFonts w:cs="Times New Roman"/>
                <w:b w:val="0"/>
                <w:bCs w:val="0"/>
                <w:color w:val="auto"/>
                <w:highlight w:val="none"/>
              </w:rPr>
              <w:t>②</w:t>
            </w:r>
            <w:r>
              <w:rPr>
                <w:rFonts w:cs="Times New Roman"/>
                <w:b w:val="0"/>
                <w:bCs w:val="0"/>
                <w:color w:val="auto"/>
                <w:highlight w:val="none"/>
              </w:rPr>
              <w:fldChar w:fldCharType="end"/>
            </w:r>
            <w:r>
              <w:rPr>
                <w:rFonts w:cs="Times New Roman"/>
                <w:b w:val="0"/>
                <w:bCs w:val="0"/>
                <w:color w:val="auto"/>
                <w:highlight w:val="none"/>
              </w:rPr>
              <w:t>规划在高新区北部拓展区内安排次高压</w:t>
            </w:r>
            <w:r>
              <w:rPr>
                <w:rFonts w:hint="eastAsia" w:cs="Times New Roman"/>
                <w:b w:val="0"/>
                <w:bCs w:val="0"/>
                <w:color w:val="auto"/>
                <w:highlight w:val="none"/>
                <w:lang w:eastAsia="zh-CN"/>
              </w:rPr>
              <w:t>（</w:t>
            </w:r>
            <w:r>
              <w:rPr>
                <w:rFonts w:cs="Times New Roman"/>
                <w:b w:val="0"/>
                <w:bCs w:val="0"/>
                <w:color w:val="auto"/>
                <w:highlight w:val="none"/>
              </w:rPr>
              <w:t>1.5兆帕</w:t>
            </w:r>
            <w:r>
              <w:rPr>
                <w:rFonts w:hint="eastAsia" w:cs="Times New Roman"/>
                <w:b w:val="0"/>
                <w:bCs w:val="0"/>
                <w:color w:val="auto"/>
                <w:highlight w:val="none"/>
                <w:lang w:eastAsia="zh-CN"/>
              </w:rPr>
              <w:t>）</w:t>
            </w:r>
            <w:r>
              <w:rPr>
                <w:rFonts w:cs="Times New Roman"/>
                <w:b w:val="0"/>
                <w:bCs w:val="0"/>
                <w:color w:val="auto"/>
                <w:highlight w:val="none"/>
              </w:rPr>
              <w:t>调压站2座。</w:t>
            </w:r>
            <w:r>
              <w:rPr>
                <w:rFonts w:cs="Times New Roman"/>
                <w:b w:val="0"/>
                <w:bCs w:val="0"/>
                <w:color w:val="auto"/>
                <w:highlight w:val="none"/>
              </w:rPr>
              <w:fldChar w:fldCharType="begin"/>
            </w:r>
            <w:r>
              <w:rPr>
                <w:rFonts w:cs="Times New Roman"/>
                <w:b w:val="0"/>
                <w:bCs w:val="0"/>
                <w:color w:val="auto"/>
                <w:highlight w:val="none"/>
              </w:rPr>
              <w:instrText xml:space="preserve"> = 3 \* GB3 \* MERGEFORMAT </w:instrText>
            </w:r>
            <w:r>
              <w:rPr>
                <w:rFonts w:cs="Times New Roman"/>
                <w:b w:val="0"/>
                <w:bCs w:val="0"/>
                <w:color w:val="auto"/>
                <w:highlight w:val="none"/>
              </w:rPr>
              <w:fldChar w:fldCharType="separate"/>
            </w:r>
            <w:r>
              <w:rPr>
                <w:rFonts w:cs="Times New Roman"/>
                <w:b w:val="0"/>
                <w:bCs w:val="0"/>
                <w:color w:val="auto"/>
                <w:highlight w:val="none"/>
              </w:rPr>
              <w:t>③</w:t>
            </w:r>
            <w:r>
              <w:rPr>
                <w:rFonts w:cs="Times New Roman"/>
                <w:b w:val="0"/>
                <w:bCs w:val="0"/>
                <w:color w:val="auto"/>
                <w:highlight w:val="none"/>
              </w:rPr>
              <w:fldChar w:fldCharType="end"/>
            </w:r>
            <w:r>
              <w:rPr>
                <w:rFonts w:cs="Times New Roman"/>
                <w:b w:val="0"/>
                <w:bCs w:val="0"/>
                <w:color w:val="auto"/>
                <w:highlight w:val="none"/>
              </w:rPr>
              <w:t>区内布置天然气中压管道向用户供气，结合规划道路呈环状布置，保证规划区内供气安全可靠。管网采用直埋敷设形式。</w:t>
            </w:r>
          </w:p>
          <w:p>
            <w:pPr>
              <w:bidi w:val="0"/>
              <w:rPr>
                <w:rFonts w:hint="eastAsia" w:eastAsia="宋体"/>
                <w:color w:val="auto"/>
                <w:highlight w:val="none"/>
                <w:lang w:val="en-US" w:eastAsia="zh-CN"/>
              </w:rPr>
            </w:pPr>
            <w:r>
              <w:rPr>
                <w:rFonts w:hint="eastAsia"/>
                <w:color w:val="auto"/>
                <w:highlight w:val="none"/>
                <w:lang w:val="en-US" w:eastAsia="zh-CN"/>
              </w:rPr>
              <w:t>建设现状：</w:t>
            </w:r>
            <w:r>
              <w:rPr>
                <w:rFonts w:cs="Times New Roman"/>
                <w:b w:val="0"/>
                <w:bCs w:val="0"/>
                <w:color w:val="auto"/>
                <w:highlight w:val="none"/>
              </w:rPr>
              <w:t>开发区已建设1座北郊CNG加气站，4座调压站，已敷设管网6.8km，主要位于火炬路、庆北道、庆丰道</w:t>
            </w:r>
            <w:r>
              <w:rPr>
                <w:rFonts w:hint="eastAsia" w:cs="Times New Roman"/>
                <w:b w:val="0"/>
                <w:bCs w:val="0"/>
                <w:color w:val="auto"/>
                <w:highlight w:val="none"/>
                <w:lang w:eastAsia="zh-CN"/>
              </w:rPr>
              <w:t>。</w:t>
            </w:r>
          </w:p>
          <w:p>
            <w:pPr>
              <w:bidi w:val="0"/>
              <w:rPr>
                <w:rFonts w:hint="default"/>
                <w:color w:val="auto"/>
                <w:highlight w:val="none"/>
                <w:lang w:val="en-US" w:eastAsia="zh-CN"/>
              </w:rPr>
            </w:pPr>
            <w:r>
              <w:rPr>
                <w:rFonts w:hint="eastAsia"/>
                <w:color w:val="auto"/>
                <w:highlight w:val="none"/>
                <w:lang w:val="en-US" w:eastAsia="zh-CN"/>
              </w:rPr>
              <w:t>本项目生产过程不消耗燃气。</w:t>
            </w:r>
          </w:p>
          <w:p>
            <w:pPr>
              <w:bidi w:val="0"/>
              <w:rPr>
                <w:rFonts w:hint="eastAsia"/>
                <w:color w:val="auto"/>
                <w:highlight w:val="none"/>
                <w:lang w:val="en-US" w:eastAsia="zh-CN"/>
              </w:rPr>
            </w:pPr>
            <w:r>
              <w:rPr>
                <w:rFonts w:hint="eastAsia"/>
                <w:color w:val="auto"/>
                <w:highlight w:val="none"/>
                <w:lang w:eastAsia="zh-CN"/>
              </w:rPr>
              <w:t>（</w:t>
            </w:r>
            <w:r>
              <w:rPr>
                <w:rFonts w:hint="eastAsia"/>
                <w:color w:val="auto"/>
                <w:highlight w:val="none"/>
                <w:lang w:val="en-US" w:eastAsia="zh-CN"/>
              </w:rPr>
              <w:t>7</w:t>
            </w:r>
            <w:r>
              <w:rPr>
                <w:rFonts w:hint="eastAsia"/>
                <w:color w:val="auto"/>
                <w:highlight w:val="none"/>
                <w:lang w:eastAsia="zh-CN"/>
              </w:rPr>
              <w:t>）</w:t>
            </w:r>
            <w:r>
              <w:rPr>
                <w:rFonts w:hint="eastAsia"/>
                <w:color w:val="auto"/>
                <w:highlight w:val="none"/>
                <w:lang w:val="en-US" w:eastAsia="zh-CN"/>
              </w:rPr>
              <w:t>产业定位符合性分析</w:t>
            </w:r>
          </w:p>
          <w:p>
            <w:pPr>
              <w:bidi w:val="0"/>
              <w:rPr>
                <w:color w:val="auto"/>
                <w:highlight w:val="none"/>
              </w:rPr>
            </w:pPr>
            <w:r>
              <w:rPr>
                <w:rFonts w:hint="eastAsia"/>
                <w:color w:val="auto"/>
                <w:highlight w:val="none"/>
                <w:lang w:val="en-US" w:eastAsia="zh-CN"/>
              </w:rPr>
              <w:t>高新区北部拓展区</w:t>
            </w:r>
            <w:r>
              <w:rPr>
                <w:rFonts w:hint="eastAsia"/>
                <w:color w:val="auto"/>
                <w:highlight w:val="none"/>
              </w:rPr>
              <w:t>产业布局上遵循“区片多元，相对集中”，或称“块状经济的区域集中”的强调工业的集中布局的原则。北部拓展区以建设北路与创新大道为中心，形成以行政、商业、居住为主的核心，外围布置3个主导产业中心。</w:t>
            </w:r>
          </w:p>
          <w:p>
            <w:pPr>
              <w:bidi w:val="0"/>
              <w:rPr>
                <w:rFonts w:hint="eastAsia" w:eastAsia="宋体"/>
                <w:color w:val="auto"/>
                <w:highlight w:val="none"/>
                <w:lang w:eastAsia="zh-CN"/>
              </w:rPr>
            </w:pPr>
            <w:r>
              <w:rPr>
                <w:rFonts w:hint="eastAsia"/>
                <w:color w:val="auto"/>
                <w:highlight w:val="none"/>
              </w:rPr>
              <w:t>规划功能布局为“一心一片区</w:t>
            </w:r>
            <w:r>
              <w:rPr>
                <w:rFonts w:hint="eastAsia"/>
                <w:color w:val="auto"/>
                <w:highlight w:val="none"/>
                <w:lang w:eastAsia="zh-CN"/>
              </w:rPr>
              <w:t>（</w:t>
            </w:r>
            <w:r>
              <w:rPr>
                <w:rFonts w:hint="eastAsia"/>
                <w:color w:val="auto"/>
                <w:highlight w:val="none"/>
              </w:rPr>
              <w:t>3个组团</w:t>
            </w:r>
            <w:r>
              <w:rPr>
                <w:rFonts w:hint="eastAsia"/>
                <w:color w:val="auto"/>
                <w:highlight w:val="none"/>
                <w:lang w:eastAsia="zh-CN"/>
              </w:rPr>
              <w:t>）</w:t>
            </w:r>
            <w:r>
              <w:rPr>
                <w:rFonts w:hint="eastAsia"/>
                <w:color w:val="auto"/>
                <w:highlight w:val="none"/>
              </w:rPr>
              <w:t>”。北部拓展区中心：以行政中心、人民广场为核心，北部拓展区片区含北部、东部和西部产业组团</w:t>
            </w:r>
            <w:r>
              <w:rPr>
                <w:rFonts w:hint="eastAsia"/>
                <w:color w:val="auto"/>
                <w:highlight w:val="none"/>
                <w:lang w:eastAsia="zh-CN"/>
              </w:rPr>
              <w:t>。</w:t>
            </w:r>
          </w:p>
          <w:p>
            <w:pPr>
              <w:bidi w:val="0"/>
              <w:rPr>
                <w:color w:val="auto"/>
                <w:highlight w:val="none"/>
              </w:rPr>
            </w:pPr>
            <w:r>
              <w:rPr>
                <w:rFonts w:hint="eastAsia"/>
                <w:color w:val="auto"/>
                <w:highlight w:val="none"/>
              </w:rPr>
              <w:t>北部拓展区中心组团以高新区北部扩区新建行政中心、市民广场、文化体育中心等为核心，形成以行政、商业金融、文化娱乐、体育、医疗卫生为主要功能的产业区综合服务中心。</w:t>
            </w:r>
          </w:p>
          <w:p>
            <w:pPr>
              <w:bidi w:val="0"/>
              <w:rPr>
                <w:color w:val="auto"/>
                <w:highlight w:val="none"/>
              </w:rPr>
            </w:pPr>
            <w:r>
              <w:rPr>
                <w:rFonts w:hint="eastAsia"/>
                <w:color w:val="auto"/>
                <w:highlight w:val="none"/>
              </w:rPr>
              <w:t>北部产业组团：以新能源产业、高效节能与环保产业、生物医药研发、新型装备制造产业、智能仪器仪表产业为产业引导方向，不含</w:t>
            </w:r>
            <w:r>
              <w:rPr>
                <w:color w:val="auto"/>
                <w:highlight w:val="none"/>
              </w:rPr>
              <w:t>涉及重金属因子的</w:t>
            </w:r>
            <w:r>
              <w:rPr>
                <w:rFonts w:hint="eastAsia"/>
                <w:color w:val="auto"/>
                <w:highlight w:val="none"/>
              </w:rPr>
              <w:t>金属表面处理</w:t>
            </w:r>
            <w:r>
              <w:rPr>
                <w:color w:val="auto"/>
                <w:highlight w:val="none"/>
              </w:rPr>
              <w:t>及热处理加工</w:t>
            </w:r>
            <w:r>
              <w:rPr>
                <w:rFonts w:hint="eastAsia"/>
                <w:color w:val="auto"/>
                <w:highlight w:val="none"/>
              </w:rPr>
              <w:t>（</w:t>
            </w:r>
            <w:r>
              <w:rPr>
                <w:color w:val="auto"/>
                <w:highlight w:val="none"/>
              </w:rPr>
              <w:t>电镀</w:t>
            </w:r>
            <w:r>
              <w:rPr>
                <w:rFonts w:hint="eastAsia"/>
                <w:color w:val="auto"/>
                <w:highlight w:val="none"/>
              </w:rPr>
              <w:t>）产业。</w:t>
            </w:r>
          </w:p>
          <w:p>
            <w:pPr>
              <w:bidi w:val="0"/>
              <w:rPr>
                <w:color w:val="auto"/>
                <w:highlight w:val="none"/>
              </w:rPr>
            </w:pPr>
            <w:r>
              <w:rPr>
                <w:rFonts w:hint="eastAsia"/>
                <w:color w:val="auto"/>
                <w:highlight w:val="none"/>
              </w:rPr>
              <w:t>西部产业组团：以新材料产业、机器人产业、汽车零部件产业为产业引导方向。</w:t>
            </w:r>
          </w:p>
          <w:p>
            <w:pPr>
              <w:bidi w:val="0"/>
              <w:rPr>
                <w:rFonts w:hint="eastAsia"/>
                <w:color w:val="auto"/>
                <w:highlight w:val="none"/>
              </w:rPr>
            </w:pPr>
            <w:r>
              <w:rPr>
                <w:rFonts w:hint="eastAsia"/>
                <w:color w:val="auto"/>
                <w:highlight w:val="none"/>
              </w:rPr>
              <w:t>东部产业组团：以仓储物流、软件信息服务产业、孵化基地等为产业引导方向。</w:t>
            </w:r>
          </w:p>
          <w:p>
            <w:pPr>
              <w:bidi w:val="0"/>
              <w:rPr>
                <w:rFonts w:hint="default"/>
                <w:color w:val="auto"/>
                <w:highlight w:val="none"/>
                <w:lang w:val="en-US" w:eastAsia="zh-CN"/>
              </w:rPr>
            </w:pPr>
            <w:r>
              <w:rPr>
                <w:rFonts w:hint="eastAsia"/>
                <w:color w:val="auto"/>
                <w:highlight w:val="none"/>
                <w:lang w:val="en-US" w:eastAsia="zh-CN"/>
              </w:rPr>
              <w:t>本项目位于</w:t>
            </w:r>
            <w:r>
              <w:rPr>
                <w:rFonts w:hint="eastAsia"/>
                <w:color w:val="auto"/>
                <w:sz w:val="24"/>
                <w:szCs w:val="24"/>
                <w:highlight w:val="none"/>
                <w:lang w:val="en-US" w:eastAsia="zh-CN"/>
              </w:rPr>
              <w:t>唐山市高新区学院北路1718-1号，唐山烯彤科技有限公司院内，属于</w:t>
            </w:r>
            <w:r>
              <w:rPr>
                <w:rFonts w:hint="eastAsia"/>
                <w:color w:val="auto"/>
                <w:highlight w:val="none"/>
                <w:lang w:val="en-US" w:eastAsia="zh-CN"/>
              </w:rPr>
              <w:t>西部产业组团，主要对现有石墨烯电发热元件生产线进行改造，调整产品方案，购置石墨烯电发热膜相关设备，新增年产石墨烯电发热膜10000套/a，同时，新建节能速热电锅炉组装生产线，将石墨烯电发热体生产线生产的石墨烯电发热体与进购的机箱外壳、触摸控制板、耐高温线等零配件采用手工和螺丝进行组装</w:t>
            </w:r>
            <w:r>
              <w:rPr>
                <w:rFonts w:hint="eastAsia" w:ascii="Times New Roman" w:hAnsi="Times New Roman" w:eastAsia="宋体" w:cs="Times New Roman"/>
                <w:i w:val="0"/>
                <w:color w:val="auto"/>
                <w:kern w:val="0"/>
                <w:sz w:val="24"/>
                <w:szCs w:val="24"/>
                <w:u w:val="none"/>
                <w:lang w:val="en-US" w:eastAsia="zh-CN" w:bidi="ar"/>
              </w:rPr>
              <w:t>，生产节能速热电锅炉，</w:t>
            </w:r>
            <w:r>
              <w:rPr>
                <w:rFonts w:hint="eastAsia"/>
                <w:color w:val="auto"/>
                <w:highlight w:val="none"/>
                <w:lang w:val="en-US" w:eastAsia="zh-CN"/>
              </w:rPr>
              <w:t>属于新材料产业，符合北部拓展区西部产业组团产业定位。</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textAlignment w:val="auto"/>
              <w:rPr>
                <w:rFonts w:hint="default"/>
                <w:b/>
                <w:bCs/>
                <w:color w:val="auto"/>
                <w:sz w:val="24"/>
                <w:szCs w:val="24"/>
                <w:highlight w:val="none"/>
                <w:lang w:val="en-US" w:eastAsia="zh-CN"/>
              </w:rPr>
            </w:pPr>
            <w:r>
              <w:rPr>
                <w:rFonts w:hint="eastAsia"/>
                <w:b/>
                <w:bCs/>
                <w:color w:val="auto"/>
                <w:sz w:val="24"/>
                <w:szCs w:val="24"/>
                <w:highlight w:val="none"/>
                <w:lang w:val="en-US" w:eastAsia="zh-CN"/>
              </w:rPr>
              <w:t>2、项目与</w:t>
            </w:r>
            <w:r>
              <w:rPr>
                <w:rFonts w:hint="default"/>
                <w:b/>
                <w:bCs/>
                <w:color w:val="auto"/>
                <w:sz w:val="24"/>
                <w:szCs w:val="24"/>
                <w:highlight w:val="none"/>
                <w:lang w:val="en-US" w:eastAsia="zh-CN"/>
              </w:rPr>
              <w:t>规划环评结论的符合性分析</w:t>
            </w:r>
          </w:p>
          <w:p>
            <w:pPr>
              <w:bidi w:val="0"/>
              <w:rPr>
                <w:rFonts w:hint="eastAsia" w:ascii="Times New Roman" w:hAnsi="Times New Roman" w:eastAsia="宋体" w:cs="Times New Roman"/>
                <w:color w:val="auto"/>
                <w:sz w:val="24"/>
                <w:szCs w:val="24"/>
                <w:highlight w:val="none"/>
                <w:lang w:val="en-US" w:eastAsia="zh-CN"/>
              </w:rPr>
            </w:pPr>
            <w:r>
              <w:rPr>
                <w:rFonts w:hint="eastAsia"/>
                <w:color w:val="auto"/>
                <w:highlight w:val="none"/>
                <w:lang w:val="en-US" w:eastAsia="zh-CN"/>
              </w:rPr>
              <w:t>根据</w:t>
            </w:r>
            <w:r>
              <w:rPr>
                <w:rFonts w:hint="eastAsia"/>
                <w:color w:val="auto"/>
                <w:highlight w:val="none"/>
              </w:rPr>
              <w:t>《</w:t>
            </w:r>
            <w:r>
              <w:rPr>
                <w:rFonts w:hint="eastAsia"/>
                <w:color w:val="auto"/>
                <w:highlight w:val="none"/>
                <w:lang w:val="en-US" w:eastAsia="zh-CN"/>
              </w:rPr>
              <w:t>唐山高新区北部拓展区规划</w:t>
            </w:r>
            <w:r>
              <w:rPr>
                <w:rFonts w:hint="eastAsia"/>
                <w:color w:val="auto"/>
                <w:highlight w:val="none"/>
                <w:lang w:eastAsia="zh-CN"/>
              </w:rPr>
              <w:t>环境影响</w:t>
            </w:r>
            <w:r>
              <w:rPr>
                <w:rFonts w:hint="eastAsia"/>
                <w:color w:val="auto"/>
                <w:highlight w:val="none"/>
                <w:lang w:val="en-US" w:eastAsia="zh-CN"/>
              </w:rPr>
              <w:t>跟踪评价报告</w:t>
            </w:r>
            <w:r>
              <w:rPr>
                <w:rFonts w:hint="eastAsia"/>
                <w:color w:val="auto"/>
                <w:highlight w:val="none"/>
              </w:rPr>
              <w:t>》</w:t>
            </w:r>
            <w:r>
              <w:rPr>
                <w:rFonts w:hint="eastAsia"/>
                <w:color w:val="auto"/>
                <w:highlight w:val="none"/>
                <w:lang w:val="en-US" w:eastAsia="zh-CN"/>
              </w:rPr>
              <w:t>可知，</w:t>
            </w:r>
            <w:r>
              <w:rPr>
                <w:rFonts w:hint="eastAsia" w:cs="Times New Roman"/>
                <w:color w:val="auto"/>
                <w:sz w:val="24"/>
                <w:szCs w:val="24"/>
                <w:highlight w:val="none"/>
                <w:lang w:val="en-US" w:eastAsia="zh-CN"/>
              </w:rPr>
              <w:t>总体评价结论为</w:t>
            </w:r>
            <w:r>
              <w:rPr>
                <w:rFonts w:hint="eastAsia" w:ascii="Times New Roman" w:hAnsi="Times New Roman" w:eastAsia="宋体" w:cs="Times New Roman"/>
                <w:color w:val="auto"/>
                <w:sz w:val="24"/>
                <w:szCs w:val="24"/>
                <w:highlight w:val="none"/>
                <w:lang w:val="en-US" w:eastAsia="zh-CN"/>
              </w:rPr>
              <w:t>：“</w:t>
            </w:r>
            <w:r>
              <w:rPr>
                <w:rFonts w:hint="eastAsia"/>
                <w:color w:val="auto"/>
                <w:highlight w:val="none"/>
                <w:lang w:val="en-US" w:eastAsia="zh-CN"/>
              </w:rPr>
              <w:t>唐山高新区北部拓展区规划实施过程中，存在基础设施滞后，企业布局不符合规划等问题，应尽快整改到位。鉴于规划已经到期</w:t>
            </w:r>
            <w:r>
              <w:rPr>
                <w:color w:val="auto"/>
                <w:highlight w:val="none"/>
                <w:lang w:val="en-US" w:eastAsia="zh-CN"/>
              </w:rPr>
              <w:t>，</w:t>
            </w:r>
            <w:r>
              <w:rPr>
                <w:rFonts w:hint="eastAsia"/>
                <w:color w:val="auto"/>
                <w:highlight w:val="none"/>
                <w:lang w:val="en-US" w:eastAsia="zh-CN"/>
              </w:rPr>
              <w:t>建议</w:t>
            </w:r>
            <w:r>
              <w:rPr>
                <w:color w:val="auto"/>
                <w:highlight w:val="none"/>
                <w:lang w:val="en-US" w:eastAsia="zh-CN"/>
              </w:rPr>
              <w:t>根据</w:t>
            </w:r>
            <w:r>
              <w:rPr>
                <w:rFonts w:hint="eastAsia"/>
                <w:color w:val="auto"/>
                <w:highlight w:val="none"/>
                <w:lang w:val="en-US" w:eastAsia="zh-CN"/>
              </w:rPr>
              <w:t>新的国土空间规划及</w:t>
            </w:r>
            <w:r>
              <w:rPr>
                <w:color w:val="auto"/>
                <w:highlight w:val="none"/>
                <w:lang w:val="en-US" w:eastAsia="zh-CN"/>
              </w:rPr>
              <w:t>本评价提出的</w:t>
            </w:r>
            <w:r>
              <w:rPr>
                <w:rFonts w:hint="eastAsia"/>
                <w:color w:val="auto"/>
                <w:highlight w:val="none"/>
                <w:lang w:val="en-US" w:eastAsia="zh-CN"/>
              </w:rPr>
              <w:t>规划</w:t>
            </w:r>
            <w:r>
              <w:rPr>
                <w:color w:val="auto"/>
                <w:highlight w:val="none"/>
                <w:lang w:val="en-US" w:eastAsia="zh-CN"/>
              </w:rPr>
              <w:t>修订建议</w:t>
            </w:r>
            <w:r>
              <w:rPr>
                <w:rFonts w:hint="eastAsia"/>
                <w:color w:val="auto"/>
                <w:highlight w:val="none"/>
                <w:lang w:val="en-US" w:eastAsia="zh-CN"/>
              </w:rPr>
              <w:t>尽快启动新一轮总体规划的编制</w:t>
            </w:r>
            <w:r>
              <w:rPr>
                <w:color w:val="auto"/>
                <w:highlight w:val="none"/>
                <w:lang w:val="en-US" w:eastAsia="zh-CN"/>
              </w:rPr>
              <w:t>，并及时开展规划环境影响评价工作</w:t>
            </w:r>
            <w:r>
              <w:rPr>
                <w:rFonts w:hint="eastAsia" w:ascii="Times New Roman" w:hAnsi="Times New Roman" w:eastAsia="宋体" w:cs="Times New Roman"/>
                <w:color w:val="auto"/>
                <w:sz w:val="24"/>
                <w:szCs w:val="24"/>
                <w:highlight w:val="none"/>
                <w:lang w:val="en-US" w:eastAsia="zh-CN"/>
              </w:rPr>
              <w:t>。”</w:t>
            </w:r>
          </w:p>
          <w:p>
            <w:pPr>
              <w:bidi w:val="0"/>
              <w:rPr>
                <w:rFonts w:hint="eastAsia"/>
                <w:color w:val="auto"/>
                <w:highlight w:val="none"/>
                <w:lang w:val="en-US" w:eastAsia="zh-CN"/>
              </w:rPr>
            </w:pPr>
            <w:r>
              <w:rPr>
                <w:rFonts w:hint="eastAsia"/>
                <w:color w:val="auto"/>
                <w:highlight w:val="none"/>
                <w:lang w:val="en-US" w:eastAsia="zh-CN"/>
              </w:rPr>
              <w:t>本项目位于</w:t>
            </w:r>
            <w:r>
              <w:rPr>
                <w:rFonts w:hint="eastAsia"/>
                <w:color w:val="auto"/>
                <w:sz w:val="24"/>
                <w:szCs w:val="24"/>
                <w:highlight w:val="none"/>
                <w:lang w:val="en-US" w:eastAsia="zh-CN"/>
              </w:rPr>
              <w:t>唐山市高新区学院北路1718-1号，属于</w:t>
            </w:r>
            <w:r>
              <w:rPr>
                <w:rFonts w:hint="eastAsia"/>
                <w:color w:val="auto"/>
                <w:highlight w:val="none"/>
                <w:lang w:val="en-US" w:eastAsia="zh-CN"/>
              </w:rPr>
              <w:t>西部产业组团，主要对现有石墨烯电发热元件生产线进行改造，调整产品方案，购置石墨烯电发热膜相关设备，新增年产石墨烯电发热膜10000套/a，同时，新建节能速热电锅炉组装生产线，将石墨烯电发热体生产线生产的石墨烯电发热体与进购的机箱外壳、触摸控制板、耐高温线等零配件采用手工和螺丝进行组装</w:t>
            </w:r>
            <w:r>
              <w:rPr>
                <w:rFonts w:hint="eastAsia" w:ascii="Times New Roman" w:hAnsi="Times New Roman" w:eastAsia="宋体" w:cs="Times New Roman"/>
                <w:i w:val="0"/>
                <w:color w:val="auto"/>
                <w:kern w:val="0"/>
                <w:sz w:val="24"/>
                <w:szCs w:val="24"/>
                <w:u w:val="none"/>
                <w:lang w:val="en-US" w:eastAsia="zh-CN" w:bidi="ar"/>
              </w:rPr>
              <w:t>，生产节能速热电锅炉，</w:t>
            </w:r>
            <w:r>
              <w:rPr>
                <w:rFonts w:hint="eastAsia"/>
                <w:color w:val="auto"/>
                <w:highlight w:val="none"/>
                <w:lang w:val="en-US" w:eastAsia="zh-CN"/>
              </w:rPr>
              <w:t>属于新材料产业，符合北部拓展区西部产业组团产业定位。</w:t>
            </w:r>
            <w:r>
              <w:rPr>
                <w:rFonts w:hint="default" w:ascii="Times New Roman" w:hAnsi="Times New Roman" w:eastAsia="宋体" w:cs="Times New Roman"/>
                <w:color w:val="auto"/>
                <w:sz w:val="24"/>
                <w:szCs w:val="24"/>
                <w:highlight w:val="none"/>
                <w:lang w:val="en-US" w:eastAsia="zh-CN"/>
              </w:rPr>
              <w:t>因此，本项目符合规划环境影响评价结论的要求</w:t>
            </w:r>
            <w:r>
              <w:rPr>
                <w:rFonts w:hint="eastAsia" w:ascii="Times New Roman" w:hAnsi="Times New Roman" w:eastAsia="宋体" w:cs="Times New Roman"/>
                <w:color w:val="auto"/>
                <w:sz w:val="24"/>
                <w:szCs w:val="24"/>
                <w:highlight w:val="none"/>
                <w:lang w:val="en-US" w:eastAsia="zh-CN"/>
              </w:rPr>
              <w:t>。</w:t>
            </w:r>
          </w:p>
          <w:p>
            <w:pPr>
              <w:keepNext w:val="0"/>
              <w:keepLines w:val="0"/>
              <w:pageBreakBefore w:val="0"/>
              <w:widowControl w:val="0"/>
              <w:kinsoku/>
              <w:wordWrap/>
              <w:overflowPunct/>
              <w:topLinePunct w:val="0"/>
              <w:autoSpaceDE w:val="0"/>
              <w:autoSpaceDN w:val="0"/>
              <w:bidi w:val="0"/>
              <w:adjustRightInd w:val="0"/>
              <w:snapToGrid w:val="0"/>
              <w:spacing w:line="480" w:lineRule="exact"/>
              <w:ind w:left="0" w:leftChars="0" w:firstLine="0" w:firstLineChars="0"/>
              <w:jc w:val="left"/>
              <w:textAlignment w:val="auto"/>
              <w:rPr>
                <w:rFonts w:hint="default"/>
                <w:b/>
                <w:bCs/>
                <w:color w:val="auto"/>
                <w:highlight w:val="none"/>
                <w:lang w:val="en-US" w:eastAsia="zh-CN"/>
              </w:rPr>
            </w:pPr>
            <w:r>
              <w:rPr>
                <w:rFonts w:hint="eastAsia"/>
                <w:b/>
                <w:bCs/>
                <w:color w:val="auto"/>
                <w:highlight w:val="none"/>
                <w:lang w:val="en-US" w:eastAsia="zh-CN"/>
              </w:rPr>
              <w:t>3、与规划环境影响评价审查意见符合性分析</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color w:val="auto"/>
                <w:highlight w:val="none"/>
                <w:lang w:eastAsia="zh-CN"/>
              </w:rPr>
            </w:pPr>
            <w:r>
              <w:rPr>
                <w:rFonts w:hint="eastAsia"/>
                <w:color w:val="auto"/>
                <w:highlight w:val="none"/>
                <w:lang w:eastAsia="zh-CN"/>
              </w:rPr>
              <w:t>根据河北省</w:t>
            </w:r>
            <w:r>
              <w:rPr>
                <w:rFonts w:hint="eastAsia"/>
                <w:color w:val="auto"/>
                <w:highlight w:val="none"/>
                <w:lang w:val="en-US" w:eastAsia="zh-CN"/>
              </w:rPr>
              <w:t>环境保护</w:t>
            </w:r>
            <w:r>
              <w:rPr>
                <w:rFonts w:hint="eastAsia"/>
                <w:color w:val="auto"/>
                <w:highlight w:val="none"/>
                <w:lang w:eastAsia="zh-CN"/>
              </w:rPr>
              <w:t>厅出具的《关于转送</w:t>
            </w:r>
            <w:r>
              <w:rPr>
                <w:rFonts w:hint="eastAsia"/>
                <w:color w:val="auto"/>
                <w:highlight w:val="none"/>
                <w:lang w:val="en-US" w:eastAsia="zh-CN"/>
              </w:rPr>
              <w:t>唐山高新区北部拓展区规划环境影响报告书审查意见的函</w:t>
            </w:r>
            <w:r>
              <w:rPr>
                <w:rFonts w:hint="eastAsia"/>
                <w:color w:val="auto"/>
                <w:highlight w:val="none"/>
                <w:lang w:eastAsia="zh-CN"/>
              </w:rPr>
              <w:t>》（冀环评函[20</w:t>
            </w:r>
            <w:r>
              <w:rPr>
                <w:rFonts w:hint="eastAsia"/>
                <w:color w:val="auto"/>
                <w:highlight w:val="none"/>
                <w:lang w:val="en-US" w:eastAsia="zh-CN"/>
              </w:rPr>
              <w:t>14</w:t>
            </w:r>
            <w:r>
              <w:rPr>
                <w:rFonts w:hint="eastAsia"/>
                <w:color w:val="auto"/>
                <w:highlight w:val="none"/>
                <w:lang w:eastAsia="zh-CN"/>
              </w:rPr>
              <w:t xml:space="preserve">] </w:t>
            </w:r>
            <w:r>
              <w:rPr>
                <w:rFonts w:hint="eastAsia"/>
                <w:color w:val="auto"/>
                <w:highlight w:val="none"/>
                <w:lang w:val="en-US" w:eastAsia="zh-CN"/>
              </w:rPr>
              <w:t>1011</w:t>
            </w:r>
            <w:r>
              <w:rPr>
                <w:rFonts w:hint="eastAsia"/>
                <w:color w:val="auto"/>
                <w:highlight w:val="none"/>
                <w:lang w:eastAsia="zh-CN"/>
              </w:rPr>
              <w:t>号），项目与规划环评审查意见的符合性分析详见下表。</w:t>
            </w:r>
          </w:p>
          <w:p>
            <w:pPr>
              <w:pStyle w:val="31"/>
              <w:bidi w:val="0"/>
              <w:rPr>
                <w:rFonts w:hint="eastAsia"/>
                <w:color w:val="auto"/>
                <w:highlight w:val="none"/>
              </w:rPr>
            </w:pPr>
            <w:r>
              <w:rPr>
                <w:rFonts w:hint="eastAsia"/>
                <w:color w:val="auto"/>
                <w:highlight w:val="none"/>
              </w:rPr>
              <w:t>表</w:t>
            </w:r>
            <w:r>
              <w:rPr>
                <w:rFonts w:hint="eastAsia"/>
                <w:color w:val="auto"/>
                <w:highlight w:val="none"/>
                <w:lang w:val="en-US" w:eastAsia="zh-CN"/>
              </w:rPr>
              <w:t xml:space="preserve">1  </w:t>
            </w:r>
            <w:r>
              <w:rPr>
                <w:rFonts w:hint="eastAsia"/>
                <w:color w:val="auto"/>
                <w:highlight w:val="none"/>
              </w:rPr>
              <w:t>园区</w:t>
            </w:r>
            <w:r>
              <w:rPr>
                <w:rFonts w:hint="eastAsia"/>
                <w:color w:val="auto"/>
                <w:highlight w:val="none"/>
                <w:lang w:eastAsia="zh-CN"/>
              </w:rPr>
              <w:t>规划环评审查意见</w:t>
            </w:r>
            <w:r>
              <w:rPr>
                <w:rFonts w:hint="eastAsia"/>
                <w:color w:val="auto"/>
                <w:highlight w:val="none"/>
              </w:rPr>
              <w:t>符合性分析一览表</w:t>
            </w:r>
          </w:p>
          <w:tbl>
            <w:tblPr>
              <w:tblStyle w:val="24"/>
              <w:tblW w:w="742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03"/>
              <w:gridCol w:w="3960"/>
              <w:gridCol w:w="2154"/>
              <w:gridCol w:w="81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5" w:hRule="atLeast"/>
                <w:jc w:val="center"/>
              </w:trPr>
              <w:tc>
                <w:tcPr>
                  <w:tcW w:w="503" w:type="dxa"/>
                  <w:noWrap w:val="0"/>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outlineLvl w:val="9"/>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序号</w:t>
                  </w:r>
                </w:p>
              </w:tc>
              <w:tc>
                <w:tcPr>
                  <w:tcW w:w="3960" w:type="dxa"/>
                  <w:noWrap w:val="0"/>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园区审查意见</w:t>
                  </w:r>
                </w:p>
              </w:tc>
              <w:tc>
                <w:tcPr>
                  <w:tcW w:w="2154" w:type="dxa"/>
                  <w:noWrap w:val="0"/>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本项目</w:t>
                  </w:r>
                  <w:r>
                    <w:rPr>
                      <w:rFonts w:hint="eastAsia" w:ascii="Times New Roman" w:hAnsi="Times New Roman" w:eastAsia="宋体" w:cs="Times New Roman"/>
                      <w:color w:val="auto"/>
                      <w:sz w:val="21"/>
                      <w:szCs w:val="21"/>
                      <w:highlight w:val="none"/>
                      <w:lang w:val="en-US" w:eastAsia="zh-CN"/>
                    </w:rPr>
                    <w:t>情况</w:t>
                  </w:r>
                </w:p>
              </w:tc>
              <w:tc>
                <w:tcPr>
                  <w:tcW w:w="810" w:type="dxa"/>
                  <w:noWrap w:val="0"/>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本项目符合性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30" w:hRule="atLeast"/>
                <w:jc w:val="center"/>
              </w:trPr>
              <w:tc>
                <w:tcPr>
                  <w:tcW w:w="503" w:type="dxa"/>
                  <w:noWrap w:val="0"/>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outlineLvl w:val="9"/>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w:t>
                  </w:r>
                </w:p>
              </w:tc>
              <w:tc>
                <w:tcPr>
                  <w:tcW w:w="3960" w:type="dxa"/>
                  <w:noWrap w:val="0"/>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outlineLvl w:val="9"/>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强化循环经济和低碳经济理念，贯彻清洁生产、达标排放、总量控制原则、做到环境建设与开发区建设同步规划、同步实施、同步发展，做到产业发展方向与循环经济产业链条延伸相协调，经济效益、社会效益与环境效益相统一，将开发区建成环境保护与经济协调发展的新型开发区。</w:t>
                  </w:r>
                </w:p>
              </w:tc>
              <w:tc>
                <w:tcPr>
                  <w:tcW w:w="2154" w:type="dxa"/>
                  <w:noWrap w:val="0"/>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本项目污染物排放均满足排放</w:t>
                  </w:r>
                  <w:r>
                    <w:rPr>
                      <w:rFonts w:hint="eastAsia" w:cs="Times New Roman"/>
                      <w:color w:val="auto"/>
                      <w:sz w:val="21"/>
                      <w:szCs w:val="21"/>
                      <w:highlight w:val="none"/>
                      <w:lang w:val="en-US" w:eastAsia="zh-CN"/>
                    </w:rPr>
                    <w:t>标准</w:t>
                  </w:r>
                  <w:r>
                    <w:rPr>
                      <w:rFonts w:hint="eastAsia" w:ascii="Times New Roman" w:hAnsi="Times New Roman" w:eastAsia="宋体" w:cs="Times New Roman"/>
                      <w:color w:val="auto"/>
                      <w:sz w:val="21"/>
                      <w:szCs w:val="21"/>
                      <w:highlight w:val="none"/>
                      <w:lang w:val="en-US" w:eastAsia="zh-CN"/>
                    </w:rPr>
                    <w:t>要求。</w:t>
                  </w:r>
                </w:p>
              </w:tc>
              <w:tc>
                <w:tcPr>
                  <w:tcW w:w="810" w:type="dxa"/>
                  <w:noWrap w:val="0"/>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outlineLvl w:val="9"/>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符合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993" w:hRule="atLeast"/>
                <w:jc w:val="center"/>
              </w:trPr>
              <w:tc>
                <w:tcPr>
                  <w:tcW w:w="503" w:type="dxa"/>
                  <w:noWrap w:val="0"/>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outlineLvl w:val="9"/>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2</w:t>
                  </w:r>
                </w:p>
              </w:tc>
              <w:tc>
                <w:tcPr>
                  <w:tcW w:w="3960" w:type="dxa"/>
                  <w:noWrap w:val="0"/>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严格项目准入，科学规划发展产业。开发区发展要与区域生态功能相协调，符合国家产业政策。入区企业应符合《产业结构调整指导目录（2011年本）》、《关于抑制部分行业产能过剩和重复建设引导产业健康发展的若干意见》和《河北省人民政府关于河北省区域禁（限）批建设项目实施意见（试行）》等文件具体的规定要求，严防三类工业项目进入园。</w:t>
                  </w:r>
                </w:p>
              </w:tc>
              <w:tc>
                <w:tcPr>
                  <w:tcW w:w="2154" w:type="dxa"/>
                  <w:noWrap w:val="0"/>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本项目不在《产业结构调整指导目录（2019年本）》（2021年修订）中限制类、淘汰类项目之列，同时不在《河北省新增限制和淘汰类产业目录》（2015年版）之内，不属于三类工业项目。</w:t>
                  </w:r>
                </w:p>
              </w:tc>
              <w:tc>
                <w:tcPr>
                  <w:tcW w:w="810" w:type="dxa"/>
                  <w:noWrap w:val="0"/>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符合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22" w:hRule="atLeast"/>
                <w:jc w:val="center"/>
              </w:trPr>
              <w:tc>
                <w:tcPr>
                  <w:tcW w:w="503" w:type="dxa"/>
                  <w:noWrap w:val="0"/>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outlineLvl w:val="9"/>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3</w:t>
                  </w:r>
                </w:p>
              </w:tc>
              <w:tc>
                <w:tcPr>
                  <w:tcW w:w="3960" w:type="dxa"/>
                  <w:noWrap w:val="0"/>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科学调整开发区规划布局和范围。开发区逐步形成以一、二类工业用地为主导的规划格局。重点发展一类工业的高新技术产业和新兴加工制造业，远期扩区结合产业区的发展统一考虑，仓储用地以一类物流仓储用地为主，禁止设置三类物流仓储用地。</w:t>
                  </w:r>
                </w:p>
              </w:tc>
              <w:tc>
                <w:tcPr>
                  <w:tcW w:w="2154" w:type="dxa"/>
                  <w:noWrap w:val="0"/>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本项目占地为</w:t>
                  </w:r>
                  <w:r>
                    <w:rPr>
                      <w:rFonts w:hint="eastAsia" w:cs="Times New Roman"/>
                      <w:color w:val="auto"/>
                      <w:sz w:val="21"/>
                      <w:szCs w:val="21"/>
                      <w:highlight w:val="none"/>
                      <w:lang w:val="en-US" w:eastAsia="zh-CN"/>
                    </w:rPr>
                    <w:t>工业用地</w:t>
                  </w:r>
                  <w:r>
                    <w:rPr>
                      <w:rFonts w:hint="eastAsia" w:ascii="Times New Roman" w:hAnsi="Times New Roman" w:eastAsia="宋体" w:cs="Times New Roman"/>
                      <w:color w:val="auto"/>
                      <w:sz w:val="21"/>
                      <w:szCs w:val="21"/>
                      <w:highlight w:val="none"/>
                      <w:lang w:val="en-US" w:eastAsia="zh-CN"/>
                    </w:rPr>
                    <w:t>，污染较小</w:t>
                  </w:r>
                  <w:r>
                    <w:rPr>
                      <w:rFonts w:hint="eastAsia" w:cs="Times New Roman"/>
                      <w:color w:val="auto"/>
                      <w:sz w:val="21"/>
                      <w:szCs w:val="21"/>
                      <w:highlight w:val="none"/>
                      <w:lang w:val="en-US" w:eastAsia="zh-CN"/>
                    </w:rPr>
                    <w:t>。</w:t>
                  </w:r>
                </w:p>
              </w:tc>
              <w:tc>
                <w:tcPr>
                  <w:tcW w:w="810" w:type="dxa"/>
                  <w:noWrap w:val="0"/>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outlineLvl w:val="9"/>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符合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93" w:hRule="atLeast"/>
                <w:jc w:val="center"/>
              </w:trPr>
              <w:tc>
                <w:tcPr>
                  <w:tcW w:w="503" w:type="dxa"/>
                  <w:noWrap w:val="0"/>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4</w:t>
                  </w:r>
                </w:p>
              </w:tc>
              <w:tc>
                <w:tcPr>
                  <w:tcW w:w="3960" w:type="dxa"/>
                  <w:noWrap w:val="0"/>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outlineLvl w:val="9"/>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注重园区发展与水资源承载力相协调。提高水资源利用率和再生水回用率，做到以水定产，以水定规模。</w:t>
                  </w:r>
                </w:p>
              </w:tc>
              <w:tc>
                <w:tcPr>
                  <w:tcW w:w="2154" w:type="dxa"/>
                  <w:noWrap w:val="0"/>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项目不属于高耗水行业。</w:t>
                  </w:r>
                </w:p>
              </w:tc>
              <w:tc>
                <w:tcPr>
                  <w:tcW w:w="810" w:type="dxa"/>
                  <w:noWrap w:val="0"/>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outlineLvl w:val="9"/>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符合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25" w:hRule="atLeast"/>
                <w:jc w:val="center"/>
              </w:trPr>
              <w:tc>
                <w:tcPr>
                  <w:tcW w:w="503" w:type="dxa"/>
                  <w:noWrap w:val="0"/>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5</w:t>
                  </w:r>
                </w:p>
              </w:tc>
              <w:tc>
                <w:tcPr>
                  <w:tcW w:w="3960" w:type="dxa"/>
                  <w:noWrap w:val="0"/>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outlineLvl w:val="9"/>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调整土地利用规划，严格执行国家土地管理政策。对占用的耕地实施先补后占，实现“占补平衡”，确保项目占地符合国家相关要求</w:t>
                  </w:r>
                </w:p>
              </w:tc>
              <w:tc>
                <w:tcPr>
                  <w:tcW w:w="2154" w:type="dxa"/>
                  <w:noWrap w:val="0"/>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本项目</w:t>
                  </w:r>
                  <w:r>
                    <w:rPr>
                      <w:rFonts w:hint="eastAsia" w:eastAsia="宋体" w:cs="Times New Roman"/>
                      <w:color w:val="auto"/>
                      <w:sz w:val="21"/>
                      <w:szCs w:val="21"/>
                      <w:highlight w:val="none"/>
                      <w:lang w:val="en-US" w:eastAsia="zh-CN"/>
                    </w:rPr>
                    <w:t>在现有厂区内建设，不新增占地</w:t>
                  </w:r>
                  <w:r>
                    <w:rPr>
                      <w:rFonts w:hint="eastAsia" w:cs="Times New Roman"/>
                      <w:color w:val="auto"/>
                      <w:sz w:val="21"/>
                      <w:szCs w:val="21"/>
                      <w:highlight w:val="none"/>
                      <w:lang w:val="en-US" w:eastAsia="zh-CN"/>
                    </w:rPr>
                    <w:t>，用地类型为工业用地。</w:t>
                  </w:r>
                </w:p>
              </w:tc>
              <w:tc>
                <w:tcPr>
                  <w:tcW w:w="810" w:type="dxa"/>
                  <w:noWrap w:val="0"/>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outlineLvl w:val="9"/>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符合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88" w:hRule="atLeast"/>
                <w:jc w:val="center"/>
              </w:trPr>
              <w:tc>
                <w:tcPr>
                  <w:tcW w:w="503" w:type="dxa"/>
                  <w:noWrap w:val="0"/>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6</w:t>
                  </w:r>
                </w:p>
              </w:tc>
              <w:tc>
                <w:tcPr>
                  <w:tcW w:w="3960" w:type="dxa"/>
                  <w:noWrap w:val="0"/>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outlineLvl w:val="9"/>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加强区域污染防治，做好环境应急预案制定、备案、修订等工作。严格落实各项环境风险防范措施和污染应急预案，加强风险事故情况下的环境污染防范措施和应急处置，防止对饮用水水源保护区等环境敏感点造成影响</w:t>
                  </w:r>
                </w:p>
              </w:tc>
              <w:tc>
                <w:tcPr>
                  <w:tcW w:w="2154" w:type="dxa"/>
                  <w:noWrap w:val="0"/>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本项目完成后</w:t>
                  </w:r>
                  <w:r>
                    <w:rPr>
                      <w:rFonts w:hint="eastAsia" w:cs="Times New Roman"/>
                      <w:color w:val="auto"/>
                      <w:sz w:val="21"/>
                      <w:szCs w:val="21"/>
                      <w:highlight w:val="none"/>
                      <w:lang w:val="en-US" w:eastAsia="zh-CN"/>
                    </w:rPr>
                    <w:t>对突发环境事件应急预案进行修编</w:t>
                  </w:r>
                </w:p>
              </w:tc>
              <w:tc>
                <w:tcPr>
                  <w:tcW w:w="810" w:type="dxa"/>
                  <w:noWrap w:val="0"/>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outlineLvl w:val="9"/>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符合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713" w:hRule="atLeast"/>
                <w:jc w:val="center"/>
              </w:trPr>
              <w:tc>
                <w:tcPr>
                  <w:tcW w:w="503" w:type="dxa"/>
                  <w:noWrap w:val="0"/>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7</w:t>
                  </w:r>
                </w:p>
              </w:tc>
              <w:tc>
                <w:tcPr>
                  <w:tcW w:w="3960" w:type="dxa"/>
                  <w:noWrap w:val="0"/>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outlineLvl w:val="9"/>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属于规划范围内的建设项目应按审批权限和程序履行环评审批手续，开发区排污总量控制应符合省、市确定的总量控制要求。</w:t>
                  </w:r>
                </w:p>
              </w:tc>
              <w:tc>
                <w:tcPr>
                  <w:tcW w:w="2154" w:type="dxa"/>
                  <w:noWrap w:val="0"/>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outlineLvl w:val="9"/>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本项目采用的污染防治措施可实现各类污染物达标排放，污染物排放总量满足总量控制指标的要求。</w:t>
                  </w:r>
                </w:p>
              </w:tc>
              <w:tc>
                <w:tcPr>
                  <w:tcW w:w="810" w:type="dxa"/>
                  <w:noWrap w:val="0"/>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outlineLvl w:val="9"/>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符合</w:t>
                  </w:r>
                </w:p>
              </w:tc>
            </w:tr>
          </w:tbl>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color w:val="auto"/>
                <w:highlight w:val="none"/>
                <w:lang w:val="en-US" w:eastAsia="zh-CN"/>
              </w:rPr>
            </w:pPr>
            <w:r>
              <w:rPr>
                <w:rFonts w:hint="eastAsia"/>
                <w:color w:val="auto"/>
                <w:highlight w:val="none"/>
                <w:lang w:val="en-US" w:eastAsia="zh-CN"/>
              </w:rPr>
              <w:t>由上表可知，本项目的建设符合</w:t>
            </w:r>
            <w:r>
              <w:rPr>
                <w:rFonts w:hint="eastAsia"/>
                <w:color w:val="auto"/>
                <w:highlight w:val="none"/>
              </w:rPr>
              <w:t>园区</w:t>
            </w:r>
            <w:r>
              <w:rPr>
                <w:rFonts w:hint="eastAsia"/>
                <w:color w:val="auto"/>
                <w:highlight w:val="none"/>
                <w:lang w:eastAsia="zh-CN"/>
              </w:rPr>
              <w:t>规划环评审查意见</w:t>
            </w:r>
            <w:r>
              <w:rPr>
                <w:rFonts w:hint="eastAsia"/>
                <w:color w:val="auto"/>
                <w:highlight w:val="none"/>
                <w:lang w:val="en-US" w:eastAsia="zh-CN"/>
              </w:rPr>
              <w:t>的要求。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67" w:hRule="atLeast"/>
          <w:jc w:val="center"/>
        </w:trPr>
        <w:tc>
          <w:tcPr>
            <w:tcW w:w="1722"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其他符合性分析</w:t>
            </w:r>
          </w:p>
        </w:tc>
        <w:tc>
          <w:tcPr>
            <w:tcW w:w="7632" w:type="dxa"/>
            <w:gridSpan w:val="3"/>
            <w:noWrap w:val="0"/>
            <w:vAlign w:val="center"/>
          </w:tcPr>
          <w:p>
            <w:pPr>
              <w:pStyle w:val="21"/>
              <w:keepNext w:val="0"/>
              <w:keepLines w:val="0"/>
              <w:pageBreakBefore w:val="0"/>
              <w:widowControl w:val="0"/>
              <w:suppressLineNumbers w:val="0"/>
              <w:kinsoku/>
              <w:wordWrap/>
              <w:overflowPunct/>
              <w:topLinePunct w:val="0"/>
              <w:bidi w:val="0"/>
              <w:snapToGrid/>
              <w:spacing w:before="0" w:beforeAutospacing="0" w:after="0" w:afterAutospacing="0" w:line="480" w:lineRule="exact"/>
              <w:ind w:left="0" w:leftChars="0" w:right="0" w:firstLine="0" w:firstLineChars="0"/>
              <w:jc w:val="both"/>
              <w:textAlignment w:val="auto"/>
              <w:rPr>
                <w:rFonts w:hint="default" w:ascii="Times New Roman" w:hAnsi="Times New Roman" w:cs="Times New Roman"/>
                <w:b/>
                <w:bCs w:val="0"/>
                <w:color w:val="auto"/>
                <w:sz w:val="24"/>
                <w:szCs w:val="24"/>
                <w:highlight w:val="none"/>
              </w:rPr>
            </w:pPr>
            <w:r>
              <w:rPr>
                <w:rFonts w:hint="eastAsia" w:ascii="Times New Roman" w:hAnsi="Times New Roman" w:cs="Times New Roman"/>
                <w:b/>
                <w:bCs w:val="0"/>
                <w:color w:val="auto"/>
                <w:kern w:val="2"/>
                <w:sz w:val="24"/>
                <w:szCs w:val="24"/>
                <w:highlight w:val="none"/>
                <w:lang w:val="en-US" w:eastAsia="zh-CN" w:bidi="ar"/>
              </w:rPr>
              <w:t>1、产业政策</w:t>
            </w:r>
            <w:r>
              <w:rPr>
                <w:rFonts w:hint="default" w:ascii="Times New Roman" w:hAnsi="Times New Roman" w:cs="Times New Roman"/>
                <w:b/>
                <w:bCs w:val="0"/>
                <w:color w:val="auto"/>
                <w:kern w:val="2"/>
                <w:sz w:val="24"/>
                <w:szCs w:val="24"/>
                <w:highlight w:val="none"/>
                <w:lang w:bidi="ar"/>
              </w:rPr>
              <w:t>相符性分析</w:t>
            </w:r>
          </w:p>
          <w:p>
            <w:pPr>
              <w:keepNext w:val="0"/>
              <w:keepLines w:val="0"/>
              <w:pageBreakBefore w:val="0"/>
              <w:widowControl w:val="0"/>
              <w:tabs>
                <w:tab w:val="left" w:pos="3150"/>
              </w:tabs>
              <w:kinsoku/>
              <w:wordWrap/>
              <w:overflowPunct/>
              <w:topLinePunct w:val="0"/>
              <w:bidi w:val="0"/>
              <w:spacing w:line="480" w:lineRule="exact"/>
              <w:ind w:firstLine="480" w:firstLineChars="200"/>
              <w:textAlignment w:val="auto"/>
              <w:rPr>
                <w:rFonts w:hint="eastAsia"/>
                <w:color w:val="auto"/>
                <w:sz w:val="24"/>
                <w:szCs w:val="24"/>
                <w:highlight w:val="none"/>
                <w:lang w:val="en-US" w:eastAsia="zh-CN"/>
              </w:rPr>
            </w:pPr>
            <w:r>
              <w:rPr>
                <w:rFonts w:hint="eastAsia" w:ascii="Times New Roman" w:hAnsi="Times New Roman" w:eastAsia="宋体" w:cs="Times New Roman"/>
                <w:color w:val="auto"/>
                <w:sz w:val="24"/>
                <w:highlight w:val="none"/>
              </w:rPr>
              <w:t>本项目</w:t>
            </w:r>
            <w:r>
              <w:rPr>
                <w:rFonts w:ascii="Times New Roman" w:hAnsi="Times New Roman" w:eastAsia="宋体" w:cs="Times New Roman"/>
                <w:color w:val="auto"/>
                <w:sz w:val="24"/>
                <w:highlight w:val="none"/>
              </w:rPr>
              <w:t>不</w:t>
            </w:r>
            <w:r>
              <w:rPr>
                <w:rFonts w:hint="eastAsia" w:ascii="Times New Roman" w:hAnsi="Times New Roman" w:eastAsia="宋体" w:cs="Times New Roman"/>
                <w:color w:val="auto"/>
                <w:sz w:val="24"/>
                <w:highlight w:val="none"/>
                <w:lang w:val="en-US" w:eastAsia="zh-CN"/>
              </w:rPr>
              <w:t>属于</w:t>
            </w:r>
            <w:r>
              <w:rPr>
                <w:rFonts w:hint="eastAsia" w:ascii="Times New Roman" w:hAnsi="Times New Roman" w:eastAsia="宋体" w:cs="Times New Roman"/>
                <w:color w:val="auto"/>
                <w:sz w:val="24"/>
                <w:highlight w:val="none"/>
                <w:lang w:eastAsia="zh-CN"/>
              </w:rPr>
              <w:t>《</w:t>
            </w:r>
            <w:r>
              <w:rPr>
                <w:rFonts w:hint="eastAsia" w:ascii="Times New Roman" w:hAnsi="Times New Roman" w:eastAsia="宋体" w:cs="Times New Roman"/>
                <w:color w:val="auto"/>
                <w:sz w:val="24"/>
                <w:highlight w:val="none"/>
                <w:lang w:val="en-US" w:eastAsia="zh-CN"/>
              </w:rPr>
              <w:t>河北省禁止投资的产业目录（2014年版）</w:t>
            </w:r>
            <w:r>
              <w:rPr>
                <w:rFonts w:hint="eastAsia" w:ascii="Times New Roman" w:hAnsi="Times New Roman" w:eastAsia="宋体" w:cs="Times New Roman"/>
                <w:color w:val="auto"/>
                <w:sz w:val="24"/>
                <w:highlight w:val="none"/>
                <w:lang w:eastAsia="zh-CN"/>
              </w:rPr>
              <w:t>》</w:t>
            </w:r>
            <w:r>
              <w:rPr>
                <w:rFonts w:hint="eastAsia" w:ascii="Times New Roman" w:hAnsi="Times New Roman" w:eastAsia="宋体" w:cs="Times New Roman"/>
                <w:color w:val="auto"/>
                <w:sz w:val="24"/>
                <w:highlight w:val="none"/>
                <w:lang w:val="en-US" w:eastAsia="zh-CN"/>
              </w:rPr>
              <w:t>中禁止投资的产业项目；不属于《市场准入负面清单（202</w:t>
            </w:r>
            <w:r>
              <w:rPr>
                <w:rFonts w:hint="eastAsia" w:cs="Times New Roman"/>
                <w:color w:val="auto"/>
                <w:sz w:val="24"/>
                <w:highlight w:val="none"/>
                <w:lang w:val="en-US" w:eastAsia="zh-CN"/>
              </w:rPr>
              <w:t>2</w:t>
            </w:r>
            <w:r>
              <w:rPr>
                <w:rFonts w:hint="eastAsia" w:ascii="Times New Roman" w:hAnsi="Times New Roman" w:eastAsia="宋体" w:cs="Times New Roman"/>
                <w:color w:val="auto"/>
                <w:sz w:val="24"/>
                <w:highlight w:val="none"/>
                <w:lang w:val="en-US" w:eastAsia="zh-CN"/>
              </w:rPr>
              <w:t>年版）》中禁止类项目；</w:t>
            </w:r>
            <w:r>
              <w:rPr>
                <w:rFonts w:hint="eastAsia" w:cs="Times New Roman"/>
                <w:color w:val="auto"/>
                <w:sz w:val="24"/>
                <w:highlight w:val="none"/>
                <w:lang w:val="en-US" w:eastAsia="zh-CN"/>
              </w:rPr>
              <w:t>属于</w:t>
            </w:r>
            <w:r>
              <w:rPr>
                <w:rFonts w:ascii="Times New Roman" w:hAnsi="Times New Roman" w:eastAsia="宋体" w:cs="Times New Roman"/>
                <w:color w:val="auto"/>
                <w:sz w:val="24"/>
                <w:highlight w:val="none"/>
              </w:rPr>
              <w:t>《产业结构调整指导目录（201</w:t>
            </w:r>
            <w:r>
              <w:rPr>
                <w:rFonts w:hint="eastAsia" w:ascii="Times New Roman" w:hAnsi="Times New Roman" w:eastAsia="宋体" w:cs="Times New Roman"/>
                <w:color w:val="auto"/>
                <w:sz w:val="24"/>
                <w:highlight w:val="none"/>
              </w:rPr>
              <w:t>9</w:t>
            </w:r>
            <w:r>
              <w:rPr>
                <w:rFonts w:ascii="Times New Roman" w:hAnsi="Times New Roman" w:eastAsia="宋体" w:cs="Times New Roman"/>
                <w:color w:val="auto"/>
                <w:sz w:val="24"/>
                <w:highlight w:val="none"/>
              </w:rPr>
              <w:t>年本）》</w:t>
            </w:r>
            <w:r>
              <w:rPr>
                <w:rFonts w:hint="eastAsia" w:cs="Times New Roman"/>
                <w:color w:val="auto"/>
                <w:sz w:val="24"/>
                <w:highlight w:val="none"/>
                <w:lang w:eastAsia="zh-CN"/>
              </w:rPr>
              <w:t>（</w:t>
            </w:r>
            <w:r>
              <w:rPr>
                <w:rFonts w:hint="eastAsia" w:cs="Times New Roman"/>
                <w:color w:val="auto"/>
                <w:sz w:val="24"/>
                <w:highlight w:val="none"/>
                <w:lang w:val="en-US" w:eastAsia="zh-CN"/>
              </w:rPr>
              <w:t>2021年修订</w:t>
            </w:r>
            <w:r>
              <w:rPr>
                <w:rFonts w:hint="eastAsia" w:cs="Times New Roman"/>
                <w:color w:val="auto"/>
                <w:sz w:val="24"/>
                <w:highlight w:val="none"/>
                <w:lang w:eastAsia="zh-CN"/>
              </w:rPr>
              <w:t>）</w:t>
            </w:r>
            <w:r>
              <w:rPr>
                <w:rFonts w:ascii="Times New Roman" w:hAnsi="Times New Roman" w:eastAsia="宋体" w:cs="Times New Roman"/>
                <w:color w:val="auto"/>
                <w:sz w:val="24"/>
                <w:highlight w:val="none"/>
              </w:rPr>
              <w:t>中</w:t>
            </w:r>
            <w:r>
              <w:rPr>
                <w:rFonts w:hint="eastAsia" w:cs="Times New Roman"/>
                <w:color w:val="auto"/>
                <w:sz w:val="24"/>
                <w:highlight w:val="none"/>
                <w:lang w:val="en-US" w:eastAsia="zh-CN"/>
              </w:rPr>
              <w:t>鼓励类-十二、建材-石墨烯材料生产及应用开发</w:t>
            </w:r>
            <w:r>
              <w:rPr>
                <w:rFonts w:ascii="Times New Roman" w:hAnsi="Times New Roman" w:eastAsia="宋体" w:cs="Times New Roman"/>
                <w:color w:val="auto"/>
                <w:sz w:val="24"/>
                <w:highlight w:val="none"/>
              </w:rPr>
              <w:t>，同时不在《河北省新增限制和淘汰类产业目录》</w:t>
            </w:r>
            <w:r>
              <w:rPr>
                <w:rFonts w:hint="eastAsia" w:cs="Times New Roman"/>
                <w:color w:val="auto"/>
                <w:sz w:val="24"/>
                <w:highlight w:val="none"/>
                <w:lang w:eastAsia="zh-CN"/>
              </w:rPr>
              <w:t>（</w:t>
            </w:r>
            <w:r>
              <w:rPr>
                <w:rFonts w:hint="eastAsia" w:cs="Times New Roman"/>
                <w:color w:val="auto"/>
                <w:sz w:val="24"/>
                <w:highlight w:val="none"/>
                <w:lang w:val="en-US" w:eastAsia="zh-CN"/>
              </w:rPr>
              <w:t>2015年版</w:t>
            </w:r>
            <w:r>
              <w:rPr>
                <w:rFonts w:hint="eastAsia" w:cs="Times New Roman"/>
                <w:color w:val="auto"/>
                <w:sz w:val="24"/>
                <w:highlight w:val="none"/>
                <w:lang w:eastAsia="zh-CN"/>
              </w:rPr>
              <w:t>）</w:t>
            </w:r>
            <w:r>
              <w:rPr>
                <w:rFonts w:ascii="Times New Roman" w:hAnsi="Times New Roman" w:eastAsia="宋体" w:cs="Times New Roman"/>
                <w:color w:val="auto"/>
                <w:sz w:val="24"/>
                <w:highlight w:val="none"/>
              </w:rPr>
              <w:t>之内</w:t>
            </w:r>
            <w:r>
              <w:rPr>
                <w:rFonts w:hint="eastAsia" w:ascii="Times New Roman" w:hAnsi="Times New Roman" w:eastAsia="宋体" w:cs="Times New Roman"/>
                <w:color w:val="auto"/>
                <w:sz w:val="24"/>
                <w:highlight w:val="none"/>
                <w:lang w:eastAsia="zh-CN"/>
              </w:rPr>
              <w:t>，</w:t>
            </w:r>
            <w:r>
              <w:rPr>
                <w:rFonts w:hint="eastAsia" w:ascii="Times New Roman" w:hAnsi="Times New Roman" w:eastAsia="宋体" w:cs="Times New Roman"/>
                <w:color w:val="auto"/>
                <w:sz w:val="24"/>
                <w:highlight w:val="none"/>
                <w:lang w:val="en-US" w:eastAsia="zh-CN"/>
              </w:rPr>
              <w:t>并</w:t>
            </w:r>
            <w:r>
              <w:rPr>
                <w:rFonts w:hint="eastAsia"/>
                <w:color w:val="auto"/>
                <w:sz w:val="24"/>
                <w:szCs w:val="24"/>
                <w:highlight w:val="none"/>
                <w:lang w:val="en-US" w:eastAsia="zh-CN"/>
              </w:rPr>
              <w:t>且本项目已通过唐山高新技术产业开发区行政审批局备案（唐高备字[2023]37号），因此，本项目符合国家及地方产业政策。</w:t>
            </w:r>
          </w:p>
          <w:p>
            <w:pPr>
              <w:numPr>
                <w:ilvl w:val="0"/>
                <w:numId w:val="0"/>
              </w:numPr>
              <w:ind w:leftChars="0"/>
              <w:rPr>
                <w:rFonts w:hint="default" w:ascii="Times New Roman" w:hAnsi="Times New Roman" w:cs="Times New Roman"/>
                <w:b/>
                <w:bCs/>
                <w:smallCaps w:val="0"/>
                <w:color w:val="auto"/>
                <w:spacing w:val="0"/>
                <w:position w:val="0"/>
                <w:sz w:val="24"/>
                <w:szCs w:val="24"/>
                <w:highlight w:val="none"/>
                <w:lang w:val="en-US" w:eastAsia="zh-CN"/>
              </w:rPr>
            </w:pPr>
            <w:r>
              <w:rPr>
                <w:rFonts w:hint="eastAsia" w:ascii="Times New Roman" w:hAnsi="Times New Roman" w:cs="Times New Roman"/>
                <w:b/>
                <w:bCs/>
                <w:smallCaps w:val="0"/>
                <w:color w:val="auto"/>
                <w:spacing w:val="0"/>
                <w:position w:val="0"/>
                <w:sz w:val="24"/>
                <w:szCs w:val="24"/>
                <w:highlight w:val="none"/>
                <w:lang w:val="en-US" w:eastAsia="zh-CN"/>
              </w:rPr>
              <w:t>2、</w:t>
            </w:r>
            <w:r>
              <w:rPr>
                <w:rFonts w:hint="eastAsia" w:cs="Times New Roman"/>
                <w:b/>
                <w:bCs/>
                <w:smallCaps w:val="0"/>
                <w:color w:val="auto"/>
                <w:spacing w:val="0"/>
                <w:position w:val="0"/>
                <w:sz w:val="24"/>
                <w:szCs w:val="24"/>
                <w:highlight w:val="none"/>
                <w:lang w:val="en-US" w:eastAsia="zh-CN"/>
              </w:rPr>
              <w:t>项目选址合理性分析</w:t>
            </w:r>
          </w:p>
          <w:p>
            <w:pPr>
              <w:pStyle w:val="23"/>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right="0" w:rightChars="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zh-CN"/>
              </w:rPr>
              <w:t>（</w:t>
            </w:r>
            <w:r>
              <w:rPr>
                <w:rFonts w:hint="eastAsia" w:cs="Times New Roman"/>
                <w:color w:val="auto"/>
                <w:sz w:val="24"/>
                <w:szCs w:val="24"/>
                <w:highlight w:val="none"/>
                <w:lang w:val="en-US" w:eastAsia="zh-CN"/>
              </w:rPr>
              <w:t>1</w:t>
            </w:r>
            <w:r>
              <w:rPr>
                <w:rFonts w:hint="eastAsia" w:cs="Times New Roman"/>
                <w:color w:val="auto"/>
                <w:sz w:val="24"/>
                <w:szCs w:val="24"/>
                <w:highlight w:val="none"/>
                <w:lang w:val="zh-CN"/>
              </w:rPr>
              <w:t>）</w:t>
            </w:r>
            <w:r>
              <w:rPr>
                <w:rFonts w:hint="eastAsia" w:cs="Times New Roman"/>
                <w:color w:val="auto"/>
                <w:sz w:val="24"/>
                <w:szCs w:val="24"/>
                <w:highlight w:val="none"/>
                <w:lang w:val="en-US" w:eastAsia="zh-CN"/>
              </w:rPr>
              <w:t>规划符合性分析</w:t>
            </w:r>
          </w:p>
          <w:p>
            <w:pPr>
              <w:pStyle w:val="23"/>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right="0" w:rightChars="0" w:firstLine="480" w:firstLineChars="200"/>
              <w:textAlignment w:val="auto"/>
              <w:rPr>
                <w:rFonts w:hint="default" w:ascii="Times New Roman" w:hAnsi="Times New Roman" w:eastAsia="宋体" w:cs="Times New Roman"/>
                <w:color w:val="auto"/>
                <w:sz w:val="24"/>
                <w:szCs w:val="24"/>
                <w:highlight w:val="none"/>
                <w:lang w:val="en-US"/>
              </w:rPr>
            </w:pPr>
            <w:r>
              <w:rPr>
                <w:rFonts w:ascii="Times New Roman" w:hAnsi="Times New Roman" w:eastAsia="宋体" w:cs="Times New Roman"/>
                <w:color w:val="auto"/>
                <w:sz w:val="24"/>
                <w:szCs w:val="24"/>
                <w:highlight w:val="none"/>
                <w:lang w:val="zh-CN"/>
              </w:rPr>
              <w:t>本项目</w:t>
            </w:r>
            <w:r>
              <w:rPr>
                <w:rFonts w:hint="eastAsia" w:ascii="Times New Roman" w:hAnsi="Times New Roman" w:eastAsia="宋体" w:cs="Times New Roman"/>
                <w:color w:val="auto"/>
                <w:sz w:val="24"/>
                <w:szCs w:val="24"/>
                <w:highlight w:val="none"/>
                <w:lang w:val="zh-CN"/>
              </w:rPr>
              <w:t>位于</w:t>
            </w:r>
            <w:r>
              <w:rPr>
                <w:rFonts w:hint="eastAsia"/>
                <w:color w:val="auto"/>
                <w:sz w:val="24"/>
                <w:szCs w:val="24"/>
                <w:highlight w:val="none"/>
                <w:lang w:val="en-US" w:eastAsia="zh-CN"/>
              </w:rPr>
              <w:t>唐山市高新区学院北路1718-1号，唐山烯彤科技有限公司院内</w:t>
            </w:r>
            <w:r>
              <w:rPr>
                <w:rFonts w:hint="eastAsia" w:cs="Times New Roman"/>
                <w:color w:val="auto"/>
                <w:sz w:val="24"/>
                <w:szCs w:val="24"/>
                <w:highlight w:val="none"/>
                <w:lang w:val="en-US" w:eastAsia="zh-CN"/>
              </w:rPr>
              <w:t>，</w:t>
            </w:r>
            <w:r>
              <w:rPr>
                <w:rFonts w:hint="eastAsia"/>
                <w:color w:val="auto"/>
                <w:sz w:val="24"/>
                <w:highlight w:val="none"/>
              </w:rPr>
              <w:t>根据项目土地使用证可知，</w:t>
            </w:r>
            <w:r>
              <w:rPr>
                <w:color w:val="auto"/>
                <w:sz w:val="24"/>
                <w:highlight w:val="none"/>
              </w:rPr>
              <w:t>本项目占地类型为工业用地</w:t>
            </w:r>
            <w:r>
              <w:rPr>
                <w:rFonts w:hint="default" w:ascii="Times New Roman" w:hAnsi="Times New Roman" w:cs="Times New Roman"/>
                <w:color w:val="auto"/>
                <w:kern w:val="24"/>
                <w:sz w:val="24"/>
                <w:highlight w:val="none"/>
                <w:lang w:eastAsia="zh-CN"/>
              </w:rPr>
              <w:t>，符合用地性质</w:t>
            </w:r>
            <w:r>
              <w:rPr>
                <w:rFonts w:hint="eastAsia" w:eastAsia="宋体" w:cs="Times New Roman"/>
                <w:color w:val="auto"/>
                <w:sz w:val="24"/>
                <w:highlight w:val="none"/>
                <w:lang w:val="zh-CN" w:eastAsia="zh-CN"/>
              </w:rPr>
              <w:t>。</w:t>
            </w:r>
            <w:r>
              <w:rPr>
                <w:rFonts w:hint="eastAsia" w:cs="Times New Roman"/>
                <w:color w:val="auto"/>
                <w:sz w:val="24"/>
                <w:highlight w:val="none"/>
                <w:lang w:val="en-US" w:eastAsia="zh-CN"/>
              </w:rPr>
              <w:t>本项目主要对现有石墨烯电发热元件生产线进行改造，调整产品方案，购置石墨烯电发热膜相关设备，新增年产石墨烯电发热膜10000套/a，同时，新建节能速热电锅炉组装生产线，将石墨烯电发热体生产线生产的石墨烯电发热体与进购的机箱外壳、触摸控制板、耐高温线等零配件采用手工和螺丝进行组装，生产节能速热电锅炉，属于新材料产业，符合北部拓展区西部产业组团产业定位</w:t>
            </w:r>
            <w:r>
              <w:rPr>
                <w:rFonts w:hint="eastAsia" w:eastAsia="宋体" w:cs="Times New Roman"/>
                <w:color w:val="auto"/>
                <w:sz w:val="24"/>
                <w:highlight w:val="none"/>
                <w:lang w:val="zh-CN" w:eastAsia="zh-CN"/>
              </w:rPr>
              <w:t>。</w:t>
            </w:r>
            <w:r>
              <w:rPr>
                <w:rFonts w:hint="eastAsia" w:cs="Times New Roman"/>
                <w:color w:val="auto"/>
                <w:sz w:val="24"/>
                <w:highlight w:val="none"/>
                <w:lang w:val="en-US" w:eastAsia="zh-CN"/>
              </w:rPr>
              <w:t>因此</w:t>
            </w:r>
            <w:r>
              <w:rPr>
                <w:rFonts w:hint="eastAsia" w:eastAsia="宋体" w:cs="Times New Roman"/>
                <w:color w:val="auto"/>
                <w:sz w:val="24"/>
                <w:highlight w:val="none"/>
                <w:lang w:val="zh-CN" w:eastAsia="zh-CN"/>
              </w:rPr>
              <w:t>，项目的建设符合园区规划。</w:t>
            </w:r>
          </w:p>
          <w:p>
            <w:pPr>
              <w:pStyle w:val="23"/>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right="0" w:rightChars="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zh-CN"/>
              </w:rPr>
              <w:t>（</w:t>
            </w:r>
            <w:r>
              <w:rPr>
                <w:rFonts w:hint="eastAsia" w:cs="Times New Roman"/>
                <w:color w:val="auto"/>
                <w:sz w:val="24"/>
                <w:szCs w:val="24"/>
                <w:highlight w:val="none"/>
                <w:lang w:val="en-US" w:eastAsia="zh-CN"/>
              </w:rPr>
              <w:t>2</w:t>
            </w:r>
            <w:r>
              <w:rPr>
                <w:rFonts w:hint="eastAsia" w:cs="Times New Roman"/>
                <w:color w:val="auto"/>
                <w:sz w:val="24"/>
                <w:szCs w:val="24"/>
                <w:highlight w:val="none"/>
                <w:lang w:val="zh-CN"/>
              </w:rPr>
              <w:t>）</w:t>
            </w:r>
            <w:r>
              <w:rPr>
                <w:rFonts w:hint="eastAsia" w:cs="Times New Roman"/>
                <w:color w:val="auto"/>
                <w:sz w:val="24"/>
                <w:szCs w:val="24"/>
                <w:highlight w:val="none"/>
                <w:lang w:val="en-US" w:eastAsia="zh-CN"/>
              </w:rPr>
              <w:t>选址符合性分析</w:t>
            </w:r>
          </w:p>
          <w:p>
            <w:pPr>
              <w:pStyle w:val="23"/>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right="0" w:rightChars="0" w:firstLine="480" w:firstLineChars="200"/>
              <w:textAlignment w:val="auto"/>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lang w:val="zh-CN"/>
              </w:rPr>
              <w:t>项目所在区域环境空气质量执行《环境空气质量标准》（GB3095-2012）中二级标准及其修改单；声环境质量执行《声环境质量标准》（GB3096-2008）</w:t>
            </w:r>
            <w:r>
              <w:rPr>
                <w:rFonts w:hint="eastAsia" w:cs="Times New Roman"/>
                <w:color w:val="auto"/>
                <w:sz w:val="24"/>
                <w:szCs w:val="24"/>
                <w:highlight w:val="none"/>
                <w:lang w:val="en-US" w:eastAsia="zh-CN"/>
              </w:rPr>
              <w:t>2</w:t>
            </w:r>
            <w:r>
              <w:rPr>
                <w:rFonts w:ascii="Times New Roman" w:hAnsi="Times New Roman" w:eastAsia="宋体" w:cs="Times New Roman"/>
                <w:color w:val="auto"/>
                <w:sz w:val="24"/>
                <w:szCs w:val="24"/>
                <w:highlight w:val="none"/>
                <w:lang w:val="zh-CN"/>
              </w:rPr>
              <w:t>类区标准。</w:t>
            </w:r>
            <w:r>
              <w:rPr>
                <w:rFonts w:hint="eastAsia" w:cs="Times New Roman"/>
                <w:color w:val="auto"/>
                <w:sz w:val="24"/>
                <w:szCs w:val="24"/>
                <w:highlight w:val="none"/>
                <w:lang w:eastAsia="zh-CN"/>
              </w:rPr>
              <w:t>项目所在区域环境空气属于不达标区，根据《京津冀及周边地区、汾渭平原2020—2021年秋冬季大气污染综合治理攻坚行动方案》、《唐山市2023年第一季度大气污染综合治理工作方案》可知，按照“分级、分类、分区域、分气象”原则，实施精准治理、精细管控，做到问题、时间、区位、对象和措施“五个精准”，推动大气环境质量持续有效改善，项目所在区域空气质量将会逐步得到改善</w:t>
            </w:r>
            <w:r>
              <w:rPr>
                <w:rFonts w:ascii="Times New Roman" w:hAnsi="Times New Roman" w:eastAsia="宋体" w:cs="Times New Roman"/>
                <w:color w:val="auto"/>
                <w:sz w:val="24"/>
                <w:szCs w:val="24"/>
                <w:highlight w:val="none"/>
              </w:rPr>
              <w:t>。</w:t>
            </w:r>
          </w:p>
          <w:p>
            <w:pPr>
              <w:pStyle w:val="23"/>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right="0" w:rightChars="0" w:firstLine="480" w:firstLineChars="200"/>
              <w:textAlignment w:val="auto"/>
              <w:rPr>
                <w:rFonts w:hint="default"/>
                <w:color w:val="auto"/>
                <w:sz w:val="24"/>
                <w:szCs w:val="24"/>
                <w:highlight w:val="none"/>
                <w:lang w:val="en-US" w:eastAsia="zh-CN"/>
              </w:rPr>
            </w:pPr>
            <w:r>
              <w:rPr>
                <w:rFonts w:hint="default"/>
                <w:color w:val="auto"/>
                <w:sz w:val="24"/>
                <w:szCs w:val="24"/>
                <w:highlight w:val="none"/>
                <w:lang w:val="en-US" w:eastAsia="zh-CN"/>
              </w:rPr>
              <w:t>项目不在河北省生态保护红线区范围内，项目评价范围内无自然保护区、重点文物、风景名胜等需特殊保护区域，项目</w:t>
            </w:r>
            <w:r>
              <w:rPr>
                <w:rFonts w:hint="eastAsia"/>
                <w:color w:val="auto"/>
                <w:sz w:val="24"/>
                <w:szCs w:val="24"/>
                <w:highlight w:val="none"/>
                <w:lang w:val="en-US" w:eastAsia="zh-CN"/>
              </w:rPr>
              <w:t>厂界外500m范围内的环境敏感目标为东侧250m处的龙湖·天境尘林间居民区和东北侧285m处的凤城凯旋公馆2期居民区，</w:t>
            </w:r>
            <w:r>
              <w:rPr>
                <w:rFonts w:ascii="Times New Roman" w:hAnsi="Times New Roman" w:eastAsia="宋体" w:cs="Times New Roman"/>
                <w:color w:val="auto"/>
                <w:kern w:val="24"/>
                <w:sz w:val="24"/>
                <w:highlight w:val="none"/>
                <w:lang w:val="zh-CN"/>
              </w:rPr>
              <w:t>采取环评提出的各项环保治理措施后，项目的实施对</w:t>
            </w:r>
            <w:r>
              <w:rPr>
                <w:rFonts w:hint="eastAsia" w:cs="Times New Roman"/>
                <w:color w:val="auto"/>
                <w:kern w:val="24"/>
                <w:sz w:val="24"/>
                <w:highlight w:val="none"/>
                <w:lang w:val="en-US" w:eastAsia="zh-CN"/>
              </w:rPr>
              <w:t>环境敏感目标</w:t>
            </w:r>
            <w:r>
              <w:rPr>
                <w:rFonts w:ascii="Times New Roman" w:hAnsi="Times New Roman" w:eastAsia="宋体" w:cs="Times New Roman"/>
                <w:color w:val="auto"/>
                <w:kern w:val="24"/>
                <w:sz w:val="24"/>
                <w:highlight w:val="none"/>
                <w:lang w:val="zh-CN"/>
              </w:rPr>
              <w:t>产生</w:t>
            </w:r>
            <w:r>
              <w:rPr>
                <w:rFonts w:hint="eastAsia" w:ascii="Times New Roman" w:hAnsi="Times New Roman" w:eastAsia="宋体" w:cs="Times New Roman"/>
                <w:color w:val="auto"/>
                <w:kern w:val="24"/>
                <w:sz w:val="24"/>
                <w:highlight w:val="none"/>
                <w:lang w:val="zh-CN" w:eastAsia="zh-CN"/>
              </w:rPr>
              <w:t>的</w:t>
            </w:r>
            <w:r>
              <w:rPr>
                <w:rFonts w:ascii="Times New Roman" w:hAnsi="Times New Roman" w:eastAsia="宋体" w:cs="Times New Roman"/>
                <w:color w:val="auto"/>
                <w:kern w:val="24"/>
                <w:sz w:val="24"/>
                <w:highlight w:val="none"/>
                <w:lang w:val="zh-CN"/>
              </w:rPr>
              <w:t>影响</w:t>
            </w:r>
            <w:r>
              <w:rPr>
                <w:rFonts w:hint="eastAsia" w:ascii="Times New Roman" w:hAnsi="Times New Roman" w:eastAsia="宋体" w:cs="Times New Roman"/>
                <w:color w:val="auto"/>
                <w:kern w:val="24"/>
                <w:sz w:val="24"/>
                <w:highlight w:val="none"/>
                <w:lang w:val="zh-CN" w:eastAsia="zh-CN"/>
              </w:rPr>
              <w:t>较小</w:t>
            </w:r>
            <w:r>
              <w:rPr>
                <w:rFonts w:ascii="Times New Roman" w:hAnsi="Times New Roman" w:eastAsia="宋体" w:cs="Times New Roman"/>
                <w:color w:val="auto"/>
                <w:kern w:val="24"/>
                <w:sz w:val="24"/>
                <w:highlight w:val="none"/>
              </w:rPr>
              <w:t>。</w:t>
            </w:r>
            <w:r>
              <w:rPr>
                <w:rFonts w:hint="eastAsia"/>
                <w:color w:val="auto"/>
                <w:sz w:val="24"/>
                <w:szCs w:val="24"/>
                <w:highlight w:val="none"/>
                <w:lang w:val="en-US" w:eastAsia="zh-CN"/>
              </w:rPr>
              <w:t>因此，本项目选址合理。</w:t>
            </w:r>
          </w:p>
          <w:p>
            <w:pPr>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b/>
                <w:bCs/>
                <w:color w:val="auto"/>
                <w:sz w:val="24"/>
                <w:szCs w:val="24"/>
                <w:highlight w:val="none"/>
              </w:rPr>
            </w:pPr>
            <w:r>
              <w:rPr>
                <w:rFonts w:hint="eastAsia"/>
                <w:b/>
                <w:bCs/>
                <w:color w:val="auto"/>
                <w:sz w:val="24"/>
                <w:szCs w:val="24"/>
                <w:highlight w:val="none"/>
                <w:lang w:val="en-US" w:eastAsia="zh-CN"/>
              </w:rPr>
              <w:t>3、与“</w:t>
            </w:r>
            <w:r>
              <w:rPr>
                <w:rFonts w:hint="default"/>
                <w:b/>
                <w:bCs/>
                <w:color w:val="auto"/>
                <w:sz w:val="24"/>
                <w:szCs w:val="24"/>
                <w:highlight w:val="none"/>
              </w:rPr>
              <w:t>三线一单</w:t>
            </w:r>
            <w:r>
              <w:rPr>
                <w:rFonts w:hint="eastAsia"/>
                <w:b/>
                <w:bCs/>
                <w:color w:val="auto"/>
                <w:sz w:val="24"/>
                <w:szCs w:val="24"/>
                <w:highlight w:val="none"/>
                <w:lang w:val="en-US" w:eastAsia="zh-CN"/>
              </w:rPr>
              <w:t>”</w:t>
            </w:r>
            <w:r>
              <w:rPr>
                <w:rFonts w:hint="default"/>
                <w:b/>
                <w:bCs/>
                <w:color w:val="auto"/>
                <w:sz w:val="24"/>
                <w:szCs w:val="24"/>
                <w:highlight w:val="none"/>
              </w:rPr>
              <w:t>相符性分析</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outlineLvl w:val="9"/>
              <w:rPr>
                <w:rFonts w:hint="default" w:ascii="Times New Roman" w:hAnsi="Times New Roman" w:eastAsia="宋体" w:cs="Times New Roman"/>
                <w:color w:val="auto"/>
                <w:sz w:val="24"/>
                <w:szCs w:val="24"/>
                <w:highlight w:val="none"/>
                <w:shd w:val="clear" w:color="auto" w:fill="auto"/>
              </w:rPr>
            </w:pPr>
            <w:r>
              <w:rPr>
                <w:rFonts w:hint="eastAsia" w:cs="Times New Roman"/>
                <w:color w:val="auto"/>
                <w:sz w:val="24"/>
                <w:szCs w:val="24"/>
                <w:highlight w:val="none"/>
                <w:shd w:val="clear" w:color="auto" w:fill="auto"/>
                <w:lang w:val="en-US" w:eastAsia="zh-CN"/>
              </w:rPr>
              <w:t>（1）生态保护红线及生态管控空间</w:t>
            </w:r>
          </w:p>
          <w:p>
            <w:pPr>
              <w:ind w:firstLine="480"/>
              <w:rPr>
                <w:rFonts w:hint="default" w:eastAsia="宋体" w:cs="Times New Roman"/>
                <w:color w:val="auto"/>
                <w:highlight w:val="none"/>
                <w:lang w:val="en-US" w:eastAsia="zh-CN"/>
              </w:rPr>
            </w:pPr>
            <w:r>
              <w:rPr>
                <w:rFonts w:hint="eastAsia" w:cs="Times New Roman"/>
                <w:color w:val="auto"/>
                <w:highlight w:val="none"/>
              </w:rPr>
              <w:t>①</w:t>
            </w:r>
            <w:r>
              <w:rPr>
                <w:rFonts w:hint="eastAsia" w:cs="Times New Roman"/>
                <w:color w:val="auto"/>
                <w:highlight w:val="none"/>
                <w:lang w:val="en-US" w:eastAsia="zh-CN"/>
              </w:rPr>
              <w:t>生态保护红线</w:t>
            </w:r>
          </w:p>
          <w:p>
            <w:pPr>
              <w:ind w:firstLine="480"/>
              <w:rPr>
                <w:rFonts w:cs="Times New Roman"/>
                <w:color w:val="auto"/>
                <w:highlight w:val="none"/>
              </w:rPr>
            </w:pPr>
            <w:r>
              <w:rPr>
                <w:rFonts w:cs="Times New Roman"/>
                <w:color w:val="auto"/>
                <w:highlight w:val="none"/>
              </w:rPr>
              <w:t>根据《河北省</w:t>
            </w:r>
            <w:r>
              <w:rPr>
                <w:rFonts w:hint="eastAsia" w:ascii="宋体" w:hAnsi="宋体" w:eastAsia="宋体" w:cs="宋体"/>
                <w:color w:val="auto"/>
                <w:highlight w:val="none"/>
              </w:rPr>
              <w:t>“三线一单”</w:t>
            </w:r>
            <w:r>
              <w:rPr>
                <w:rFonts w:cs="Times New Roman"/>
                <w:color w:val="auto"/>
                <w:highlight w:val="none"/>
              </w:rPr>
              <w:t>成果》，河北省生态空间面积为70791.77 平方公里，占全省陆域国土面积的37.53%，主要分布在张家口、承德、石家庄、秦皇岛、保定等地区。根据《河北省人民政府关于发布&lt;河北省生态保护红线&gt; 的通知》（冀政字</w:t>
            </w:r>
            <w:r>
              <w:rPr>
                <w:rFonts w:hint="eastAsia" w:cs="Times New Roman"/>
                <w:color w:val="auto"/>
                <w:highlight w:val="none"/>
                <w:lang w:val="en-US" w:eastAsia="zh-CN"/>
              </w:rPr>
              <w:t>[</w:t>
            </w:r>
            <w:r>
              <w:rPr>
                <w:rFonts w:cs="Times New Roman"/>
                <w:color w:val="auto"/>
                <w:highlight w:val="none"/>
              </w:rPr>
              <w:t>2018</w:t>
            </w:r>
            <w:r>
              <w:rPr>
                <w:rFonts w:hint="eastAsia" w:cs="Times New Roman"/>
                <w:color w:val="auto"/>
                <w:highlight w:val="none"/>
                <w:lang w:val="en-US" w:eastAsia="zh-CN"/>
              </w:rPr>
              <w:t>]</w:t>
            </w:r>
            <w:r>
              <w:rPr>
                <w:rFonts w:cs="Times New Roman"/>
                <w:color w:val="auto"/>
                <w:highlight w:val="none"/>
              </w:rPr>
              <w:t>23号），陆域生态保护红线面积38633.18平方公里，占全省国土面积的20.49%，主要分布在张家口、承德地区，占生态保护红线总面积的70%，其次为石家庄、邯郸、邢台及保定的太行山前地区。将除陆域生态保护红线外的生态空间，划为一般生态空间，面积为32158.59平方公里，占全省陆域国土面积的17.04%。</w:t>
            </w:r>
          </w:p>
          <w:p>
            <w:pPr>
              <w:ind w:firstLine="480"/>
              <w:rPr>
                <w:rFonts w:cs="Times New Roman"/>
                <w:color w:val="auto"/>
                <w:highlight w:val="none"/>
              </w:rPr>
            </w:pPr>
            <w:r>
              <w:rPr>
                <w:rFonts w:cs="Times New Roman"/>
                <w:color w:val="auto"/>
                <w:highlight w:val="none"/>
              </w:rPr>
              <w:t>唐山市陆域生态空间面积为4012.97km²，占全市陆域国土面积的 29.19%，主要分布在遵化市、迁西县、迁安市等北部山区和曹妃甸区、乐亭县、唐山国际旅游岛等南部沿海地区。将除陆域生态保护红线外的生态空间划为一般生态空间，面积为2927.5km²，占全市陆域国土面积的21.29%。主要分布在遵化市、迁西县、迁安市等北部山区和曹妃甸区、乐亭县等南部沿海地区。</w:t>
            </w:r>
          </w:p>
          <w:p>
            <w:pPr>
              <w:bidi w:val="0"/>
              <w:rPr>
                <w:color w:val="auto"/>
                <w:highlight w:val="none"/>
              </w:rPr>
            </w:pPr>
            <w:r>
              <w:rPr>
                <w:color w:val="auto"/>
                <w:highlight w:val="none"/>
              </w:rPr>
              <w:t>唐山高新区北部拓展区位于唐山市区北部，不涉及生态保护红线及一般生态空间管控范围。</w:t>
            </w:r>
          </w:p>
          <w:p>
            <w:pPr>
              <w:adjustRightInd w:val="0"/>
              <w:snapToGrid w:val="0"/>
              <w:spacing w:line="480" w:lineRule="exact"/>
              <w:ind w:firstLine="480" w:firstLineChars="200"/>
              <w:textAlignment w:val="baseline"/>
              <w:rPr>
                <w:rFonts w:hint="default" w:eastAsia="宋体" w:cs="Times New Roman"/>
                <w:color w:val="auto"/>
                <w:highlight w:val="none"/>
                <w:lang w:val="en-US" w:eastAsia="zh-CN"/>
              </w:rPr>
            </w:pPr>
            <w:r>
              <w:rPr>
                <w:rFonts w:hint="eastAsia" w:cs="Times New Roman"/>
                <w:color w:val="auto"/>
                <w:highlight w:val="none"/>
              </w:rPr>
              <w:t>②</w:t>
            </w:r>
            <w:r>
              <w:rPr>
                <w:rFonts w:hint="eastAsia" w:cs="Times New Roman"/>
                <w:color w:val="auto"/>
                <w:highlight w:val="none"/>
                <w:lang w:val="en-US" w:eastAsia="zh-CN"/>
              </w:rPr>
              <w:t>生态管控空间</w:t>
            </w:r>
          </w:p>
          <w:p>
            <w:pPr>
              <w:adjustRightInd w:val="0"/>
              <w:snapToGrid w:val="0"/>
              <w:spacing w:line="480" w:lineRule="exact"/>
              <w:ind w:firstLine="480" w:firstLineChars="200"/>
              <w:textAlignment w:val="baseline"/>
              <w:rPr>
                <w:rFonts w:cs="Times New Roman"/>
                <w:color w:val="auto"/>
                <w:highlight w:val="none"/>
              </w:rPr>
            </w:pPr>
            <w:r>
              <w:rPr>
                <w:rFonts w:cs="Times New Roman"/>
                <w:color w:val="auto"/>
                <w:highlight w:val="none"/>
              </w:rPr>
              <w:t>根据《唐山市</w:t>
            </w:r>
            <w:r>
              <w:rPr>
                <w:rFonts w:hint="eastAsia" w:ascii="宋体" w:hAnsi="宋体" w:eastAsia="宋体" w:cs="宋体"/>
                <w:color w:val="auto"/>
                <w:highlight w:val="none"/>
              </w:rPr>
              <w:t>“三线一单”</w:t>
            </w:r>
            <w:r>
              <w:rPr>
                <w:rFonts w:cs="Times New Roman"/>
                <w:color w:val="auto"/>
                <w:highlight w:val="none"/>
              </w:rPr>
              <w:t>》，中部平原（玉田县、丰润区、滦州市、古冶区、开平区、路北区、路南区、高新技术产业开发区、开发区、芦台经济开发区、滦南县平原地区）生态功能定位：饮用水水源保护区，耕地保护重要区，人居安全功能保障区。其管控要求：①严格控制并逐步减少地下水开采量，建立科学的用水制度，保证生态用水。②实施断流河流生态补水，陡河等环城水系采取岸滩修复、清淤清污、生态护岸建设等措施，维护河岸淡水湿地生态系统功能。③加大水污染治理力度。发展生态农业，减少农业面源污染；推进清洁生产和循环经济，治理工业污染源，提高城镇生活污水处理率。④严格控制城市空间及城镇发展边界，合理安排新增建设用地规模，集约利用空间资源，促进城市功能区紧凑式布局，控制生态空间范围内的开发强度，逐步退出影响主导生态系统服务功能的开发建设活动。⑤禁止使用禁用农药和重金属等有毒有害物质超标的肥料。加强对土壤中农药残留的监控，提高农产品中农药残留预警能力。推进农药包装废弃物回收、贮存和处理处置体系建设。⑥控制生态空间范围内的开发强度，逐步退出影响主导生态系统服务功能的开发建设活动。</w:t>
            </w:r>
          </w:p>
          <w:p>
            <w:pPr>
              <w:pStyle w:val="5"/>
              <w:rPr>
                <w:rFonts w:hint="eastAsia" w:cs="Times New Roman"/>
                <w:color w:val="auto"/>
                <w:highlight w:val="none"/>
                <w:lang w:val="en-US" w:eastAsia="zh-CN"/>
              </w:rPr>
            </w:pPr>
            <w:r>
              <w:rPr>
                <w:rFonts w:hint="eastAsia"/>
                <w:color w:val="auto"/>
                <w:highlight w:val="none"/>
                <w:lang w:val="en-US" w:eastAsia="zh-CN"/>
              </w:rPr>
              <w:t>开发区</w:t>
            </w:r>
            <w:r>
              <w:rPr>
                <w:rFonts w:cs="Times New Roman"/>
                <w:color w:val="auto"/>
                <w:highlight w:val="none"/>
              </w:rPr>
              <w:t>生态空间管制清单</w:t>
            </w:r>
            <w:r>
              <w:rPr>
                <w:rFonts w:hint="eastAsia" w:cs="Times New Roman"/>
                <w:color w:val="auto"/>
                <w:highlight w:val="none"/>
                <w:lang w:val="en-US" w:eastAsia="zh-CN"/>
              </w:rPr>
              <w:t>见下表。</w:t>
            </w:r>
          </w:p>
          <w:p>
            <w:pPr>
              <w:pStyle w:val="31"/>
              <w:numPr>
                <w:ilvl w:val="0"/>
                <w:numId w:val="0"/>
              </w:numPr>
              <w:bidi w:val="0"/>
              <w:ind w:left="208" w:leftChars="0"/>
              <w:rPr>
                <w:color w:val="auto"/>
                <w:highlight w:val="none"/>
              </w:rPr>
            </w:pPr>
            <w:r>
              <w:rPr>
                <w:rFonts w:hint="eastAsia"/>
                <w:color w:val="auto"/>
                <w:highlight w:val="none"/>
                <w:lang w:val="en-US" w:eastAsia="zh-CN"/>
              </w:rPr>
              <w:t xml:space="preserve">表2  </w:t>
            </w:r>
            <w:r>
              <w:rPr>
                <w:color w:val="auto"/>
                <w:highlight w:val="none"/>
              </w:rPr>
              <w:t>开发区生态空间管制清单一览表</w:t>
            </w:r>
          </w:p>
          <w:tbl>
            <w:tblPr>
              <w:tblStyle w:val="24"/>
              <w:tblW w:w="742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376"/>
              <w:gridCol w:w="522"/>
              <w:gridCol w:w="617"/>
              <w:gridCol w:w="388"/>
              <w:gridCol w:w="935"/>
              <w:gridCol w:w="914"/>
              <w:gridCol w:w="2437"/>
              <w:gridCol w:w="123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10" w:hRule="atLeast"/>
                <w:jc w:val="center"/>
              </w:trPr>
              <w:tc>
                <w:tcPr>
                  <w:tcW w:w="370" w:type="dxa"/>
                  <w:tcBorders>
                    <w:tl2br w:val="nil"/>
                    <w:tr2bl w:val="nil"/>
                  </w:tcBorders>
                  <w:vAlign w:val="center"/>
                </w:tcPr>
                <w:p>
                  <w:pPr>
                    <w:pStyle w:val="57"/>
                    <w:spacing w:line="280" w:lineRule="exact"/>
                    <w:rPr>
                      <w:rFonts w:cs="Times New Roman"/>
                      <w:color w:val="auto"/>
                      <w:szCs w:val="21"/>
                      <w:highlight w:val="none"/>
                    </w:rPr>
                  </w:pPr>
                  <w:r>
                    <w:rPr>
                      <w:rFonts w:cs="Times New Roman"/>
                      <w:color w:val="auto"/>
                      <w:szCs w:val="21"/>
                      <w:highlight w:val="none"/>
                    </w:rPr>
                    <w:t>序号</w:t>
                  </w:r>
                </w:p>
              </w:tc>
              <w:tc>
                <w:tcPr>
                  <w:tcW w:w="514" w:type="dxa"/>
                  <w:tcBorders>
                    <w:tl2br w:val="nil"/>
                    <w:tr2bl w:val="nil"/>
                  </w:tcBorders>
                  <w:vAlign w:val="center"/>
                </w:tcPr>
                <w:p>
                  <w:pPr>
                    <w:pStyle w:val="57"/>
                    <w:spacing w:line="280" w:lineRule="exact"/>
                    <w:rPr>
                      <w:rFonts w:cs="Times New Roman"/>
                      <w:color w:val="auto"/>
                      <w:szCs w:val="21"/>
                      <w:highlight w:val="none"/>
                    </w:rPr>
                  </w:pPr>
                  <w:r>
                    <w:rPr>
                      <w:rFonts w:cs="Times New Roman"/>
                      <w:color w:val="auto"/>
                      <w:szCs w:val="21"/>
                      <w:highlight w:val="none"/>
                    </w:rPr>
                    <w:t>类别</w:t>
                  </w:r>
                </w:p>
              </w:tc>
              <w:tc>
                <w:tcPr>
                  <w:tcW w:w="608" w:type="dxa"/>
                  <w:tcBorders>
                    <w:tl2br w:val="nil"/>
                    <w:tr2bl w:val="nil"/>
                  </w:tcBorders>
                  <w:vAlign w:val="center"/>
                </w:tcPr>
                <w:p>
                  <w:pPr>
                    <w:pStyle w:val="57"/>
                    <w:spacing w:line="280" w:lineRule="exact"/>
                    <w:rPr>
                      <w:rFonts w:cs="Times New Roman"/>
                      <w:color w:val="auto"/>
                      <w:szCs w:val="21"/>
                      <w:highlight w:val="none"/>
                    </w:rPr>
                  </w:pPr>
                  <w:r>
                    <w:rPr>
                      <w:rFonts w:cs="Times New Roman"/>
                      <w:color w:val="auto"/>
                      <w:szCs w:val="21"/>
                      <w:highlight w:val="none"/>
                    </w:rPr>
                    <w:t>所属系统</w:t>
                  </w:r>
                </w:p>
              </w:tc>
              <w:tc>
                <w:tcPr>
                  <w:tcW w:w="1303" w:type="dxa"/>
                  <w:gridSpan w:val="2"/>
                  <w:tcBorders>
                    <w:tl2br w:val="nil"/>
                    <w:tr2bl w:val="nil"/>
                  </w:tcBorders>
                  <w:vAlign w:val="center"/>
                </w:tcPr>
                <w:p>
                  <w:pPr>
                    <w:pStyle w:val="57"/>
                    <w:spacing w:line="280" w:lineRule="exact"/>
                    <w:rPr>
                      <w:rFonts w:cs="Times New Roman"/>
                      <w:color w:val="auto"/>
                      <w:szCs w:val="21"/>
                      <w:highlight w:val="none"/>
                    </w:rPr>
                  </w:pPr>
                  <w:r>
                    <w:rPr>
                      <w:rFonts w:cs="Times New Roman"/>
                      <w:color w:val="auto"/>
                      <w:szCs w:val="21"/>
                      <w:highlight w:val="none"/>
                    </w:rPr>
                    <w:t>所含空间单元</w:t>
                  </w:r>
                </w:p>
              </w:tc>
              <w:tc>
                <w:tcPr>
                  <w:tcW w:w="900" w:type="dxa"/>
                  <w:tcBorders>
                    <w:tl2br w:val="nil"/>
                    <w:tr2bl w:val="nil"/>
                  </w:tcBorders>
                  <w:vAlign w:val="center"/>
                </w:tcPr>
                <w:p>
                  <w:pPr>
                    <w:pStyle w:val="57"/>
                    <w:spacing w:line="280" w:lineRule="exact"/>
                    <w:rPr>
                      <w:rFonts w:cs="Times New Roman"/>
                      <w:color w:val="auto"/>
                      <w:szCs w:val="21"/>
                      <w:highlight w:val="none"/>
                    </w:rPr>
                  </w:pPr>
                  <w:r>
                    <w:rPr>
                      <w:rFonts w:cs="Times New Roman"/>
                      <w:color w:val="auto"/>
                      <w:szCs w:val="21"/>
                      <w:highlight w:val="none"/>
                    </w:rPr>
                    <w:t>现状用地类型</w:t>
                  </w:r>
                </w:p>
              </w:tc>
              <w:tc>
                <w:tcPr>
                  <w:tcW w:w="2400" w:type="dxa"/>
                  <w:tcBorders>
                    <w:tl2br w:val="nil"/>
                    <w:tr2bl w:val="nil"/>
                  </w:tcBorders>
                  <w:vAlign w:val="center"/>
                </w:tcPr>
                <w:p>
                  <w:pPr>
                    <w:pStyle w:val="57"/>
                    <w:spacing w:line="280" w:lineRule="exact"/>
                    <w:rPr>
                      <w:rFonts w:cs="Times New Roman"/>
                      <w:color w:val="auto"/>
                      <w:szCs w:val="21"/>
                      <w:highlight w:val="none"/>
                    </w:rPr>
                  </w:pPr>
                  <w:r>
                    <w:rPr>
                      <w:rFonts w:cs="Times New Roman"/>
                      <w:color w:val="auto"/>
                      <w:szCs w:val="21"/>
                      <w:highlight w:val="none"/>
                    </w:rPr>
                    <w:t>管控要求</w:t>
                  </w:r>
                </w:p>
              </w:tc>
              <w:tc>
                <w:tcPr>
                  <w:tcW w:w="1218" w:type="dxa"/>
                  <w:tcBorders>
                    <w:tl2br w:val="nil"/>
                    <w:tr2bl w:val="nil"/>
                  </w:tcBorders>
                  <w:vAlign w:val="center"/>
                </w:tcPr>
                <w:p>
                  <w:pPr>
                    <w:pStyle w:val="57"/>
                    <w:spacing w:line="280" w:lineRule="exact"/>
                    <w:rPr>
                      <w:rFonts w:hint="default" w:eastAsia="宋体" w:cs="Times New Roman"/>
                      <w:color w:val="auto"/>
                      <w:szCs w:val="21"/>
                      <w:highlight w:val="none"/>
                      <w:lang w:val="en-US" w:eastAsia="zh-CN"/>
                    </w:rPr>
                  </w:pPr>
                  <w:r>
                    <w:rPr>
                      <w:rFonts w:hint="eastAsia" w:cs="Times New Roman"/>
                      <w:color w:val="auto"/>
                      <w:szCs w:val="21"/>
                      <w:highlight w:val="none"/>
                      <w:lang w:val="en-US" w:eastAsia="zh-CN"/>
                    </w:rPr>
                    <w:t>本项目符合性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65" w:hRule="atLeast"/>
                <w:jc w:val="center"/>
              </w:trPr>
              <w:tc>
                <w:tcPr>
                  <w:tcW w:w="370" w:type="dxa"/>
                  <w:vMerge w:val="restart"/>
                  <w:tcBorders>
                    <w:tl2br w:val="nil"/>
                    <w:tr2bl w:val="nil"/>
                  </w:tcBorders>
                  <w:vAlign w:val="center"/>
                </w:tcPr>
                <w:p>
                  <w:pPr>
                    <w:pStyle w:val="57"/>
                    <w:numPr>
                      <w:ilvl w:val="0"/>
                      <w:numId w:val="2"/>
                    </w:numPr>
                    <w:spacing w:line="280" w:lineRule="exact"/>
                    <w:ind w:left="0" w:leftChars="0" w:firstLine="0" w:firstLineChars="0"/>
                    <w:rPr>
                      <w:rFonts w:cs="Times New Roman"/>
                      <w:color w:val="auto"/>
                      <w:szCs w:val="21"/>
                      <w:highlight w:val="none"/>
                    </w:rPr>
                  </w:pPr>
                </w:p>
              </w:tc>
              <w:tc>
                <w:tcPr>
                  <w:tcW w:w="514" w:type="dxa"/>
                  <w:vMerge w:val="restart"/>
                  <w:tcBorders>
                    <w:tl2br w:val="nil"/>
                    <w:tr2bl w:val="nil"/>
                  </w:tcBorders>
                  <w:vAlign w:val="center"/>
                </w:tcPr>
                <w:p>
                  <w:pPr>
                    <w:pStyle w:val="57"/>
                    <w:spacing w:line="280" w:lineRule="exact"/>
                    <w:rPr>
                      <w:rFonts w:cs="Times New Roman"/>
                      <w:color w:val="auto"/>
                      <w:szCs w:val="21"/>
                      <w:highlight w:val="none"/>
                    </w:rPr>
                  </w:pPr>
                  <w:r>
                    <w:rPr>
                      <w:rFonts w:cs="Times New Roman"/>
                      <w:color w:val="auto"/>
                      <w:szCs w:val="21"/>
                      <w:highlight w:val="none"/>
                    </w:rPr>
                    <w:t>禁止建设区</w:t>
                  </w:r>
                </w:p>
              </w:tc>
              <w:tc>
                <w:tcPr>
                  <w:tcW w:w="608" w:type="dxa"/>
                  <w:vMerge w:val="restart"/>
                  <w:tcBorders>
                    <w:tl2br w:val="nil"/>
                    <w:tr2bl w:val="nil"/>
                  </w:tcBorders>
                  <w:vAlign w:val="center"/>
                </w:tcPr>
                <w:p>
                  <w:pPr>
                    <w:pStyle w:val="57"/>
                    <w:spacing w:line="280" w:lineRule="exact"/>
                    <w:rPr>
                      <w:rFonts w:cs="Times New Roman"/>
                      <w:color w:val="auto"/>
                      <w:szCs w:val="21"/>
                      <w:highlight w:val="none"/>
                    </w:rPr>
                  </w:pPr>
                  <w:r>
                    <w:rPr>
                      <w:rFonts w:cs="Times New Roman"/>
                      <w:color w:val="auto"/>
                      <w:szCs w:val="21"/>
                      <w:highlight w:val="none"/>
                    </w:rPr>
                    <w:t>交通设施禁建区</w:t>
                  </w:r>
                  <w:r>
                    <w:rPr>
                      <w:rFonts w:hint="eastAsia" w:cs="Times New Roman"/>
                      <w:color w:val="auto"/>
                      <w:szCs w:val="21"/>
                      <w:highlight w:val="none"/>
                      <w:lang w:eastAsia="zh-CN"/>
                    </w:rPr>
                    <w:t>（</w:t>
                  </w:r>
                  <w:r>
                    <w:rPr>
                      <w:rFonts w:cs="Times New Roman"/>
                      <w:color w:val="auto"/>
                      <w:szCs w:val="21"/>
                      <w:highlight w:val="none"/>
                    </w:rPr>
                    <w:t>L</w:t>
                  </w:r>
                  <w:r>
                    <w:rPr>
                      <w:rFonts w:hint="eastAsia" w:cs="Times New Roman"/>
                      <w:color w:val="auto"/>
                      <w:szCs w:val="21"/>
                      <w:highlight w:val="none"/>
                      <w:lang w:eastAsia="zh-CN"/>
                    </w:rPr>
                    <w:t>）</w:t>
                  </w:r>
                </w:p>
              </w:tc>
              <w:tc>
                <w:tcPr>
                  <w:tcW w:w="382" w:type="dxa"/>
                  <w:tcBorders>
                    <w:tl2br w:val="nil"/>
                    <w:tr2bl w:val="nil"/>
                  </w:tcBorders>
                  <w:vAlign w:val="center"/>
                </w:tcPr>
                <w:p>
                  <w:pPr>
                    <w:pStyle w:val="57"/>
                    <w:spacing w:line="280" w:lineRule="exact"/>
                    <w:rPr>
                      <w:rFonts w:cs="Times New Roman"/>
                      <w:color w:val="auto"/>
                      <w:szCs w:val="21"/>
                      <w:highlight w:val="none"/>
                    </w:rPr>
                  </w:pPr>
                  <w:r>
                    <w:rPr>
                      <w:rFonts w:cs="Times New Roman"/>
                      <w:color w:val="auto"/>
                      <w:szCs w:val="21"/>
                      <w:highlight w:val="none"/>
                    </w:rPr>
                    <w:t>L1</w:t>
                  </w:r>
                </w:p>
              </w:tc>
              <w:tc>
                <w:tcPr>
                  <w:tcW w:w="921" w:type="dxa"/>
                  <w:tcBorders>
                    <w:tl2br w:val="nil"/>
                    <w:tr2bl w:val="nil"/>
                  </w:tcBorders>
                  <w:vAlign w:val="center"/>
                </w:tcPr>
                <w:p>
                  <w:pPr>
                    <w:pStyle w:val="57"/>
                    <w:spacing w:line="280" w:lineRule="exact"/>
                    <w:rPr>
                      <w:rFonts w:cs="Times New Roman"/>
                      <w:color w:val="auto"/>
                      <w:szCs w:val="21"/>
                      <w:highlight w:val="none"/>
                    </w:rPr>
                  </w:pPr>
                  <w:r>
                    <w:rPr>
                      <w:rFonts w:cs="Times New Roman"/>
                      <w:color w:val="auto"/>
                      <w:szCs w:val="21"/>
                      <w:highlight w:val="none"/>
                    </w:rPr>
                    <w:t>卫国路</w:t>
                  </w:r>
                </w:p>
              </w:tc>
              <w:tc>
                <w:tcPr>
                  <w:tcW w:w="900" w:type="dxa"/>
                  <w:tcBorders>
                    <w:tl2br w:val="nil"/>
                    <w:tr2bl w:val="nil"/>
                  </w:tcBorders>
                  <w:vAlign w:val="center"/>
                </w:tcPr>
                <w:p>
                  <w:pPr>
                    <w:pStyle w:val="57"/>
                    <w:spacing w:line="280" w:lineRule="exact"/>
                    <w:rPr>
                      <w:rFonts w:cs="Times New Roman"/>
                      <w:color w:val="auto"/>
                      <w:szCs w:val="21"/>
                      <w:highlight w:val="none"/>
                    </w:rPr>
                  </w:pPr>
                  <w:r>
                    <w:rPr>
                      <w:rFonts w:cs="Times New Roman"/>
                      <w:color w:val="auto"/>
                      <w:szCs w:val="21"/>
                      <w:highlight w:val="none"/>
                    </w:rPr>
                    <w:t>已建成</w:t>
                  </w:r>
                </w:p>
              </w:tc>
              <w:tc>
                <w:tcPr>
                  <w:tcW w:w="2400" w:type="dxa"/>
                  <w:vMerge w:val="restart"/>
                  <w:tcBorders>
                    <w:tl2br w:val="nil"/>
                    <w:tr2bl w:val="nil"/>
                  </w:tcBorders>
                  <w:vAlign w:val="center"/>
                </w:tcPr>
                <w:p>
                  <w:pPr>
                    <w:pStyle w:val="57"/>
                    <w:spacing w:line="280" w:lineRule="exact"/>
                    <w:rPr>
                      <w:rFonts w:cs="Times New Roman"/>
                      <w:color w:val="auto"/>
                      <w:szCs w:val="21"/>
                      <w:highlight w:val="none"/>
                    </w:rPr>
                  </w:pPr>
                  <w:r>
                    <w:rPr>
                      <w:rFonts w:cs="Times New Roman"/>
                      <w:color w:val="auto"/>
                      <w:szCs w:val="21"/>
                      <w:highlight w:val="none"/>
                    </w:rPr>
                    <w:t>在公路两侧建筑控制线范围内，禁止建设除了公路附属设施外的其他永久性建筑物、构筑物和设施。</w:t>
                  </w:r>
                </w:p>
              </w:tc>
              <w:tc>
                <w:tcPr>
                  <w:tcW w:w="1218" w:type="dxa"/>
                  <w:vMerge w:val="restart"/>
                  <w:tcBorders>
                    <w:tl2br w:val="nil"/>
                    <w:tr2bl w:val="nil"/>
                  </w:tcBorders>
                  <w:vAlign w:val="center"/>
                </w:tcPr>
                <w:p>
                  <w:pPr>
                    <w:pStyle w:val="57"/>
                    <w:spacing w:line="280" w:lineRule="exact"/>
                    <w:rPr>
                      <w:rFonts w:hint="default" w:eastAsia="宋体" w:cs="Times New Roman"/>
                      <w:color w:val="auto"/>
                      <w:szCs w:val="21"/>
                      <w:highlight w:val="none"/>
                      <w:lang w:val="en-US" w:eastAsia="zh-CN"/>
                    </w:rPr>
                  </w:pPr>
                  <w:r>
                    <w:rPr>
                      <w:rFonts w:hint="eastAsia" w:cs="Times New Roman"/>
                      <w:color w:val="auto"/>
                      <w:szCs w:val="21"/>
                      <w:highlight w:val="none"/>
                      <w:lang w:val="en-US" w:eastAsia="zh-CN"/>
                    </w:rPr>
                    <w:t>本项目距厂界南侧的创新大道约38m，不在</w:t>
                  </w:r>
                  <w:r>
                    <w:rPr>
                      <w:rFonts w:cs="Times New Roman"/>
                      <w:color w:val="auto"/>
                      <w:szCs w:val="21"/>
                      <w:highlight w:val="none"/>
                    </w:rPr>
                    <w:t>公路两侧建筑控制线范围内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35" w:hRule="atLeast"/>
                <w:jc w:val="center"/>
              </w:trPr>
              <w:tc>
                <w:tcPr>
                  <w:tcW w:w="370" w:type="dxa"/>
                  <w:vMerge w:val="continue"/>
                  <w:tcBorders>
                    <w:tl2br w:val="nil"/>
                    <w:tr2bl w:val="nil"/>
                  </w:tcBorders>
                  <w:vAlign w:val="center"/>
                </w:tcPr>
                <w:p>
                  <w:pPr>
                    <w:pStyle w:val="57"/>
                    <w:spacing w:line="280" w:lineRule="exact"/>
                    <w:ind w:firstLineChars="0"/>
                    <w:rPr>
                      <w:rFonts w:cs="Times New Roman"/>
                      <w:color w:val="auto"/>
                      <w:szCs w:val="21"/>
                      <w:highlight w:val="none"/>
                      <w:lang w:val="zh-CN"/>
                    </w:rPr>
                  </w:pPr>
                </w:p>
              </w:tc>
              <w:tc>
                <w:tcPr>
                  <w:tcW w:w="514" w:type="dxa"/>
                  <w:vMerge w:val="continue"/>
                  <w:tcBorders>
                    <w:tl2br w:val="nil"/>
                    <w:tr2bl w:val="nil"/>
                  </w:tcBorders>
                  <w:vAlign w:val="center"/>
                </w:tcPr>
                <w:p>
                  <w:pPr>
                    <w:pStyle w:val="57"/>
                    <w:spacing w:line="280" w:lineRule="exact"/>
                    <w:rPr>
                      <w:rFonts w:cs="Times New Roman"/>
                      <w:color w:val="auto"/>
                      <w:szCs w:val="21"/>
                      <w:highlight w:val="none"/>
                      <w:lang w:val="zh-CN"/>
                    </w:rPr>
                  </w:pPr>
                </w:p>
              </w:tc>
              <w:tc>
                <w:tcPr>
                  <w:tcW w:w="608" w:type="dxa"/>
                  <w:vMerge w:val="continue"/>
                  <w:tcBorders>
                    <w:tl2br w:val="nil"/>
                    <w:tr2bl w:val="nil"/>
                  </w:tcBorders>
                  <w:vAlign w:val="center"/>
                </w:tcPr>
                <w:p>
                  <w:pPr>
                    <w:pStyle w:val="57"/>
                    <w:spacing w:line="280" w:lineRule="exact"/>
                    <w:rPr>
                      <w:rFonts w:cs="Times New Roman"/>
                      <w:color w:val="auto"/>
                      <w:szCs w:val="21"/>
                      <w:highlight w:val="none"/>
                      <w:lang w:val="zh-CN"/>
                    </w:rPr>
                  </w:pPr>
                </w:p>
              </w:tc>
              <w:tc>
                <w:tcPr>
                  <w:tcW w:w="382" w:type="dxa"/>
                  <w:tcBorders>
                    <w:tl2br w:val="nil"/>
                    <w:tr2bl w:val="nil"/>
                  </w:tcBorders>
                  <w:vAlign w:val="center"/>
                </w:tcPr>
                <w:p>
                  <w:pPr>
                    <w:pStyle w:val="57"/>
                    <w:spacing w:line="280" w:lineRule="exact"/>
                    <w:rPr>
                      <w:rFonts w:cs="Times New Roman"/>
                      <w:color w:val="auto"/>
                      <w:szCs w:val="21"/>
                      <w:highlight w:val="none"/>
                      <w:lang w:val="zh-CN"/>
                    </w:rPr>
                  </w:pPr>
                  <w:r>
                    <w:rPr>
                      <w:rFonts w:cs="Times New Roman"/>
                      <w:color w:val="auto"/>
                      <w:szCs w:val="21"/>
                      <w:highlight w:val="none"/>
                      <w:lang w:val="zh-CN"/>
                    </w:rPr>
                    <w:t>L2</w:t>
                  </w:r>
                </w:p>
              </w:tc>
              <w:tc>
                <w:tcPr>
                  <w:tcW w:w="921" w:type="dxa"/>
                  <w:tcBorders>
                    <w:tl2br w:val="nil"/>
                    <w:tr2bl w:val="nil"/>
                  </w:tcBorders>
                  <w:vAlign w:val="center"/>
                </w:tcPr>
                <w:p>
                  <w:pPr>
                    <w:pStyle w:val="57"/>
                    <w:spacing w:line="280" w:lineRule="exact"/>
                    <w:rPr>
                      <w:rFonts w:cs="Times New Roman"/>
                      <w:color w:val="auto"/>
                      <w:szCs w:val="21"/>
                      <w:highlight w:val="none"/>
                      <w:lang w:val="zh-CN"/>
                    </w:rPr>
                  </w:pPr>
                  <w:r>
                    <w:rPr>
                      <w:rFonts w:cs="Times New Roman"/>
                      <w:color w:val="auto"/>
                      <w:szCs w:val="21"/>
                      <w:highlight w:val="none"/>
                      <w:lang w:val="zh-CN"/>
                    </w:rPr>
                    <w:t>建设路</w:t>
                  </w:r>
                </w:p>
              </w:tc>
              <w:tc>
                <w:tcPr>
                  <w:tcW w:w="900" w:type="dxa"/>
                  <w:tcBorders>
                    <w:tl2br w:val="nil"/>
                    <w:tr2bl w:val="nil"/>
                  </w:tcBorders>
                  <w:vAlign w:val="center"/>
                </w:tcPr>
                <w:p>
                  <w:pPr>
                    <w:pStyle w:val="57"/>
                    <w:spacing w:line="280" w:lineRule="exact"/>
                    <w:rPr>
                      <w:rFonts w:cs="Times New Roman"/>
                      <w:color w:val="auto"/>
                      <w:szCs w:val="21"/>
                      <w:highlight w:val="none"/>
                      <w:lang w:val="zh-CN"/>
                    </w:rPr>
                  </w:pPr>
                  <w:r>
                    <w:rPr>
                      <w:rFonts w:cs="Times New Roman"/>
                      <w:color w:val="auto"/>
                      <w:szCs w:val="21"/>
                      <w:highlight w:val="none"/>
                      <w:lang w:val="zh-CN"/>
                    </w:rPr>
                    <w:t>已建成</w:t>
                  </w:r>
                </w:p>
              </w:tc>
              <w:tc>
                <w:tcPr>
                  <w:tcW w:w="2400" w:type="dxa"/>
                  <w:vMerge w:val="continue"/>
                  <w:tcBorders>
                    <w:tl2br w:val="nil"/>
                    <w:tr2bl w:val="nil"/>
                  </w:tcBorders>
                  <w:vAlign w:val="center"/>
                </w:tcPr>
                <w:p>
                  <w:pPr>
                    <w:pStyle w:val="57"/>
                    <w:spacing w:line="280" w:lineRule="exact"/>
                    <w:rPr>
                      <w:rFonts w:cs="Times New Roman"/>
                      <w:color w:val="auto"/>
                      <w:szCs w:val="21"/>
                      <w:highlight w:val="none"/>
                      <w:lang w:val="zh-CN"/>
                    </w:rPr>
                  </w:pPr>
                </w:p>
              </w:tc>
              <w:tc>
                <w:tcPr>
                  <w:tcW w:w="1218" w:type="dxa"/>
                  <w:vMerge w:val="continue"/>
                  <w:tcBorders>
                    <w:tl2br w:val="nil"/>
                    <w:tr2bl w:val="nil"/>
                  </w:tcBorders>
                  <w:vAlign w:val="center"/>
                </w:tcPr>
                <w:p>
                  <w:pPr>
                    <w:pStyle w:val="57"/>
                    <w:spacing w:line="280" w:lineRule="exact"/>
                    <w:rPr>
                      <w:rFonts w:cs="Times New Roman"/>
                      <w:color w:val="auto"/>
                      <w:szCs w:val="21"/>
                      <w:highlight w:val="none"/>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65" w:hRule="atLeast"/>
                <w:jc w:val="center"/>
              </w:trPr>
              <w:tc>
                <w:tcPr>
                  <w:tcW w:w="370" w:type="dxa"/>
                  <w:vMerge w:val="continue"/>
                  <w:tcBorders>
                    <w:tl2br w:val="nil"/>
                    <w:tr2bl w:val="nil"/>
                  </w:tcBorders>
                  <w:vAlign w:val="center"/>
                </w:tcPr>
                <w:p>
                  <w:pPr>
                    <w:pStyle w:val="57"/>
                    <w:spacing w:line="280" w:lineRule="exact"/>
                    <w:ind w:firstLineChars="0"/>
                    <w:rPr>
                      <w:rFonts w:cs="Times New Roman"/>
                      <w:color w:val="auto"/>
                      <w:szCs w:val="21"/>
                      <w:highlight w:val="none"/>
                      <w:lang w:val="zh-CN"/>
                    </w:rPr>
                  </w:pPr>
                </w:p>
              </w:tc>
              <w:tc>
                <w:tcPr>
                  <w:tcW w:w="514" w:type="dxa"/>
                  <w:vMerge w:val="continue"/>
                  <w:tcBorders>
                    <w:tl2br w:val="nil"/>
                    <w:tr2bl w:val="nil"/>
                  </w:tcBorders>
                  <w:vAlign w:val="center"/>
                </w:tcPr>
                <w:p>
                  <w:pPr>
                    <w:pStyle w:val="57"/>
                    <w:spacing w:line="280" w:lineRule="exact"/>
                    <w:rPr>
                      <w:rFonts w:cs="Times New Roman"/>
                      <w:color w:val="auto"/>
                      <w:szCs w:val="21"/>
                      <w:highlight w:val="none"/>
                      <w:lang w:val="zh-CN"/>
                    </w:rPr>
                  </w:pPr>
                </w:p>
              </w:tc>
              <w:tc>
                <w:tcPr>
                  <w:tcW w:w="608" w:type="dxa"/>
                  <w:vMerge w:val="continue"/>
                  <w:tcBorders>
                    <w:tl2br w:val="nil"/>
                    <w:tr2bl w:val="nil"/>
                  </w:tcBorders>
                  <w:vAlign w:val="center"/>
                </w:tcPr>
                <w:p>
                  <w:pPr>
                    <w:pStyle w:val="57"/>
                    <w:spacing w:line="280" w:lineRule="exact"/>
                    <w:rPr>
                      <w:rFonts w:cs="Times New Roman"/>
                      <w:color w:val="auto"/>
                      <w:szCs w:val="21"/>
                      <w:highlight w:val="none"/>
                      <w:lang w:val="zh-CN"/>
                    </w:rPr>
                  </w:pPr>
                </w:p>
              </w:tc>
              <w:tc>
                <w:tcPr>
                  <w:tcW w:w="382" w:type="dxa"/>
                  <w:tcBorders>
                    <w:tl2br w:val="nil"/>
                    <w:tr2bl w:val="nil"/>
                  </w:tcBorders>
                  <w:vAlign w:val="center"/>
                </w:tcPr>
                <w:p>
                  <w:pPr>
                    <w:pStyle w:val="57"/>
                    <w:spacing w:line="280" w:lineRule="exact"/>
                    <w:rPr>
                      <w:rFonts w:cs="Times New Roman"/>
                      <w:color w:val="auto"/>
                      <w:szCs w:val="21"/>
                      <w:highlight w:val="none"/>
                      <w:lang w:val="zh-CN"/>
                    </w:rPr>
                  </w:pPr>
                  <w:r>
                    <w:rPr>
                      <w:rFonts w:cs="Times New Roman"/>
                      <w:color w:val="auto"/>
                      <w:szCs w:val="21"/>
                      <w:highlight w:val="none"/>
                      <w:lang w:val="zh-CN"/>
                    </w:rPr>
                    <w:t>L3</w:t>
                  </w:r>
                </w:p>
              </w:tc>
              <w:tc>
                <w:tcPr>
                  <w:tcW w:w="921" w:type="dxa"/>
                  <w:tcBorders>
                    <w:tl2br w:val="nil"/>
                    <w:tr2bl w:val="nil"/>
                  </w:tcBorders>
                  <w:vAlign w:val="center"/>
                </w:tcPr>
                <w:p>
                  <w:pPr>
                    <w:pStyle w:val="57"/>
                    <w:spacing w:line="280" w:lineRule="exact"/>
                    <w:rPr>
                      <w:rFonts w:cs="Times New Roman"/>
                      <w:color w:val="auto"/>
                      <w:szCs w:val="21"/>
                      <w:highlight w:val="none"/>
                      <w:lang w:val="zh-CN"/>
                    </w:rPr>
                  </w:pPr>
                  <w:r>
                    <w:rPr>
                      <w:rFonts w:cs="Times New Roman"/>
                      <w:color w:val="auto"/>
                      <w:szCs w:val="21"/>
                      <w:highlight w:val="none"/>
                      <w:lang w:val="zh-CN"/>
                    </w:rPr>
                    <w:t>龙泽路</w:t>
                  </w:r>
                </w:p>
              </w:tc>
              <w:tc>
                <w:tcPr>
                  <w:tcW w:w="900" w:type="dxa"/>
                  <w:tcBorders>
                    <w:tl2br w:val="nil"/>
                    <w:tr2bl w:val="nil"/>
                  </w:tcBorders>
                  <w:vAlign w:val="center"/>
                </w:tcPr>
                <w:p>
                  <w:pPr>
                    <w:pStyle w:val="57"/>
                    <w:spacing w:line="280" w:lineRule="exact"/>
                    <w:rPr>
                      <w:rFonts w:cs="Times New Roman"/>
                      <w:color w:val="auto"/>
                      <w:szCs w:val="21"/>
                      <w:highlight w:val="none"/>
                      <w:lang w:val="zh-CN"/>
                    </w:rPr>
                  </w:pPr>
                  <w:r>
                    <w:rPr>
                      <w:rFonts w:cs="Times New Roman"/>
                      <w:color w:val="auto"/>
                      <w:szCs w:val="21"/>
                      <w:highlight w:val="none"/>
                      <w:lang w:val="zh-CN"/>
                    </w:rPr>
                    <w:t>已建成</w:t>
                  </w:r>
                </w:p>
              </w:tc>
              <w:tc>
                <w:tcPr>
                  <w:tcW w:w="2400" w:type="dxa"/>
                  <w:vMerge w:val="continue"/>
                  <w:tcBorders>
                    <w:tl2br w:val="nil"/>
                    <w:tr2bl w:val="nil"/>
                  </w:tcBorders>
                  <w:vAlign w:val="center"/>
                </w:tcPr>
                <w:p>
                  <w:pPr>
                    <w:pStyle w:val="57"/>
                    <w:spacing w:line="280" w:lineRule="exact"/>
                    <w:rPr>
                      <w:rFonts w:cs="Times New Roman"/>
                      <w:color w:val="auto"/>
                      <w:szCs w:val="21"/>
                      <w:highlight w:val="none"/>
                      <w:lang w:val="zh-CN"/>
                    </w:rPr>
                  </w:pPr>
                </w:p>
              </w:tc>
              <w:tc>
                <w:tcPr>
                  <w:tcW w:w="1218" w:type="dxa"/>
                  <w:vMerge w:val="continue"/>
                  <w:tcBorders>
                    <w:tl2br w:val="nil"/>
                    <w:tr2bl w:val="nil"/>
                  </w:tcBorders>
                  <w:vAlign w:val="center"/>
                </w:tcPr>
                <w:p>
                  <w:pPr>
                    <w:pStyle w:val="57"/>
                    <w:spacing w:line="280" w:lineRule="exact"/>
                    <w:rPr>
                      <w:rFonts w:cs="Times New Roman"/>
                      <w:color w:val="auto"/>
                      <w:szCs w:val="21"/>
                      <w:highlight w:val="none"/>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0" w:hRule="atLeast"/>
                <w:jc w:val="center"/>
              </w:trPr>
              <w:tc>
                <w:tcPr>
                  <w:tcW w:w="370" w:type="dxa"/>
                  <w:vMerge w:val="continue"/>
                  <w:tcBorders>
                    <w:tl2br w:val="nil"/>
                    <w:tr2bl w:val="nil"/>
                  </w:tcBorders>
                  <w:vAlign w:val="center"/>
                </w:tcPr>
                <w:p>
                  <w:pPr>
                    <w:pStyle w:val="57"/>
                    <w:spacing w:line="280" w:lineRule="exact"/>
                    <w:ind w:firstLineChars="0"/>
                    <w:rPr>
                      <w:rFonts w:cs="Times New Roman"/>
                      <w:color w:val="auto"/>
                      <w:szCs w:val="21"/>
                      <w:highlight w:val="none"/>
                      <w:lang w:val="zh-CN"/>
                    </w:rPr>
                  </w:pPr>
                </w:p>
              </w:tc>
              <w:tc>
                <w:tcPr>
                  <w:tcW w:w="514" w:type="dxa"/>
                  <w:vMerge w:val="continue"/>
                  <w:tcBorders>
                    <w:tl2br w:val="nil"/>
                    <w:tr2bl w:val="nil"/>
                  </w:tcBorders>
                  <w:vAlign w:val="center"/>
                </w:tcPr>
                <w:p>
                  <w:pPr>
                    <w:pStyle w:val="57"/>
                    <w:spacing w:line="280" w:lineRule="exact"/>
                    <w:rPr>
                      <w:rFonts w:cs="Times New Roman"/>
                      <w:color w:val="auto"/>
                      <w:szCs w:val="21"/>
                      <w:highlight w:val="none"/>
                      <w:lang w:val="zh-CN"/>
                    </w:rPr>
                  </w:pPr>
                </w:p>
              </w:tc>
              <w:tc>
                <w:tcPr>
                  <w:tcW w:w="608" w:type="dxa"/>
                  <w:vMerge w:val="continue"/>
                  <w:tcBorders>
                    <w:tl2br w:val="nil"/>
                    <w:tr2bl w:val="nil"/>
                  </w:tcBorders>
                  <w:vAlign w:val="center"/>
                </w:tcPr>
                <w:p>
                  <w:pPr>
                    <w:pStyle w:val="57"/>
                    <w:spacing w:line="280" w:lineRule="exact"/>
                    <w:rPr>
                      <w:rFonts w:cs="Times New Roman"/>
                      <w:color w:val="auto"/>
                      <w:szCs w:val="21"/>
                      <w:highlight w:val="none"/>
                      <w:lang w:val="zh-CN"/>
                    </w:rPr>
                  </w:pPr>
                </w:p>
              </w:tc>
              <w:tc>
                <w:tcPr>
                  <w:tcW w:w="382" w:type="dxa"/>
                  <w:tcBorders>
                    <w:tl2br w:val="nil"/>
                    <w:tr2bl w:val="nil"/>
                  </w:tcBorders>
                  <w:vAlign w:val="center"/>
                </w:tcPr>
                <w:p>
                  <w:pPr>
                    <w:pStyle w:val="57"/>
                    <w:spacing w:line="280" w:lineRule="exact"/>
                    <w:rPr>
                      <w:rFonts w:cs="Times New Roman"/>
                      <w:color w:val="auto"/>
                      <w:szCs w:val="21"/>
                      <w:highlight w:val="none"/>
                      <w:lang w:val="zh-CN"/>
                    </w:rPr>
                  </w:pPr>
                  <w:r>
                    <w:rPr>
                      <w:rFonts w:cs="Times New Roman"/>
                      <w:color w:val="auto"/>
                      <w:szCs w:val="21"/>
                      <w:highlight w:val="none"/>
                      <w:lang w:val="zh-CN"/>
                    </w:rPr>
                    <w:t>L</w:t>
                  </w:r>
                  <w:r>
                    <w:rPr>
                      <w:rFonts w:cs="Times New Roman"/>
                      <w:color w:val="auto"/>
                      <w:szCs w:val="21"/>
                      <w:highlight w:val="none"/>
                    </w:rPr>
                    <w:t>4</w:t>
                  </w:r>
                </w:p>
              </w:tc>
              <w:tc>
                <w:tcPr>
                  <w:tcW w:w="921" w:type="dxa"/>
                  <w:tcBorders>
                    <w:tl2br w:val="nil"/>
                    <w:tr2bl w:val="nil"/>
                  </w:tcBorders>
                  <w:vAlign w:val="center"/>
                </w:tcPr>
                <w:p>
                  <w:pPr>
                    <w:pStyle w:val="57"/>
                    <w:spacing w:line="280" w:lineRule="exact"/>
                    <w:rPr>
                      <w:rFonts w:cs="Times New Roman"/>
                      <w:color w:val="auto"/>
                      <w:szCs w:val="21"/>
                      <w:highlight w:val="none"/>
                      <w:lang w:val="zh-CN"/>
                    </w:rPr>
                  </w:pPr>
                  <w:r>
                    <w:rPr>
                      <w:rFonts w:cs="Times New Roman"/>
                      <w:color w:val="auto"/>
                      <w:szCs w:val="21"/>
                      <w:highlight w:val="none"/>
                      <w:lang w:val="zh-CN"/>
                    </w:rPr>
                    <w:t>创新大道</w:t>
                  </w:r>
                </w:p>
              </w:tc>
              <w:tc>
                <w:tcPr>
                  <w:tcW w:w="900" w:type="dxa"/>
                  <w:tcBorders>
                    <w:tl2br w:val="nil"/>
                    <w:tr2bl w:val="nil"/>
                  </w:tcBorders>
                  <w:vAlign w:val="center"/>
                </w:tcPr>
                <w:p>
                  <w:pPr>
                    <w:pStyle w:val="57"/>
                    <w:spacing w:line="280" w:lineRule="exact"/>
                    <w:rPr>
                      <w:rFonts w:cs="Times New Roman"/>
                      <w:color w:val="auto"/>
                      <w:szCs w:val="21"/>
                      <w:highlight w:val="none"/>
                      <w:lang w:val="zh-CN"/>
                    </w:rPr>
                  </w:pPr>
                  <w:r>
                    <w:rPr>
                      <w:rFonts w:cs="Times New Roman"/>
                      <w:color w:val="auto"/>
                      <w:szCs w:val="21"/>
                      <w:highlight w:val="none"/>
                      <w:lang w:val="zh-CN"/>
                    </w:rPr>
                    <w:t>已建成</w:t>
                  </w:r>
                </w:p>
              </w:tc>
              <w:tc>
                <w:tcPr>
                  <w:tcW w:w="2400" w:type="dxa"/>
                  <w:vMerge w:val="continue"/>
                  <w:tcBorders>
                    <w:tl2br w:val="nil"/>
                    <w:tr2bl w:val="nil"/>
                  </w:tcBorders>
                  <w:vAlign w:val="center"/>
                </w:tcPr>
                <w:p>
                  <w:pPr>
                    <w:pStyle w:val="57"/>
                    <w:spacing w:line="280" w:lineRule="exact"/>
                    <w:rPr>
                      <w:rFonts w:cs="Times New Roman"/>
                      <w:color w:val="auto"/>
                      <w:szCs w:val="21"/>
                      <w:highlight w:val="none"/>
                      <w:lang w:val="zh-CN"/>
                    </w:rPr>
                  </w:pPr>
                </w:p>
              </w:tc>
              <w:tc>
                <w:tcPr>
                  <w:tcW w:w="1218" w:type="dxa"/>
                  <w:vMerge w:val="continue"/>
                  <w:tcBorders>
                    <w:tl2br w:val="nil"/>
                    <w:tr2bl w:val="nil"/>
                  </w:tcBorders>
                  <w:vAlign w:val="center"/>
                </w:tcPr>
                <w:p>
                  <w:pPr>
                    <w:pStyle w:val="57"/>
                    <w:spacing w:line="280" w:lineRule="exact"/>
                    <w:rPr>
                      <w:rFonts w:cs="Times New Roman"/>
                      <w:color w:val="auto"/>
                      <w:szCs w:val="21"/>
                      <w:highlight w:val="none"/>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0" w:hRule="atLeast"/>
                <w:jc w:val="center"/>
              </w:trPr>
              <w:tc>
                <w:tcPr>
                  <w:tcW w:w="370" w:type="dxa"/>
                  <w:vMerge w:val="continue"/>
                  <w:tcBorders>
                    <w:tl2br w:val="nil"/>
                    <w:tr2bl w:val="nil"/>
                  </w:tcBorders>
                  <w:vAlign w:val="center"/>
                </w:tcPr>
                <w:p>
                  <w:pPr>
                    <w:pStyle w:val="57"/>
                    <w:spacing w:line="280" w:lineRule="exact"/>
                    <w:ind w:firstLineChars="0"/>
                    <w:rPr>
                      <w:rFonts w:cs="Times New Roman"/>
                      <w:color w:val="auto"/>
                      <w:szCs w:val="21"/>
                      <w:highlight w:val="none"/>
                      <w:lang w:val="zh-CN"/>
                    </w:rPr>
                  </w:pPr>
                </w:p>
              </w:tc>
              <w:tc>
                <w:tcPr>
                  <w:tcW w:w="514" w:type="dxa"/>
                  <w:vMerge w:val="continue"/>
                  <w:tcBorders>
                    <w:tl2br w:val="nil"/>
                    <w:tr2bl w:val="nil"/>
                  </w:tcBorders>
                  <w:vAlign w:val="center"/>
                </w:tcPr>
                <w:p>
                  <w:pPr>
                    <w:pStyle w:val="57"/>
                    <w:spacing w:line="280" w:lineRule="exact"/>
                    <w:rPr>
                      <w:rFonts w:cs="Times New Roman"/>
                      <w:color w:val="auto"/>
                      <w:szCs w:val="21"/>
                      <w:highlight w:val="none"/>
                      <w:lang w:val="zh-CN"/>
                    </w:rPr>
                  </w:pPr>
                </w:p>
              </w:tc>
              <w:tc>
                <w:tcPr>
                  <w:tcW w:w="608" w:type="dxa"/>
                  <w:vMerge w:val="continue"/>
                  <w:tcBorders>
                    <w:tl2br w:val="nil"/>
                    <w:tr2bl w:val="nil"/>
                  </w:tcBorders>
                  <w:vAlign w:val="center"/>
                </w:tcPr>
                <w:p>
                  <w:pPr>
                    <w:pStyle w:val="57"/>
                    <w:spacing w:line="280" w:lineRule="exact"/>
                    <w:rPr>
                      <w:rFonts w:cs="Times New Roman"/>
                      <w:color w:val="auto"/>
                      <w:szCs w:val="21"/>
                      <w:highlight w:val="none"/>
                      <w:lang w:val="zh-CN"/>
                    </w:rPr>
                  </w:pPr>
                </w:p>
              </w:tc>
              <w:tc>
                <w:tcPr>
                  <w:tcW w:w="382" w:type="dxa"/>
                  <w:tcBorders>
                    <w:tl2br w:val="nil"/>
                    <w:tr2bl w:val="nil"/>
                  </w:tcBorders>
                  <w:vAlign w:val="center"/>
                </w:tcPr>
                <w:p>
                  <w:pPr>
                    <w:pStyle w:val="57"/>
                    <w:spacing w:line="280" w:lineRule="exact"/>
                    <w:rPr>
                      <w:rFonts w:cs="Times New Roman"/>
                      <w:color w:val="auto"/>
                      <w:szCs w:val="21"/>
                      <w:highlight w:val="none"/>
                      <w:lang w:val="zh-CN"/>
                    </w:rPr>
                  </w:pPr>
                  <w:r>
                    <w:rPr>
                      <w:rFonts w:cs="Times New Roman"/>
                      <w:color w:val="auto"/>
                      <w:szCs w:val="21"/>
                      <w:highlight w:val="none"/>
                      <w:lang w:val="zh-CN"/>
                    </w:rPr>
                    <w:t>L</w:t>
                  </w:r>
                  <w:r>
                    <w:rPr>
                      <w:rFonts w:cs="Times New Roman"/>
                      <w:color w:val="auto"/>
                      <w:szCs w:val="21"/>
                      <w:highlight w:val="none"/>
                    </w:rPr>
                    <w:t>5</w:t>
                  </w:r>
                </w:p>
              </w:tc>
              <w:tc>
                <w:tcPr>
                  <w:tcW w:w="921" w:type="dxa"/>
                  <w:tcBorders>
                    <w:tl2br w:val="nil"/>
                    <w:tr2bl w:val="nil"/>
                  </w:tcBorders>
                  <w:vAlign w:val="center"/>
                </w:tcPr>
                <w:p>
                  <w:pPr>
                    <w:pStyle w:val="57"/>
                    <w:spacing w:line="280" w:lineRule="exact"/>
                    <w:rPr>
                      <w:rFonts w:cs="Times New Roman"/>
                      <w:color w:val="auto"/>
                      <w:szCs w:val="21"/>
                      <w:highlight w:val="none"/>
                      <w:lang w:val="zh-CN"/>
                    </w:rPr>
                  </w:pPr>
                  <w:r>
                    <w:rPr>
                      <w:rFonts w:cs="Times New Roman"/>
                      <w:color w:val="auto"/>
                      <w:szCs w:val="21"/>
                      <w:highlight w:val="none"/>
                      <w:lang w:val="zh-CN"/>
                    </w:rPr>
                    <w:t>北安道</w:t>
                  </w:r>
                </w:p>
              </w:tc>
              <w:tc>
                <w:tcPr>
                  <w:tcW w:w="900" w:type="dxa"/>
                  <w:tcBorders>
                    <w:tl2br w:val="nil"/>
                    <w:tr2bl w:val="nil"/>
                  </w:tcBorders>
                  <w:vAlign w:val="center"/>
                </w:tcPr>
                <w:p>
                  <w:pPr>
                    <w:pStyle w:val="57"/>
                    <w:spacing w:line="280" w:lineRule="exact"/>
                    <w:rPr>
                      <w:rFonts w:cs="Times New Roman"/>
                      <w:color w:val="auto"/>
                      <w:szCs w:val="21"/>
                      <w:highlight w:val="none"/>
                      <w:lang w:val="zh-CN"/>
                    </w:rPr>
                  </w:pPr>
                  <w:r>
                    <w:rPr>
                      <w:rFonts w:cs="Times New Roman"/>
                      <w:color w:val="auto"/>
                      <w:szCs w:val="21"/>
                      <w:highlight w:val="none"/>
                      <w:lang w:val="zh-CN"/>
                    </w:rPr>
                    <w:t>已建成</w:t>
                  </w:r>
                </w:p>
              </w:tc>
              <w:tc>
                <w:tcPr>
                  <w:tcW w:w="2400" w:type="dxa"/>
                  <w:vMerge w:val="continue"/>
                  <w:tcBorders>
                    <w:tl2br w:val="nil"/>
                    <w:tr2bl w:val="nil"/>
                  </w:tcBorders>
                  <w:vAlign w:val="center"/>
                </w:tcPr>
                <w:p>
                  <w:pPr>
                    <w:pStyle w:val="57"/>
                    <w:spacing w:line="280" w:lineRule="exact"/>
                    <w:rPr>
                      <w:rFonts w:cs="Times New Roman"/>
                      <w:color w:val="auto"/>
                      <w:szCs w:val="21"/>
                      <w:highlight w:val="none"/>
                      <w:lang w:val="zh-CN"/>
                    </w:rPr>
                  </w:pPr>
                </w:p>
              </w:tc>
              <w:tc>
                <w:tcPr>
                  <w:tcW w:w="1218" w:type="dxa"/>
                  <w:vMerge w:val="continue"/>
                  <w:tcBorders>
                    <w:tl2br w:val="nil"/>
                    <w:tr2bl w:val="nil"/>
                  </w:tcBorders>
                  <w:vAlign w:val="center"/>
                </w:tcPr>
                <w:p>
                  <w:pPr>
                    <w:pStyle w:val="57"/>
                    <w:spacing w:line="280" w:lineRule="exact"/>
                    <w:rPr>
                      <w:rFonts w:cs="Times New Roman"/>
                      <w:color w:val="auto"/>
                      <w:szCs w:val="21"/>
                      <w:highlight w:val="none"/>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0" w:hRule="atLeast"/>
                <w:jc w:val="center"/>
              </w:trPr>
              <w:tc>
                <w:tcPr>
                  <w:tcW w:w="370" w:type="dxa"/>
                  <w:vMerge w:val="continue"/>
                  <w:tcBorders>
                    <w:tl2br w:val="nil"/>
                    <w:tr2bl w:val="nil"/>
                  </w:tcBorders>
                  <w:vAlign w:val="center"/>
                </w:tcPr>
                <w:p>
                  <w:pPr>
                    <w:pStyle w:val="57"/>
                    <w:spacing w:line="280" w:lineRule="exact"/>
                    <w:ind w:firstLineChars="0"/>
                    <w:rPr>
                      <w:rFonts w:cs="Times New Roman"/>
                      <w:color w:val="auto"/>
                      <w:szCs w:val="21"/>
                      <w:highlight w:val="none"/>
                      <w:lang w:val="zh-CN"/>
                    </w:rPr>
                  </w:pPr>
                </w:p>
              </w:tc>
              <w:tc>
                <w:tcPr>
                  <w:tcW w:w="514" w:type="dxa"/>
                  <w:vMerge w:val="continue"/>
                  <w:tcBorders>
                    <w:tl2br w:val="nil"/>
                    <w:tr2bl w:val="nil"/>
                  </w:tcBorders>
                  <w:vAlign w:val="center"/>
                </w:tcPr>
                <w:p>
                  <w:pPr>
                    <w:pStyle w:val="57"/>
                    <w:spacing w:line="280" w:lineRule="exact"/>
                    <w:rPr>
                      <w:rFonts w:cs="Times New Roman"/>
                      <w:color w:val="auto"/>
                      <w:szCs w:val="21"/>
                      <w:highlight w:val="none"/>
                      <w:lang w:val="zh-CN"/>
                    </w:rPr>
                  </w:pPr>
                </w:p>
              </w:tc>
              <w:tc>
                <w:tcPr>
                  <w:tcW w:w="608" w:type="dxa"/>
                  <w:vMerge w:val="continue"/>
                  <w:tcBorders>
                    <w:tl2br w:val="nil"/>
                    <w:tr2bl w:val="nil"/>
                  </w:tcBorders>
                  <w:vAlign w:val="center"/>
                </w:tcPr>
                <w:p>
                  <w:pPr>
                    <w:pStyle w:val="57"/>
                    <w:spacing w:line="280" w:lineRule="exact"/>
                    <w:rPr>
                      <w:rFonts w:cs="Times New Roman"/>
                      <w:color w:val="auto"/>
                      <w:szCs w:val="21"/>
                      <w:highlight w:val="none"/>
                      <w:lang w:val="zh-CN"/>
                    </w:rPr>
                  </w:pPr>
                </w:p>
              </w:tc>
              <w:tc>
                <w:tcPr>
                  <w:tcW w:w="382" w:type="dxa"/>
                  <w:tcBorders>
                    <w:tl2br w:val="nil"/>
                    <w:tr2bl w:val="nil"/>
                  </w:tcBorders>
                  <w:vAlign w:val="center"/>
                </w:tcPr>
                <w:p>
                  <w:pPr>
                    <w:pStyle w:val="57"/>
                    <w:spacing w:line="280" w:lineRule="exact"/>
                    <w:rPr>
                      <w:rFonts w:cs="Times New Roman"/>
                      <w:color w:val="auto"/>
                      <w:szCs w:val="21"/>
                      <w:highlight w:val="none"/>
                      <w:lang w:val="zh-CN"/>
                    </w:rPr>
                  </w:pPr>
                  <w:r>
                    <w:rPr>
                      <w:rFonts w:cs="Times New Roman"/>
                      <w:color w:val="auto"/>
                      <w:szCs w:val="21"/>
                      <w:highlight w:val="none"/>
                      <w:lang w:val="zh-CN"/>
                    </w:rPr>
                    <w:t>L</w:t>
                  </w:r>
                  <w:r>
                    <w:rPr>
                      <w:rFonts w:cs="Times New Roman"/>
                      <w:color w:val="auto"/>
                      <w:szCs w:val="21"/>
                      <w:highlight w:val="none"/>
                    </w:rPr>
                    <w:t>6</w:t>
                  </w:r>
                </w:p>
              </w:tc>
              <w:tc>
                <w:tcPr>
                  <w:tcW w:w="921" w:type="dxa"/>
                  <w:tcBorders>
                    <w:tl2br w:val="nil"/>
                    <w:tr2bl w:val="nil"/>
                  </w:tcBorders>
                  <w:vAlign w:val="center"/>
                </w:tcPr>
                <w:p>
                  <w:pPr>
                    <w:pStyle w:val="57"/>
                    <w:spacing w:line="280" w:lineRule="exact"/>
                    <w:rPr>
                      <w:rFonts w:cs="Times New Roman"/>
                      <w:color w:val="auto"/>
                      <w:szCs w:val="21"/>
                      <w:highlight w:val="none"/>
                      <w:lang w:val="zh-CN"/>
                    </w:rPr>
                  </w:pPr>
                  <w:r>
                    <w:rPr>
                      <w:rFonts w:cs="Times New Roman"/>
                      <w:color w:val="auto"/>
                      <w:szCs w:val="21"/>
                      <w:highlight w:val="none"/>
                      <w:lang w:val="zh-CN"/>
                    </w:rPr>
                    <w:t>庆北道</w:t>
                  </w:r>
                </w:p>
              </w:tc>
              <w:tc>
                <w:tcPr>
                  <w:tcW w:w="900" w:type="dxa"/>
                  <w:tcBorders>
                    <w:tl2br w:val="nil"/>
                    <w:tr2bl w:val="nil"/>
                  </w:tcBorders>
                  <w:vAlign w:val="center"/>
                </w:tcPr>
                <w:p>
                  <w:pPr>
                    <w:pStyle w:val="57"/>
                    <w:spacing w:line="280" w:lineRule="exact"/>
                    <w:rPr>
                      <w:rFonts w:cs="Times New Roman"/>
                      <w:color w:val="auto"/>
                      <w:szCs w:val="21"/>
                      <w:highlight w:val="none"/>
                      <w:lang w:val="zh-CN"/>
                    </w:rPr>
                  </w:pPr>
                  <w:r>
                    <w:rPr>
                      <w:rFonts w:cs="Times New Roman"/>
                      <w:color w:val="auto"/>
                      <w:szCs w:val="21"/>
                      <w:highlight w:val="none"/>
                      <w:lang w:val="zh-CN"/>
                    </w:rPr>
                    <w:t>已建成</w:t>
                  </w:r>
                </w:p>
              </w:tc>
              <w:tc>
                <w:tcPr>
                  <w:tcW w:w="2400" w:type="dxa"/>
                  <w:vMerge w:val="continue"/>
                  <w:tcBorders>
                    <w:tl2br w:val="nil"/>
                    <w:tr2bl w:val="nil"/>
                  </w:tcBorders>
                  <w:vAlign w:val="center"/>
                </w:tcPr>
                <w:p>
                  <w:pPr>
                    <w:pStyle w:val="57"/>
                    <w:spacing w:line="280" w:lineRule="exact"/>
                    <w:rPr>
                      <w:rFonts w:cs="Times New Roman"/>
                      <w:color w:val="auto"/>
                      <w:szCs w:val="21"/>
                      <w:highlight w:val="none"/>
                      <w:lang w:val="zh-CN"/>
                    </w:rPr>
                  </w:pPr>
                </w:p>
              </w:tc>
              <w:tc>
                <w:tcPr>
                  <w:tcW w:w="1218" w:type="dxa"/>
                  <w:vMerge w:val="continue"/>
                  <w:tcBorders>
                    <w:tl2br w:val="nil"/>
                    <w:tr2bl w:val="nil"/>
                  </w:tcBorders>
                  <w:vAlign w:val="center"/>
                </w:tcPr>
                <w:p>
                  <w:pPr>
                    <w:pStyle w:val="57"/>
                    <w:spacing w:line="280" w:lineRule="exact"/>
                    <w:rPr>
                      <w:rFonts w:cs="Times New Roman"/>
                      <w:color w:val="auto"/>
                      <w:szCs w:val="21"/>
                      <w:highlight w:val="none"/>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0" w:hRule="atLeast"/>
                <w:jc w:val="center"/>
              </w:trPr>
              <w:tc>
                <w:tcPr>
                  <w:tcW w:w="370" w:type="dxa"/>
                  <w:vMerge w:val="continue"/>
                  <w:tcBorders>
                    <w:tl2br w:val="nil"/>
                    <w:tr2bl w:val="nil"/>
                  </w:tcBorders>
                  <w:vAlign w:val="center"/>
                </w:tcPr>
                <w:p>
                  <w:pPr>
                    <w:pStyle w:val="57"/>
                    <w:spacing w:line="280" w:lineRule="exact"/>
                    <w:ind w:firstLineChars="0"/>
                    <w:rPr>
                      <w:rFonts w:cs="Times New Roman"/>
                      <w:color w:val="auto"/>
                      <w:szCs w:val="21"/>
                      <w:highlight w:val="none"/>
                      <w:lang w:val="zh-CN"/>
                    </w:rPr>
                  </w:pPr>
                </w:p>
              </w:tc>
              <w:tc>
                <w:tcPr>
                  <w:tcW w:w="514" w:type="dxa"/>
                  <w:vMerge w:val="continue"/>
                  <w:tcBorders>
                    <w:tl2br w:val="nil"/>
                    <w:tr2bl w:val="nil"/>
                  </w:tcBorders>
                  <w:vAlign w:val="center"/>
                </w:tcPr>
                <w:p>
                  <w:pPr>
                    <w:pStyle w:val="57"/>
                    <w:spacing w:line="280" w:lineRule="exact"/>
                    <w:rPr>
                      <w:rFonts w:cs="Times New Roman"/>
                      <w:color w:val="auto"/>
                      <w:szCs w:val="21"/>
                      <w:highlight w:val="none"/>
                      <w:lang w:val="zh-CN"/>
                    </w:rPr>
                  </w:pPr>
                </w:p>
              </w:tc>
              <w:tc>
                <w:tcPr>
                  <w:tcW w:w="608" w:type="dxa"/>
                  <w:vMerge w:val="continue"/>
                  <w:tcBorders>
                    <w:tl2br w:val="nil"/>
                    <w:tr2bl w:val="nil"/>
                  </w:tcBorders>
                  <w:vAlign w:val="center"/>
                </w:tcPr>
                <w:p>
                  <w:pPr>
                    <w:pStyle w:val="57"/>
                    <w:spacing w:line="280" w:lineRule="exact"/>
                    <w:rPr>
                      <w:rFonts w:cs="Times New Roman"/>
                      <w:color w:val="auto"/>
                      <w:szCs w:val="21"/>
                      <w:highlight w:val="none"/>
                      <w:lang w:val="zh-CN"/>
                    </w:rPr>
                  </w:pPr>
                </w:p>
              </w:tc>
              <w:tc>
                <w:tcPr>
                  <w:tcW w:w="382" w:type="dxa"/>
                  <w:tcBorders>
                    <w:tl2br w:val="nil"/>
                    <w:tr2bl w:val="nil"/>
                  </w:tcBorders>
                  <w:vAlign w:val="center"/>
                </w:tcPr>
                <w:p>
                  <w:pPr>
                    <w:pStyle w:val="57"/>
                    <w:spacing w:line="280" w:lineRule="exact"/>
                    <w:rPr>
                      <w:rFonts w:cs="Times New Roman"/>
                      <w:color w:val="auto"/>
                      <w:szCs w:val="21"/>
                      <w:highlight w:val="none"/>
                      <w:lang w:val="zh-CN"/>
                    </w:rPr>
                  </w:pPr>
                  <w:r>
                    <w:rPr>
                      <w:rFonts w:cs="Times New Roman"/>
                      <w:color w:val="auto"/>
                      <w:szCs w:val="21"/>
                      <w:highlight w:val="none"/>
                      <w:lang w:val="zh-CN"/>
                    </w:rPr>
                    <w:t>L</w:t>
                  </w:r>
                  <w:r>
                    <w:rPr>
                      <w:rFonts w:cs="Times New Roman"/>
                      <w:color w:val="auto"/>
                      <w:szCs w:val="21"/>
                      <w:highlight w:val="none"/>
                    </w:rPr>
                    <w:t>7</w:t>
                  </w:r>
                </w:p>
              </w:tc>
              <w:tc>
                <w:tcPr>
                  <w:tcW w:w="921" w:type="dxa"/>
                  <w:tcBorders>
                    <w:tl2br w:val="nil"/>
                    <w:tr2bl w:val="nil"/>
                  </w:tcBorders>
                  <w:vAlign w:val="center"/>
                </w:tcPr>
                <w:p>
                  <w:pPr>
                    <w:pStyle w:val="57"/>
                    <w:spacing w:line="280" w:lineRule="exact"/>
                    <w:rPr>
                      <w:rFonts w:cs="Times New Roman"/>
                      <w:color w:val="auto"/>
                      <w:szCs w:val="21"/>
                      <w:highlight w:val="none"/>
                      <w:lang w:val="zh-CN"/>
                    </w:rPr>
                  </w:pPr>
                  <w:r>
                    <w:rPr>
                      <w:rFonts w:cs="Times New Roman"/>
                      <w:color w:val="auto"/>
                      <w:szCs w:val="21"/>
                      <w:highlight w:val="none"/>
                      <w:lang w:val="zh-CN"/>
                    </w:rPr>
                    <w:t>庆丰道</w:t>
                  </w:r>
                </w:p>
              </w:tc>
              <w:tc>
                <w:tcPr>
                  <w:tcW w:w="900" w:type="dxa"/>
                  <w:tcBorders>
                    <w:tl2br w:val="nil"/>
                    <w:tr2bl w:val="nil"/>
                  </w:tcBorders>
                  <w:vAlign w:val="center"/>
                </w:tcPr>
                <w:p>
                  <w:pPr>
                    <w:pStyle w:val="57"/>
                    <w:spacing w:line="280" w:lineRule="exact"/>
                    <w:rPr>
                      <w:rFonts w:cs="Times New Roman"/>
                      <w:color w:val="auto"/>
                      <w:szCs w:val="21"/>
                      <w:highlight w:val="none"/>
                      <w:lang w:val="zh-CN"/>
                    </w:rPr>
                  </w:pPr>
                  <w:r>
                    <w:rPr>
                      <w:rFonts w:cs="Times New Roman"/>
                      <w:color w:val="auto"/>
                      <w:szCs w:val="21"/>
                      <w:highlight w:val="none"/>
                      <w:lang w:val="zh-CN"/>
                    </w:rPr>
                    <w:t>已建成</w:t>
                  </w:r>
                </w:p>
              </w:tc>
              <w:tc>
                <w:tcPr>
                  <w:tcW w:w="2400" w:type="dxa"/>
                  <w:vMerge w:val="continue"/>
                  <w:tcBorders>
                    <w:tl2br w:val="nil"/>
                    <w:tr2bl w:val="nil"/>
                  </w:tcBorders>
                  <w:vAlign w:val="center"/>
                </w:tcPr>
                <w:p>
                  <w:pPr>
                    <w:pStyle w:val="57"/>
                    <w:spacing w:line="280" w:lineRule="exact"/>
                    <w:rPr>
                      <w:rFonts w:cs="Times New Roman"/>
                      <w:color w:val="auto"/>
                      <w:szCs w:val="21"/>
                      <w:highlight w:val="none"/>
                      <w:lang w:val="zh-CN"/>
                    </w:rPr>
                  </w:pPr>
                </w:p>
              </w:tc>
              <w:tc>
                <w:tcPr>
                  <w:tcW w:w="1218" w:type="dxa"/>
                  <w:vMerge w:val="continue"/>
                  <w:tcBorders>
                    <w:tl2br w:val="nil"/>
                    <w:tr2bl w:val="nil"/>
                  </w:tcBorders>
                  <w:vAlign w:val="center"/>
                </w:tcPr>
                <w:p>
                  <w:pPr>
                    <w:pStyle w:val="57"/>
                    <w:spacing w:line="280" w:lineRule="exact"/>
                    <w:rPr>
                      <w:rFonts w:cs="Times New Roman"/>
                      <w:color w:val="auto"/>
                      <w:szCs w:val="21"/>
                      <w:highlight w:val="none"/>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65" w:hRule="atLeast"/>
                <w:jc w:val="center"/>
              </w:trPr>
              <w:tc>
                <w:tcPr>
                  <w:tcW w:w="370" w:type="dxa"/>
                  <w:vMerge w:val="continue"/>
                  <w:tcBorders>
                    <w:tl2br w:val="nil"/>
                    <w:tr2bl w:val="nil"/>
                  </w:tcBorders>
                  <w:vAlign w:val="center"/>
                </w:tcPr>
                <w:p>
                  <w:pPr>
                    <w:pStyle w:val="57"/>
                    <w:spacing w:line="280" w:lineRule="exact"/>
                    <w:ind w:firstLineChars="0"/>
                    <w:rPr>
                      <w:rFonts w:cs="Times New Roman"/>
                      <w:color w:val="auto"/>
                      <w:szCs w:val="21"/>
                      <w:highlight w:val="none"/>
                      <w:lang w:val="zh-CN"/>
                    </w:rPr>
                  </w:pPr>
                </w:p>
              </w:tc>
              <w:tc>
                <w:tcPr>
                  <w:tcW w:w="514" w:type="dxa"/>
                  <w:vMerge w:val="continue"/>
                  <w:tcBorders>
                    <w:tl2br w:val="nil"/>
                    <w:tr2bl w:val="nil"/>
                  </w:tcBorders>
                  <w:vAlign w:val="center"/>
                </w:tcPr>
                <w:p>
                  <w:pPr>
                    <w:pStyle w:val="57"/>
                    <w:spacing w:line="280" w:lineRule="exact"/>
                    <w:rPr>
                      <w:rFonts w:cs="Times New Roman"/>
                      <w:color w:val="auto"/>
                      <w:szCs w:val="21"/>
                      <w:highlight w:val="none"/>
                      <w:lang w:val="zh-CN"/>
                    </w:rPr>
                  </w:pPr>
                </w:p>
              </w:tc>
              <w:tc>
                <w:tcPr>
                  <w:tcW w:w="608" w:type="dxa"/>
                  <w:vMerge w:val="continue"/>
                  <w:tcBorders>
                    <w:tl2br w:val="nil"/>
                    <w:tr2bl w:val="nil"/>
                  </w:tcBorders>
                  <w:vAlign w:val="center"/>
                </w:tcPr>
                <w:p>
                  <w:pPr>
                    <w:pStyle w:val="57"/>
                    <w:spacing w:line="280" w:lineRule="exact"/>
                    <w:rPr>
                      <w:rFonts w:cs="Times New Roman"/>
                      <w:color w:val="auto"/>
                      <w:szCs w:val="21"/>
                      <w:highlight w:val="none"/>
                      <w:lang w:val="zh-CN"/>
                    </w:rPr>
                  </w:pPr>
                </w:p>
              </w:tc>
              <w:tc>
                <w:tcPr>
                  <w:tcW w:w="382" w:type="dxa"/>
                  <w:tcBorders>
                    <w:tl2br w:val="nil"/>
                    <w:tr2bl w:val="nil"/>
                  </w:tcBorders>
                  <w:vAlign w:val="center"/>
                </w:tcPr>
                <w:p>
                  <w:pPr>
                    <w:pStyle w:val="57"/>
                    <w:spacing w:line="280" w:lineRule="exact"/>
                    <w:rPr>
                      <w:rFonts w:cs="Times New Roman"/>
                      <w:color w:val="auto"/>
                      <w:szCs w:val="21"/>
                      <w:highlight w:val="none"/>
                      <w:lang w:val="zh-CN"/>
                    </w:rPr>
                  </w:pPr>
                  <w:r>
                    <w:rPr>
                      <w:rFonts w:cs="Times New Roman"/>
                      <w:color w:val="auto"/>
                      <w:szCs w:val="21"/>
                      <w:highlight w:val="none"/>
                      <w:lang w:val="zh-CN"/>
                    </w:rPr>
                    <w:t>L</w:t>
                  </w:r>
                  <w:r>
                    <w:rPr>
                      <w:rFonts w:cs="Times New Roman"/>
                      <w:color w:val="auto"/>
                      <w:szCs w:val="21"/>
                      <w:highlight w:val="none"/>
                    </w:rPr>
                    <w:t>8</w:t>
                  </w:r>
                </w:p>
              </w:tc>
              <w:tc>
                <w:tcPr>
                  <w:tcW w:w="921" w:type="dxa"/>
                  <w:tcBorders>
                    <w:tl2br w:val="nil"/>
                    <w:tr2bl w:val="nil"/>
                  </w:tcBorders>
                  <w:vAlign w:val="center"/>
                </w:tcPr>
                <w:p>
                  <w:pPr>
                    <w:pStyle w:val="57"/>
                    <w:spacing w:line="280" w:lineRule="exact"/>
                    <w:rPr>
                      <w:rFonts w:cs="Times New Roman"/>
                      <w:color w:val="auto"/>
                      <w:szCs w:val="21"/>
                      <w:highlight w:val="none"/>
                      <w:lang w:val="zh-CN"/>
                    </w:rPr>
                  </w:pPr>
                  <w:r>
                    <w:rPr>
                      <w:rFonts w:cs="Times New Roman"/>
                      <w:color w:val="auto"/>
                      <w:szCs w:val="21"/>
                      <w:highlight w:val="none"/>
                      <w:lang w:val="zh-CN"/>
                    </w:rPr>
                    <w:t>火炬路</w:t>
                  </w:r>
                </w:p>
              </w:tc>
              <w:tc>
                <w:tcPr>
                  <w:tcW w:w="900" w:type="dxa"/>
                  <w:tcBorders>
                    <w:tl2br w:val="nil"/>
                    <w:tr2bl w:val="nil"/>
                  </w:tcBorders>
                  <w:vAlign w:val="center"/>
                </w:tcPr>
                <w:p>
                  <w:pPr>
                    <w:pStyle w:val="57"/>
                    <w:spacing w:line="280" w:lineRule="exact"/>
                    <w:rPr>
                      <w:rFonts w:cs="Times New Roman"/>
                      <w:color w:val="auto"/>
                      <w:szCs w:val="21"/>
                      <w:highlight w:val="none"/>
                      <w:lang w:val="zh-CN"/>
                    </w:rPr>
                  </w:pPr>
                  <w:r>
                    <w:rPr>
                      <w:rFonts w:cs="Times New Roman"/>
                      <w:color w:val="auto"/>
                      <w:szCs w:val="21"/>
                      <w:highlight w:val="none"/>
                      <w:lang w:val="zh-CN"/>
                    </w:rPr>
                    <w:t>已建成</w:t>
                  </w:r>
                </w:p>
              </w:tc>
              <w:tc>
                <w:tcPr>
                  <w:tcW w:w="2400" w:type="dxa"/>
                  <w:vMerge w:val="continue"/>
                  <w:tcBorders>
                    <w:tl2br w:val="nil"/>
                    <w:tr2bl w:val="nil"/>
                  </w:tcBorders>
                  <w:vAlign w:val="center"/>
                </w:tcPr>
                <w:p>
                  <w:pPr>
                    <w:pStyle w:val="57"/>
                    <w:spacing w:line="280" w:lineRule="exact"/>
                    <w:rPr>
                      <w:rFonts w:cs="Times New Roman"/>
                      <w:color w:val="auto"/>
                      <w:szCs w:val="21"/>
                      <w:highlight w:val="none"/>
                      <w:lang w:val="zh-CN"/>
                    </w:rPr>
                  </w:pPr>
                </w:p>
              </w:tc>
              <w:tc>
                <w:tcPr>
                  <w:tcW w:w="1218" w:type="dxa"/>
                  <w:vMerge w:val="continue"/>
                  <w:tcBorders>
                    <w:tl2br w:val="nil"/>
                    <w:tr2bl w:val="nil"/>
                  </w:tcBorders>
                  <w:vAlign w:val="center"/>
                </w:tcPr>
                <w:p>
                  <w:pPr>
                    <w:pStyle w:val="57"/>
                    <w:spacing w:line="280" w:lineRule="exact"/>
                    <w:rPr>
                      <w:rFonts w:cs="Times New Roman"/>
                      <w:color w:val="auto"/>
                      <w:szCs w:val="21"/>
                      <w:highlight w:val="none"/>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0" w:hRule="atLeast"/>
                <w:jc w:val="center"/>
              </w:trPr>
              <w:tc>
                <w:tcPr>
                  <w:tcW w:w="370" w:type="dxa"/>
                  <w:vMerge w:val="continue"/>
                  <w:tcBorders>
                    <w:tl2br w:val="nil"/>
                    <w:tr2bl w:val="nil"/>
                  </w:tcBorders>
                  <w:vAlign w:val="center"/>
                </w:tcPr>
                <w:p>
                  <w:pPr>
                    <w:pStyle w:val="57"/>
                    <w:spacing w:line="280" w:lineRule="exact"/>
                    <w:ind w:firstLineChars="0"/>
                    <w:rPr>
                      <w:rFonts w:cs="Times New Roman"/>
                      <w:color w:val="auto"/>
                      <w:szCs w:val="21"/>
                      <w:highlight w:val="none"/>
                      <w:lang w:val="zh-CN"/>
                    </w:rPr>
                  </w:pPr>
                </w:p>
              </w:tc>
              <w:tc>
                <w:tcPr>
                  <w:tcW w:w="514" w:type="dxa"/>
                  <w:vMerge w:val="continue"/>
                  <w:tcBorders>
                    <w:tl2br w:val="nil"/>
                    <w:tr2bl w:val="nil"/>
                  </w:tcBorders>
                  <w:vAlign w:val="center"/>
                </w:tcPr>
                <w:p>
                  <w:pPr>
                    <w:pStyle w:val="57"/>
                    <w:spacing w:line="280" w:lineRule="exact"/>
                    <w:rPr>
                      <w:rFonts w:cs="Times New Roman"/>
                      <w:color w:val="auto"/>
                      <w:szCs w:val="21"/>
                      <w:highlight w:val="none"/>
                      <w:lang w:val="zh-CN"/>
                    </w:rPr>
                  </w:pPr>
                </w:p>
              </w:tc>
              <w:tc>
                <w:tcPr>
                  <w:tcW w:w="608" w:type="dxa"/>
                  <w:vMerge w:val="continue"/>
                  <w:tcBorders>
                    <w:tl2br w:val="nil"/>
                    <w:tr2bl w:val="nil"/>
                  </w:tcBorders>
                  <w:vAlign w:val="center"/>
                </w:tcPr>
                <w:p>
                  <w:pPr>
                    <w:pStyle w:val="57"/>
                    <w:spacing w:line="280" w:lineRule="exact"/>
                    <w:rPr>
                      <w:rFonts w:cs="Times New Roman"/>
                      <w:color w:val="auto"/>
                      <w:szCs w:val="21"/>
                      <w:highlight w:val="none"/>
                      <w:lang w:val="zh-CN"/>
                    </w:rPr>
                  </w:pPr>
                </w:p>
              </w:tc>
              <w:tc>
                <w:tcPr>
                  <w:tcW w:w="382" w:type="dxa"/>
                  <w:tcBorders>
                    <w:tl2br w:val="nil"/>
                    <w:tr2bl w:val="nil"/>
                  </w:tcBorders>
                  <w:vAlign w:val="center"/>
                </w:tcPr>
                <w:p>
                  <w:pPr>
                    <w:pStyle w:val="57"/>
                    <w:spacing w:line="280" w:lineRule="exact"/>
                    <w:rPr>
                      <w:rFonts w:cs="Times New Roman"/>
                      <w:color w:val="auto"/>
                      <w:szCs w:val="21"/>
                      <w:highlight w:val="none"/>
                      <w:lang w:val="zh-CN"/>
                    </w:rPr>
                  </w:pPr>
                  <w:r>
                    <w:rPr>
                      <w:rFonts w:cs="Times New Roman"/>
                      <w:color w:val="auto"/>
                      <w:szCs w:val="21"/>
                      <w:highlight w:val="none"/>
                      <w:lang w:val="zh-CN"/>
                    </w:rPr>
                    <w:t>L</w:t>
                  </w:r>
                  <w:r>
                    <w:rPr>
                      <w:rFonts w:cs="Times New Roman"/>
                      <w:color w:val="auto"/>
                      <w:szCs w:val="21"/>
                      <w:highlight w:val="none"/>
                    </w:rPr>
                    <w:t>9</w:t>
                  </w:r>
                </w:p>
              </w:tc>
              <w:tc>
                <w:tcPr>
                  <w:tcW w:w="921" w:type="dxa"/>
                  <w:tcBorders>
                    <w:tl2br w:val="nil"/>
                    <w:tr2bl w:val="nil"/>
                  </w:tcBorders>
                  <w:vAlign w:val="center"/>
                </w:tcPr>
                <w:p>
                  <w:pPr>
                    <w:pStyle w:val="57"/>
                    <w:spacing w:line="280" w:lineRule="exact"/>
                    <w:rPr>
                      <w:rFonts w:cs="Times New Roman"/>
                      <w:color w:val="auto"/>
                      <w:szCs w:val="21"/>
                      <w:highlight w:val="none"/>
                      <w:lang w:val="zh-CN"/>
                    </w:rPr>
                  </w:pPr>
                  <w:r>
                    <w:rPr>
                      <w:rFonts w:cs="Times New Roman"/>
                      <w:color w:val="auto"/>
                      <w:szCs w:val="21"/>
                      <w:highlight w:val="none"/>
                      <w:lang w:val="zh-CN"/>
                    </w:rPr>
                    <w:t>规划路3</w:t>
                  </w:r>
                </w:p>
              </w:tc>
              <w:tc>
                <w:tcPr>
                  <w:tcW w:w="900" w:type="dxa"/>
                  <w:tcBorders>
                    <w:tl2br w:val="nil"/>
                    <w:tr2bl w:val="nil"/>
                  </w:tcBorders>
                  <w:vAlign w:val="center"/>
                </w:tcPr>
                <w:p>
                  <w:pPr>
                    <w:pStyle w:val="57"/>
                    <w:spacing w:line="280" w:lineRule="exact"/>
                    <w:rPr>
                      <w:rFonts w:cs="Times New Roman"/>
                      <w:color w:val="auto"/>
                      <w:szCs w:val="21"/>
                      <w:highlight w:val="none"/>
                      <w:lang w:val="zh-CN"/>
                    </w:rPr>
                  </w:pPr>
                  <w:r>
                    <w:rPr>
                      <w:rFonts w:cs="Times New Roman"/>
                      <w:color w:val="auto"/>
                      <w:szCs w:val="21"/>
                      <w:highlight w:val="none"/>
                      <w:lang w:val="zh-CN"/>
                    </w:rPr>
                    <w:t>已建成</w:t>
                  </w:r>
                </w:p>
              </w:tc>
              <w:tc>
                <w:tcPr>
                  <w:tcW w:w="2400" w:type="dxa"/>
                  <w:vMerge w:val="continue"/>
                  <w:tcBorders>
                    <w:tl2br w:val="nil"/>
                    <w:tr2bl w:val="nil"/>
                  </w:tcBorders>
                  <w:vAlign w:val="center"/>
                </w:tcPr>
                <w:p>
                  <w:pPr>
                    <w:pStyle w:val="57"/>
                    <w:spacing w:line="280" w:lineRule="exact"/>
                    <w:rPr>
                      <w:rFonts w:cs="Times New Roman"/>
                      <w:color w:val="auto"/>
                      <w:szCs w:val="21"/>
                      <w:highlight w:val="none"/>
                      <w:lang w:val="zh-CN"/>
                    </w:rPr>
                  </w:pPr>
                </w:p>
              </w:tc>
              <w:tc>
                <w:tcPr>
                  <w:tcW w:w="1218" w:type="dxa"/>
                  <w:vMerge w:val="continue"/>
                  <w:tcBorders>
                    <w:tl2br w:val="nil"/>
                    <w:tr2bl w:val="nil"/>
                  </w:tcBorders>
                  <w:vAlign w:val="center"/>
                </w:tcPr>
                <w:p>
                  <w:pPr>
                    <w:pStyle w:val="57"/>
                    <w:spacing w:line="280" w:lineRule="exact"/>
                    <w:rPr>
                      <w:rFonts w:cs="Times New Roman"/>
                      <w:color w:val="auto"/>
                      <w:szCs w:val="21"/>
                      <w:highlight w:val="none"/>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05" w:hRule="atLeast"/>
                <w:jc w:val="center"/>
              </w:trPr>
              <w:tc>
                <w:tcPr>
                  <w:tcW w:w="370" w:type="dxa"/>
                  <w:tcBorders>
                    <w:tl2br w:val="nil"/>
                    <w:tr2bl w:val="nil"/>
                  </w:tcBorders>
                  <w:vAlign w:val="center"/>
                </w:tcPr>
                <w:p>
                  <w:pPr>
                    <w:pStyle w:val="57"/>
                    <w:numPr>
                      <w:ilvl w:val="0"/>
                      <w:numId w:val="2"/>
                    </w:numPr>
                    <w:spacing w:line="280" w:lineRule="exact"/>
                    <w:ind w:left="0" w:leftChars="0" w:firstLine="0" w:firstLineChars="0"/>
                    <w:rPr>
                      <w:rFonts w:cs="Times New Roman"/>
                      <w:color w:val="auto"/>
                      <w:szCs w:val="21"/>
                      <w:highlight w:val="none"/>
                    </w:rPr>
                  </w:pPr>
                </w:p>
              </w:tc>
              <w:tc>
                <w:tcPr>
                  <w:tcW w:w="514" w:type="dxa"/>
                  <w:vMerge w:val="continue"/>
                  <w:tcBorders>
                    <w:tl2br w:val="nil"/>
                    <w:tr2bl w:val="nil"/>
                  </w:tcBorders>
                  <w:vAlign w:val="center"/>
                </w:tcPr>
                <w:p>
                  <w:pPr>
                    <w:pStyle w:val="57"/>
                    <w:spacing w:line="280" w:lineRule="exact"/>
                    <w:rPr>
                      <w:rFonts w:cs="Times New Roman"/>
                      <w:color w:val="auto"/>
                      <w:szCs w:val="21"/>
                      <w:highlight w:val="none"/>
                      <w:lang w:val="zh-CN"/>
                    </w:rPr>
                  </w:pPr>
                </w:p>
              </w:tc>
              <w:tc>
                <w:tcPr>
                  <w:tcW w:w="608" w:type="dxa"/>
                  <w:tcBorders>
                    <w:tl2br w:val="nil"/>
                    <w:tr2bl w:val="nil"/>
                  </w:tcBorders>
                  <w:vAlign w:val="center"/>
                </w:tcPr>
                <w:p>
                  <w:pPr>
                    <w:pStyle w:val="57"/>
                    <w:spacing w:line="280" w:lineRule="exact"/>
                    <w:rPr>
                      <w:rFonts w:cs="Times New Roman"/>
                      <w:color w:val="auto"/>
                      <w:szCs w:val="21"/>
                      <w:highlight w:val="none"/>
                      <w:lang w:val="zh-CN"/>
                    </w:rPr>
                  </w:pPr>
                  <w:r>
                    <w:rPr>
                      <w:rFonts w:cs="Times New Roman"/>
                      <w:color w:val="auto"/>
                      <w:szCs w:val="21"/>
                      <w:highlight w:val="none"/>
                      <w:lang w:val="zh-CN"/>
                    </w:rPr>
                    <w:t>地表水系</w:t>
                  </w:r>
                </w:p>
              </w:tc>
              <w:tc>
                <w:tcPr>
                  <w:tcW w:w="1303" w:type="dxa"/>
                  <w:gridSpan w:val="2"/>
                  <w:tcBorders>
                    <w:tl2br w:val="nil"/>
                    <w:tr2bl w:val="nil"/>
                  </w:tcBorders>
                  <w:vAlign w:val="center"/>
                </w:tcPr>
                <w:p>
                  <w:pPr>
                    <w:pStyle w:val="57"/>
                    <w:spacing w:line="280" w:lineRule="exact"/>
                    <w:rPr>
                      <w:rFonts w:cs="Times New Roman"/>
                      <w:color w:val="auto"/>
                      <w:szCs w:val="21"/>
                      <w:highlight w:val="none"/>
                      <w:lang w:val="zh-CN"/>
                    </w:rPr>
                  </w:pPr>
                  <w:r>
                    <w:rPr>
                      <w:rFonts w:cs="Times New Roman"/>
                      <w:color w:val="auto"/>
                      <w:szCs w:val="21"/>
                      <w:highlight w:val="none"/>
                      <w:lang w:val="zh-CN"/>
                    </w:rPr>
                    <w:t>环城水系</w:t>
                  </w:r>
                </w:p>
              </w:tc>
              <w:tc>
                <w:tcPr>
                  <w:tcW w:w="900" w:type="dxa"/>
                  <w:tcBorders>
                    <w:tl2br w:val="nil"/>
                    <w:tr2bl w:val="nil"/>
                  </w:tcBorders>
                  <w:vAlign w:val="center"/>
                </w:tcPr>
                <w:p>
                  <w:pPr>
                    <w:pStyle w:val="57"/>
                    <w:spacing w:line="280" w:lineRule="exact"/>
                    <w:rPr>
                      <w:rFonts w:cs="Times New Roman"/>
                      <w:color w:val="auto"/>
                      <w:szCs w:val="21"/>
                      <w:highlight w:val="none"/>
                      <w:lang w:val="zh-CN"/>
                    </w:rPr>
                  </w:pPr>
                  <w:r>
                    <w:rPr>
                      <w:rFonts w:cs="Times New Roman"/>
                      <w:color w:val="auto"/>
                      <w:szCs w:val="21"/>
                      <w:highlight w:val="none"/>
                      <w:lang w:val="zh-CN"/>
                    </w:rPr>
                    <w:t>水域</w:t>
                  </w:r>
                </w:p>
              </w:tc>
              <w:tc>
                <w:tcPr>
                  <w:tcW w:w="2400" w:type="dxa"/>
                  <w:tcBorders>
                    <w:tl2br w:val="nil"/>
                    <w:tr2bl w:val="nil"/>
                  </w:tcBorders>
                  <w:vAlign w:val="center"/>
                </w:tcPr>
                <w:p>
                  <w:pPr>
                    <w:pStyle w:val="57"/>
                    <w:spacing w:line="280" w:lineRule="exact"/>
                    <w:rPr>
                      <w:rFonts w:cs="Times New Roman"/>
                      <w:color w:val="auto"/>
                      <w:szCs w:val="21"/>
                      <w:highlight w:val="none"/>
                      <w:lang w:val="zh-CN"/>
                    </w:rPr>
                  </w:pPr>
                  <w:r>
                    <w:rPr>
                      <w:rFonts w:cs="Times New Roman"/>
                      <w:color w:val="auto"/>
                      <w:szCs w:val="21"/>
                      <w:highlight w:val="none"/>
                      <w:lang w:val="zh-CN"/>
                    </w:rPr>
                    <w:t>将环城水系行洪河道以及两侧50-100m的绿化带划定为禁建区，禁止在水系管理范围内建设妨碍行洪的建筑物、构筑物，倾倒垃圾、渣土，从事影响河势稳定、危害河岸堤防安全和其他妨碍河道行洪的活动。</w:t>
                  </w:r>
                </w:p>
              </w:tc>
              <w:tc>
                <w:tcPr>
                  <w:tcW w:w="1218" w:type="dxa"/>
                  <w:tcBorders>
                    <w:tl2br w:val="nil"/>
                    <w:tr2bl w:val="nil"/>
                  </w:tcBorders>
                  <w:vAlign w:val="center"/>
                </w:tcPr>
                <w:p>
                  <w:pPr>
                    <w:pStyle w:val="57"/>
                    <w:spacing w:line="280" w:lineRule="exact"/>
                    <w:rPr>
                      <w:rFonts w:hint="default" w:eastAsia="宋体" w:cs="Times New Roman"/>
                      <w:color w:val="auto"/>
                      <w:szCs w:val="21"/>
                      <w:highlight w:val="none"/>
                      <w:lang w:val="en-US" w:eastAsia="zh-CN"/>
                    </w:rPr>
                  </w:pPr>
                  <w:r>
                    <w:rPr>
                      <w:rFonts w:hint="eastAsia" w:cs="Times New Roman"/>
                      <w:color w:val="auto"/>
                      <w:szCs w:val="21"/>
                      <w:highlight w:val="none"/>
                      <w:lang w:val="en-US" w:eastAsia="zh-CN"/>
                    </w:rPr>
                    <w:t>本项目不在环城水系禁建区范围内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175" w:hRule="atLeast"/>
                <w:jc w:val="center"/>
              </w:trPr>
              <w:tc>
                <w:tcPr>
                  <w:tcW w:w="370" w:type="dxa"/>
                  <w:tcBorders>
                    <w:tl2br w:val="nil"/>
                    <w:tr2bl w:val="nil"/>
                  </w:tcBorders>
                  <w:vAlign w:val="center"/>
                </w:tcPr>
                <w:p>
                  <w:pPr>
                    <w:pStyle w:val="57"/>
                    <w:numPr>
                      <w:ilvl w:val="0"/>
                      <w:numId w:val="2"/>
                    </w:numPr>
                    <w:spacing w:line="280" w:lineRule="exact"/>
                    <w:ind w:left="0" w:leftChars="0" w:firstLine="0" w:firstLineChars="0"/>
                    <w:rPr>
                      <w:rFonts w:cs="Times New Roman"/>
                      <w:color w:val="auto"/>
                      <w:szCs w:val="21"/>
                      <w:highlight w:val="none"/>
                      <w:lang w:val="zh-CN"/>
                    </w:rPr>
                  </w:pPr>
                </w:p>
              </w:tc>
              <w:tc>
                <w:tcPr>
                  <w:tcW w:w="514" w:type="dxa"/>
                  <w:vMerge w:val="continue"/>
                  <w:tcBorders>
                    <w:tl2br w:val="nil"/>
                    <w:tr2bl w:val="nil"/>
                  </w:tcBorders>
                  <w:vAlign w:val="center"/>
                </w:tcPr>
                <w:p>
                  <w:pPr>
                    <w:pStyle w:val="57"/>
                    <w:spacing w:line="280" w:lineRule="exact"/>
                    <w:rPr>
                      <w:rFonts w:cs="Times New Roman"/>
                      <w:color w:val="auto"/>
                      <w:szCs w:val="21"/>
                      <w:highlight w:val="none"/>
                      <w:lang w:val="zh-CN"/>
                    </w:rPr>
                  </w:pPr>
                </w:p>
              </w:tc>
              <w:tc>
                <w:tcPr>
                  <w:tcW w:w="608" w:type="dxa"/>
                  <w:tcBorders>
                    <w:tl2br w:val="nil"/>
                    <w:tr2bl w:val="nil"/>
                  </w:tcBorders>
                  <w:vAlign w:val="center"/>
                </w:tcPr>
                <w:p>
                  <w:pPr>
                    <w:pStyle w:val="57"/>
                    <w:spacing w:line="280" w:lineRule="exact"/>
                    <w:rPr>
                      <w:rFonts w:cs="Times New Roman"/>
                      <w:color w:val="auto"/>
                      <w:szCs w:val="21"/>
                      <w:highlight w:val="none"/>
                      <w:lang w:val="zh-CN"/>
                    </w:rPr>
                  </w:pPr>
                  <w:r>
                    <w:rPr>
                      <w:rFonts w:cs="Times New Roman"/>
                      <w:color w:val="auto"/>
                      <w:szCs w:val="21"/>
                      <w:highlight w:val="none"/>
                      <w:lang w:val="zh-CN"/>
                    </w:rPr>
                    <w:t>生态</w:t>
                  </w:r>
                </w:p>
              </w:tc>
              <w:tc>
                <w:tcPr>
                  <w:tcW w:w="1303" w:type="dxa"/>
                  <w:gridSpan w:val="2"/>
                  <w:tcBorders>
                    <w:tl2br w:val="nil"/>
                    <w:tr2bl w:val="nil"/>
                  </w:tcBorders>
                  <w:vAlign w:val="center"/>
                </w:tcPr>
                <w:p>
                  <w:pPr>
                    <w:pStyle w:val="57"/>
                    <w:spacing w:line="280" w:lineRule="exact"/>
                    <w:rPr>
                      <w:rFonts w:cs="Times New Roman"/>
                      <w:color w:val="auto"/>
                      <w:szCs w:val="21"/>
                      <w:highlight w:val="none"/>
                      <w:lang w:val="zh-CN"/>
                    </w:rPr>
                  </w:pPr>
                  <w:r>
                    <w:rPr>
                      <w:rFonts w:cs="Times New Roman"/>
                      <w:color w:val="auto"/>
                      <w:szCs w:val="21"/>
                      <w:highlight w:val="none"/>
                      <w:lang w:val="zh-CN"/>
                    </w:rPr>
                    <w:t>防护绿地</w:t>
                  </w:r>
                </w:p>
              </w:tc>
              <w:tc>
                <w:tcPr>
                  <w:tcW w:w="900" w:type="dxa"/>
                  <w:tcBorders>
                    <w:tl2br w:val="nil"/>
                    <w:tr2bl w:val="nil"/>
                  </w:tcBorders>
                  <w:vAlign w:val="center"/>
                </w:tcPr>
                <w:p>
                  <w:pPr>
                    <w:pStyle w:val="57"/>
                    <w:spacing w:line="280" w:lineRule="exact"/>
                    <w:rPr>
                      <w:rFonts w:cs="Times New Roman"/>
                      <w:color w:val="auto"/>
                      <w:szCs w:val="21"/>
                      <w:highlight w:val="none"/>
                      <w:lang w:val="zh-CN"/>
                    </w:rPr>
                  </w:pPr>
                  <w:r>
                    <w:rPr>
                      <w:rFonts w:cs="Times New Roman"/>
                      <w:color w:val="auto"/>
                      <w:szCs w:val="21"/>
                      <w:highlight w:val="none"/>
                      <w:lang w:val="zh-CN"/>
                    </w:rPr>
                    <w:t>--</w:t>
                  </w:r>
                </w:p>
              </w:tc>
              <w:tc>
                <w:tcPr>
                  <w:tcW w:w="2400" w:type="dxa"/>
                  <w:tcBorders>
                    <w:tl2br w:val="nil"/>
                    <w:tr2bl w:val="nil"/>
                  </w:tcBorders>
                  <w:vAlign w:val="center"/>
                </w:tcPr>
                <w:p>
                  <w:pPr>
                    <w:pStyle w:val="57"/>
                    <w:spacing w:line="280" w:lineRule="exact"/>
                    <w:rPr>
                      <w:rFonts w:cs="Times New Roman"/>
                      <w:color w:val="auto"/>
                      <w:szCs w:val="21"/>
                      <w:highlight w:val="none"/>
                      <w:lang w:val="zh-CN"/>
                    </w:rPr>
                  </w:pPr>
                  <w:r>
                    <w:rPr>
                      <w:rFonts w:cs="Times New Roman"/>
                      <w:color w:val="auto"/>
                      <w:szCs w:val="21"/>
                      <w:highlight w:val="none"/>
                      <w:lang w:val="zh-CN"/>
                    </w:rPr>
                    <w:t>禁止在规划防护绿地占地范围内开展与防护绿地无关的建设活动，严禁占用开发区防护绿地。</w:t>
                  </w:r>
                </w:p>
              </w:tc>
              <w:tc>
                <w:tcPr>
                  <w:tcW w:w="1218" w:type="dxa"/>
                  <w:tcBorders>
                    <w:tl2br w:val="nil"/>
                    <w:tr2bl w:val="nil"/>
                  </w:tcBorders>
                  <w:vAlign w:val="center"/>
                </w:tcPr>
                <w:p>
                  <w:pPr>
                    <w:pStyle w:val="57"/>
                    <w:spacing w:line="280" w:lineRule="exact"/>
                    <w:rPr>
                      <w:rFonts w:hint="default" w:eastAsia="宋体" w:cs="Times New Roman"/>
                      <w:color w:val="auto"/>
                      <w:szCs w:val="21"/>
                      <w:highlight w:val="none"/>
                      <w:lang w:val="en-US" w:eastAsia="zh-CN"/>
                    </w:rPr>
                  </w:pPr>
                  <w:r>
                    <w:rPr>
                      <w:rFonts w:hint="eastAsia" w:cs="Times New Roman"/>
                      <w:color w:val="auto"/>
                      <w:szCs w:val="21"/>
                      <w:highlight w:val="none"/>
                      <w:lang w:val="en-US" w:eastAsia="zh-CN"/>
                    </w:rPr>
                    <w:t>本项目不在防护绿地范围内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075" w:hRule="atLeast"/>
                <w:jc w:val="center"/>
              </w:trPr>
              <w:tc>
                <w:tcPr>
                  <w:tcW w:w="370" w:type="dxa"/>
                  <w:tcBorders>
                    <w:tl2br w:val="nil"/>
                    <w:tr2bl w:val="nil"/>
                  </w:tcBorders>
                  <w:vAlign w:val="center"/>
                </w:tcPr>
                <w:p>
                  <w:pPr>
                    <w:pStyle w:val="57"/>
                    <w:numPr>
                      <w:ilvl w:val="0"/>
                      <w:numId w:val="2"/>
                    </w:numPr>
                    <w:spacing w:line="280" w:lineRule="exact"/>
                    <w:ind w:left="0" w:leftChars="0" w:firstLine="0" w:firstLineChars="0"/>
                    <w:rPr>
                      <w:rFonts w:cs="Times New Roman"/>
                      <w:color w:val="auto"/>
                      <w:szCs w:val="21"/>
                      <w:highlight w:val="none"/>
                      <w:lang w:val="zh-CN"/>
                    </w:rPr>
                  </w:pPr>
                </w:p>
              </w:tc>
              <w:tc>
                <w:tcPr>
                  <w:tcW w:w="514" w:type="dxa"/>
                  <w:vMerge w:val="restart"/>
                  <w:tcBorders>
                    <w:tl2br w:val="nil"/>
                    <w:tr2bl w:val="nil"/>
                  </w:tcBorders>
                  <w:vAlign w:val="center"/>
                </w:tcPr>
                <w:p>
                  <w:pPr>
                    <w:pStyle w:val="57"/>
                    <w:spacing w:line="280" w:lineRule="exact"/>
                    <w:rPr>
                      <w:rFonts w:cs="Times New Roman"/>
                      <w:color w:val="auto"/>
                      <w:szCs w:val="21"/>
                      <w:highlight w:val="none"/>
                      <w:lang w:val="zh-CN"/>
                    </w:rPr>
                  </w:pPr>
                  <w:r>
                    <w:rPr>
                      <w:rFonts w:cs="Times New Roman"/>
                      <w:color w:val="auto"/>
                      <w:szCs w:val="21"/>
                      <w:highlight w:val="none"/>
                      <w:lang w:val="zh-CN"/>
                    </w:rPr>
                    <w:t>限制建设区</w:t>
                  </w:r>
                </w:p>
              </w:tc>
              <w:tc>
                <w:tcPr>
                  <w:tcW w:w="608" w:type="dxa"/>
                  <w:tcBorders>
                    <w:tl2br w:val="nil"/>
                    <w:tr2bl w:val="nil"/>
                  </w:tcBorders>
                  <w:vAlign w:val="center"/>
                </w:tcPr>
                <w:p>
                  <w:pPr>
                    <w:pStyle w:val="57"/>
                    <w:spacing w:line="280" w:lineRule="exact"/>
                    <w:rPr>
                      <w:rFonts w:cs="Times New Roman"/>
                      <w:color w:val="auto"/>
                      <w:szCs w:val="21"/>
                      <w:highlight w:val="none"/>
                      <w:lang w:val="zh-CN"/>
                    </w:rPr>
                  </w:pPr>
                  <w:r>
                    <w:rPr>
                      <w:rFonts w:cs="Times New Roman"/>
                      <w:color w:val="auto"/>
                      <w:szCs w:val="21"/>
                      <w:highlight w:val="none"/>
                      <w:lang w:val="zh-CN"/>
                    </w:rPr>
                    <w:t>规划人群集聚区</w:t>
                  </w:r>
                </w:p>
              </w:tc>
              <w:tc>
                <w:tcPr>
                  <w:tcW w:w="1303" w:type="dxa"/>
                  <w:gridSpan w:val="2"/>
                  <w:tcBorders>
                    <w:tl2br w:val="nil"/>
                    <w:tr2bl w:val="nil"/>
                  </w:tcBorders>
                  <w:vAlign w:val="center"/>
                </w:tcPr>
                <w:p>
                  <w:pPr>
                    <w:pStyle w:val="57"/>
                    <w:spacing w:line="280" w:lineRule="exact"/>
                    <w:rPr>
                      <w:rFonts w:cs="Times New Roman"/>
                      <w:color w:val="auto"/>
                      <w:szCs w:val="21"/>
                      <w:highlight w:val="none"/>
                      <w:lang w:val="zh-CN"/>
                    </w:rPr>
                  </w:pPr>
                  <w:r>
                    <w:rPr>
                      <w:rFonts w:cs="Times New Roman"/>
                      <w:color w:val="auto"/>
                      <w:szCs w:val="21"/>
                      <w:highlight w:val="none"/>
                      <w:lang w:val="zh-CN"/>
                    </w:rPr>
                    <w:t>新城子、孙家庄、田庄、前白寺口、中白寺口、北白寺口、梁各庄、宋各庄、刘家洼、郑庄子、三益庄、李各庄居住区</w:t>
                  </w:r>
                </w:p>
              </w:tc>
              <w:tc>
                <w:tcPr>
                  <w:tcW w:w="900" w:type="dxa"/>
                  <w:tcBorders>
                    <w:tl2br w:val="nil"/>
                    <w:tr2bl w:val="nil"/>
                  </w:tcBorders>
                  <w:vAlign w:val="center"/>
                </w:tcPr>
                <w:p>
                  <w:pPr>
                    <w:pStyle w:val="57"/>
                    <w:spacing w:line="280" w:lineRule="exact"/>
                    <w:rPr>
                      <w:rFonts w:cs="Times New Roman"/>
                      <w:color w:val="auto"/>
                      <w:szCs w:val="21"/>
                      <w:highlight w:val="none"/>
                      <w:lang w:val="zh-CN"/>
                    </w:rPr>
                  </w:pPr>
                  <w:r>
                    <w:rPr>
                      <w:rFonts w:cs="Times New Roman"/>
                      <w:color w:val="auto"/>
                      <w:szCs w:val="21"/>
                      <w:highlight w:val="none"/>
                      <w:lang w:val="zh-CN"/>
                    </w:rPr>
                    <w:t>农村居住用地</w:t>
                  </w:r>
                </w:p>
              </w:tc>
              <w:tc>
                <w:tcPr>
                  <w:tcW w:w="2400" w:type="dxa"/>
                  <w:tcBorders>
                    <w:tl2br w:val="nil"/>
                    <w:tr2bl w:val="nil"/>
                  </w:tcBorders>
                  <w:vAlign w:val="center"/>
                </w:tcPr>
                <w:p>
                  <w:pPr>
                    <w:pStyle w:val="57"/>
                    <w:spacing w:line="280" w:lineRule="exact"/>
                    <w:rPr>
                      <w:rFonts w:cs="Times New Roman"/>
                      <w:color w:val="auto"/>
                      <w:szCs w:val="21"/>
                      <w:highlight w:val="none"/>
                      <w:lang w:val="zh-CN"/>
                    </w:rPr>
                  </w:pPr>
                  <w:r>
                    <w:rPr>
                      <w:rFonts w:cs="Times New Roman"/>
                      <w:color w:val="auto"/>
                      <w:szCs w:val="21"/>
                      <w:highlight w:val="none"/>
                      <w:lang w:val="zh-CN"/>
                    </w:rPr>
                    <w:t>在居住区与工业用地之间设置绿化隔离带，并控制居住区向工业用地方向发展。工业用地靠近居住区的一侧在布置工业项目时应该重点考虑对居住区的环境影响分析及防护距离设置。</w:t>
                  </w:r>
                </w:p>
              </w:tc>
              <w:tc>
                <w:tcPr>
                  <w:tcW w:w="1218" w:type="dxa"/>
                  <w:tcBorders>
                    <w:tl2br w:val="nil"/>
                    <w:tr2bl w:val="nil"/>
                  </w:tcBorders>
                  <w:vAlign w:val="center"/>
                </w:tcPr>
                <w:p>
                  <w:pPr>
                    <w:pStyle w:val="57"/>
                    <w:spacing w:line="280" w:lineRule="exact"/>
                    <w:jc w:val="center"/>
                    <w:rPr>
                      <w:rFonts w:hint="default" w:eastAsia="宋体" w:cs="Times New Roman"/>
                      <w:color w:val="auto"/>
                      <w:szCs w:val="21"/>
                      <w:highlight w:val="none"/>
                      <w:lang w:val="en-US" w:eastAsia="zh-CN"/>
                    </w:rPr>
                  </w:pPr>
                  <w:r>
                    <w:rPr>
                      <w:rFonts w:hint="eastAsia" w:cs="Times New Roman"/>
                      <w:color w:val="auto"/>
                      <w:szCs w:val="21"/>
                      <w:highlight w:val="none"/>
                      <w:lang w:val="en-US" w:eastAsia="zh-CN"/>
                    </w:rPr>
                    <w:t>距离本项目最近的居住区为龙湖·天境尘林间居民区，位于本项目厂界外东侧250m，本项目的建设不会对居民区产生影响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725" w:hRule="atLeast"/>
                <w:jc w:val="center"/>
              </w:trPr>
              <w:tc>
                <w:tcPr>
                  <w:tcW w:w="370" w:type="dxa"/>
                  <w:tcBorders>
                    <w:tl2br w:val="nil"/>
                    <w:tr2bl w:val="nil"/>
                  </w:tcBorders>
                  <w:vAlign w:val="center"/>
                </w:tcPr>
                <w:p>
                  <w:pPr>
                    <w:pStyle w:val="57"/>
                    <w:numPr>
                      <w:ilvl w:val="0"/>
                      <w:numId w:val="2"/>
                    </w:numPr>
                    <w:spacing w:line="280" w:lineRule="exact"/>
                    <w:ind w:left="0" w:leftChars="0" w:firstLine="0" w:firstLineChars="0"/>
                    <w:rPr>
                      <w:rFonts w:hint="eastAsia" w:eastAsia="宋体" w:cs="Times New Roman"/>
                      <w:color w:val="auto"/>
                      <w:szCs w:val="21"/>
                      <w:highlight w:val="none"/>
                      <w:lang w:val="en-US" w:eastAsia="zh-CN"/>
                    </w:rPr>
                  </w:pPr>
                </w:p>
              </w:tc>
              <w:tc>
                <w:tcPr>
                  <w:tcW w:w="514" w:type="dxa"/>
                  <w:vMerge w:val="continue"/>
                  <w:tcBorders>
                    <w:tl2br w:val="nil"/>
                    <w:tr2bl w:val="nil"/>
                  </w:tcBorders>
                  <w:vAlign w:val="center"/>
                </w:tcPr>
                <w:p>
                  <w:pPr>
                    <w:pStyle w:val="57"/>
                    <w:spacing w:line="280" w:lineRule="exact"/>
                    <w:rPr>
                      <w:rFonts w:cs="Times New Roman"/>
                      <w:color w:val="auto"/>
                      <w:szCs w:val="21"/>
                      <w:highlight w:val="none"/>
                      <w:lang w:val="zh-CN"/>
                    </w:rPr>
                  </w:pPr>
                </w:p>
              </w:tc>
              <w:tc>
                <w:tcPr>
                  <w:tcW w:w="608" w:type="dxa"/>
                  <w:tcBorders>
                    <w:tl2br w:val="nil"/>
                    <w:tr2bl w:val="nil"/>
                  </w:tcBorders>
                  <w:vAlign w:val="center"/>
                </w:tcPr>
                <w:p>
                  <w:pPr>
                    <w:pStyle w:val="57"/>
                    <w:spacing w:line="280" w:lineRule="exact"/>
                    <w:rPr>
                      <w:rFonts w:cs="Times New Roman"/>
                      <w:color w:val="auto"/>
                      <w:szCs w:val="21"/>
                      <w:highlight w:val="none"/>
                      <w:lang w:val="zh-CN"/>
                    </w:rPr>
                  </w:pPr>
                  <w:r>
                    <w:rPr>
                      <w:rFonts w:hint="eastAsia" w:cs="Times New Roman"/>
                      <w:color w:val="auto"/>
                      <w:szCs w:val="21"/>
                      <w:highlight w:val="none"/>
                      <w:lang w:val="zh-CN"/>
                    </w:rPr>
                    <w:t>地质条件</w:t>
                  </w:r>
                </w:p>
              </w:tc>
              <w:tc>
                <w:tcPr>
                  <w:tcW w:w="1303" w:type="dxa"/>
                  <w:gridSpan w:val="2"/>
                  <w:tcBorders>
                    <w:tl2br w:val="nil"/>
                    <w:tr2bl w:val="nil"/>
                  </w:tcBorders>
                  <w:vAlign w:val="center"/>
                </w:tcPr>
                <w:p>
                  <w:pPr>
                    <w:pStyle w:val="57"/>
                    <w:spacing w:line="280" w:lineRule="exact"/>
                    <w:rPr>
                      <w:rFonts w:cs="Times New Roman"/>
                      <w:color w:val="auto"/>
                      <w:szCs w:val="21"/>
                      <w:highlight w:val="none"/>
                      <w:lang w:val="zh-CN"/>
                    </w:rPr>
                  </w:pPr>
                  <w:r>
                    <w:rPr>
                      <w:rFonts w:hint="eastAsia" w:cs="Times New Roman"/>
                      <w:color w:val="auto"/>
                      <w:szCs w:val="21"/>
                      <w:highlight w:val="none"/>
                      <w:lang w:val="zh-CN"/>
                    </w:rPr>
                    <w:t>大庆道以北至创新北道，建设北路以西地块位于地震烈度9度液化区内</w:t>
                  </w:r>
                </w:p>
              </w:tc>
              <w:tc>
                <w:tcPr>
                  <w:tcW w:w="900" w:type="dxa"/>
                  <w:tcBorders>
                    <w:tl2br w:val="nil"/>
                    <w:tr2bl w:val="nil"/>
                  </w:tcBorders>
                  <w:vAlign w:val="center"/>
                </w:tcPr>
                <w:p>
                  <w:pPr>
                    <w:pStyle w:val="57"/>
                    <w:spacing w:line="280" w:lineRule="exact"/>
                    <w:rPr>
                      <w:rFonts w:cs="Times New Roman"/>
                      <w:color w:val="auto"/>
                      <w:szCs w:val="21"/>
                      <w:highlight w:val="none"/>
                      <w:lang w:val="zh-CN"/>
                    </w:rPr>
                  </w:pPr>
                  <w:r>
                    <w:rPr>
                      <w:rFonts w:hint="eastAsia" w:cs="Times New Roman"/>
                      <w:color w:val="auto"/>
                      <w:szCs w:val="21"/>
                      <w:highlight w:val="none"/>
                      <w:lang w:val="zh-CN"/>
                    </w:rPr>
                    <w:t>多为工业和居住用地</w:t>
                  </w:r>
                </w:p>
              </w:tc>
              <w:tc>
                <w:tcPr>
                  <w:tcW w:w="2400" w:type="dxa"/>
                  <w:tcBorders>
                    <w:tl2br w:val="nil"/>
                    <w:tr2bl w:val="nil"/>
                  </w:tcBorders>
                  <w:vAlign w:val="center"/>
                </w:tcPr>
                <w:p>
                  <w:pPr>
                    <w:pStyle w:val="57"/>
                    <w:spacing w:line="280" w:lineRule="exact"/>
                    <w:jc w:val="center"/>
                    <w:rPr>
                      <w:rFonts w:cs="Times New Roman"/>
                      <w:color w:val="auto"/>
                      <w:szCs w:val="21"/>
                      <w:highlight w:val="none"/>
                      <w:lang w:val="zh-CN"/>
                    </w:rPr>
                  </w:pPr>
                  <w:r>
                    <w:rPr>
                      <w:rFonts w:hint="eastAsia" w:cs="Times New Roman"/>
                      <w:color w:val="auto"/>
                      <w:szCs w:val="21"/>
                      <w:highlight w:val="none"/>
                      <w:lang w:val="zh-CN"/>
                    </w:rPr>
                    <w:t>9度液化区内限制建设高层建筑，9度液化区内的所有建筑，按照工程地质方面的相关建设标准进行防震保护处理。</w:t>
                  </w:r>
                </w:p>
              </w:tc>
              <w:tc>
                <w:tcPr>
                  <w:tcW w:w="1218" w:type="dxa"/>
                  <w:tcBorders>
                    <w:tl2br w:val="nil"/>
                    <w:tr2bl w:val="nil"/>
                  </w:tcBorders>
                  <w:vAlign w:val="center"/>
                </w:tcPr>
                <w:p>
                  <w:pPr>
                    <w:pStyle w:val="57"/>
                    <w:spacing w:line="280" w:lineRule="exact"/>
                    <w:jc w:val="center"/>
                    <w:rPr>
                      <w:rFonts w:hint="default" w:eastAsia="宋体" w:cs="Times New Roman"/>
                      <w:color w:val="auto"/>
                      <w:szCs w:val="21"/>
                      <w:highlight w:val="none"/>
                      <w:lang w:val="en-US" w:eastAsia="zh-CN"/>
                    </w:rPr>
                  </w:pPr>
                  <w:r>
                    <w:rPr>
                      <w:rFonts w:hint="eastAsia" w:cs="Times New Roman"/>
                      <w:color w:val="auto"/>
                      <w:szCs w:val="21"/>
                      <w:highlight w:val="none"/>
                      <w:lang w:val="en-US" w:eastAsia="zh-CN"/>
                    </w:rPr>
                    <w:t>本项目不在</w:t>
                  </w:r>
                  <w:r>
                    <w:rPr>
                      <w:rFonts w:hint="eastAsia" w:cs="Times New Roman"/>
                      <w:color w:val="auto"/>
                      <w:szCs w:val="21"/>
                      <w:highlight w:val="none"/>
                      <w:lang w:val="zh-CN"/>
                    </w:rPr>
                    <w:t>9度液化区内</w:t>
                  </w:r>
                </w:p>
              </w:tc>
            </w:tr>
          </w:tbl>
          <w:p>
            <w:pPr>
              <w:bidi w:val="0"/>
              <w:rPr>
                <w:rFonts w:hint="default"/>
                <w:color w:val="auto"/>
                <w:highlight w:val="none"/>
                <w:lang w:val="en-US" w:eastAsia="zh-CN"/>
              </w:rPr>
            </w:pPr>
            <w:r>
              <w:rPr>
                <w:rFonts w:hint="eastAsia"/>
                <w:color w:val="auto"/>
                <w:highlight w:val="none"/>
                <w:lang w:val="en-US" w:eastAsia="zh-CN"/>
              </w:rPr>
              <w:t>本项目符合开发区</w:t>
            </w:r>
            <w:r>
              <w:rPr>
                <w:rFonts w:hint="eastAsia" w:cs="Times New Roman"/>
                <w:color w:val="auto"/>
                <w:sz w:val="24"/>
                <w:szCs w:val="24"/>
                <w:highlight w:val="none"/>
                <w:shd w:val="clear" w:color="auto" w:fill="auto"/>
                <w:lang w:val="en-US" w:eastAsia="zh-CN"/>
              </w:rPr>
              <w:t>生态保护红线及生态管控空间要求。</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outlineLvl w:val="9"/>
              <w:rPr>
                <w:rFonts w:hint="default" w:ascii="Times New Roman" w:hAnsi="Times New Roman" w:eastAsia="宋体" w:cs="Times New Roman"/>
                <w:color w:val="auto"/>
                <w:sz w:val="24"/>
                <w:szCs w:val="24"/>
                <w:highlight w:val="none"/>
                <w:shd w:val="clear" w:color="auto" w:fill="auto"/>
                <w:lang w:val="zh-CN"/>
              </w:rPr>
            </w:pPr>
            <w:r>
              <w:rPr>
                <w:rFonts w:hint="eastAsia" w:cs="Times New Roman"/>
                <w:color w:val="auto"/>
                <w:sz w:val="24"/>
                <w:szCs w:val="24"/>
                <w:highlight w:val="none"/>
                <w:shd w:val="clear" w:color="auto" w:fill="auto"/>
                <w:lang w:val="en-US" w:eastAsia="zh-CN"/>
              </w:rPr>
              <w:t>（2）</w:t>
            </w:r>
            <w:r>
              <w:rPr>
                <w:rFonts w:hint="default" w:ascii="Times New Roman" w:hAnsi="Times New Roman" w:eastAsia="宋体" w:cs="Times New Roman"/>
                <w:color w:val="auto"/>
                <w:sz w:val="24"/>
                <w:szCs w:val="24"/>
                <w:highlight w:val="none"/>
                <w:shd w:val="clear" w:color="auto" w:fill="auto"/>
                <w:lang w:val="zh-CN"/>
              </w:rPr>
              <w:t>环境质量底线</w:t>
            </w:r>
          </w:p>
          <w:p>
            <w:pPr>
              <w:pageBreakBefore w:val="0"/>
              <w:widowControl w:val="0"/>
              <w:numPr>
                <w:ilvl w:val="0"/>
                <w:numId w:val="0"/>
              </w:numPr>
              <w:kinsoku/>
              <w:wordWrap/>
              <w:overflowPunct/>
              <w:topLinePunct w:val="0"/>
              <w:bidi w:val="0"/>
              <w:snapToGrid/>
              <w:spacing w:line="480" w:lineRule="exact"/>
              <w:ind w:firstLine="480" w:firstLineChars="200"/>
              <w:textAlignment w:val="auto"/>
              <w:outlineLvl w:val="9"/>
              <w:rPr>
                <w:rFonts w:hint="default" w:ascii="Times New Roman" w:hAnsi="Times New Roman" w:eastAsia="宋体" w:cs="Times New Roman"/>
                <w:color w:val="auto"/>
                <w:sz w:val="24"/>
                <w:szCs w:val="24"/>
                <w:highlight w:val="none"/>
                <w:shd w:val="clear" w:color="auto" w:fill="auto"/>
                <w:lang w:val="zh-CN"/>
              </w:rPr>
            </w:pPr>
            <w:r>
              <w:rPr>
                <w:rFonts w:cs="Times New Roman"/>
                <w:color w:val="auto"/>
                <w:highlight w:val="none"/>
              </w:rPr>
              <w:t>根据《唐山市</w:t>
            </w:r>
            <w:r>
              <w:rPr>
                <w:rFonts w:hint="eastAsia" w:ascii="宋体" w:hAnsi="宋体" w:eastAsia="宋体" w:cs="宋体"/>
                <w:color w:val="auto"/>
                <w:highlight w:val="none"/>
              </w:rPr>
              <w:t>“三线一单”</w:t>
            </w:r>
            <w:r>
              <w:rPr>
                <w:rFonts w:cs="Times New Roman"/>
                <w:color w:val="auto"/>
                <w:highlight w:val="none"/>
              </w:rPr>
              <w:t>》，到2025年，PM</w:t>
            </w:r>
            <w:r>
              <w:rPr>
                <w:rFonts w:cs="Times New Roman"/>
                <w:color w:val="auto"/>
                <w:highlight w:val="none"/>
                <w:vertAlign w:val="subscript"/>
              </w:rPr>
              <w:t>2.5</w:t>
            </w:r>
            <w:r>
              <w:rPr>
                <w:rFonts w:cs="Times New Roman"/>
                <w:color w:val="auto"/>
                <w:highlight w:val="none"/>
              </w:rPr>
              <w:t>年均浓度下降至45微克/立方米左右；到2035年，力争实现PM</w:t>
            </w:r>
            <w:r>
              <w:rPr>
                <w:rFonts w:cs="Times New Roman"/>
                <w:color w:val="auto"/>
                <w:highlight w:val="none"/>
                <w:vertAlign w:val="subscript"/>
              </w:rPr>
              <w:t>2.5</w:t>
            </w:r>
            <w:r>
              <w:rPr>
                <w:rFonts w:cs="Times New Roman"/>
                <w:color w:val="auto"/>
                <w:highlight w:val="none"/>
              </w:rPr>
              <w:t>年均浓度到达标水平35微克/立方米。2025年全市水生态环境质量持续改善，地表水国家和河北省考核断面，达到或优于Ⅲ类水体断面比例达到63.63%以上，劣Ⅴ类水体断面比例控制在0%；2035年全市水生态环境质量全面改善，法制化、科学化、信息化的水安全现代化管理体系全面建成。地表水国家和河北省考核断面，达到或优于Ⅲ类水体断面比例达到63.63%以上，劣Ⅴ类水体断面比例控制在0%。到2025年，地下水型饮用水水源水质明显改善，城市集中式地下水型饮用水水源水质达到或优于Ⅲ类比例达100%；到2035年，力争唐山市地下水环境质量总体改善，地下水生态系统功能基本恢复。唐山高新区北部拓展区</w:t>
            </w:r>
            <w:r>
              <w:rPr>
                <w:rFonts w:hint="eastAsia" w:cs="Times New Roman"/>
                <w:color w:val="auto"/>
                <w:highlight w:val="none"/>
                <w:lang w:val="en-US" w:eastAsia="zh-CN"/>
              </w:rPr>
              <w:t>环境质量底线</w:t>
            </w:r>
            <w:r>
              <w:rPr>
                <w:rFonts w:hint="default" w:ascii="Times New Roman" w:hAnsi="Times New Roman" w:eastAsia="宋体" w:cs="Times New Roman"/>
                <w:color w:val="auto"/>
                <w:sz w:val="24"/>
                <w:szCs w:val="24"/>
                <w:highlight w:val="none"/>
                <w:shd w:val="clear" w:color="auto" w:fill="auto"/>
                <w:lang w:val="zh-CN"/>
              </w:rPr>
              <w:t>见下表。</w:t>
            </w:r>
          </w:p>
          <w:p>
            <w:pPr>
              <w:keepNext w:val="0"/>
              <w:keepLines w:val="0"/>
              <w:pageBreakBefore w:val="0"/>
              <w:widowControl w:val="0"/>
              <w:kinsoku/>
              <w:wordWrap/>
              <w:overflowPunct/>
              <w:topLinePunct w:val="0"/>
              <w:autoSpaceDE/>
              <w:autoSpaceDN/>
              <w:bidi w:val="0"/>
              <w:adjustRightInd w:val="0"/>
              <w:snapToGrid w:val="0"/>
              <w:spacing w:line="480" w:lineRule="exact"/>
              <w:ind w:firstLine="0" w:firstLineChars="0"/>
              <w:jc w:val="center"/>
              <w:textAlignment w:val="baseline"/>
              <w:rPr>
                <w:rFonts w:hint="eastAsia" w:ascii="Times New Roman" w:hAnsi="Times New Roman" w:eastAsia="宋体" w:cs="Times New Roman"/>
                <w:b/>
                <w:color w:val="auto"/>
                <w:szCs w:val="21"/>
                <w:highlight w:val="none"/>
                <w:shd w:val="clear" w:color="auto" w:fill="auto"/>
                <w:lang w:val="en-US" w:eastAsia="zh-CN" w:bidi="ar"/>
              </w:rPr>
            </w:pPr>
            <w:r>
              <w:rPr>
                <w:rFonts w:hint="default" w:ascii="Times New Roman" w:hAnsi="Times New Roman" w:eastAsia="宋体" w:cs="Times New Roman"/>
                <w:b/>
                <w:color w:val="auto"/>
                <w:sz w:val="21"/>
                <w:szCs w:val="21"/>
                <w:highlight w:val="none"/>
                <w:shd w:val="clear" w:color="auto" w:fill="auto"/>
                <w:lang w:bidi="ar"/>
              </w:rPr>
              <w:t>表</w:t>
            </w:r>
            <w:r>
              <w:rPr>
                <w:rFonts w:hint="eastAsia" w:ascii="Times New Roman" w:hAnsi="Times New Roman" w:eastAsia="宋体" w:cs="Times New Roman"/>
                <w:b/>
                <w:color w:val="auto"/>
                <w:sz w:val="21"/>
                <w:szCs w:val="21"/>
                <w:highlight w:val="none"/>
                <w:shd w:val="clear" w:color="auto" w:fill="auto"/>
                <w:lang w:val="en-US" w:eastAsia="zh-CN" w:bidi="ar"/>
              </w:rPr>
              <w:t>3</w:t>
            </w:r>
            <w:r>
              <w:rPr>
                <w:rFonts w:hint="default" w:ascii="Times New Roman" w:hAnsi="Times New Roman" w:eastAsia="宋体" w:cs="Times New Roman"/>
                <w:b/>
                <w:color w:val="auto"/>
                <w:sz w:val="21"/>
                <w:szCs w:val="21"/>
                <w:highlight w:val="none"/>
                <w:shd w:val="clear" w:color="auto" w:fill="auto"/>
                <w:lang w:val="en-US" w:eastAsia="zh-CN" w:bidi="ar"/>
              </w:rPr>
              <w:t xml:space="preserve"> </w:t>
            </w:r>
            <w:r>
              <w:rPr>
                <w:rFonts w:hint="default" w:ascii="Times New Roman" w:hAnsi="Times New Roman" w:eastAsia="宋体" w:cs="Times New Roman"/>
                <w:b/>
                <w:color w:val="auto"/>
                <w:sz w:val="21"/>
                <w:szCs w:val="21"/>
                <w:highlight w:val="none"/>
                <w:shd w:val="clear" w:color="auto" w:fill="auto"/>
                <w:lang w:bidi="ar"/>
              </w:rPr>
              <w:t xml:space="preserve"> </w:t>
            </w:r>
            <w:r>
              <w:rPr>
                <w:rFonts w:hint="eastAsia" w:ascii="Times New Roman" w:hAnsi="Times New Roman" w:eastAsia="宋体" w:cs="Times New Roman"/>
                <w:b/>
                <w:color w:val="auto"/>
                <w:sz w:val="21"/>
                <w:szCs w:val="21"/>
                <w:highlight w:val="none"/>
                <w:shd w:val="clear" w:color="auto" w:fill="auto"/>
                <w:lang w:val="en-US" w:eastAsia="zh-CN" w:bidi="ar"/>
              </w:rPr>
              <w:t>唐山高新区北部拓展区环境质量底线一览表</w:t>
            </w:r>
          </w:p>
          <w:tbl>
            <w:tblPr>
              <w:tblStyle w:val="24"/>
              <w:tblW w:w="7427"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458"/>
              <w:gridCol w:w="644"/>
              <w:gridCol w:w="2316"/>
              <w:gridCol w:w="2300"/>
              <w:gridCol w:w="1709"/>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9" w:hRule="atLeast"/>
                <w:jc w:val="center"/>
              </w:trPr>
              <w:tc>
                <w:tcPr>
                  <w:tcW w:w="458" w:type="dxa"/>
                  <w:tcBorders>
                    <w:tl2br w:val="nil"/>
                    <w:tr2bl w:val="nil"/>
                  </w:tcBorders>
                  <w:noWrap w:val="0"/>
                  <w:vAlign w:val="center"/>
                </w:tcPr>
                <w:p>
                  <w:pPr>
                    <w:pStyle w:val="35"/>
                    <w:keepNext w:val="0"/>
                    <w:keepLines w:val="0"/>
                    <w:pageBreakBefore w:val="0"/>
                    <w:widowControl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none"/>
                      <w:shd w:val="clear" w:color="auto" w:fill="auto"/>
                    </w:rPr>
                  </w:pPr>
                  <w:r>
                    <w:rPr>
                      <w:rFonts w:hint="default" w:ascii="Times New Roman" w:hAnsi="Times New Roman" w:eastAsia="宋体" w:cs="Times New Roman"/>
                      <w:b w:val="0"/>
                      <w:bCs w:val="0"/>
                      <w:color w:val="auto"/>
                      <w:sz w:val="21"/>
                      <w:szCs w:val="21"/>
                      <w:highlight w:val="none"/>
                      <w:shd w:val="clear" w:color="auto" w:fill="auto"/>
                    </w:rPr>
                    <w:t>序号</w:t>
                  </w:r>
                </w:p>
              </w:tc>
              <w:tc>
                <w:tcPr>
                  <w:tcW w:w="644" w:type="dxa"/>
                  <w:tcBorders>
                    <w:tl2br w:val="nil"/>
                    <w:tr2bl w:val="nil"/>
                  </w:tcBorders>
                  <w:noWrap w:val="0"/>
                  <w:vAlign w:val="center"/>
                </w:tcPr>
                <w:p>
                  <w:pPr>
                    <w:pStyle w:val="35"/>
                    <w:keepNext w:val="0"/>
                    <w:keepLines w:val="0"/>
                    <w:pageBreakBefore w:val="0"/>
                    <w:widowControl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none"/>
                      <w:shd w:val="clear" w:color="auto" w:fill="auto"/>
                    </w:rPr>
                  </w:pPr>
                  <w:r>
                    <w:rPr>
                      <w:rFonts w:hint="default" w:ascii="Times New Roman" w:hAnsi="Times New Roman" w:eastAsia="宋体" w:cs="Times New Roman"/>
                      <w:b w:val="0"/>
                      <w:bCs w:val="0"/>
                      <w:color w:val="auto"/>
                      <w:sz w:val="21"/>
                      <w:szCs w:val="21"/>
                      <w:highlight w:val="none"/>
                      <w:shd w:val="clear" w:color="auto" w:fill="auto"/>
                    </w:rPr>
                    <w:t>类别</w:t>
                  </w:r>
                </w:p>
              </w:tc>
              <w:tc>
                <w:tcPr>
                  <w:tcW w:w="2316" w:type="dxa"/>
                  <w:tcBorders>
                    <w:tl2br w:val="nil"/>
                    <w:tr2bl w:val="nil"/>
                  </w:tcBorders>
                  <w:noWrap w:val="0"/>
                  <w:vAlign w:val="center"/>
                </w:tcPr>
                <w:p>
                  <w:pPr>
                    <w:pStyle w:val="35"/>
                    <w:keepNext w:val="0"/>
                    <w:keepLines w:val="0"/>
                    <w:pageBreakBefore w:val="0"/>
                    <w:widowControl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none"/>
                      <w:shd w:val="clear" w:color="auto" w:fill="auto"/>
                    </w:rPr>
                  </w:pPr>
                  <w:r>
                    <w:rPr>
                      <w:rFonts w:hint="default" w:ascii="Times New Roman" w:hAnsi="Times New Roman" w:eastAsia="宋体" w:cs="Times New Roman"/>
                      <w:b w:val="0"/>
                      <w:bCs w:val="0"/>
                      <w:color w:val="auto"/>
                      <w:sz w:val="21"/>
                      <w:szCs w:val="21"/>
                      <w:highlight w:val="none"/>
                      <w:shd w:val="clear" w:color="auto" w:fill="auto"/>
                    </w:rPr>
                    <w:t>底线目标</w:t>
                  </w:r>
                </w:p>
              </w:tc>
              <w:tc>
                <w:tcPr>
                  <w:tcW w:w="2300" w:type="dxa"/>
                  <w:tcBorders>
                    <w:tl2br w:val="nil"/>
                    <w:tr2bl w:val="nil"/>
                  </w:tcBorders>
                  <w:noWrap w:val="0"/>
                  <w:vAlign w:val="center"/>
                </w:tcPr>
                <w:p>
                  <w:pPr>
                    <w:pStyle w:val="35"/>
                    <w:keepNext w:val="0"/>
                    <w:keepLines w:val="0"/>
                    <w:pageBreakBefore w:val="0"/>
                    <w:widowControl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none"/>
                      <w:shd w:val="clear" w:color="auto" w:fill="auto"/>
                    </w:rPr>
                  </w:pPr>
                  <w:r>
                    <w:rPr>
                      <w:rFonts w:hint="default" w:ascii="Times New Roman" w:hAnsi="Times New Roman" w:eastAsia="宋体" w:cs="Times New Roman"/>
                      <w:b w:val="0"/>
                      <w:bCs w:val="0"/>
                      <w:color w:val="auto"/>
                      <w:sz w:val="21"/>
                      <w:szCs w:val="21"/>
                      <w:highlight w:val="none"/>
                      <w:shd w:val="clear" w:color="auto" w:fill="auto"/>
                    </w:rPr>
                    <w:t>底线管控建议</w:t>
                  </w:r>
                </w:p>
              </w:tc>
              <w:tc>
                <w:tcPr>
                  <w:tcW w:w="1709" w:type="dxa"/>
                  <w:tcBorders>
                    <w:tl2br w:val="nil"/>
                    <w:tr2bl w:val="nil"/>
                  </w:tcBorders>
                  <w:noWrap w:val="0"/>
                  <w:vAlign w:val="center"/>
                </w:tcPr>
                <w:p>
                  <w:pPr>
                    <w:pStyle w:val="35"/>
                    <w:keepNext w:val="0"/>
                    <w:keepLines w:val="0"/>
                    <w:pageBreakBefore w:val="0"/>
                    <w:widowControl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none"/>
                      <w:shd w:val="clear" w:color="auto" w:fill="auto"/>
                      <w:lang w:eastAsia="zh-CN"/>
                    </w:rPr>
                  </w:pPr>
                  <w:r>
                    <w:rPr>
                      <w:rFonts w:hint="eastAsia" w:cs="Times New Roman"/>
                      <w:b w:val="0"/>
                      <w:bCs w:val="0"/>
                      <w:color w:val="auto"/>
                      <w:sz w:val="21"/>
                      <w:szCs w:val="21"/>
                      <w:highlight w:val="none"/>
                      <w:shd w:val="clear" w:color="auto" w:fill="auto"/>
                      <w:lang w:val="en-US" w:eastAsia="zh-CN"/>
                    </w:rPr>
                    <w:t>本项目</w:t>
                  </w:r>
                  <w:r>
                    <w:rPr>
                      <w:rFonts w:hint="default" w:ascii="Times New Roman" w:hAnsi="Times New Roman" w:eastAsia="宋体" w:cs="Times New Roman"/>
                      <w:b w:val="0"/>
                      <w:bCs w:val="0"/>
                      <w:color w:val="auto"/>
                      <w:sz w:val="21"/>
                      <w:szCs w:val="21"/>
                      <w:highlight w:val="none"/>
                      <w:shd w:val="clear" w:color="auto" w:fill="auto"/>
                      <w:lang w:eastAsia="zh-CN"/>
                    </w:rPr>
                    <w:t>符合性分析</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458" w:type="dxa"/>
                  <w:vMerge w:val="restart"/>
                  <w:tcBorders>
                    <w:tl2br w:val="nil"/>
                    <w:tr2bl w:val="nil"/>
                  </w:tcBorders>
                  <w:noWrap w:val="0"/>
                  <w:vAlign w:val="center"/>
                </w:tcPr>
                <w:p>
                  <w:pPr>
                    <w:pStyle w:val="35"/>
                    <w:keepNext w:val="0"/>
                    <w:keepLines w:val="0"/>
                    <w:pageBreakBefore w:val="0"/>
                    <w:widowControl w:val="0"/>
                    <w:numPr>
                      <w:ilvl w:val="0"/>
                      <w:numId w:val="3"/>
                    </w:numPr>
                    <w:kinsoku/>
                    <w:wordWrap/>
                    <w:overflowPunct/>
                    <w:topLinePunct w:val="0"/>
                    <w:bidi w:val="0"/>
                    <w:snapToGrid/>
                    <w:spacing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shd w:val="clear" w:color="auto" w:fill="auto"/>
                    </w:rPr>
                  </w:pPr>
                </w:p>
              </w:tc>
              <w:tc>
                <w:tcPr>
                  <w:tcW w:w="644" w:type="dxa"/>
                  <w:vMerge w:val="restart"/>
                  <w:tcBorders>
                    <w:tl2br w:val="nil"/>
                    <w:tr2bl w:val="nil"/>
                  </w:tcBorders>
                  <w:noWrap w:val="0"/>
                  <w:vAlign w:val="center"/>
                </w:tcPr>
                <w:p>
                  <w:pPr>
                    <w:pStyle w:val="57"/>
                    <w:keepNext w:val="0"/>
                    <w:keepLines w:val="0"/>
                    <w:pageBreakBefore w:val="0"/>
                    <w:widowControl w:val="0"/>
                    <w:kinsoku/>
                    <w:wordWrap/>
                    <w:overflowPunct/>
                    <w:topLinePunct w:val="0"/>
                    <w:bidi w:val="0"/>
                    <w:snapToGrid/>
                    <w:ind w:firstLine="0" w:firstLineChars="0"/>
                    <w:jc w:val="center"/>
                    <w:textAlignment w:val="auto"/>
                    <w:rPr>
                      <w:rFonts w:hint="default" w:ascii="Times New Roman" w:hAnsi="Times New Roman" w:eastAsia="宋体" w:cs="Times New Roman"/>
                      <w:color w:val="auto"/>
                      <w:sz w:val="21"/>
                      <w:szCs w:val="21"/>
                      <w:highlight w:val="none"/>
                      <w:shd w:val="clear" w:color="auto" w:fill="auto"/>
                    </w:rPr>
                  </w:pPr>
                  <w:r>
                    <w:rPr>
                      <w:rFonts w:cs="Times New Roman"/>
                      <w:color w:val="auto"/>
                      <w:highlight w:val="none"/>
                    </w:rPr>
                    <w:t>大气环境质量底线</w:t>
                  </w:r>
                </w:p>
              </w:tc>
              <w:tc>
                <w:tcPr>
                  <w:tcW w:w="2316" w:type="dxa"/>
                  <w:vMerge w:val="restart"/>
                  <w:tcBorders>
                    <w:tl2br w:val="nil"/>
                    <w:tr2bl w:val="nil"/>
                  </w:tcBorders>
                  <w:noWrap w:val="0"/>
                  <w:vAlign w:val="center"/>
                </w:tcPr>
                <w:p>
                  <w:pPr>
                    <w:pStyle w:val="57"/>
                    <w:keepNext w:val="0"/>
                    <w:keepLines w:val="0"/>
                    <w:pageBreakBefore w:val="0"/>
                    <w:widowControl w:val="0"/>
                    <w:kinsoku/>
                    <w:wordWrap/>
                    <w:overflowPunct/>
                    <w:topLinePunct w:val="0"/>
                    <w:bidi w:val="0"/>
                    <w:snapToGrid/>
                    <w:ind w:firstLine="0" w:firstLineChars="0"/>
                    <w:jc w:val="center"/>
                    <w:textAlignment w:val="auto"/>
                    <w:rPr>
                      <w:rFonts w:hint="default" w:ascii="Times New Roman" w:hAnsi="Times New Roman" w:eastAsia="宋体" w:cs="Times New Roman"/>
                      <w:color w:val="auto"/>
                      <w:sz w:val="21"/>
                      <w:szCs w:val="21"/>
                      <w:highlight w:val="none"/>
                      <w:shd w:val="clear" w:color="auto" w:fill="auto"/>
                    </w:rPr>
                  </w:pPr>
                  <w:r>
                    <w:rPr>
                      <w:rFonts w:cs="Times New Roman"/>
                      <w:color w:val="auto"/>
                      <w:highlight w:val="none"/>
                    </w:rPr>
                    <w:t>2025年细颗粒物（PM</w:t>
                  </w:r>
                  <w:r>
                    <w:rPr>
                      <w:rFonts w:cs="Times New Roman"/>
                      <w:color w:val="auto"/>
                      <w:highlight w:val="none"/>
                      <w:vertAlign w:val="subscript"/>
                    </w:rPr>
                    <w:t>2.5</w:t>
                  </w:r>
                  <w:r>
                    <w:rPr>
                      <w:rFonts w:cs="Times New Roman"/>
                      <w:color w:val="auto"/>
                      <w:highlight w:val="none"/>
                    </w:rPr>
                    <w:t>）年均浓度控制在40mg/m</w:t>
                  </w:r>
                  <w:r>
                    <w:rPr>
                      <w:rFonts w:cs="Times New Roman"/>
                      <w:color w:val="auto"/>
                      <w:highlight w:val="none"/>
                      <w:vertAlign w:val="superscript"/>
                    </w:rPr>
                    <w:t>3</w:t>
                  </w:r>
                  <w:r>
                    <w:rPr>
                      <w:rFonts w:cs="Times New Roman"/>
                      <w:color w:val="auto"/>
                      <w:highlight w:val="none"/>
                    </w:rPr>
                    <w:t>，2030年细颗粒物（PM</w:t>
                  </w:r>
                  <w:r>
                    <w:rPr>
                      <w:rFonts w:cs="Times New Roman"/>
                      <w:color w:val="auto"/>
                      <w:highlight w:val="none"/>
                      <w:vertAlign w:val="subscript"/>
                    </w:rPr>
                    <w:t>2.5</w:t>
                  </w:r>
                  <w:r>
                    <w:rPr>
                      <w:rFonts w:cs="Times New Roman"/>
                      <w:color w:val="auto"/>
                      <w:highlight w:val="none"/>
                    </w:rPr>
                    <w:t>）年均浓度控制在35mg/m</w:t>
                  </w:r>
                  <w:r>
                    <w:rPr>
                      <w:rFonts w:cs="Times New Roman"/>
                      <w:color w:val="auto"/>
                      <w:highlight w:val="none"/>
                      <w:vertAlign w:val="superscript"/>
                    </w:rPr>
                    <w:t>3</w:t>
                  </w:r>
                  <w:r>
                    <w:rPr>
                      <w:rFonts w:cs="Times New Roman"/>
                      <w:color w:val="auto"/>
                      <w:highlight w:val="none"/>
                    </w:rPr>
                    <w:t>，且达到国家规定要求，其他因子亦满足《环境空气质量标准》（GB3095-2012）二级标准及修改单要求、《环境空气质量 非甲烷总烃限值》（DB13/1577-2012）、《环境影响评价技术导则 大气环境》（HJ2.2-2018）附录D表D.1其他污染物空气质量浓度参考限值</w:t>
                  </w:r>
                </w:p>
              </w:tc>
              <w:tc>
                <w:tcPr>
                  <w:tcW w:w="2300" w:type="dxa"/>
                  <w:vMerge w:val="restart"/>
                  <w:tcBorders>
                    <w:tl2br w:val="nil"/>
                    <w:tr2bl w:val="nil"/>
                  </w:tcBorders>
                  <w:noWrap w:val="0"/>
                  <w:vAlign w:val="center"/>
                </w:tcPr>
                <w:p>
                  <w:pPr>
                    <w:pStyle w:val="57"/>
                    <w:keepNext w:val="0"/>
                    <w:keepLines w:val="0"/>
                    <w:pageBreakBefore w:val="0"/>
                    <w:widowControl w:val="0"/>
                    <w:kinsoku/>
                    <w:wordWrap/>
                    <w:overflowPunct/>
                    <w:topLinePunct w:val="0"/>
                    <w:bidi w:val="0"/>
                    <w:snapToGrid/>
                    <w:jc w:val="center"/>
                    <w:textAlignment w:val="auto"/>
                    <w:rPr>
                      <w:rFonts w:hint="default" w:ascii="Times New Roman" w:hAnsi="Times New Roman" w:eastAsia="宋体" w:cs="Times New Roman"/>
                      <w:color w:val="auto"/>
                      <w:sz w:val="21"/>
                      <w:szCs w:val="21"/>
                      <w:highlight w:val="none"/>
                      <w:shd w:val="clear" w:color="auto" w:fill="auto"/>
                    </w:rPr>
                  </w:pPr>
                  <w:r>
                    <w:rPr>
                      <w:rFonts w:cs="Times New Roman"/>
                      <w:color w:val="auto"/>
                      <w:highlight w:val="none"/>
                    </w:rPr>
                    <w:t>列入环境准入负面清单内的产业禁止入区；区域大气污染物排放执行河北省重点地区相应环保管理要求，执行特别排放限值和超低排放限值要求；涉及排放挥发性有机物的企业须安装废气收集措施，确保废气达标排放；严格执行区域削减计划，执行总量和污染物排放量削减；严格落实重污染天气应急预案，颗粒物超标天气实行轮流停产、限时停产限产等方式实现应急减排目标。</w:t>
                  </w:r>
                </w:p>
              </w:tc>
              <w:tc>
                <w:tcPr>
                  <w:tcW w:w="1709" w:type="dxa"/>
                  <w:vMerge w:val="restart"/>
                  <w:tcBorders>
                    <w:tl2br w:val="nil"/>
                    <w:tr2bl w:val="nil"/>
                  </w:tcBorders>
                  <w:noWrap w:val="0"/>
                  <w:vAlign w:val="center"/>
                </w:tcPr>
                <w:p>
                  <w:pPr>
                    <w:pStyle w:val="57"/>
                    <w:keepNext w:val="0"/>
                    <w:keepLines w:val="0"/>
                    <w:pageBreakBefore w:val="0"/>
                    <w:widowControl w:val="0"/>
                    <w:kinsoku/>
                    <w:wordWrap/>
                    <w:overflowPunct/>
                    <w:topLinePunct w:val="0"/>
                    <w:bidi w:val="0"/>
                    <w:snapToGrid/>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本项目不属于</w:t>
                  </w:r>
                  <w:r>
                    <w:rPr>
                      <w:rFonts w:cs="Times New Roman"/>
                      <w:color w:val="auto"/>
                      <w:highlight w:val="none"/>
                    </w:rPr>
                    <w:t>环境准入负面清单</w:t>
                  </w:r>
                  <w:r>
                    <w:rPr>
                      <w:rFonts w:hint="eastAsia" w:cs="Times New Roman"/>
                      <w:color w:val="auto"/>
                      <w:highlight w:val="none"/>
                      <w:lang w:val="en-US" w:eastAsia="zh-CN"/>
                    </w:rPr>
                    <w:t>内的产业，污染物处理后达标排放，本项目建成后</w:t>
                  </w:r>
                  <w:r>
                    <w:rPr>
                      <w:rFonts w:cs="Times New Roman"/>
                      <w:color w:val="auto"/>
                      <w:highlight w:val="none"/>
                    </w:rPr>
                    <w:t>严格落实重污染天气应急预案，颗粒物超标天气实行轮流停产、限时停产限产等方式实现应急减排目标</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458" w:type="dxa"/>
                  <w:vMerge w:val="continue"/>
                  <w:tcBorders>
                    <w:tl2br w:val="nil"/>
                    <w:tr2bl w:val="nil"/>
                  </w:tcBorders>
                  <w:noWrap w:val="0"/>
                  <w:vAlign w:val="center"/>
                </w:tcPr>
                <w:p>
                  <w:pPr>
                    <w:pStyle w:val="35"/>
                    <w:keepNext w:val="0"/>
                    <w:keepLines w:val="0"/>
                    <w:pageBreakBefore w:val="0"/>
                    <w:widowControl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rPr>
                  </w:pPr>
                </w:p>
              </w:tc>
              <w:tc>
                <w:tcPr>
                  <w:tcW w:w="644" w:type="dxa"/>
                  <w:vMerge w:val="continue"/>
                  <w:tcBorders>
                    <w:tl2br w:val="nil"/>
                    <w:tr2bl w:val="nil"/>
                  </w:tcBorders>
                  <w:noWrap w:val="0"/>
                  <w:vAlign w:val="center"/>
                </w:tcPr>
                <w:p>
                  <w:pPr>
                    <w:pStyle w:val="35"/>
                    <w:keepNext w:val="0"/>
                    <w:keepLines w:val="0"/>
                    <w:pageBreakBefore w:val="0"/>
                    <w:widowControl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rPr>
                  </w:pPr>
                </w:p>
              </w:tc>
              <w:tc>
                <w:tcPr>
                  <w:tcW w:w="2316" w:type="dxa"/>
                  <w:vMerge w:val="continue"/>
                  <w:tcBorders>
                    <w:tl2br w:val="nil"/>
                    <w:tr2bl w:val="nil"/>
                  </w:tcBorders>
                  <w:noWrap w:val="0"/>
                  <w:vAlign w:val="center"/>
                </w:tcPr>
                <w:p>
                  <w:pPr>
                    <w:keepNext w:val="0"/>
                    <w:keepLines w:val="0"/>
                    <w:pageBreakBefore w:val="0"/>
                    <w:widowControl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rPr>
                  </w:pPr>
                </w:p>
              </w:tc>
              <w:tc>
                <w:tcPr>
                  <w:tcW w:w="2300" w:type="dxa"/>
                  <w:vMerge w:val="continue"/>
                  <w:tcBorders>
                    <w:tl2br w:val="nil"/>
                    <w:tr2bl w:val="nil"/>
                  </w:tcBorders>
                  <w:noWrap w:val="0"/>
                  <w:vAlign w:val="center"/>
                </w:tcPr>
                <w:p>
                  <w:pPr>
                    <w:pStyle w:val="35"/>
                    <w:keepNext w:val="0"/>
                    <w:keepLines w:val="0"/>
                    <w:pageBreakBefore w:val="0"/>
                    <w:widowControl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rPr>
                  </w:pPr>
                </w:p>
              </w:tc>
              <w:tc>
                <w:tcPr>
                  <w:tcW w:w="1709" w:type="dxa"/>
                  <w:vMerge w:val="continue"/>
                  <w:tcBorders>
                    <w:tl2br w:val="nil"/>
                    <w:tr2bl w:val="nil"/>
                  </w:tcBorders>
                  <w:noWrap w:val="0"/>
                  <w:vAlign w:val="center"/>
                </w:tcPr>
                <w:p>
                  <w:pPr>
                    <w:pStyle w:val="35"/>
                    <w:keepNext w:val="0"/>
                    <w:keepLines w:val="0"/>
                    <w:pageBreakBefore w:val="0"/>
                    <w:widowControl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458" w:type="dxa"/>
                  <w:vMerge w:val="restart"/>
                  <w:tcBorders>
                    <w:tl2br w:val="nil"/>
                    <w:tr2bl w:val="nil"/>
                  </w:tcBorders>
                  <w:noWrap w:val="0"/>
                  <w:vAlign w:val="center"/>
                </w:tcPr>
                <w:p>
                  <w:pPr>
                    <w:pStyle w:val="35"/>
                    <w:keepNext w:val="0"/>
                    <w:keepLines w:val="0"/>
                    <w:pageBreakBefore w:val="0"/>
                    <w:widowControl w:val="0"/>
                    <w:numPr>
                      <w:ilvl w:val="0"/>
                      <w:numId w:val="3"/>
                    </w:numPr>
                    <w:kinsoku/>
                    <w:wordWrap/>
                    <w:overflowPunct/>
                    <w:topLinePunct w:val="0"/>
                    <w:bidi w:val="0"/>
                    <w:snapToGrid/>
                    <w:spacing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shd w:val="clear" w:color="auto" w:fill="auto"/>
                    </w:rPr>
                  </w:pPr>
                </w:p>
              </w:tc>
              <w:tc>
                <w:tcPr>
                  <w:tcW w:w="644" w:type="dxa"/>
                  <w:vMerge w:val="restart"/>
                  <w:tcBorders>
                    <w:tl2br w:val="nil"/>
                    <w:tr2bl w:val="nil"/>
                  </w:tcBorders>
                  <w:noWrap w:val="0"/>
                  <w:vAlign w:val="center"/>
                </w:tcPr>
                <w:p>
                  <w:pPr>
                    <w:pStyle w:val="57"/>
                    <w:keepNext w:val="0"/>
                    <w:keepLines w:val="0"/>
                    <w:pageBreakBefore w:val="0"/>
                    <w:widowControl w:val="0"/>
                    <w:kinsoku/>
                    <w:wordWrap/>
                    <w:overflowPunct/>
                    <w:topLinePunct w:val="0"/>
                    <w:bidi w:val="0"/>
                    <w:snapToGrid/>
                    <w:jc w:val="center"/>
                    <w:textAlignment w:val="auto"/>
                    <w:rPr>
                      <w:rFonts w:cs="Times New Roman"/>
                      <w:color w:val="auto"/>
                      <w:highlight w:val="none"/>
                    </w:rPr>
                  </w:pPr>
                  <w:r>
                    <w:rPr>
                      <w:rFonts w:cs="Times New Roman"/>
                      <w:color w:val="auto"/>
                      <w:highlight w:val="none"/>
                    </w:rPr>
                    <w:t>地表水环境质</w:t>
                  </w:r>
                </w:p>
                <w:p>
                  <w:pPr>
                    <w:pStyle w:val="57"/>
                    <w:keepNext w:val="0"/>
                    <w:keepLines w:val="0"/>
                    <w:pageBreakBefore w:val="0"/>
                    <w:widowControl w:val="0"/>
                    <w:kinsoku/>
                    <w:wordWrap/>
                    <w:overflowPunct/>
                    <w:topLinePunct w:val="0"/>
                    <w:bidi w:val="0"/>
                    <w:snapToGrid/>
                    <w:ind w:firstLine="0" w:firstLineChars="0"/>
                    <w:jc w:val="center"/>
                    <w:textAlignment w:val="auto"/>
                    <w:rPr>
                      <w:rFonts w:hint="default" w:ascii="Times New Roman" w:hAnsi="Times New Roman" w:eastAsia="宋体" w:cs="Times New Roman"/>
                      <w:color w:val="auto"/>
                      <w:sz w:val="21"/>
                      <w:szCs w:val="21"/>
                      <w:highlight w:val="none"/>
                      <w:shd w:val="clear" w:color="auto" w:fill="auto"/>
                    </w:rPr>
                  </w:pPr>
                  <w:r>
                    <w:rPr>
                      <w:rFonts w:cs="Times New Roman"/>
                      <w:color w:val="auto"/>
                      <w:highlight w:val="none"/>
                    </w:rPr>
                    <w:t>量底线</w:t>
                  </w:r>
                </w:p>
              </w:tc>
              <w:tc>
                <w:tcPr>
                  <w:tcW w:w="2316" w:type="dxa"/>
                  <w:vMerge w:val="restart"/>
                  <w:tcBorders>
                    <w:tl2br w:val="nil"/>
                    <w:tr2bl w:val="nil"/>
                  </w:tcBorders>
                  <w:noWrap w:val="0"/>
                  <w:vAlign w:val="center"/>
                </w:tcPr>
                <w:p>
                  <w:pPr>
                    <w:pStyle w:val="57"/>
                    <w:keepNext w:val="0"/>
                    <w:keepLines w:val="0"/>
                    <w:pageBreakBefore w:val="0"/>
                    <w:widowControl w:val="0"/>
                    <w:kinsoku/>
                    <w:wordWrap/>
                    <w:overflowPunct/>
                    <w:topLinePunct w:val="0"/>
                    <w:bidi w:val="0"/>
                    <w:snapToGrid/>
                    <w:ind w:firstLine="0" w:firstLineChars="0"/>
                    <w:jc w:val="center"/>
                    <w:textAlignment w:val="auto"/>
                    <w:rPr>
                      <w:rFonts w:hint="default" w:ascii="Times New Roman" w:hAnsi="Times New Roman" w:eastAsia="宋体" w:cs="Times New Roman"/>
                      <w:color w:val="auto"/>
                      <w:sz w:val="21"/>
                      <w:szCs w:val="21"/>
                      <w:highlight w:val="none"/>
                      <w:shd w:val="clear" w:color="auto" w:fill="auto"/>
                    </w:rPr>
                  </w:pPr>
                  <w:r>
                    <w:rPr>
                      <w:rFonts w:cs="Times New Roman"/>
                      <w:color w:val="auto"/>
                      <w:highlight w:val="none"/>
                    </w:rPr>
                    <w:t>青龙河、陡河水质优于现有水质</w:t>
                  </w:r>
                </w:p>
              </w:tc>
              <w:tc>
                <w:tcPr>
                  <w:tcW w:w="2300" w:type="dxa"/>
                  <w:vMerge w:val="restart"/>
                  <w:tcBorders>
                    <w:tl2br w:val="nil"/>
                    <w:tr2bl w:val="nil"/>
                  </w:tcBorders>
                  <w:noWrap w:val="0"/>
                  <w:vAlign w:val="center"/>
                </w:tcPr>
                <w:p>
                  <w:pPr>
                    <w:pStyle w:val="57"/>
                    <w:keepNext w:val="0"/>
                    <w:keepLines w:val="0"/>
                    <w:pageBreakBefore w:val="0"/>
                    <w:widowControl w:val="0"/>
                    <w:kinsoku/>
                    <w:wordWrap/>
                    <w:overflowPunct/>
                    <w:topLinePunct w:val="0"/>
                    <w:bidi w:val="0"/>
                    <w:snapToGrid/>
                    <w:ind w:firstLine="0" w:firstLineChars="0"/>
                    <w:jc w:val="center"/>
                    <w:textAlignment w:val="auto"/>
                    <w:rPr>
                      <w:rFonts w:hint="default" w:ascii="Times New Roman" w:hAnsi="Times New Roman" w:eastAsia="宋体" w:cs="Times New Roman"/>
                      <w:color w:val="auto"/>
                      <w:sz w:val="21"/>
                      <w:szCs w:val="21"/>
                      <w:highlight w:val="none"/>
                      <w:shd w:val="clear" w:color="auto" w:fill="auto"/>
                    </w:rPr>
                  </w:pPr>
                  <w:r>
                    <w:rPr>
                      <w:rFonts w:cs="Times New Roman"/>
                      <w:color w:val="auto"/>
                      <w:highlight w:val="none"/>
                    </w:rPr>
                    <w:t>开发区所依托的西郊、北郊污水处理厂废水达标排放。</w:t>
                  </w:r>
                </w:p>
              </w:tc>
              <w:tc>
                <w:tcPr>
                  <w:tcW w:w="1709" w:type="dxa"/>
                  <w:vMerge w:val="restart"/>
                  <w:tcBorders>
                    <w:tl2br w:val="nil"/>
                    <w:tr2bl w:val="nil"/>
                  </w:tcBorders>
                  <w:noWrap w:val="0"/>
                  <w:vAlign w:val="center"/>
                </w:tcPr>
                <w:p>
                  <w:pPr>
                    <w:pStyle w:val="57"/>
                    <w:keepNext w:val="0"/>
                    <w:keepLines w:val="0"/>
                    <w:pageBreakBefore w:val="0"/>
                    <w:widowControl w:val="0"/>
                    <w:kinsoku/>
                    <w:wordWrap/>
                    <w:overflowPunct/>
                    <w:topLinePunct w:val="0"/>
                    <w:bidi w:val="0"/>
                    <w:snapToGrid/>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本项目</w:t>
                  </w:r>
                  <w:r>
                    <w:rPr>
                      <w:rFonts w:hint="eastAsia" w:cs="Times New Roman"/>
                      <w:color w:val="auto"/>
                      <w:sz w:val="21"/>
                      <w:szCs w:val="21"/>
                      <w:highlight w:val="none"/>
                      <w:shd w:val="clear" w:color="auto" w:fill="auto"/>
                      <w:lang w:val="en-US" w:eastAsia="zh-CN"/>
                    </w:rPr>
                    <w:t>无新增废水，现有工程基体镀膜冷却水循环使用，喷淋塔废水作为危废处理，生活污水排入市政污水管网，最终进入西郊污水处理厂处理</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458" w:type="dxa"/>
                  <w:vMerge w:val="continue"/>
                  <w:tcBorders>
                    <w:tl2br w:val="nil"/>
                    <w:tr2bl w:val="nil"/>
                  </w:tcBorders>
                  <w:noWrap w:val="0"/>
                  <w:vAlign w:val="center"/>
                </w:tcPr>
                <w:p>
                  <w:pPr>
                    <w:pStyle w:val="35"/>
                    <w:keepNext w:val="0"/>
                    <w:keepLines w:val="0"/>
                    <w:pageBreakBefore w:val="0"/>
                    <w:widowControl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rPr>
                  </w:pPr>
                </w:p>
              </w:tc>
              <w:tc>
                <w:tcPr>
                  <w:tcW w:w="644" w:type="dxa"/>
                  <w:vMerge w:val="continue"/>
                  <w:tcBorders>
                    <w:tl2br w:val="nil"/>
                    <w:tr2bl w:val="nil"/>
                  </w:tcBorders>
                  <w:noWrap w:val="0"/>
                  <w:vAlign w:val="center"/>
                </w:tcPr>
                <w:p>
                  <w:pPr>
                    <w:pStyle w:val="35"/>
                    <w:keepNext w:val="0"/>
                    <w:keepLines w:val="0"/>
                    <w:pageBreakBefore w:val="0"/>
                    <w:widowControl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rPr>
                  </w:pPr>
                </w:p>
              </w:tc>
              <w:tc>
                <w:tcPr>
                  <w:tcW w:w="2316" w:type="dxa"/>
                  <w:vMerge w:val="continue"/>
                  <w:tcBorders>
                    <w:tl2br w:val="nil"/>
                    <w:tr2bl w:val="nil"/>
                  </w:tcBorders>
                  <w:noWrap w:val="0"/>
                  <w:vAlign w:val="center"/>
                </w:tcPr>
                <w:p>
                  <w:pPr>
                    <w:keepNext w:val="0"/>
                    <w:keepLines w:val="0"/>
                    <w:pageBreakBefore w:val="0"/>
                    <w:widowControl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rPr>
                  </w:pPr>
                </w:p>
              </w:tc>
              <w:tc>
                <w:tcPr>
                  <w:tcW w:w="2300" w:type="dxa"/>
                  <w:vMerge w:val="continue"/>
                  <w:tcBorders>
                    <w:tl2br w:val="nil"/>
                    <w:tr2bl w:val="nil"/>
                  </w:tcBorders>
                  <w:noWrap w:val="0"/>
                  <w:vAlign w:val="center"/>
                </w:tcPr>
                <w:p>
                  <w:pPr>
                    <w:pStyle w:val="35"/>
                    <w:keepNext w:val="0"/>
                    <w:keepLines w:val="0"/>
                    <w:pageBreakBefore w:val="0"/>
                    <w:widowControl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rPr>
                  </w:pPr>
                </w:p>
              </w:tc>
              <w:tc>
                <w:tcPr>
                  <w:tcW w:w="1709" w:type="dxa"/>
                  <w:vMerge w:val="continue"/>
                  <w:tcBorders>
                    <w:tl2br w:val="nil"/>
                    <w:tr2bl w:val="nil"/>
                  </w:tcBorders>
                  <w:noWrap w:val="0"/>
                  <w:vAlign w:val="center"/>
                </w:tcPr>
                <w:p>
                  <w:pPr>
                    <w:pStyle w:val="35"/>
                    <w:keepNext w:val="0"/>
                    <w:keepLines w:val="0"/>
                    <w:pageBreakBefore w:val="0"/>
                    <w:widowControl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458" w:type="dxa"/>
                  <w:vMerge w:val="restart"/>
                  <w:tcBorders>
                    <w:tl2br w:val="nil"/>
                    <w:tr2bl w:val="nil"/>
                  </w:tcBorders>
                  <w:noWrap w:val="0"/>
                  <w:vAlign w:val="center"/>
                </w:tcPr>
                <w:p>
                  <w:pPr>
                    <w:pStyle w:val="35"/>
                    <w:keepNext w:val="0"/>
                    <w:keepLines w:val="0"/>
                    <w:pageBreakBefore w:val="0"/>
                    <w:widowControl w:val="0"/>
                    <w:numPr>
                      <w:ilvl w:val="0"/>
                      <w:numId w:val="3"/>
                    </w:numPr>
                    <w:kinsoku/>
                    <w:wordWrap/>
                    <w:overflowPunct/>
                    <w:topLinePunct w:val="0"/>
                    <w:bidi w:val="0"/>
                    <w:snapToGrid/>
                    <w:spacing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shd w:val="clear" w:color="auto" w:fill="auto"/>
                    </w:rPr>
                  </w:pPr>
                </w:p>
              </w:tc>
              <w:tc>
                <w:tcPr>
                  <w:tcW w:w="644" w:type="dxa"/>
                  <w:vMerge w:val="restart"/>
                  <w:tcBorders>
                    <w:tl2br w:val="nil"/>
                    <w:tr2bl w:val="nil"/>
                  </w:tcBorders>
                  <w:noWrap w:val="0"/>
                  <w:vAlign w:val="center"/>
                </w:tcPr>
                <w:p>
                  <w:pPr>
                    <w:pStyle w:val="57"/>
                    <w:keepNext w:val="0"/>
                    <w:keepLines w:val="0"/>
                    <w:pageBreakBefore w:val="0"/>
                    <w:widowControl w:val="0"/>
                    <w:kinsoku/>
                    <w:wordWrap/>
                    <w:overflowPunct/>
                    <w:topLinePunct w:val="0"/>
                    <w:bidi w:val="0"/>
                    <w:snapToGrid/>
                    <w:jc w:val="center"/>
                    <w:textAlignment w:val="auto"/>
                    <w:rPr>
                      <w:rFonts w:hint="default" w:ascii="Times New Roman" w:hAnsi="Times New Roman" w:eastAsia="宋体" w:cs="Times New Roman"/>
                      <w:color w:val="auto"/>
                      <w:sz w:val="21"/>
                      <w:szCs w:val="21"/>
                      <w:highlight w:val="none"/>
                      <w:shd w:val="clear" w:color="auto" w:fill="auto"/>
                    </w:rPr>
                  </w:pPr>
                  <w:r>
                    <w:rPr>
                      <w:rFonts w:cs="Times New Roman"/>
                      <w:color w:val="auto"/>
                      <w:highlight w:val="none"/>
                    </w:rPr>
                    <w:t>地下水环境质量底线</w:t>
                  </w:r>
                </w:p>
              </w:tc>
              <w:tc>
                <w:tcPr>
                  <w:tcW w:w="2316" w:type="dxa"/>
                  <w:vMerge w:val="restart"/>
                  <w:tcBorders>
                    <w:tl2br w:val="nil"/>
                    <w:tr2bl w:val="nil"/>
                  </w:tcBorders>
                  <w:noWrap w:val="0"/>
                  <w:vAlign w:val="center"/>
                </w:tcPr>
                <w:p>
                  <w:pPr>
                    <w:pStyle w:val="57"/>
                    <w:keepNext w:val="0"/>
                    <w:keepLines w:val="0"/>
                    <w:pageBreakBefore w:val="0"/>
                    <w:widowControl w:val="0"/>
                    <w:kinsoku/>
                    <w:wordWrap/>
                    <w:overflowPunct/>
                    <w:topLinePunct w:val="0"/>
                    <w:bidi w:val="0"/>
                    <w:snapToGrid/>
                    <w:jc w:val="center"/>
                    <w:textAlignment w:val="auto"/>
                    <w:rPr>
                      <w:rFonts w:hint="default" w:ascii="Times New Roman" w:hAnsi="Times New Roman" w:eastAsia="宋体" w:cs="Times New Roman"/>
                      <w:color w:val="auto"/>
                      <w:sz w:val="21"/>
                      <w:szCs w:val="21"/>
                      <w:highlight w:val="none"/>
                      <w:shd w:val="clear" w:color="auto" w:fill="auto"/>
                    </w:rPr>
                  </w:pPr>
                  <w:r>
                    <w:rPr>
                      <w:rFonts w:cs="Times New Roman"/>
                      <w:color w:val="auto"/>
                      <w:highlight w:val="none"/>
                    </w:rPr>
                    <w:t>深层地下水水质满足《地下水质量标准》（GB/T14848-2017）Ⅲ类标准要求</w:t>
                  </w:r>
                </w:p>
              </w:tc>
              <w:tc>
                <w:tcPr>
                  <w:tcW w:w="2300" w:type="dxa"/>
                  <w:vMerge w:val="restart"/>
                  <w:tcBorders>
                    <w:tl2br w:val="nil"/>
                    <w:tr2bl w:val="nil"/>
                  </w:tcBorders>
                  <w:noWrap w:val="0"/>
                  <w:vAlign w:val="center"/>
                </w:tcPr>
                <w:p>
                  <w:pPr>
                    <w:pStyle w:val="57"/>
                    <w:keepNext w:val="0"/>
                    <w:keepLines w:val="0"/>
                    <w:pageBreakBefore w:val="0"/>
                    <w:widowControl w:val="0"/>
                    <w:kinsoku/>
                    <w:wordWrap/>
                    <w:overflowPunct/>
                    <w:topLinePunct w:val="0"/>
                    <w:bidi w:val="0"/>
                    <w:snapToGrid/>
                    <w:jc w:val="center"/>
                    <w:textAlignment w:val="auto"/>
                    <w:rPr>
                      <w:rFonts w:hint="default" w:ascii="Times New Roman" w:hAnsi="Times New Roman" w:eastAsia="宋体" w:cs="Times New Roman"/>
                      <w:color w:val="auto"/>
                      <w:sz w:val="21"/>
                      <w:szCs w:val="21"/>
                      <w:highlight w:val="none"/>
                      <w:shd w:val="clear" w:color="auto" w:fill="auto"/>
                    </w:rPr>
                  </w:pPr>
                  <w:r>
                    <w:rPr>
                      <w:rFonts w:cs="Times New Roman"/>
                      <w:color w:val="auto"/>
                      <w:highlight w:val="none"/>
                    </w:rPr>
                    <w:t>严格地下水环境管理，强化源头控制、分区防渗、应急响应等措施，确保入区项目不会对地下水造成污染。</w:t>
                  </w:r>
                </w:p>
              </w:tc>
              <w:tc>
                <w:tcPr>
                  <w:tcW w:w="1709" w:type="dxa"/>
                  <w:vMerge w:val="restart"/>
                  <w:tcBorders>
                    <w:tl2br w:val="nil"/>
                    <w:tr2bl w:val="nil"/>
                  </w:tcBorders>
                  <w:noWrap w:val="0"/>
                  <w:vAlign w:val="center"/>
                </w:tcPr>
                <w:p>
                  <w:pPr>
                    <w:pStyle w:val="57"/>
                    <w:keepNext w:val="0"/>
                    <w:keepLines w:val="0"/>
                    <w:pageBreakBefore w:val="0"/>
                    <w:widowControl w:val="0"/>
                    <w:kinsoku/>
                    <w:wordWrap/>
                    <w:overflowPunct/>
                    <w:topLinePunct w:val="0"/>
                    <w:bidi w:val="0"/>
                    <w:snapToGrid/>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本项目建成后采取</w:t>
                  </w:r>
                  <w:r>
                    <w:rPr>
                      <w:rFonts w:cs="Times New Roman"/>
                      <w:color w:val="auto"/>
                      <w:highlight w:val="none"/>
                    </w:rPr>
                    <w:t>源头控制、分区防渗、应急响应等措施</w:t>
                  </w:r>
                  <w:r>
                    <w:rPr>
                      <w:rFonts w:hint="eastAsia" w:cs="Times New Roman"/>
                      <w:color w:val="auto"/>
                      <w:highlight w:val="none"/>
                      <w:lang w:eastAsia="zh-CN"/>
                    </w:rPr>
                    <w:t>，</w:t>
                  </w:r>
                  <w:r>
                    <w:rPr>
                      <w:rFonts w:hint="eastAsia" w:cs="Times New Roman"/>
                      <w:color w:val="auto"/>
                      <w:highlight w:val="none"/>
                      <w:lang w:val="en-US" w:eastAsia="zh-CN"/>
                    </w:rPr>
                    <w:t>确保不会对</w:t>
                  </w:r>
                  <w:r>
                    <w:rPr>
                      <w:rFonts w:cs="Times New Roman"/>
                      <w:color w:val="auto"/>
                      <w:highlight w:val="none"/>
                    </w:rPr>
                    <w:t>地下水造成污染</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1313" w:hRule="atLeast"/>
                <w:jc w:val="center"/>
              </w:trPr>
              <w:tc>
                <w:tcPr>
                  <w:tcW w:w="458" w:type="dxa"/>
                  <w:vMerge w:val="continue"/>
                  <w:tcBorders>
                    <w:tl2br w:val="nil"/>
                    <w:tr2bl w:val="nil"/>
                  </w:tcBorders>
                  <w:noWrap w:val="0"/>
                  <w:vAlign w:val="center"/>
                </w:tcPr>
                <w:p>
                  <w:pPr>
                    <w:pStyle w:val="35"/>
                    <w:keepNext w:val="0"/>
                    <w:keepLines w:val="0"/>
                    <w:pageBreakBefore w:val="0"/>
                    <w:widowControl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rPr>
                  </w:pPr>
                </w:p>
              </w:tc>
              <w:tc>
                <w:tcPr>
                  <w:tcW w:w="644" w:type="dxa"/>
                  <w:vMerge w:val="continue"/>
                  <w:tcBorders>
                    <w:tl2br w:val="nil"/>
                    <w:tr2bl w:val="nil"/>
                  </w:tcBorders>
                  <w:noWrap w:val="0"/>
                  <w:vAlign w:val="center"/>
                </w:tcPr>
                <w:p>
                  <w:pPr>
                    <w:pStyle w:val="35"/>
                    <w:keepNext w:val="0"/>
                    <w:keepLines w:val="0"/>
                    <w:pageBreakBefore w:val="0"/>
                    <w:widowControl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rPr>
                  </w:pPr>
                </w:p>
              </w:tc>
              <w:tc>
                <w:tcPr>
                  <w:tcW w:w="2316" w:type="dxa"/>
                  <w:vMerge w:val="continue"/>
                  <w:tcBorders>
                    <w:tl2br w:val="nil"/>
                    <w:tr2bl w:val="nil"/>
                  </w:tcBorders>
                  <w:noWrap w:val="0"/>
                  <w:vAlign w:val="center"/>
                </w:tcPr>
                <w:p>
                  <w:pPr>
                    <w:keepNext w:val="0"/>
                    <w:keepLines w:val="0"/>
                    <w:pageBreakBefore w:val="0"/>
                    <w:widowControl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rPr>
                  </w:pPr>
                </w:p>
              </w:tc>
              <w:tc>
                <w:tcPr>
                  <w:tcW w:w="2300" w:type="dxa"/>
                  <w:vMerge w:val="continue"/>
                  <w:tcBorders>
                    <w:tl2br w:val="nil"/>
                    <w:tr2bl w:val="nil"/>
                  </w:tcBorders>
                  <w:noWrap w:val="0"/>
                  <w:vAlign w:val="center"/>
                </w:tcPr>
                <w:p>
                  <w:pPr>
                    <w:keepNext w:val="0"/>
                    <w:keepLines w:val="0"/>
                    <w:pageBreakBefore w:val="0"/>
                    <w:widowControl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rPr>
                  </w:pPr>
                </w:p>
              </w:tc>
              <w:tc>
                <w:tcPr>
                  <w:tcW w:w="1709" w:type="dxa"/>
                  <w:vMerge w:val="continue"/>
                  <w:tcBorders>
                    <w:tl2br w:val="nil"/>
                    <w:tr2bl w:val="nil"/>
                  </w:tcBorders>
                  <w:noWrap w:val="0"/>
                  <w:vAlign w:val="center"/>
                </w:tcPr>
                <w:p>
                  <w:pPr>
                    <w:keepNext w:val="0"/>
                    <w:keepLines w:val="0"/>
                    <w:pageBreakBefore w:val="0"/>
                    <w:widowControl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458" w:type="dxa"/>
                  <w:vMerge w:val="restart"/>
                  <w:tcBorders>
                    <w:tl2br w:val="nil"/>
                    <w:tr2bl w:val="nil"/>
                  </w:tcBorders>
                  <w:noWrap w:val="0"/>
                  <w:vAlign w:val="center"/>
                </w:tcPr>
                <w:p>
                  <w:pPr>
                    <w:pStyle w:val="35"/>
                    <w:keepNext w:val="0"/>
                    <w:keepLines w:val="0"/>
                    <w:pageBreakBefore w:val="0"/>
                    <w:widowControl w:val="0"/>
                    <w:numPr>
                      <w:ilvl w:val="0"/>
                      <w:numId w:val="3"/>
                    </w:numPr>
                    <w:kinsoku/>
                    <w:wordWrap/>
                    <w:overflowPunct/>
                    <w:topLinePunct w:val="0"/>
                    <w:bidi w:val="0"/>
                    <w:snapToGrid/>
                    <w:spacing w:line="240" w:lineRule="auto"/>
                    <w:ind w:left="0" w:leftChars="0" w:firstLine="0" w:firstLineChars="0"/>
                    <w:jc w:val="center"/>
                    <w:textAlignment w:val="auto"/>
                    <w:rPr>
                      <w:rFonts w:hint="eastAsia" w:ascii="Times New Roman" w:hAnsi="Times New Roman" w:eastAsia="宋体" w:cs="Times New Roman"/>
                      <w:color w:val="auto"/>
                      <w:sz w:val="21"/>
                      <w:szCs w:val="21"/>
                      <w:highlight w:val="none"/>
                      <w:shd w:val="clear" w:color="auto" w:fill="auto"/>
                      <w:lang w:eastAsia="zh-CN"/>
                    </w:rPr>
                  </w:pPr>
                </w:p>
              </w:tc>
              <w:tc>
                <w:tcPr>
                  <w:tcW w:w="644" w:type="dxa"/>
                  <w:vMerge w:val="restart"/>
                  <w:tcBorders>
                    <w:tl2br w:val="nil"/>
                    <w:tr2bl w:val="nil"/>
                  </w:tcBorders>
                  <w:noWrap w:val="0"/>
                  <w:vAlign w:val="center"/>
                </w:tcPr>
                <w:p>
                  <w:pPr>
                    <w:pStyle w:val="57"/>
                    <w:keepNext w:val="0"/>
                    <w:keepLines w:val="0"/>
                    <w:pageBreakBefore w:val="0"/>
                    <w:widowControl w:val="0"/>
                    <w:kinsoku/>
                    <w:wordWrap/>
                    <w:overflowPunct/>
                    <w:topLinePunct w:val="0"/>
                    <w:bidi w:val="0"/>
                    <w:snapToGrid/>
                    <w:jc w:val="center"/>
                    <w:textAlignment w:val="auto"/>
                    <w:rPr>
                      <w:rFonts w:cs="Times New Roman"/>
                      <w:color w:val="auto"/>
                      <w:highlight w:val="none"/>
                    </w:rPr>
                  </w:pPr>
                  <w:r>
                    <w:rPr>
                      <w:rFonts w:cs="Times New Roman"/>
                      <w:color w:val="auto"/>
                      <w:highlight w:val="none"/>
                    </w:rPr>
                    <w:t>声环境质量底</w:t>
                  </w:r>
                </w:p>
                <w:p>
                  <w:pPr>
                    <w:pStyle w:val="57"/>
                    <w:keepNext w:val="0"/>
                    <w:keepLines w:val="0"/>
                    <w:pageBreakBefore w:val="0"/>
                    <w:widowControl w:val="0"/>
                    <w:kinsoku/>
                    <w:wordWrap/>
                    <w:overflowPunct/>
                    <w:topLinePunct w:val="0"/>
                    <w:bidi w:val="0"/>
                    <w:snapToGrid/>
                    <w:ind w:firstLine="0" w:firstLineChars="0"/>
                    <w:jc w:val="center"/>
                    <w:textAlignment w:val="auto"/>
                    <w:rPr>
                      <w:rFonts w:hint="default" w:ascii="Times New Roman" w:hAnsi="Times New Roman" w:eastAsia="宋体" w:cs="Times New Roman"/>
                      <w:color w:val="auto"/>
                      <w:kern w:val="0"/>
                      <w:sz w:val="21"/>
                      <w:szCs w:val="21"/>
                      <w:highlight w:val="none"/>
                      <w:shd w:val="clear" w:color="auto" w:fill="auto"/>
                      <w:lang w:val="en-US" w:eastAsia="zh-CN" w:bidi="ar-SA"/>
                    </w:rPr>
                  </w:pPr>
                  <w:r>
                    <w:rPr>
                      <w:rFonts w:cs="Times New Roman"/>
                      <w:color w:val="auto"/>
                      <w:highlight w:val="none"/>
                    </w:rPr>
                    <w:t>线</w:t>
                  </w:r>
                </w:p>
              </w:tc>
              <w:tc>
                <w:tcPr>
                  <w:tcW w:w="2316" w:type="dxa"/>
                  <w:vMerge w:val="restart"/>
                  <w:tcBorders>
                    <w:tl2br w:val="nil"/>
                    <w:tr2bl w:val="nil"/>
                  </w:tcBorders>
                  <w:noWrap w:val="0"/>
                  <w:vAlign w:val="center"/>
                </w:tcPr>
                <w:p>
                  <w:pPr>
                    <w:pStyle w:val="57"/>
                    <w:keepNext w:val="0"/>
                    <w:keepLines w:val="0"/>
                    <w:pageBreakBefore w:val="0"/>
                    <w:widowControl w:val="0"/>
                    <w:kinsoku/>
                    <w:wordWrap/>
                    <w:overflowPunct/>
                    <w:topLinePunct w:val="0"/>
                    <w:bidi w:val="0"/>
                    <w:snapToGrid/>
                    <w:ind w:firstLine="0" w:firstLineChars="0"/>
                    <w:jc w:val="center"/>
                    <w:textAlignment w:val="auto"/>
                    <w:rPr>
                      <w:rFonts w:hint="default" w:ascii="Times New Roman" w:hAnsi="Times New Roman" w:eastAsia="宋体" w:cs="Times New Roman"/>
                      <w:color w:val="auto"/>
                      <w:kern w:val="0"/>
                      <w:sz w:val="21"/>
                      <w:szCs w:val="21"/>
                      <w:highlight w:val="none"/>
                      <w:shd w:val="clear" w:color="auto" w:fill="auto"/>
                      <w:lang w:val="en-US" w:eastAsia="zh-CN" w:bidi="ar-SA"/>
                    </w:rPr>
                  </w:pPr>
                  <w:r>
                    <w:rPr>
                      <w:rFonts w:cs="Times New Roman"/>
                      <w:color w:val="auto"/>
                      <w:highlight w:val="none"/>
                    </w:rPr>
                    <w:t>满足《声环境质量标准》（GB3096-2008）中相应声环境功能区标准要求</w:t>
                  </w:r>
                </w:p>
              </w:tc>
              <w:tc>
                <w:tcPr>
                  <w:tcW w:w="2300" w:type="dxa"/>
                  <w:vMerge w:val="restart"/>
                  <w:tcBorders>
                    <w:tl2br w:val="nil"/>
                    <w:tr2bl w:val="nil"/>
                  </w:tcBorders>
                  <w:noWrap w:val="0"/>
                  <w:vAlign w:val="center"/>
                </w:tcPr>
                <w:p>
                  <w:pPr>
                    <w:pStyle w:val="57"/>
                    <w:keepNext w:val="0"/>
                    <w:keepLines w:val="0"/>
                    <w:pageBreakBefore w:val="0"/>
                    <w:widowControl w:val="0"/>
                    <w:kinsoku/>
                    <w:wordWrap/>
                    <w:overflowPunct/>
                    <w:topLinePunct w:val="0"/>
                    <w:bidi w:val="0"/>
                    <w:snapToGrid/>
                    <w:ind w:firstLine="0" w:firstLineChars="0"/>
                    <w:jc w:val="center"/>
                    <w:textAlignment w:val="auto"/>
                    <w:rPr>
                      <w:rFonts w:hint="default" w:ascii="Times New Roman" w:hAnsi="Times New Roman" w:eastAsia="宋体" w:cs="Times New Roman"/>
                      <w:color w:val="auto"/>
                      <w:kern w:val="0"/>
                      <w:sz w:val="21"/>
                      <w:szCs w:val="21"/>
                      <w:highlight w:val="none"/>
                      <w:shd w:val="clear" w:color="auto" w:fill="auto"/>
                      <w:lang w:val="en-US" w:eastAsia="zh-CN" w:bidi="ar-SA"/>
                    </w:rPr>
                  </w:pPr>
                  <w:r>
                    <w:rPr>
                      <w:rFonts w:cs="Times New Roman"/>
                      <w:color w:val="auto"/>
                      <w:highlight w:val="none"/>
                    </w:rPr>
                    <w:t>严格工业企业噪声控制，严格交通噪声管制。</w:t>
                  </w:r>
                </w:p>
              </w:tc>
              <w:tc>
                <w:tcPr>
                  <w:tcW w:w="1709" w:type="dxa"/>
                  <w:vMerge w:val="restart"/>
                  <w:tcBorders>
                    <w:tl2br w:val="nil"/>
                    <w:tr2bl w:val="nil"/>
                  </w:tcBorders>
                  <w:noWrap w:val="0"/>
                  <w:vAlign w:val="center"/>
                </w:tcPr>
                <w:p>
                  <w:pPr>
                    <w:pStyle w:val="57"/>
                    <w:keepNext w:val="0"/>
                    <w:keepLines w:val="0"/>
                    <w:pageBreakBefore w:val="0"/>
                    <w:widowControl w:val="0"/>
                    <w:kinsoku/>
                    <w:wordWrap w:val="0"/>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kern w:val="2"/>
                      <w:sz w:val="21"/>
                      <w:szCs w:val="21"/>
                      <w:highlight w:val="none"/>
                      <w:shd w:val="clear" w:color="auto" w:fill="auto"/>
                      <w:lang w:val="en-US" w:eastAsia="zh-CN" w:bidi="ar-SA"/>
                    </w:rPr>
                    <w:t>本项目采取基础减振、厂房隔声等降噪措施，厂界噪声满足《工业企业厂界环境噪声排放标准》（GB12348-2008）要求</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1968" w:hRule="atLeast"/>
                <w:jc w:val="center"/>
              </w:trPr>
              <w:tc>
                <w:tcPr>
                  <w:tcW w:w="458" w:type="dxa"/>
                  <w:vMerge w:val="continue"/>
                  <w:tcBorders>
                    <w:tl2br w:val="nil"/>
                    <w:tr2bl w:val="nil"/>
                  </w:tcBorders>
                  <w:noWrap w:val="0"/>
                  <w:vAlign w:val="center"/>
                </w:tcPr>
                <w:p>
                  <w:pPr>
                    <w:keepNext w:val="0"/>
                    <w:keepLines w:val="0"/>
                    <w:pageBreakBefore w:val="0"/>
                    <w:widowControl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rPr>
                  </w:pPr>
                </w:p>
              </w:tc>
              <w:tc>
                <w:tcPr>
                  <w:tcW w:w="644" w:type="dxa"/>
                  <w:vMerge w:val="continue"/>
                  <w:tcBorders>
                    <w:tl2br w:val="nil"/>
                    <w:tr2bl w:val="nil"/>
                  </w:tcBorders>
                  <w:noWrap w:val="0"/>
                  <w:vAlign w:val="center"/>
                </w:tcPr>
                <w:p>
                  <w:pPr>
                    <w:keepNext w:val="0"/>
                    <w:keepLines w:val="0"/>
                    <w:pageBreakBefore w:val="0"/>
                    <w:widowControl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rPr>
                  </w:pPr>
                </w:p>
              </w:tc>
              <w:tc>
                <w:tcPr>
                  <w:tcW w:w="2316" w:type="dxa"/>
                  <w:vMerge w:val="continue"/>
                  <w:tcBorders>
                    <w:tl2br w:val="nil"/>
                    <w:tr2bl w:val="nil"/>
                  </w:tcBorders>
                  <w:noWrap w:val="0"/>
                  <w:vAlign w:val="center"/>
                </w:tcPr>
                <w:p>
                  <w:pPr>
                    <w:keepNext w:val="0"/>
                    <w:keepLines w:val="0"/>
                    <w:pageBreakBefore w:val="0"/>
                    <w:widowControl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rPr>
                  </w:pPr>
                </w:p>
              </w:tc>
              <w:tc>
                <w:tcPr>
                  <w:tcW w:w="2300" w:type="dxa"/>
                  <w:vMerge w:val="continue"/>
                  <w:tcBorders>
                    <w:tl2br w:val="nil"/>
                    <w:tr2bl w:val="nil"/>
                  </w:tcBorders>
                  <w:noWrap w:val="0"/>
                  <w:vAlign w:val="center"/>
                </w:tcPr>
                <w:p>
                  <w:pPr>
                    <w:keepNext w:val="0"/>
                    <w:keepLines w:val="0"/>
                    <w:pageBreakBefore w:val="0"/>
                    <w:widowControl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rPr>
                  </w:pPr>
                </w:p>
              </w:tc>
              <w:tc>
                <w:tcPr>
                  <w:tcW w:w="1709" w:type="dxa"/>
                  <w:vMerge w:val="continue"/>
                  <w:tcBorders>
                    <w:tl2br w:val="nil"/>
                    <w:tr2bl w:val="nil"/>
                  </w:tcBorders>
                  <w:noWrap w:val="0"/>
                  <w:vAlign w:val="center"/>
                </w:tcPr>
                <w:p>
                  <w:pPr>
                    <w:keepNext w:val="0"/>
                    <w:keepLines w:val="0"/>
                    <w:pageBreakBefore w:val="0"/>
                    <w:widowControl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458" w:type="dxa"/>
                  <w:vMerge w:val="restart"/>
                  <w:tcBorders>
                    <w:tl2br w:val="nil"/>
                    <w:tr2bl w:val="nil"/>
                  </w:tcBorders>
                  <w:noWrap w:val="0"/>
                  <w:vAlign w:val="center"/>
                </w:tcPr>
                <w:p>
                  <w:pPr>
                    <w:keepNext w:val="0"/>
                    <w:keepLines w:val="0"/>
                    <w:pageBreakBefore w:val="0"/>
                    <w:widowControl w:val="0"/>
                    <w:numPr>
                      <w:ilvl w:val="0"/>
                      <w:numId w:val="3"/>
                    </w:numPr>
                    <w:kinsoku/>
                    <w:wordWrap/>
                    <w:overflowPunct/>
                    <w:topLinePunct w:val="0"/>
                    <w:bidi w:val="0"/>
                    <w:snapToGrid/>
                    <w:spacing w:line="240" w:lineRule="auto"/>
                    <w:ind w:left="0" w:leftChars="0" w:firstLine="0" w:firstLineChars="0"/>
                    <w:jc w:val="center"/>
                    <w:textAlignment w:val="auto"/>
                    <w:rPr>
                      <w:rFonts w:hint="eastAsia" w:ascii="Times New Roman" w:hAnsi="Times New Roman" w:eastAsia="宋体" w:cs="Times New Roman"/>
                      <w:color w:val="auto"/>
                      <w:sz w:val="21"/>
                      <w:szCs w:val="21"/>
                      <w:highlight w:val="none"/>
                      <w:shd w:val="clear" w:color="auto" w:fill="auto"/>
                      <w:lang w:val="en-US" w:eastAsia="zh-CN"/>
                    </w:rPr>
                  </w:pPr>
                </w:p>
              </w:tc>
              <w:tc>
                <w:tcPr>
                  <w:tcW w:w="644" w:type="dxa"/>
                  <w:vMerge w:val="restart"/>
                  <w:tcBorders>
                    <w:tl2br w:val="nil"/>
                    <w:tr2bl w:val="nil"/>
                  </w:tcBorders>
                  <w:noWrap w:val="0"/>
                  <w:vAlign w:val="center"/>
                </w:tcPr>
                <w:p>
                  <w:pPr>
                    <w:pStyle w:val="57"/>
                    <w:keepNext w:val="0"/>
                    <w:keepLines w:val="0"/>
                    <w:pageBreakBefore w:val="0"/>
                    <w:widowControl w:val="0"/>
                    <w:kinsoku/>
                    <w:wordWrap/>
                    <w:overflowPunct/>
                    <w:topLinePunct w:val="0"/>
                    <w:bidi w:val="0"/>
                    <w:snapToGrid/>
                    <w:jc w:val="center"/>
                    <w:textAlignment w:val="auto"/>
                    <w:rPr>
                      <w:rFonts w:cs="Times New Roman"/>
                      <w:color w:val="auto"/>
                      <w:highlight w:val="none"/>
                    </w:rPr>
                  </w:pPr>
                  <w:r>
                    <w:rPr>
                      <w:rFonts w:cs="Times New Roman"/>
                      <w:color w:val="auto"/>
                      <w:highlight w:val="none"/>
                    </w:rPr>
                    <w:t>土壤环境质量</w:t>
                  </w:r>
                </w:p>
                <w:p>
                  <w:pPr>
                    <w:pStyle w:val="57"/>
                    <w:keepNext w:val="0"/>
                    <w:keepLines w:val="0"/>
                    <w:pageBreakBefore w:val="0"/>
                    <w:widowControl w:val="0"/>
                    <w:kinsoku/>
                    <w:wordWrap/>
                    <w:overflowPunct/>
                    <w:topLinePunct w:val="0"/>
                    <w:bidi w:val="0"/>
                    <w:snapToGrid/>
                    <w:ind w:firstLine="0" w:firstLineChars="0"/>
                    <w:jc w:val="center"/>
                    <w:textAlignment w:val="auto"/>
                    <w:rPr>
                      <w:rFonts w:hint="default" w:ascii="Times New Roman" w:hAnsi="Times New Roman" w:eastAsia="宋体" w:cs="Times New Roman"/>
                      <w:color w:val="auto"/>
                      <w:kern w:val="0"/>
                      <w:sz w:val="21"/>
                      <w:szCs w:val="21"/>
                      <w:highlight w:val="none"/>
                      <w:shd w:val="clear" w:color="auto" w:fill="auto"/>
                      <w:lang w:val="en-US" w:eastAsia="zh-CN" w:bidi="ar-SA"/>
                    </w:rPr>
                  </w:pPr>
                  <w:r>
                    <w:rPr>
                      <w:rFonts w:cs="Times New Roman"/>
                      <w:color w:val="auto"/>
                      <w:highlight w:val="none"/>
                    </w:rPr>
                    <w:t>底线</w:t>
                  </w:r>
                </w:p>
              </w:tc>
              <w:tc>
                <w:tcPr>
                  <w:tcW w:w="2316" w:type="dxa"/>
                  <w:vMerge w:val="restart"/>
                  <w:tcBorders>
                    <w:tl2br w:val="nil"/>
                    <w:tr2bl w:val="nil"/>
                  </w:tcBorders>
                  <w:noWrap w:val="0"/>
                  <w:vAlign w:val="center"/>
                </w:tcPr>
                <w:p>
                  <w:pPr>
                    <w:pStyle w:val="57"/>
                    <w:keepNext w:val="0"/>
                    <w:keepLines w:val="0"/>
                    <w:pageBreakBefore w:val="0"/>
                    <w:widowControl w:val="0"/>
                    <w:kinsoku/>
                    <w:wordWrap/>
                    <w:overflowPunct/>
                    <w:topLinePunct w:val="0"/>
                    <w:bidi w:val="0"/>
                    <w:snapToGrid/>
                    <w:jc w:val="center"/>
                    <w:textAlignment w:val="auto"/>
                    <w:rPr>
                      <w:rFonts w:cs="Times New Roman"/>
                      <w:color w:val="auto"/>
                      <w:highlight w:val="none"/>
                    </w:rPr>
                  </w:pPr>
                  <w:r>
                    <w:rPr>
                      <w:rFonts w:cs="Times New Roman"/>
                      <w:color w:val="auto"/>
                      <w:highlight w:val="none"/>
                    </w:rPr>
                    <w:t>工业用地满足《土壤环境质量 建设用地土壤污染风险管控标准（试行）》</w:t>
                  </w:r>
                </w:p>
                <w:p>
                  <w:pPr>
                    <w:pStyle w:val="57"/>
                    <w:keepNext w:val="0"/>
                    <w:keepLines w:val="0"/>
                    <w:pageBreakBefore w:val="0"/>
                    <w:widowControl w:val="0"/>
                    <w:kinsoku/>
                    <w:wordWrap/>
                    <w:overflowPunct/>
                    <w:topLinePunct w:val="0"/>
                    <w:bidi w:val="0"/>
                    <w:snapToGrid/>
                    <w:ind w:firstLine="0" w:firstLineChars="0"/>
                    <w:jc w:val="center"/>
                    <w:textAlignment w:val="auto"/>
                    <w:rPr>
                      <w:rFonts w:hint="default" w:ascii="Times New Roman" w:hAnsi="Times New Roman" w:eastAsia="宋体" w:cs="Times New Roman"/>
                      <w:color w:val="auto"/>
                      <w:kern w:val="0"/>
                      <w:sz w:val="21"/>
                      <w:szCs w:val="21"/>
                      <w:highlight w:val="none"/>
                      <w:shd w:val="clear" w:color="auto" w:fill="auto"/>
                      <w:lang w:val="en-US" w:eastAsia="zh-CN" w:bidi="ar-SA"/>
                    </w:rPr>
                  </w:pPr>
                  <w:r>
                    <w:rPr>
                      <w:rFonts w:cs="Times New Roman"/>
                      <w:color w:val="auto"/>
                      <w:highlight w:val="none"/>
                    </w:rPr>
                    <w:t>（GB36600-2018）第二类用地风险筛选值</w:t>
                  </w:r>
                </w:p>
              </w:tc>
              <w:tc>
                <w:tcPr>
                  <w:tcW w:w="2300" w:type="dxa"/>
                  <w:vMerge w:val="restart"/>
                  <w:tcBorders>
                    <w:tl2br w:val="nil"/>
                    <w:tr2bl w:val="nil"/>
                  </w:tcBorders>
                  <w:noWrap w:val="0"/>
                  <w:vAlign w:val="center"/>
                </w:tcPr>
                <w:p>
                  <w:pPr>
                    <w:pStyle w:val="57"/>
                    <w:keepNext w:val="0"/>
                    <w:keepLines w:val="0"/>
                    <w:pageBreakBefore w:val="0"/>
                    <w:widowControl w:val="0"/>
                    <w:kinsoku/>
                    <w:wordWrap/>
                    <w:overflowPunct/>
                    <w:topLinePunct w:val="0"/>
                    <w:bidi w:val="0"/>
                    <w:snapToGrid/>
                    <w:jc w:val="center"/>
                    <w:textAlignment w:val="auto"/>
                    <w:rPr>
                      <w:rFonts w:hint="default" w:ascii="Times New Roman" w:hAnsi="Times New Roman" w:eastAsia="宋体" w:cs="Times New Roman"/>
                      <w:color w:val="auto"/>
                      <w:kern w:val="0"/>
                      <w:sz w:val="21"/>
                      <w:szCs w:val="21"/>
                      <w:highlight w:val="none"/>
                      <w:shd w:val="clear" w:color="auto" w:fill="auto"/>
                      <w:lang w:val="en-US" w:eastAsia="zh-CN" w:bidi="ar-SA"/>
                    </w:rPr>
                  </w:pPr>
                  <w:r>
                    <w:rPr>
                      <w:rFonts w:cs="Times New Roman"/>
                      <w:color w:val="auto"/>
                      <w:highlight w:val="none"/>
                    </w:rPr>
                    <w:t>禁止建设新增重金属污染物排放量的项目；加强入区企业厂区防渗，杜绝跑冒滴漏和事故状态对土壤环境的污染。</w:t>
                  </w:r>
                </w:p>
              </w:tc>
              <w:tc>
                <w:tcPr>
                  <w:tcW w:w="1709" w:type="dxa"/>
                  <w:vMerge w:val="restart"/>
                  <w:tcBorders>
                    <w:tl2br w:val="nil"/>
                    <w:tr2bl w:val="nil"/>
                  </w:tcBorders>
                  <w:noWrap w:val="0"/>
                  <w:vAlign w:val="center"/>
                </w:tcPr>
                <w:p>
                  <w:pPr>
                    <w:pStyle w:val="57"/>
                    <w:keepNext w:val="0"/>
                    <w:keepLines w:val="0"/>
                    <w:pageBreakBefore w:val="0"/>
                    <w:widowControl w:val="0"/>
                    <w:kinsoku/>
                    <w:wordWrap/>
                    <w:overflowPunct/>
                    <w:topLinePunct w:val="0"/>
                    <w:bidi w:val="0"/>
                    <w:snapToGrid/>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本项目无重金属排放，</w:t>
                  </w:r>
                  <w:r>
                    <w:rPr>
                      <w:rFonts w:hint="default" w:ascii="Times New Roman" w:hAnsi="Times New Roman" w:eastAsia="宋体" w:cs="Times New Roman"/>
                      <w:color w:val="auto"/>
                      <w:sz w:val="21"/>
                      <w:szCs w:val="21"/>
                      <w:highlight w:val="none"/>
                      <w:shd w:val="clear" w:color="auto" w:fill="auto"/>
                      <w:lang w:val="zh-CN"/>
                    </w:rPr>
                    <w:t>采取源头治理</w:t>
                  </w:r>
                  <w:r>
                    <w:rPr>
                      <w:rFonts w:hint="eastAsia" w:cs="Times New Roman"/>
                      <w:color w:val="auto"/>
                      <w:sz w:val="21"/>
                      <w:szCs w:val="21"/>
                      <w:highlight w:val="none"/>
                      <w:shd w:val="clear" w:color="auto" w:fill="auto"/>
                      <w:lang w:val="zh-CN"/>
                    </w:rPr>
                    <w:t>、</w:t>
                  </w:r>
                  <w:r>
                    <w:rPr>
                      <w:rFonts w:hint="default" w:ascii="Times New Roman" w:hAnsi="Times New Roman" w:eastAsia="宋体" w:cs="Times New Roman"/>
                      <w:color w:val="auto"/>
                      <w:sz w:val="21"/>
                      <w:szCs w:val="21"/>
                      <w:highlight w:val="none"/>
                      <w:shd w:val="clear" w:color="auto" w:fill="auto"/>
                      <w:lang w:val="zh-CN"/>
                    </w:rPr>
                    <w:t>分区防渗、污染监控及应急响应等措施，确保项目的入区不会对土壤造成污染</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1993" w:hRule="atLeast"/>
                <w:jc w:val="center"/>
              </w:trPr>
              <w:tc>
                <w:tcPr>
                  <w:tcW w:w="458" w:type="dxa"/>
                  <w:vMerge w:val="continue"/>
                  <w:tcBorders>
                    <w:tl2br w:val="nil"/>
                    <w:tr2bl w:val="nil"/>
                  </w:tcBorders>
                  <w:noWrap w:val="0"/>
                  <w:vAlign w:val="center"/>
                </w:tcPr>
                <w:p>
                  <w:pPr>
                    <w:pStyle w:val="35"/>
                    <w:keepNext w:val="0"/>
                    <w:keepLines w:val="0"/>
                    <w:pageBreakBefore w:val="0"/>
                    <w:widowControl w:val="0"/>
                    <w:kinsoku/>
                    <w:wordWrap/>
                    <w:overflowPunct/>
                    <w:topLinePunct w:val="0"/>
                    <w:bidi w:val="0"/>
                    <w:snapToGrid/>
                    <w:spacing w:line="240" w:lineRule="auto"/>
                    <w:ind w:firstLine="0" w:firstLineChars="0"/>
                    <w:jc w:val="center"/>
                    <w:textAlignment w:val="auto"/>
                    <w:rPr>
                      <w:color w:val="auto"/>
                      <w:sz w:val="21"/>
                      <w:szCs w:val="21"/>
                      <w:highlight w:val="none"/>
                    </w:rPr>
                  </w:pPr>
                </w:p>
              </w:tc>
              <w:tc>
                <w:tcPr>
                  <w:tcW w:w="644" w:type="dxa"/>
                  <w:vMerge w:val="continue"/>
                  <w:tcBorders>
                    <w:tl2br w:val="nil"/>
                    <w:tr2bl w:val="nil"/>
                  </w:tcBorders>
                  <w:noWrap w:val="0"/>
                  <w:vAlign w:val="center"/>
                </w:tcPr>
                <w:p>
                  <w:pPr>
                    <w:pStyle w:val="35"/>
                    <w:keepNext w:val="0"/>
                    <w:keepLines w:val="0"/>
                    <w:pageBreakBefore w:val="0"/>
                    <w:widowControl w:val="0"/>
                    <w:kinsoku/>
                    <w:wordWrap/>
                    <w:overflowPunct/>
                    <w:topLinePunct w:val="0"/>
                    <w:bidi w:val="0"/>
                    <w:snapToGrid/>
                    <w:spacing w:line="240" w:lineRule="auto"/>
                    <w:ind w:firstLine="0" w:firstLineChars="0"/>
                    <w:jc w:val="center"/>
                    <w:textAlignment w:val="auto"/>
                    <w:rPr>
                      <w:color w:val="auto"/>
                      <w:sz w:val="21"/>
                      <w:szCs w:val="21"/>
                      <w:highlight w:val="none"/>
                    </w:rPr>
                  </w:pPr>
                </w:p>
              </w:tc>
              <w:tc>
                <w:tcPr>
                  <w:tcW w:w="2316" w:type="dxa"/>
                  <w:vMerge w:val="continue"/>
                  <w:tcBorders>
                    <w:tl2br w:val="nil"/>
                    <w:tr2bl w:val="nil"/>
                  </w:tcBorders>
                  <w:noWrap w:val="0"/>
                  <w:vAlign w:val="center"/>
                </w:tcPr>
                <w:p>
                  <w:pPr>
                    <w:pStyle w:val="35"/>
                    <w:keepNext w:val="0"/>
                    <w:keepLines w:val="0"/>
                    <w:pageBreakBefore w:val="0"/>
                    <w:widowControl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rPr>
                  </w:pPr>
                </w:p>
              </w:tc>
              <w:tc>
                <w:tcPr>
                  <w:tcW w:w="2300" w:type="dxa"/>
                  <w:vMerge w:val="continue"/>
                  <w:tcBorders>
                    <w:tl2br w:val="nil"/>
                    <w:tr2bl w:val="nil"/>
                  </w:tcBorders>
                  <w:noWrap w:val="0"/>
                  <w:vAlign w:val="center"/>
                </w:tcPr>
                <w:p>
                  <w:pPr>
                    <w:pStyle w:val="35"/>
                    <w:keepNext w:val="0"/>
                    <w:keepLines w:val="0"/>
                    <w:pageBreakBefore w:val="0"/>
                    <w:widowControl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rPr>
                  </w:pPr>
                </w:p>
              </w:tc>
              <w:tc>
                <w:tcPr>
                  <w:tcW w:w="1709" w:type="dxa"/>
                  <w:vMerge w:val="continue"/>
                  <w:tcBorders>
                    <w:tl2br w:val="nil"/>
                    <w:tr2bl w:val="nil"/>
                  </w:tcBorders>
                  <w:noWrap w:val="0"/>
                  <w:vAlign w:val="center"/>
                </w:tcPr>
                <w:p>
                  <w:pPr>
                    <w:pStyle w:val="35"/>
                    <w:keepNext w:val="0"/>
                    <w:keepLines w:val="0"/>
                    <w:pageBreakBefore w:val="0"/>
                    <w:widowControl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rPr>
                  </w:pPr>
                </w:p>
              </w:tc>
            </w:tr>
          </w:tbl>
          <w:p>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outlineLvl w:val="9"/>
              <w:rPr>
                <w:rFonts w:hint="default" w:cs="Times New Roman"/>
                <w:color w:val="auto"/>
                <w:sz w:val="24"/>
                <w:szCs w:val="24"/>
                <w:highlight w:val="none"/>
                <w:shd w:val="clear" w:color="auto" w:fill="auto"/>
                <w:lang w:val="en-US" w:eastAsia="zh-CN"/>
              </w:rPr>
            </w:pPr>
            <w:r>
              <w:rPr>
                <w:rFonts w:hint="eastAsia" w:cs="Times New Roman"/>
                <w:color w:val="auto"/>
                <w:sz w:val="24"/>
                <w:szCs w:val="24"/>
                <w:highlight w:val="none"/>
                <w:shd w:val="clear" w:color="auto" w:fill="auto"/>
                <w:lang w:val="en-US" w:eastAsia="zh-CN"/>
              </w:rPr>
              <w:t>由上表可知，本项目符合</w:t>
            </w:r>
            <w:r>
              <w:rPr>
                <w:rFonts w:cs="Times New Roman"/>
                <w:color w:val="auto"/>
                <w:highlight w:val="none"/>
              </w:rPr>
              <w:t>唐山高新区北部拓展区</w:t>
            </w:r>
            <w:r>
              <w:rPr>
                <w:rFonts w:hint="eastAsia" w:cs="Times New Roman"/>
                <w:color w:val="auto"/>
                <w:highlight w:val="none"/>
                <w:lang w:val="en-US" w:eastAsia="zh-CN"/>
              </w:rPr>
              <w:t>环境质量底线要求。</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outlineLvl w:val="9"/>
              <w:rPr>
                <w:rFonts w:hint="default" w:ascii="Times New Roman" w:hAnsi="Times New Roman" w:eastAsia="宋体" w:cs="Times New Roman"/>
                <w:color w:val="auto"/>
                <w:sz w:val="24"/>
                <w:szCs w:val="24"/>
                <w:highlight w:val="none"/>
                <w:shd w:val="clear" w:color="auto" w:fill="auto"/>
              </w:rPr>
            </w:pPr>
            <w:r>
              <w:rPr>
                <w:rFonts w:hint="eastAsia" w:cs="Times New Roman"/>
                <w:color w:val="auto"/>
                <w:sz w:val="24"/>
                <w:szCs w:val="24"/>
                <w:highlight w:val="none"/>
                <w:shd w:val="clear" w:color="auto" w:fill="auto"/>
                <w:lang w:val="en-US" w:eastAsia="zh-CN"/>
              </w:rPr>
              <w:t>（3）</w:t>
            </w:r>
            <w:r>
              <w:rPr>
                <w:rFonts w:hint="default" w:ascii="Times New Roman" w:hAnsi="Times New Roman" w:eastAsia="宋体" w:cs="Times New Roman"/>
                <w:color w:val="auto"/>
                <w:sz w:val="24"/>
                <w:szCs w:val="24"/>
                <w:highlight w:val="none"/>
                <w:shd w:val="clear" w:color="auto" w:fill="auto"/>
              </w:rPr>
              <w:t>资源利用上线</w:t>
            </w:r>
          </w:p>
          <w:p>
            <w:pPr>
              <w:pStyle w:val="6"/>
              <w:ind w:firstLine="480"/>
              <w:rPr>
                <w:rFonts w:hint="eastAsia" w:ascii="Times New Roman" w:hAnsi="Times New Roman" w:eastAsia="宋体" w:cs="Times New Roman"/>
                <w:color w:val="auto"/>
                <w:highlight w:val="none"/>
                <w:lang w:val="en-US" w:eastAsia="zh-CN"/>
              </w:rPr>
            </w:pPr>
            <w:r>
              <w:rPr>
                <w:rFonts w:ascii="Times New Roman" w:hAnsi="Times New Roman" w:cs="Times New Roman"/>
                <w:color w:val="auto"/>
                <w:highlight w:val="none"/>
              </w:rPr>
              <w:t>资源利用上线主要包括能源利用上线、水资源利用上线和土地资源利用上线。</w:t>
            </w:r>
            <w:r>
              <w:rPr>
                <w:rFonts w:cs="Times New Roman"/>
                <w:color w:val="auto"/>
                <w:highlight w:val="none"/>
              </w:rPr>
              <w:t>开发区资源利用上限</w:t>
            </w:r>
            <w:r>
              <w:rPr>
                <w:rFonts w:hint="eastAsia" w:cs="Times New Roman"/>
                <w:color w:val="auto"/>
                <w:highlight w:val="none"/>
                <w:lang w:val="en-US" w:eastAsia="zh-CN"/>
              </w:rPr>
              <w:t>见下表。</w:t>
            </w:r>
          </w:p>
          <w:p>
            <w:pPr>
              <w:keepNext w:val="0"/>
              <w:keepLines w:val="0"/>
              <w:pageBreakBefore w:val="0"/>
              <w:widowControl w:val="0"/>
              <w:kinsoku/>
              <w:wordWrap/>
              <w:overflowPunct/>
              <w:topLinePunct w:val="0"/>
              <w:autoSpaceDE/>
              <w:autoSpaceDN/>
              <w:bidi w:val="0"/>
              <w:adjustRightInd w:val="0"/>
              <w:snapToGrid w:val="0"/>
              <w:spacing w:line="480" w:lineRule="exact"/>
              <w:ind w:firstLine="0" w:firstLineChars="0"/>
              <w:jc w:val="center"/>
              <w:textAlignment w:val="baseline"/>
              <w:rPr>
                <w:rFonts w:hint="eastAsia" w:ascii="Times New Roman" w:hAnsi="Times New Roman" w:eastAsia="宋体" w:cs="Times New Roman"/>
                <w:b/>
                <w:color w:val="auto"/>
                <w:sz w:val="21"/>
                <w:szCs w:val="21"/>
                <w:highlight w:val="none"/>
                <w:shd w:val="clear" w:color="auto" w:fill="auto"/>
                <w:lang w:val="en-US" w:eastAsia="zh-CN" w:bidi="ar"/>
              </w:rPr>
            </w:pPr>
            <w:r>
              <w:rPr>
                <w:rFonts w:hint="default" w:ascii="Times New Roman" w:hAnsi="Times New Roman" w:eastAsia="宋体" w:cs="Times New Roman"/>
                <w:b/>
                <w:color w:val="auto"/>
                <w:sz w:val="21"/>
                <w:szCs w:val="21"/>
                <w:highlight w:val="none"/>
                <w:shd w:val="clear" w:color="auto" w:fill="auto"/>
                <w:lang w:bidi="ar"/>
              </w:rPr>
              <w:t>表</w:t>
            </w:r>
            <w:r>
              <w:rPr>
                <w:rFonts w:hint="eastAsia" w:cs="Times New Roman"/>
                <w:b/>
                <w:color w:val="auto"/>
                <w:sz w:val="21"/>
                <w:szCs w:val="21"/>
                <w:highlight w:val="none"/>
                <w:shd w:val="clear" w:color="auto" w:fill="auto"/>
                <w:lang w:val="en-US" w:eastAsia="zh-CN" w:bidi="ar"/>
              </w:rPr>
              <w:t>4</w:t>
            </w:r>
            <w:r>
              <w:rPr>
                <w:rFonts w:hint="eastAsia" w:eastAsia="宋体" w:cs="Times New Roman"/>
                <w:b/>
                <w:color w:val="auto"/>
                <w:sz w:val="21"/>
                <w:szCs w:val="21"/>
                <w:highlight w:val="none"/>
                <w:shd w:val="clear" w:color="auto" w:fill="auto"/>
                <w:lang w:val="en-US" w:eastAsia="zh-CN" w:bidi="ar"/>
              </w:rPr>
              <w:t xml:space="preserve">  开发区资源能源利用上限指标</w:t>
            </w:r>
            <w:r>
              <w:rPr>
                <w:rFonts w:hint="eastAsia" w:ascii="Times New Roman" w:hAnsi="Times New Roman" w:eastAsia="宋体" w:cs="Times New Roman"/>
                <w:b/>
                <w:color w:val="auto"/>
                <w:sz w:val="21"/>
                <w:szCs w:val="21"/>
                <w:highlight w:val="none"/>
                <w:shd w:val="clear" w:color="auto" w:fill="auto"/>
                <w:lang w:val="en-US" w:eastAsia="zh-CN" w:bidi="ar"/>
              </w:rPr>
              <w:t>一览表</w:t>
            </w:r>
          </w:p>
          <w:tbl>
            <w:tblPr>
              <w:tblStyle w:val="25"/>
              <w:tblW w:w="742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18"/>
              <w:gridCol w:w="2025"/>
              <w:gridCol w:w="1095"/>
              <w:gridCol w:w="1125"/>
              <w:gridCol w:w="1290"/>
              <w:gridCol w:w="137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9" w:hRule="atLeast"/>
                <w:jc w:val="center"/>
              </w:trPr>
              <w:tc>
                <w:tcPr>
                  <w:tcW w:w="518"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highlight w:val="none"/>
                    </w:rPr>
                  </w:pPr>
                  <w:r>
                    <w:rPr>
                      <w:color w:val="auto"/>
                      <w:highlight w:val="none"/>
                    </w:rPr>
                    <w:t>序号</w:t>
                  </w:r>
                </w:p>
              </w:tc>
              <w:tc>
                <w:tcPr>
                  <w:tcW w:w="2025"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highlight w:val="none"/>
                    </w:rPr>
                  </w:pPr>
                  <w:r>
                    <w:rPr>
                      <w:color w:val="auto"/>
                      <w:highlight w:val="none"/>
                    </w:rPr>
                    <w:t>资源种类</w:t>
                  </w:r>
                </w:p>
              </w:tc>
              <w:tc>
                <w:tcPr>
                  <w:tcW w:w="1095"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highlight w:val="none"/>
                    </w:rPr>
                  </w:pPr>
                  <w:r>
                    <w:rPr>
                      <w:color w:val="auto"/>
                      <w:highlight w:val="none"/>
                    </w:rPr>
                    <w:t>规划资源利用量</w:t>
                  </w:r>
                </w:p>
              </w:tc>
              <w:tc>
                <w:tcPr>
                  <w:tcW w:w="1125"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highlight w:val="none"/>
                    </w:rPr>
                  </w:pPr>
                  <w:r>
                    <w:rPr>
                      <w:color w:val="auto"/>
                      <w:highlight w:val="none"/>
                    </w:rPr>
                    <w:t>现状资源利用量</w:t>
                  </w:r>
                </w:p>
              </w:tc>
              <w:tc>
                <w:tcPr>
                  <w:tcW w:w="1290"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highlight w:val="none"/>
                    </w:rPr>
                  </w:pPr>
                  <w:r>
                    <w:rPr>
                      <w:color w:val="auto"/>
                      <w:highlight w:val="none"/>
                    </w:rPr>
                    <w:t>相差量</w:t>
                  </w:r>
                </w:p>
              </w:tc>
              <w:tc>
                <w:tcPr>
                  <w:tcW w:w="1374"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rFonts w:hint="default" w:eastAsia="宋体"/>
                      <w:color w:val="auto"/>
                      <w:highlight w:val="none"/>
                      <w:lang w:val="en-US" w:eastAsia="zh-CN"/>
                    </w:rPr>
                  </w:pPr>
                  <w:r>
                    <w:rPr>
                      <w:rFonts w:hint="eastAsia"/>
                      <w:color w:val="auto"/>
                      <w:highlight w:val="none"/>
                      <w:lang w:val="en-US" w:eastAsia="zh-CN"/>
                    </w:rPr>
                    <w:t>本项目利用量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518"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highlight w:val="none"/>
                    </w:rPr>
                  </w:pPr>
                  <w:r>
                    <w:rPr>
                      <w:color w:val="auto"/>
                      <w:highlight w:val="none"/>
                    </w:rPr>
                    <w:t>1</w:t>
                  </w:r>
                </w:p>
              </w:tc>
              <w:tc>
                <w:tcPr>
                  <w:tcW w:w="2025"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highlight w:val="none"/>
                    </w:rPr>
                  </w:pPr>
                  <w:r>
                    <w:rPr>
                      <w:color w:val="auto"/>
                      <w:highlight w:val="none"/>
                    </w:rPr>
                    <w:t>总用水量（万m</w:t>
                  </w:r>
                  <w:r>
                    <w:rPr>
                      <w:color w:val="auto"/>
                      <w:highlight w:val="none"/>
                      <w:vertAlign w:val="superscript"/>
                    </w:rPr>
                    <w:t>3</w:t>
                  </w:r>
                  <w:r>
                    <w:rPr>
                      <w:color w:val="auto"/>
                      <w:highlight w:val="none"/>
                    </w:rPr>
                    <w:t>/a）</w:t>
                  </w:r>
                </w:p>
              </w:tc>
              <w:tc>
                <w:tcPr>
                  <w:tcW w:w="1095"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highlight w:val="none"/>
                    </w:rPr>
                  </w:pPr>
                  <w:r>
                    <w:rPr>
                      <w:color w:val="auto"/>
                      <w:highlight w:val="none"/>
                    </w:rPr>
                    <w:t>2755.75</w:t>
                  </w:r>
                </w:p>
              </w:tc>
              <w:tc>
                <w:tcPr>
                  <w:tcW w:w="1125"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highlight w:val="none"/>
                    </w:rPr>
                  </w:pPr>
                  <w:r>
                    <w:rPr>
                      <w:color w:val="auto"/>
                      <w:highlight w:val="none"/>
                    </w:rPr>
                    <w:t>196.5486</w:t>
                  </w:r>
                </w:p>
              </w:tc>
              <w:tc>
                <w:tcPr>
                  <w:tcW w:w="1290"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highlight w:val="none"/>
                    </w:rPr>
                  </w:pPr>
                  <w:r>
                    <w:rPr>
                      <w:color w:val="auto"/>
                      <w:highlight w:val="none"/>
                    </w:rPr>
                    <w:t>2559.2014</w:t>
                  </w:r>
                </w:p>
              </w:tc>
              <w:tc>
                <w:tcPr>
                  <w:tcW w:w="1374"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rFonts w:hint="default" w:eastAsia="宋体"/>
                      <w:color w:val="auto"/>
                      <w:highlight w:val="yellow"/>
                      <w:lang w:val="en-US" w:eastAsia="zh-CN"/>
                    </w:rPr>
                  </w:pPr>
                  <w:r>
                    <w:rPr>
                      <w:rFonts w:hint="eastAsia"/>
                      <w:color w:val="auto"/>
                      <w:highlight w:val="none"/>
                      <w:lang w:val="en-US" w:eastAsia="zh-CN"/>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518"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highlight w:val="none"/>
                    </w:rPr>
                  </w:pPr>
                  <w:r>
                    <w:rPr>
                      <w:color w:val="auto"/>
                      <w:highlight w:val="none"/>
                    </w:rPr>
                    <w:t>2</w:t>
                  </w:r>
                </w:p>
              </w:tc>
              <w:tc>
                <w:tcPr>
                  <w:tcW w:w="2025"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highlight w:val="none"/>
                    </w:rPr>
                  </w:pPr>
                  <w:r>
                    <w:rPr>
                      <w:color w:val="auto"/>
                      <w:highlight w:val="none"/>
                    </w:rPr>
                    <w:t>燃气量（万m</w:t>
                  </w:r>
                  <w:r>
                    <w:rPr>
                      <w:color w:val="auto"/>
                      <w:highlight w:val="none"/>
                      <w:vertAlign w:val="superscript"/>
                    </w:rPr>
                    <w:t>3</w:t>
                  </w:r>
                  <w:r>
                    <w:rPr>
                      <w:color w:val="auto"/>
                      <w:highlight w:val="none"/>
                    </w:rPr>
                    <w:t>/a）</w:t>
                  </w:r>
                </w:p>
              </w:tc>
              <w:tc>
                <w:tcPr>
                  <w:tcW w:w="1095"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highlight w:val="none"/>
                    </w:rPr>
                  </w:pPr>
                  <w:r>
                    <w:rPr>
                      <w:color w:val="auto"/>
                      <w:highlight w:val="none"/>
                    </w:rPr>
                    <w:t>15840</w:t>
                  </w:r>
                </w:p>
              </w:tc>
              <w:tc>
                <w:tcPr>
                  <w:tcW w:w="1125"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highlight w:val="none"/>
                    </w:rPr>
                  </w:pPr>
                  <w:r>
                    <w:rPr>
                      <w:color w:val="auto"/>
                      <w:highlight w:val="none"/>
                    </w:rPr>
                    <w:t>1471.58</w:t>
                  </w:r>
                </w:p>
              </w:tc>
              <w:tc>
                <w:tcPr>
                  <w:tcW w:w="1290"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highlight w:val="none"/>
                    </w:rPr>
                  </w:pPr>
                  <w:r>
                    <w:rPr>
                      <w:color w:val="auto"/>
                      <w:highlight w:val="none"/>
                    </w:rPr>
                    <w:t>14368.43</w:t>
                  </w:r>
                </w:p>
              </w:tc>
              <w:tc>
                <w:tcPr>
                  <w:tcW w:w="1374"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rFonts w:hint="eastAsia" w:eastAsia="宋体"/>
                      <w:color w:val="auto"/>
                      <w:highlight w:val="yellow"/>
                      <w:lang w:val="en-US" w:eastAsia="zh-CN"/>
                    </w:rPr>
                  </w:pPr>
                  <w:r>
                    <w:rPr>
                      <w:rFonts w:hint="eastAsia"/>
                      <w:color w:val="auto"/>
                      <w:highlight w:val="none"/>
                      <w:lang w:val="en-US" w:eastAsia="zh-CN"/>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518"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highlight w:val="none"/>
                    </w:rPr>
                  </w:pPr>
                  <w:r>
                    <w:rPr>
                      <w:color w:val="auto"/>
                      <w:highlight w:val="none"/>
                    </w:rPr>
                    <w:t>3</w:t>
                  </w:r>
                </w:p>
              </w:tc>
              <w:tc>
                <w:tcPr>
                  <w:tcW w:w="2025"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highlight w:val="none"/>
                    </w:rPr>
                  </w:pPr>
                  <w:r>
                    <w:rPr>
                      <w:color w:val="auto"/>
                      <w:highlight w:val="none"/>
                    </w:rPr>
                    <w:t>用电量（万KWh/a）</w:t>
                  </w:r>
                </w:p>
              </w:tc>
              <w:tc>
                <w:tcPr>
                  <w:tcW w:w="1095"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highlight w:val="none"/>
                    </w:rPr>
                  </w:pPr>
                  <w:r>
                    <w:rPr>
                      <w:color w:val="auto"/>
                      <w:highlight w:val="none"/>
                    </w:rPr>
                    <w:t>43270</w:t>
                  </w:r>
                </w:p>
              </w:tc>
              <w:tc>
                <w:tcPr>
                  <w:tcW w:w="1125"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highlight w:val="none"/>
                    </w:rPr>
                  </w:pPr>
                  <w:r>
                    <w:rPr>
                      <w:color w:val="auto"/>
                      <w:highlight w:val="none"/>
                    </w:rPr>
                    <w:t>8667.56</w:t>
                  </w:r>
                </w:p>
              </w:tc>
              <w:tc>
                <w:tcPr>
                  <w:tcW w:w="1290"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highlight w:val="none"/>
                    </w:rPr>
                  </w:pPr>
                  <w:r>
                    <w:rPr>
                      <w:color w:val="auto"/>
                      <w:highlight w:val="none"/>
                    </w:rPr>
                    <w:t>34602.44</w:t>
                  </w:r>
                </w:p>
              </w:tc>
              <w:tc>
                <w:tcPr>
                  <w:tcW w:w="1374"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rFonts w:hint="default" w:eastAsia="宋体"/>
                      <w:color w:val="auto"/>
                      <w:highlight w:val="none"/>
                      <w:lang w:val="en-US" w:eastAsia="zh-CN"/>
                    </w:rPr>
                  </w:pPr>
                  <w:r>
                    <w:rPr>
                      <w:rFonts w:hint="eastAsia"/>
                      <w:color w:val="auto"/>
                      <w:highlight w:val="none"/>
                      <w:lang w:val="en-US" w:eastAsia="zh-CN"/>
                    </w:rPr>
                    <w:t>10万k</w:t>
                  </w:r>
                  <w:r>
                    <w:rPr>
                      <w:color w:val="auto"/>
                      <w:highlight w:val="none"/>
                    </w:rPr>
                    <w:t>Wh/a</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518"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highlight w:val="none"/>
                    </w:rPr>
                  </w:pPr>
                  <w:r>
                    <w:rPr>
                      <w:color w:val="auto"/>
                      <w:highlight w:val="none"/>
                    </w:rPr>
                    <w:t>4</w:t>
                  </w:r>
                </w:p>
              </w:tc>
              <w:tc>
                <w:tcPr>
                  <w:tcW w:w="2025"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highlight w:val="none"/>
                    </w:rPr>
                  </w:pPr>
                  <w:r>
                    <w:rPr>
                      <w:color w:val="auto"/>
                      <w:highlight w:val="none"/>
                    </w:rPr>
                    <w:t>热力（MW/h）</w:t>
                  </w:r>
                </w:p>
              </w:tc>
              <w:tc>
                <w:tcPr>
                  <w:tcW w:w="1095"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highlight w:val="none"/>
                    </w:rPr>
                  </w:pPr>
                  <w:r>
                    <w:rPr>
                      <w:color w:val="auto"/>
                      <w:highlight w:val="none"/>
                    </w:rPr>
                    <w:t>1126.3</w:t>
                  </w:r>
                </w:p>
              </w:tc>
              <w:tc>
                <w:tcPr>
                  <w:tcW w:w="1125"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highlight w:val="none"/>
                      <w:lang w:val="en-US" w:eastAsia="zh-CN"/>
                    </w:rPr>
                  </w:pPr>
                  <w:r>
                    <w:rPr>
                      <w:rFonts w:hint="eastAsia"/>
                      <w:color w:val="auto"/>
                      <w:highlight w:val="none"/>
                      <w:lang w:val="en-US" w:eastAsia="zh-CN"/>
                    </w:rPr>
                    <w:t>18.91</w:t>
                  </w:r>
                </w:p>
              </w:tc>
              <w:tc>
                <w:tcPr>
                  <w:tcW w:w="1290"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highlight w:val="none"/>
                      <w:lang w:val="en-US" w:eastAsia="zh-CN"/>
                    </w:rPr>
                  </w:pPr>
                  <w:r>
                    <w:rPr>
                      <w:rFonts w:hint="eastAsia"/>
                      <w:color w:val="auto"/>
                      <w:highlight w:val="none"/>
                      <w:lang w:val="en-US" w:eastAsia="zh-CN"/>
                    </w:rPr>
                    <w:t>1108.79</w:t>
                  </w:r>
                </w:p>
              </w:tc>
              <w:tc>
                <w:tcPr>
                  <w:tcW w:w="1374"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highlight w:val="none"/>
                      <w:lang w:val="en-US" w:eastAsia="zh-CN"/>
                    </w:rPr>
                  </w:pPr>
                  <w:r>
                    <w:rPr>
                      <w:rFonts w:hint="eastAsia"/>
                      <w:color w:val="auto"/>
                      <w:highlight w:val="none"/>
                      <w:lang w:val="en-US" w:eastAsia="zh-CN"/>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518"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highlight w:val="none"/>
                    </w:rPr>
                  </w:pPr>
                  <w:r>
                    <w:rPr>
                      <w:color w:val="auto"/>
                      <w:highlight w:val="none"/>
                    </w:rPr>
                    <w:t>5</w:t>
                  </w:r>
                </w:p>
              </w:tc>
              <w:tc>
                <w:tcPr>
                  <w:tcW w:w="2025"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highlight w:val="none"/>
                    </w:rPr>
                  </w:pPr>
                  <w:r>
                    <w:rPr>
                      <w:color w:val="auto"/>
                      <w:highlight w:val="none"/>
                    </w:rPr>
                    <w:t>土地资源（km</w:t>
                  </w:r>
                  <w:r>
                    <w:rPr>
                      <w:color w:val="auto"/>
                      <w:highlight w:val="none"/>
                      <w:vertAlign w:val="superscript"/>
                    </w:rPr>
                    <w:t>2</w:t>
                  </w:r>
                  <w:r>
                    <w:rPr>
                      <w:color w:val="auto"/>
                      <w:highlight w:val="none"/>
                    </w:rPr>
                    <w:t>）</w:t>
                  </w:r>
                </w:p>
              </w:tc>
              <w:tc>
                <w:tcPr>
                  <w:tcW w:w="1095"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highlight w:val="none"/>
                    </w:rPr>
                  </w:pPr>
                  <w:r>
                    <w:rPr>
                      <w:color w:val="auto"/>
                      <w:highlight w:val="none"/>
                    </w:rPr>
                    <w:t>5.28</w:t>
                  </w:r>
                </w:p>
              </w:tc>
              <w:tc>
                <w:tcPr>
                  <w:tcW w:w="1125"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highlight w:val="none"/>
                    </w:rPr>
                  </w:pPr>
                  <w:r>
                    <w:rPr>
                      <w:color w:val="auto"/>
                      <w:highlight w:val="none"/>
                    </w:rPr>
                    <w:t>2.22</w:t>
                  </w:r>
                </w:p>
              </w:tc>
              <w:tc>
                <w:tcPr>
                  <w:tcW w:w="1290"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highlight w:val="none"/>
                    </w:rPr>
                  </w:pPr>
                  <w:r>
                    <w:rPr>
                      <w:color w:val="auto"/>
                      <w:highlight w:val="none"/>
                    </w:rPr>
                    <w:t>3.06</w:t>
                  </w:r>
                </w:p>
              </w:tc>
              <w:tc>
                <w:tcPr>
                  <w:tcW w:w="1374"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rFonts w:hint="default" w:eastAsia="宋体"/>
                      <w:color w:val="auto"/>
                      <w:highlight w:val="none"/>
                      <w:lang w:val="en-US" w:eastAsia="zh-CN"/>
                    </w:rPr>
                  </w:pPr>
                  <w:r>
                    <w:rPr>
                      <w:rFonts w:hint="eastAsia"/>
                      <w:color w:val="auto"/>
                      <w:highlight w:val="none"/>
                      <w:lang w:val="en-US" w:eastAsia="zh-CN"/>
                    </w:rPr>
                    <w:t>0</w:t>
                  </w:r>
                </w:p>
              </w:tc>
            </w:tr>
          </w:tbl>
          <w:p>
            <w:pPr>
              <w:spacing w:line="480" w:lineRule="exact"/>
              <w:ind w:firstLine="480" w:firstLineChars="200"/>
              <w:jc w:val="left"/>
              <w:rPr>
                <w:rFonts w:hint="default" w:ascii="Times New Roman" w:hAnsi="Times New Roman" w:eastAsia="宋体" w:cs="Times New Roman"/>
                <w:color w:val="auto"/>
                <w:sz w:val="24"/>
                <w:szCs w:val="21"/>
                <w:highlight w:val="none"/>
                <w:shd w:val="clear" w:color="auto" w:fill="auto"/>
                <w:lang w:val="zh-CN"/>
              </w:rPr>
            </w:pPr>
            <w:r>
              <w:rPr>
                <w:rFonts w:hint="default" w:ascii="Times New Roman" w:hAnsi="Times New Roman" w:eastAsia="宋体" w:cs="Times New Roman"/>
                <w:color w:val="auto"/>
                <w:kern w:val="2"/>
                <w:sz w:val="24"/>
                <w:szCs w:val="24"/>
                <w:highlight w:val="none"/>
                <w:lang w:val="en-US" w:eastAsia="zh-CN" w:bidi="ar-SA"/>
              </w:rPr>
              <w:t>由上表分析可知，</w:t>
            </w:r>
            <w:r>
              <w:rPr>
                <w:rFonts w:hint="eastAsia" w:ascii="Times New Roman" w:hAnsi="Times New Roman" w:eastAsia="宋体" w:cs="Times New Roman"/>
                <w:color w:val="auto"/>
                <w:kern w:val="2"/>
                <w:sz w:val="24"/>
                <w:szCs w:val="24"/>
                <w:highlight w:val="none"/>
                <w:lang w:val="en-US" w:eastAsia="zh-CN" w:bidi="ar-SA"/>
              </w:rPr>
              <w:t>本项目</w:t>
            </w:r>
            <w:r>
              <w:rPr>
                <w:rFonts w:hint="eastAsia" w:cs="Times New Roman"/>
                <w:color w:val="auto"/>
                <w:kern w:val="2"/>
                <w:sz w:val="24"/>
                <w:szCs w:val="24"/>
                <w:highlight w:val="none"/>
                <w:lang w:val="en-US" w:eastAsia="zh-CN" w:bidi="ar-SA"/>
              </w:rPr>
              <w:t>不增加用水量、燃气量消耗，不新增占地，无热力消耗，用电量较少，</w:t>
            </w:r>
            <w:r>
              <w:rPr>
                <w:rFonts w:hint="eastAsia" w:ascii="Times New Roman" w:hAnsi="Times New Roman" w:eastAsia="宋体" w:cs="Times New Roman"/>
                <w:color w:val="auto"/>
                <w:kern w:val="2"/>
                <w:sz w:val="24"/>
                <w:szCs w:val="24"/>
                <w:highlight w:val="none"/>
                <w:lang w:val="en-US" w:eastAsia="zh-CN" w:bidi="ar-SA"/>
              </w:rPr>
              <w:t>符合开发区资源利用上线相关要求</w:t>
            </w:r>
            <w:r>
              <w:rPr>
                <w:rFonts w:hint="default" w:ascii="Times New Roman" w:hAnsi="Times New Roman" w:eastAsia="宋体" w:cs="Times New Roman"/>
                <w:color w:val="auto"/>
                <w:sz w:val="24"/>
                <w:szCs w:val="21"/>
                <w:highlight w:val="none"/>
                <w:shd w:val="clear" w:color="auto" w:fill="auto"/>
              </w:rPr>
              <w:t>。</w:t>
            </w:r>
          </w:p>
          <w:p>
            <w:pPr>
              <w:spacing w:line="480" w:lineRule="exact"/>
              <w:ind w:firstLine="480" w:firstLineChars="200"/>
              <w:jc w:val="left"/>
              <w:rPr>
                <w:rFonts w:hint="default" w:ascii="Times New Roman" w:hAnsi="Times New Roman" w:eastAsia="宋体" w:cs="Times New Roman"/>
                <w:color w:val="auto"/>
                <w:sz w:val="24"/>
                <w:szCs w:val="21"/>
                <w:highlight w:val="none"/>
                <w:shd w:val="clear" w:color="auto" w:fill="auto"/>
              </w:rPr>
            </w:pPr>
            <w:r>
              <w:rPr>
                <w:rFonts w:hint="eastAsia" w:cs="Times New Roman"/>
                <w:color w:val="auto"/>
                <w:sz w:val="24"/>
                <w:szCs w:val="21"/>
                <w:highlight w:val="none"/>
                <w:shd w:val="clear" w:color="auto" w:fill="auto"/>
                <w:lang w:val="en-US" w:eastAsia="zh-CN"/>
              </w:rPr>
              <w:t>（4）</w:t>
            </w:r>
            <w:r>
              <w:rPr>
                <w:rFonts w:hint="default" w:ascii="Times New Roman" w:hAnsi="Times New Roman" w:eastAsia="宋体" w:cs="Times New Roman"/>
                <w:color w:val="auto"/>
                <w:sz w:val="24"/>
                <w:szCs w:val="21"/>
                <w:highlight w:val="none"/>
                <w:shd w:val="clear" w:color="auto" w:fill="auto"/>
                <w:lang w:val="zh-CN"/>
              </w:rPr>
              <w:t>环境准入负面清单</w:t>
            </w:r>
          </w:p>
          <w:p>
            <w:pPr>
              <w:keepNext w:val="0"/>
              <w:keepLines w:val="0"/>
              <w:pageBreakBefore w:val="0"/>
              <w:widowControl/>
              <w:suppressLineNumbers w:val="0"/>
              <w:kinsoku/>
              <w:wordWrap/>
              <w:overflowPunct/>
              <w:topLinePunct w:val="0"/>
              <w:autoSpaceDE/>
              <w:autoSpaceDN/>
              <w:bidi w:val="0"/>
              <w:adjustRightInd/>
              <w:snapToGrid/>
              <w:spacing w:line="480" w:lineRule="exact"/>
              <w:ind w:firstLine="480" w:firstLineChars="200"/>
              <w:jc w:val="left"/>
              <w:textAlignment w:val="auto"/>
              <w:rPr>
                <w:rFonts w:hint="default" w:ascii="Times New Roman" w:hAnsi="Times New Roman" w:eastAsia="宋体" w:cs="Times New Roman"/>
                <w:color w:val="auto"/>
                <w:kern w:val="0"/>
                <w:sz w:val="24"/>
                <w:szCs w:val="24"/>
                <w:highlight w:val="none"/>
                <w:lang w:eastAsia="zh-CN"/>
              </w:rPr>
            </w:pPr>
            <w:r>
              <w:rPr>
                <w:rFonts w:ascii="Times New Roman" w:hAnsi="Times New Roman" w:cs="Times New Roman"/>
                <w:color w:val="auto"/>
                <w:highlight w:val="none"/>
              </w:rPr>
              <w:t>根据开发区规划产业类别、相关产业政策及环境准入要求</w:t>
            </w:r>
            <w:r>
              <w:rPr>
                <w:rFonts w:hint="default" w:ascii="Times New Roman" w:hAnsi="Times New Roman" w:eastAsia="宋体" w:cs="Times New Roman"/>
                <w:color w:val="auto"/>
                <w:kern w:val="0"/>
                <w:sz w:val="24"/>
                <w:szCs w:val="24"/>
                <w:highlight w:val="none"/>
                <w:lang w:eastAsia="zh-CN"/>
              </w:rPr>
              <w:t>，本项目与开发区生态环境准入清单符合性分析见下表。</w:t>
            </w:r>
          </w:p>
          <w:p>
            <w:pPr>
              <w:keepNext w:val="0"/>
              <w:keepLines w:val="0"/>
              <w:pageBreakBefore w:val="0"/>
              <w:widowControl w:val="0"/>
              <w:kinsoku/>
              <w:wordWrap/>
              <w:overflowPunct/>
              <w:topLinePunct w:val="0"/>
              <w:autoSpaceDE/>
              <w:autoSpaceDN/>
              <w:bidi w:val="0"/>
              <w:adjustRightInd w:val="0"/>
              <w:snapToGrid w:val="0"/>
              <w:spacing w:line="480" w:lineRule="exact"/>
              <w:ind w:firstLine="0" w:firstLineChars="0"/>
              <w:jc w:val="center"/>
              <w:textAlignment w:val="baseline"/>
              <w:rPr>
                <w:rFonts w:hint="default" w:ascii="Times New Roman" w:hAnsi="Times New Roman" w:eastAsia="宋体" w:cs="Times New Roman"/>
                <w:b/>
                <w:color w:val="auto"/>
                <w:sz w:val="21"/>
                <w:szCs w:val="21"/>
                <w:highlight w:val="none"/>
                <w:shd w:val="clear" w:color="auto" w:fill="auto"/>
                <w:lang w:val="en-US" w:eastAsia="zh-CN" w:bidi="ar"/>
              </w:rPr>
            </w:pPr>
            <w:r>
              <w:rPr>
                <w:rFonts w:hint="default" w:ascii="Times New Roman" w:hAnsi="Times New Roman" w:eastAsia="宋体" w:cs="Times New Roman"/>
                <w:b/>
                <w:color w:val="auto"/>
                <w:sz w:val="21"/>
                <w:szCs w:val="21"/>
                <w:highlight w:val="none"/>
                <w:shd w:val="clear" w:color="auto" w:fill="auto"/>
                <w:lang w:val="zh-CN" w:bidi="ar"/>
              </w:rPr>
              <w:t>表</w:t>
            </w:r>
            <w:r>
              <w:rPr>
                <w:rFonts w:hint="eastAsia" w:cs="Times New Roman"/>
                <w:b/>
                <w:color w:val="auto"/>
                <w:sz w:val="21"/>
                <w:szCs w:val="21"/>
                <w:highlight w:val="none"/>
                <w:shd w:val="clear" w:color="auto" w:fill="auto"/>
                <w:lang w:val="en-US" w:eastAsia="zh-CN" w:bidi="ar"/>
              </w:rPr>
              <w:t>5</w:t>
            </w:r>
            <w:r>
              <w:rPr>
                <w:rFonts w:hint="eastAsia" w:eastAsia="宋体" w:cs="Times New Roman"/>
                <w:b/>
                <w:color w:val="auto"/>
                <w:sz w:val="21"/>
                <w:szCs w:val="21"/>
                <w:highlight w:val="none"/>
                <w:shd w:val="clear" w:color="auto" w:fill="auto"/>
                <w:lang w:val="en-US" w:eastAsia="zh-CN" w:bidi="ar"/>
              </w:rPr>
              <w:t xml:space="preserve">  </w:t>
            </w:r>
            <w:r>
              <w:rPr>
                <w:rFonts w:hint="default" w:ascii="Times New Roman" w:hAnsi="Times New Roman" w:eastAsia="宋体" w:cs="Times New Roman"/>
                <w:b/>
                <w:color w:val="auto"/>
                <w:sz w:val="21"/>
                <w:szCs w:val="21"/>
                <w:highlight w:val="none"/>
                <w:shd w:val="clear" w:color="auto" w:fill="auto"/>
                <w:lang w:val="zh-CN" w:bidi="ar"/>
              </w:rPr>
              <w:t>开发区</w:t>
            </w:r>
            <w:r>
              <w:rPr>
                <w:rFonts w:hint="eastAsia" w:cs="Times New Roman"/>
                <w:b/>
                <w:color w:val="auto"/>
                <w:sz w:val="21"/>
                <w:szCs w:val="21"/>
                <w:highlight w:val="none"/>
                <w:shd w:val="clear" w:color="auto" w:fill="auto"/>
                <w:lang w:val="en-US" w:eastAsia="zh-CN" w:bidi="ar"/>
              </w:rPr>
              <w:t>过渡期生态</w:t>
            </w:r>
            <w:r>
              <w:rPr>
                <w:rFonts w:hint="default" w:ascii="Times New Roman" w:hAnsi="Times New Roman" w:eastAsia="宋体" w:cs="Times New Roman"/>
                <w:b/>
                <w:color w:val="auto"/>
                <w:sz w:val="21"/>
                <w:szCs w:val="21"/>
                <w:highlight w:val="none"/>
                <w:shd w:val="clear" w:color="auto" w:fill="auto"/>
                <w:lang w:val="zh-CN" w:bidi="ar"/>
              </w:rPr>
              <w:t>环境准入清单</w:t>
            </w:r>
            <w:r>
              <w:rPr>
                <w:rFonts w:hint="eastAsia" w:ascii="Times New Roman" w:hAnsi="Times New Roman" w:eastAsia="宋体" w:cs="Times New Roman"/>
                <w:b/>
                <w:color w:val="auto"/>
                <w:sz w:val="21"/>
                <w:szCs w:val="21"/>
                <w:highlight w:val="none"/>
                <w:shd w:val="clear" w:color="auto" w:fill="auto"/>
                <w:lang w:val="en-US" w:eastAsia="zh-CN" w:bidi="ar"/>
              </w:rPr>
              <w:t>一览表</w:t>
            </w:r>
          </w:p>
          <w:tbl>
            <w:tblPr>
              <w:tblStyle w:val="24"/>
              <w:tblW w:w="742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04"/>
              <w:gridCol w:w="1610"/>
              <w:gridCol w:w="2549"/>
              <w:gridCol w:w="1930"/>
              <w:gridCol w:w="83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0" w:hRule="atLeast"/>
                <w:tblHeader/>
                <w:jc w:val="center"/>
              </w:trPr>
              <w:tc>
                <w:tcPr>
                  <w:tcW w:w="2114" w:type="dxa"/>
                  <w:gridSpan w:val="2"/>
                  <w:tcBorders>
                    <w:tl2br w:val="nil"/>
                    <w:tr2bl w:val="nil"/>
                  </w:tcBorders>
                  <w:shd w:val="clear" w:color="auto" w:fill="auto"/>
                  <w:vAlign w:val="center"/>
                </w:tcPr>
                <w:p>
                  <w:pPr>
                    <w:pStyle w:val="57"/>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r>
                    <w:rPr>
                      <w:rFonts w:cs="Times New Roman"/>
                      <w:color w:val="auto"/>
                      <w:highlight w:val="none"/>
                    </w:rPr>
                    <w:t>类别</w:t>
                  </w:r>
                </w:p>
              </w:tc>
              <w:tc>
                <w:tcPr>
                  <w:tcW w:w="2549" w:type="dxa"/>
                  <w:tcBorders>
                    <w:tl2br w:val="nil"/>
                    <w:tr2bl w:val="nil"/>
                  </w:tcBorders>
                  <w:shd w:val="clear" w:color="auto" w:fill="auto"/>
                  <w:vAlign w:val="center"/>
                </w:tcPr>
                <w:p>
                  <w:pPr>
                    <w:pStyle w:val="57"/>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r>
                    <w:rPr>
                      <w:rFonts w:cs="Times New Roman"/>
                      <w:color w:val="auto"/>
                      <w:highlight w:val="none"/>
                    </w:rPr>
                    <w:t>禁止、限制类项目</w:t>
                  </w:r>
                </w:p>
              </w:tc>
              <w:tc>
                <w:tcPr>
                  <w:tcW w:w="1930" w:type="dxa"/>
                  <w:tcBorders>
                    <w:tl2br w:val="nil"/>
                    <w:tr2bl w:val="nil"/>
                  </w:tcBorders>
                  <w:shd w:val="clear" w:color="auto" w:fill="auto"/>
                  <w:vAlign w:val="center"/>
                </w:tcPr>
                <w:p>
                  <w:pPr>
                    <w:pStyle w:val="57"/>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本项目情况</w:t>
                  </w:r>
                </w:p>
              </w:tc>
              <w:tc>
                <w:tcPr>
                  <w:tcW w:w="834" w:type="dxa"/>
                  <w:tcBorders>
                    <w:tl2br w:val="nil"/>
                    <w:tr2bl w:val="nil"/>
                  </w:tcBorders>
                  <w:shd w:val="clear" w:color="auto" w:fill="auto"/>
                  <w:vAlign w:val="center"/>
                </w:tcPr>
                <w:p>
                  <w:pPr>
                    <w:pStyle w:val="57"/>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hint="default" w:cs="Times New Roman"/>
                      <w:color w:val="auto"/>
                      <w:highlight w:val="none"/>
                      <w:lang w:val="en-US" w:eastAsia="zh-CN"/>
                    </w:rPr>
                  </w:pPr>
                  <w:r>
                    <w:rPr>
                      <w:rFonts w:hint="eastAsia" w:cs="Times New Roman"/>
                      <w:color w:val="auto"/>
                      <w:highlight w:val="none"/>
                      <w:lang w:val="en-US" w:eastAsia="zh-CN"/>
                    </w:rPr>
                    <w:t>本项目符合性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123" w:hRule="atLeast"/>
                <w:jc w:val="center"/>
              </w:trPr>
              <w:tc>
                <w:tcPr>
                  <w:tcW w:w="504" w:type="dxa"/>
                  <w:vMerge w:val="restart"/>
                  <w:tcBorders>
                    <w:tl2br w:val="nil"/>
                    <w:tr2bl w:val="nil"/>
                  </w:tcBorders>
                  <w:shd w:val="clear" w:color="auto" w:fill="auto"/>
                  <w:vAlign w:val="center"/>
                </w:tcPr>
                <w:p>
                  <w:pPr>
                    <w:pStyle w:val="57"/>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r>
                    <w:rPr>
                      <w:rFonts w:cs="Times New Roman"/>
                      <w:color w:val="auto"/>
                      <w:highlight w:val="none"/>
                    </w:rPr>
                    <w:t>禁止类</w:t>
                  </w:r>
                </w:p>
              </w:tc>
              <w:tc>
                <w:tcPr>
                  <w:tcW w:w="1610" w:type="dxa"/>
                  <w:tcBorders>
                    <w:tl2br w:val="nil"/>
                    <w:tr2bl w:val="nil"/>
                  </w:tcBorders>
                  <w:shd w:val="clear" w:color="auto" w:fill="auto"/>
                  <w:vAlign w:val="center"/>
                </w:tcPr>
                <w:p>
                  <w:pPr>
                    <w:pStyle w:val="57"/>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szCs w:val="21"/>
                      <w:highlight w:val="none"/>
                    </w:rPr>
                  </w:pPr>
                  <w:r>
                    <w:rPr>
                      <w:rFonts w:cs="Times New Roman"/>
                      <w:color w:val="auto"/>
                      <w:szCs w:val="21"/>
                      <w:highlight w:val="none"/>
                    </w:rPr>
                    <w:t>新能源产业、高效节能与环保产业、新型装备制造产业、智能仪器仪表产业、机器人产业、汽车零部件产业</w:t>
                  </w:r>
                </w:p>
              </w:tc>
              <w:tc>
                <w:tcPr>
                  <w:tcW w:w="2549" w:type="dxa"/>
                  <w:tcBorders>
                    <w:tl2br w:val="nil"/>
                    <w:tr2bl w:val="nil"/>
                  </w:tcBorders>
                  <w:shd w:val="clear" w:color="auto" w:fill="auto"/>
                  <w:vAlign w:val="center"/>
                </w:tcPr>
                <w:p>
                  <w:pPr>
                    <w:pStyle w:val="57"/>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szCs w:val="21"/>
                      <w:highlight w:val="none"/>
                    </w:rPr>
                  </w:pPr>
                  <w:r>
                    <w:rPr>
                      <w:rFonts w:cs="Times New Roman"/>
                      <w:color w:val="auto"/>
                      <w:szCs w:val="21"/>
                      <w:highlight w:val="none"/>
                    </w:rPr>
                    <w:t>禁止引入涉及重金属的金属表面处理及热处理（电镀）项目；禁止新增铸造产能建设项目</w:t>
                  </w:r>
                </w:p>
              </w:tc>
              <w:tc>
                <w:tcPr>
                  <w:tcW w:w="1930" w:type="dxa"/>
                  <w:vMerge w:val="restart"/>
                  <w:tcBorders>
                    <w:tl2br w:val="nil"/>
                    <w:tr2bl w:val="nil"/>
                  </w:tcBorders>
                  <w:shd w:val="clear" w:color="auto" w:fill="auto"/>
                  <w:vAlign w:val="center"/>
                </w:tcPr>
                <w:p>
                  <w:pPr>
                    <w:pStyle w:val="57"/>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hint="default" w:eastAsia="宋体" w:cs="Times New Roman"/>
                      <w:color w:val="auto"/>
                      <w:szCs w:val="21"/>
                      <w:highlight w:val="none"/>
                      <w:lang w:val="en-US" w:eastAsia="zh-CN"/>
                    </w:rPr>
                  </w:pPr>
                  <w:r>
                    <w:rPr>
                      <w:rFonts w:hint="eastAsia" w:cs="Times New Roman"/>
                      <w:color w:val="auto"/>
                      <w:sz w:val="21"/>
                      <w:szCs w:val="21"/>
                      <w:highlight w:val="none"/>
                      <w:lang w:val="en-US" w:eastAsia="zh-CN"/>
                    </w:rPr>
                    <w:t>本项目</w:t>
                  </w:r>
                  <w:r>
                    <w:rPr>
                      <w:rFonts w:hint="eastAsia" w:eastAsia="宋体" w:cs="Times New Roman"/>
                      <w:color w:val="auto"/>
                      <w:sz w:val="21"/>
                      <w:szCs w:val="21"/>
                      <w:highlight w:val="none"/>
                      <w:lang w:val="zh-CN" w:eastAsia="zh-CN"/>
                    </w:rPr>
                    <w:t>主要</w:t>
                  </w:r>
                  <w:r>
                    <w:rPr>
                      <w:rFonts w:hint="eastAsia" w:cs="Times New Roman"/>
                      <w:color w:val="auto"/>
                      <w:sz w:val="21"/>
                      <w:szCs w:val="21"/>
                      <w:highlight w:val="none"/>
                      <w:lang w:val="zh-CN" w:eastAsia="zh-CN"/>
                    </w:rPr>
                    <w:t>对现有石墨烯电发热元件生产线进行改造，调整产品方案，购置石墨烯电发热膜相关设备</w:t>
                  </w:r>
                  <w:r>
                    <w:rPr>
                      <w:rFonts w:hint="eastAsia" w:eastAsia="宋体" w:cs="Times New Roman"/>
                      <w:color w:val="auto"/>
                      <w:sz w:val="21"/>
                      <w:szCs w:val="21"/>
                      <w:highlight w:val="none"/>
                      <w:lang w:val="zh-CN" w:eastAsia="zh-CN"/>
                    </w:rPr>
                    <w:t>，新增年产石墨烯电发热膜10000套/a</w:t>
                  </w:r>
                  <w:r>
                    <w:rPr>
                      <w:rFonts w:hint="eastAsia" w:cs="Times New Roman"/>
                      <w:color w:val="auto"/>
                      <w:sz w:val="21"/>
                      <w:szCs w:val="21"/>
                      <w:highlight w:val="none"/>
                      <w:lang w:val="zh-CN" w:eastAsia="zh-CN"/>
                    </w:rPr>
                    <w:t>，</w:t>
                  </w:r>
                  <w:r>
                    <w:rPr>
                      <w:rFonts w:hint="eastAsia" w:eastAsia="宋体" w:cs="Times New Roman"/>
                      <w:color w:val="auto"/>
                      <w:sz w:val="21"/>
                      <w:szCs w:val="21"/>
                      <w:highlight w:val="none"/>
                      <w:lang w:val="zh-CN" w:eastAsia="zh-CN"/>
                    </w:rPr>
                    <w:t>同时，新建节能速热电锅炉组装生产线，将</w:t>
                  </w:r>
                  <w:r>
                    <w:rPr>
                      <w:rFonts w:hint="eastAsia" w:cs="Times New Roman"/>
                      <w:color w:val="auto"/>
                      <w:sz w:val="21"/>
                      <w:szCs w:val="21"/>
                      <w:highlight w:val="none"/>
                      <w:lang w:val="zh-CN" w:eastAsia="zh-CN"/>
                    </w:rPr>
                    <w:t>石墨烯电发热体生产线生产的石墨烯电发热体与进购的机箱外壳、触摸控制板、耐高温线等零配件采用手工和螺丝进行组装</w:t>
                  </w:r>
                  <w:r>
                    <w:rPr>
                      <w:rFonts w:hint="eastAsia" w:eastAsia="宋体" w:cs="Times New Roman"/>
                      <w:color w:val="auto"/>
                      <w:sz w:val="21"/>
                      <w:szCs w:val="21"/>
                      <w:highlight w:val="none"/>
                      <w:lang w:val="zh-CN" w:eastAsia="zh-CN"/>
                    </w:rPr>
                    <w:t>，生产节能速热电锅炉</w:t>
                  </w:r>
                  <w:r>
                    <w:rPr>
                      <w:rFonts w:hint="eastAsia" w:cs="Times New Roman"/>
                      <w:color w:val="auto"/>
                      <w:sz w:val="21"/>
                      <w:szCs w:val="21"/>
                      <w:highlight w:val="none"/>
                      <w:lang w:val="en-US" w:eastAsia="zh-CN"/>
                    </w:rPr>
                    <w:t>，</w:t>
                  </w:r>
                  <w:r>
                    <w:rPr>
                      <w:rFonts w:hint="eastAsia" w:eastAsia="宋体" w:cs="Times New Roman"/>
                      <w:color w:val="auto"/>
                      <w:sz w:val="21"/>
                      <w:szCs w:val="21"/>
                      <w:highlight w:val="none"/>
                      <w:lang w:val="en-US" w:eastAsia="zh-CN"/>
                    </w:rPr>
                    <w:t>属于</w:t>
                  </w:r>
                  <w:r>
                    <w:rPr>
                      <w:rFonts w:hint="eastAsia" w:eastAsia="宋体" w:cs="Times New Roman"/>
                      <w:color w:val="auto"/>
                      <w:sz w:val="21"/>
                      <w:szCs w:val="21"/>
                      <w:highlight w:val="none"/>
                      <w:lang w:val="zh-CN" w:eastAsia="zh-CN"/>
                    </w:rPr>
                    <w:t>新材料产业，</w:t>
                  </w:r>
                  <w:r>
                    <w:rPr>
                      <w:rFonts w:hint="eastAsia" w:eastAsia="宋体" w:cs="Times New Roman"/>
                      <w:color w:val="auto"/>
                      <w:sz w:val="21"/>
                      <w:szCs w:val="21"/>
                      <w:highlight w:val="none"/>
                      <w:lang w:val="en-US" w:eastAsia="zh-CN"/>
                    </w:rPr>
                    <w:t>不</w:t>
                  </w:r>
                  <w:r>
                    <w:rPr>
                      <w:rFonts w:cs="Times New Roman"/>
                      <w:color w:val="auto"/>
                      <w:highlight w:val="none"/>
                    </w:rPr>
                    <w:t>涉及化学转化工序</w:t>
                  </w:r>
                </w:p>
              </w:tc>
              <w:tc>
                <w:tcPr>
                  <w:tcW w:w="834" w:type="dxa"/>
                  <w:vMerge w:val="restart"/>
                  <w:tcBorders>
                    <w:tl2br w:val="nil"/>
                    <w:tr2bl w:val="nil"/>
                  </w:tcBorders>
                  <w:shd w:val="clear" w:color="auto" w:fill="auto"/>
                  <w:vAlign w:val="center"/>
                </w:tcPr>
                <w:p>
                  <w:pPr>
                    <w:pStyle w:val="57"/>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hint="default" w:eastAsia="宋体" w:cs="Times New Roman"/>
                      <w:color w:val="auto"/>
                      <w:szCs w:val="21"/>
                      <w:highlight w:val="none"/>
                      <w:lang w:val="en-US" w:eastAsia="zh-CN"/>
                    </w:rPr>
                  </w:pPr>
                  <w:r>
                    <w:rPr>
                      <w:rFonts w:hint="eastAsia" w:eastAsia="宋体" w:cs="Times New Roman"/>
                      <w:color w:val="auto"/>
                      <w:szCs w:val="21"/>
                      <w:highlight w:val="none"/>
                      <w:lang w:val="en-US" w:eastAsia="zh-CN"/>
                    </w:rPr>
                    <w:t>不属于开发区生态环境准入清单中禁止类项目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04" w:type="dxa"/>
                  <w:vMerge w:val="continue"/>
                  <w:tcBorders>
                    <w:tl2br w:val="nil"/>
                    <w:tr2bl w:val="nil"/>
                  </w:tcBorders>
                  <w:shd w:val="clear" w:color="auto" w:fill="auto"/>
                  <w:vAlign w:val="center"/>
                </w:tcPr>
                <w:p>
                  <w:pPr>
                    <w:pStyle w:val="57"/>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p>
              </w:tc>
              <w:tc>
                <w:tcPr>
                  <w:tcW w:w="1610" w:type="dxa"/>
                  <w:tcBorders>
                    <w:tl2br w:val="nil"/>
                    <w:tr2bl w:val="nil"/>
                  </w:tcBorders>
                  <w:shd w:val="clear" w:color="auto" w:fill="auto"/>
                  <w:vAlign w:val="center"/>
                </w:tcPr>
                <w:p>
                  <w:pPr>
                    <w:pStyle w:val="57"/>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szCs w:val="21"/>
                      <w:highlight w:val="none"/>
                    </w:rPr>
                  </w:pPr>
                  <w:r>
                    <w:rPr>
                      <w:rFonts w:cs="Times New Roman"/>
                      <w:color w:val="auto"/>
                      <w:szCs w:val="21"/>
                      <w:highlight w:val="none"/>
                    </w:rPr>
                    <w:t>生物医药研发</w:t>
                  </w:r>
                </w:p>
              </w:tc>
              <w:tc>
                <w:tcPr>
                  <w:tcW w:w="2549" w:type="dxa"/>
                  <w:tcBorders>
                    <w:tl2br w:val="nil"/>
                    <w:tr2bl w:val="nil"/>
                  </w:tcBorders>
                  <w:shd w:val="clear" w:color="auto" w:fill="auto"/>
                  <w:vAlign w:val="center"/>
                </w:tcPr>
                <w:p>
                  <w:pPr>
                    <w:pStyle w:val="57"/>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szCs w:val="21"/>
                      <w:highlight w:val="none"/>
                    </w:rPr>
                  </w:pPr>
                  <w:r>
                    <w:rPr>
                      <w:rFonts w:cs="Times New Roman"/>
                      <w:color w:val="auto"/>
                      <w:szCs w:val="21"/>
                      <w:highlight w:val="none"/>
                    </w:rPr>
                    <w:t>禁止引入合成类、排污型药物的生产</w:t>
                  </w:r>
                </w:p>
              </w:tc>
              <w:tc>
                <w:tcPr>
                  <w:tcW w:w="1930" w:type="dxa"/>
                  <w:vMerge w:val="continue"/>
                  <w:tcBorders>
                    <w:tl2br w:val="nil"/>
                    <w:tr2bl w:val="nil"/>
                  </w:tcBorders>
                  <w:shd w:val="clear" w:color="auto" w:fill="auto"/>
                  <w:vAlign w:val="center"/>
                </w:tcPr>
                <w:p>
                  <w:pPr>
                    <w:pStyle w:val="57"/>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hint="eastAsia" w:eastAsia="宋体" w:cs="Times New Roman"/>
                      <w:color w:val="auto"/>
                      <w:szCs w:val="21"/>
                      <w:highlight w:val="none"/>
                      <w:lang w:val="en-US" w:eastAsia="zh-CN"/>
                    </w:rPr>
                  </w:pPr>
                </w:p>
              </w:tc>
              <w:tc>
                <w:tcPr>
                  <w:tcW w:w="834" w:type="dxa"/>
                  <w:vMerge w:val="continue"/>
                  <w:tcBorders>
                    <w:tl2br w:val="nil"/>
                    <w:tr2bl w:val="nil"/>
                  </w:tcBorders>
                  <w:shd w:val="clear" w:color="auto" w:fill="auto"/>
                  <w:vAlign w:val="center"/>
                </w:tcPr>
                <w:p>
                  <w:pPr>
                    <w:pStyle w:val="57"/>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504" w:type="dxa"/>
                  <w:vMerge w:val="continue"/>
                  <w:tcBorders>
                    <w:tl2br w:val="nil"/>
                    <w:tr2bl w:val="nil"/>
                  </w:tcBorders>
                  <w:shd w:val="clear" w:color="auto" w:fill="auto"/>
                  <w:vAlign w:val="center"/>
                </w:tcPr>
                <w:p>
                  <w:pPr>
                    <w:pStyle w:val="57"/>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p>
              </w:tc>
              <w:tc>
                <w:tcPr>
                  <w:tcW w:w="1610" w:type="dxa"/>
                  <w:tcBorders>
                    <w:tl2br w:val="nil"/>
                    <w:tr2bl w:val="nil"/>
                  </w:tcBorders>
                  <w:shd w:val="clear" w:color="auto" w:fill="auto"/>
                  <w:vAlign w:val="center"/>
                </w:tcPr>
                <w:p>
                  <w:pPr>
                    <w:pStyle w:val="57"/>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r>
                    <w:rPr>
                      <w:rFonts w:cs="Times New Roman"/>
                      <w:color w:val="auto"/>
                      <w:highlight w:val="none"/>
                    </w:rPr>
                    <w:t>新材料产业</w:t>
                  </w:r>
                </w:p>
              </w:tc>
              <w:tc>
                <w:tcPr>
                  <w:tcW w:w="2549" w:type="dxa"/>
                  <w:tcBorders>
                    <w:tl2br w:val="nil"/>
                    <w:tr2bl w:val="nil"/>
                  </w:tcBorders>
                  <w:shd w:val="clear" w:color="auto" w:fill="auto"/>
                  <w:vAlign w:val="center"/>
                </w:tcPr>
                <w:p>
                  <w:pPr>
                    <w:pStyle w:val="57"/>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r>
                    <w:rPr>
                      <w:rFonts w:cs="Times New Roman"/>
                      <w:color w:val="auto"/>
                      <w:highlight w:val="none"/>
                    </w:rPr>
                    <w:t>化工新材料禁止引入涉及化学转化工序的企业</w:t>
                  </w:r>
                </w:p>
              </w:tc>
              <w:tc>
                <w:tcPr>
                  <w:tcW w:w="1930" w:type="dxa"/>
                  <w:vMerge w:val="continue"/>
                  <w:tcBorders>
                    <w:tl2br w:val="nil"/>
                    <w:tr2bl w:val="nil"/>
                  </w:tcBorders>
                  <w:shd w:val="clear" w:color="auto" w:fill="auto"/>
                  <w:vAlign w:val="center"/>
                </w:tcPr>
                <w:p>
                  <w:pPr>
                    <w:pStyle w:val="57"/>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p>
              </w:tc>
              <w:tc>
                <w:tcPr>
                  <w:tcW w:w="834" w:type="dxa"/>
                  <w:vMerge w:val="continue"/>
                  <w:tcBorders>
                    <w:tl2br w:val="nil"/>
                    <w:tr2bl w:val="nil"/>
                  </w:tcBorders>
                  <w:shd w:val="clear" w:color="auto" w:fill="auto"/>
                  <w:vAlign w:val="center"/>
                </w:tcPr>
                <w:p>
                  <w:pPr>
                    <w:pStyle w:val="57"/>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504" w:type="dxa"/>
                  <w:vMerge w:val="continue"/>
                  <w:tcBorders>
                    <w:tl2br w:val="nil"/>
                    <w:tr2bl w:val="nil"/>
                  </w:tcBorders>
                  <w:shd w:val="clear" w:color="auto" w:fill="auto"/>
                  <w:vAlign w:val="center"/>
                </w:tcPr>
                <w:p>
                  <w:pPr>
                    <w:pStyle w:val="57"/>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p>
              </w:tc>
              <w:tc>
                <w:tcPr>
                  <w:tcW w:w="1610" w:type="dxa"/>
                  <w:tcBorders>
                    <w:tl2br w:val="nil"/>
                    <w:tr2bl w:val="nil"/>
                  </w:tcBorders>
                  <w:shd w:val="clear" w:color="auto" w:fill="auto"/>
                  <w:vAlign w:val="center"/>
                </w:tcPr>
                <w:p>
                  <w:pPr>
                    <w:pStyle w:val="57"/>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r>
                    <w:rPr>
                      <w:rFonts w:cs="Times New Roman"/>
                      <w:color w:val="auto"/>
                      <w:highlight w:val="none"/>
                    </w:rPr>
                    <w:t>仓储物流</w:t>
                  </w:r>
                </w:p>
              </w:tc>
              <w:tc>
                <w:tcPr>
                  <w:tcW w:w="2549" w:type="dxa"/>
                  <w:tcBorders>
                    <w:tl2br w:val="nil"/>
                    <w:tr2bl w:val="nil"/>
                  </w:tcBorders>
                  <w:shd w:val="clear" w:color="auto" w:fill="auto"/>
                  <w:vAlign w:val="center"/>
                </w:tcPr>
                <w:p>
                  <w:pPr>
                    <w:pStyle w:val="57"/>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r>
                    <w:rPr>
                      <w:rFonts w:cs="Times New Roman"/>
                      <w:color w:val="auto"/>
                      <w:highlight w:val="none"/>
                    </w:rPr>
                    <w:t>禁止引入有毒有害、易燃易爆及危险化学品储运企业</w:t>
                  </w:r>
                </w:p>
              </w:tc>
              <w:tc>
                <w:tcPr>
                  <w:tcW w:w="1930" w:type="dxa"/>
                  <w:vMerge w:val="continue"/>
                  <w:tcBorders>
                    <w:tl2br w:val="nil"/>
                    <w:tr2bl w:val="nil"/>
                  </w:tcBorders>
                  <w:shd w:val="clear" w:color="auto" w:fill="auto"/>
                  <w:vAlign w:val="center"/>
                </w:tcPr>
                <w:p>
                  <w:pPr>
                    <w:pStyle w:val="57"/>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p>
              </w:tc>
              <w:tc>
                <w:tcPr>
                  <w:tcW w:w="834" w:type="dxa"/>
                  <w:vMerge w:val="continue"/>
                  <w:tcBorders>
                    <w:tl2br w:val="nil"/>
                    <w:tr2bl w:val="nil"/>
                  </w:tcBorders>
                  <w:shd w:val="clear" w:color="auto" w:fill="auto"/>
                  <w:vAlign w:val="center"/>
                </w:tcPr>
                <w:p>
                  <w:pPr>
                    <w:pStyle w:val="57"/>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49" w:hRule="atLeast"/>
                <w:jc w:val="center"/>
              </w:trPr>
              <w:tc>
                <w:tcPr>
                  <w:tcW w:w="504" w:type="dxa"/>
                  <w:vMerge w:val="continue"/>
                  <w:tcBorders>
                    <w:tl2br w:val="nil"/>
                    <w:tr2bl w:val="nil"/>
                  </w:tcBorders>
                  <w:shd w:val="clear" w:color="auto" w:fill="auto"/>
                  <w:vAlign w:val="center"/>
                </w:tcPr>
                <w:p>
                  <w:pPr>
                    <w:pStyle w:val="57"/>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p>
              </w:tc>
              <w:tc>
                <w:tcPr>
                  <w:tcW w:w="1610" w:type="dxa"/>
                  <w:tcBorders>
                    <w:tl2br w:val="nil"/>
                    <w:tr2bl w:val="nil"/>
                  </w:tcBorders>
                  <w:shd w:val="clear" w:color="auto" w:fill="auto"/>
                  <w:vAlign w:val="center"/>
                </w:tcPr>
                <w:p>
                  <w:pPr>
                    <w:pStyle w:val="57"/>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r>
                    <w:rPr>
                      <w:rFonts w:cs="Times New Roman"/>
                      <w:color w:val="auto"/>
                      <w:highlight w:val="none"/>
                    </w:rPr>
                    <w:t>软件信息服务产业</w:t>
                  </w:r>
                </w:p>
              </w:tc>
              <w:tc>
                <w:tcPr>
                  <w:tcW w:w="2549" w:type="dxa"/>
                  <w:tcBorders>
                    <w:tl2br w:val="nil"/>
                    <w:tr2bl w:val="nil"/>
                  </w:tcBorders>
                  <w:shd w:val="clear" w:color="auto" w:fill="auto"/>
                  <w:vAlign w:val="center"/>
                </w:tcPr>
                <w:p>
                  <w:pPr>
                    <w:pStyle w:val="57"/>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r>
                    <w:rPr>
                      <w:rFonts w:cs="Times New Roman"/>
                      <w:color w:val="auto"/>
                      <w:highlight w:val="none"/>
                    </w:rPr>
                    <w:t>禁止引入《网络借贷信息中介机构业务活动管理暂行办法》中禁止类项目</w:t>
                  </w:r>
                </w:p>
              </w:tc>
              <w:tc>
                <w:tcPr>
                  <w:tcW w:w="1930" w:type="dxa"/>
                  <w:vMerge w:val="continue"/>
                  <w:tcBorders>
                    <w:tl2br w:val="nil"/>
                    <w:tr2bl w:val="nil"/>
                  </w:tcBorders>
                  <w:shd w:val="clear" w:color="auto" w:fill="auto"/>
                  <w:vAlign w:val="center"/>
                </w:tcPr>
                <w:p>
                  <w:pPr>
                    <w:pStyle w:val="57"/>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p>
              </w:tc>
              <w:tc>
                <w:tcPr>
                  <w:tcW w:w="834" w:type="dxa"/>
                  <w:vMerge w:val="continue"/>
                  <w:tcBorders>
                    <w:tl2br w:val="nil"/>
                    <w:tr2bl w:val="nil"/>
                  </w:tcBorders>
                  <w:shd w:val="clear" w:color="auto" w:fill="auto"/>
                  <w:vAlign w:val="center"/>
                </w:tcPr>
                <w:p>
                  <w:pPr>
                    <w:pStyle w:val="57"/>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70" w:hRule="atLeast"/>
                <w:jc w:val="center"/>
              </w:trPr>
              <w:tc>
                <w:tcPr>
                  <w:tcW w:w="504" w:type="dxa"/>
                  <w:vMerge w:val="continue"/>
                  <w:tcBorders>
                    <w:tl2br w:val="nil"/>
                    <w:tr2bl w:val="nil"/>
                  </w:tcBorders>
                  <w:shd w:val="clear" w:color="auto" w:fill="auto"/>
                  <w:vAlign w:val="center"/>
                </w:tcPr>
                <w:p>
                  <w:pPr>
                    <w:pStyle w:val="57"/>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p>
              </w:tc>
              <w:tc>
                <w:tcPr>
                  <w:tcW w:w="1610" w:type="dxa"/>
                  <w:vMerge w:val="restart"/>
                  <w:tcBorders>
                    <w:tl2br w:val="nil"/>
                    <w:tr2bl w:val="nil"/>
                  </w:tcBorders>
                  <w:shd w:val="clear" w:color="auto" w:fill="auto"/>
                  <w:vAlign w:val="center"/>
                </w:tcPr>
                <w:p>
                  <w:pPr>
                    <w:pStyle w:val="57"/>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r>
                    <w:rPr>
                      <w:rFonts w:cs="Times New Roman"/>
                      <w:color w:val="auto"/>
                      <w:highlight w:val="none"/>
                    </w:rPr>
                    <w:t>其他</w:t>
                  </w:r>
                </w:p>
              </w:tc>
              <w:tc>
                <w:tcPr>
                  <w:tcW w:w="2549" w:type="dxa"/>
                  <w:tcBorders>
                    <w:tl2br w:val="nil"/>
                    <w:tr2bl w:val="nil"/>
                  </w:tcBorders>
                  <w:shd w:val="clear" w:color="auto" w:fill="auto"/>
                  <w:vAlign w:val="center"/>
                </w:tcPr>
                <w:p>
                  <w:pPr>
                    <w:pStyle w:val="57"/>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r>
                    <w:rPr>
                      <w:rFonts w:cs="Times New Roman"/>
                      <w:color w:val="auto"/>
                      <w:highlight w:val="none"/>
                    </w:rPr>
                    <w:t>禁止引入《产业结构调整指导目录</w:t>
                  </w:r>
                  <w:r>
                    <w:rPr>
                      <w:rFonts w:hint="eastAsia" w:cs="Times New Roman"/>
                      <w:color w:val="auto"/>
                      <w:highlight w:val="none"/>
                      <w:lang w:eastAsia="zh-CN"/>
                    </w:rPr>
                    <w:t>（</w:t>
                  </w:r>
                  <w:r>
                    <w:rPr>
                      <w:rFonts w:cs="Times New Roman"/>
                      <w:color w:val="auto"/>
                      <w:highlight w:val="none"/>
                    </w:rPr>
                    <w:t>2019年本</w:t>
                  </w:r>
                  <w:r>
                    <w:rPr>
                      <w:rFonts w:hint="eastAsia" w:cs="Times New Roman"/>
                      <w:color w:val="auto"/>
                      <w:highlight w:val="none"/>
                      <w:lang w:eastAsia="zh-CN"/>
                    </w:rPr>
                    <w:t>）</w:t>
                  </w:r>
                  <w:r>
                    <w:rPr>
                      <w:rFonts w:cs="Times New Roman"/>
                      <w:color w:val="auto"/>
                      <w:highlight w:val="none"/>
                    </w:rPr>
                    <w:t>、《河北省新增限制和淘汰类产业目录</w:t>
                  </w:r>
                  <w:r>
                    <w:rPr>
                      <w:rFonts w:hint="eastAsia" w:cs="Times New Roman"/>
                      <w:color w:val="auto"/>
                      <w:highlight w:val="none"/>
                      <w:lang w:eastAsia="zh-CN"/>
                    </w:rPr>
                    <w:t>（</w:t>
                  </w:r>
                  <w:r>
                    <w:rPr>
                      <w:rFonts w:cs="Times New Roman"/>
                      <w:color w:val="auto"/>
                      <w:highlight w:val="none"/>
                    </w:rPr>
                    <w:t>2015年本</w:t>
                  </w:r>
                  <w:r>
                    <w:rPr>
                      <w:rFonts w:hint="eastAsia" w:cs="Times New Roman"/>
                      <w:color w:val="auto"/>
                      <w:highlight w:val="none"/>
                      <w:lang w:eastAsia="zh-CN"/>
                    </w:rPr>
                    <w:t>）</w:t>
                  </w:r>
                  <w:r>
                    <w:rPr>
                      <w:rFonts w:cs="Times New Roman"/>
                      <w:color w:val="auto"/>
                      <w:highlight w:val="none"/>
                    </w:rPr>
                    <w:t>》中属于限制类和淘汰类的项目、《外商投资准入特别管理措施（负面清单）（2020年版）》、《市场准入负面清单（2020年版）》中禁止或许可事项的项目</w:t>
                  </w:r>
                </w:p>
              </w:tc>
              <w:tc>
                <w:tcPr>
                  <w:tcW w:w="1930" w:type="dxa"/>
                  <w:tcBorders>
                    <w:tl2br w:val="nil"/>
                    <w:tr2bl w:val="nil"/>
                  </w:tcBorders>
                  <w:shd w:val="clear" w:color="auto" w:fill="auto"/>
                  <w:vAlign w:val="center"/>
                </w:tcPr>
                <w:p>
                  <w:pPr>
                    <w:pStyle w:val="57"/>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本项目不属于</w:t>
                  </w:r>
                  <w:r>
                    <w:rPr>
                      <w:rFonts w:cs="Times New Roman"/>
                      <w:color w:val="auto"/>
                      <w:highlight w:val="none"/>
                    </w:rPr>
                    <w:t>《产业结构调整指导目录</w:t>
                  </w:r>
                  <w:r>
                    <w:rPr>
                      <w:rFonts w:hint="eastAsia" w:cs="Times New Roman"/>
                      <w:color w:val="auto"/>
                      <w:highlight w:val="none"/>
                      <w:lang w:eastAsia="zh-CN"/>
                    </w:rPr>
                    <w:t>（</w:t>
                  </w:r>
                  <w:r>
                    <w:rPr>
                      <w:rFonts w:cs="Times New Roman"/>
                      <w:color w:val="auto"/>
                      <w:highlight w:val="none"/>
                    </w:rPr>
                    <w:t>2019年本</w:t>
                  </w:r>
                  <w:r>
                    <w:rPr>
                      <w:rFonts w:hint="eastAsia" w:cs="Times New Roman"/>
                      <w:color w:val="auto"/>
                      <w:highlight w:val="none"/>
                      <w:lang w:eastAsia="zh-CN"/>
                    </w:rPr>
                    <w:t>）</w:t>
                  </w:r>
                  <w:r>
                    <w:rPr>
                      <w:rFonts w:cs="Times New Roman"/>
                      <w:color w:val="auto"/>
                      <w:highlight w:val="none"/>
                    </w:rPr>
                    <w:t>、《河北省新增限制和淘汰类产业目录</w:t>
                  </w:r>
                  <w:r>
                    <w:rPr>
                      <w:rFonts w:hint="eastAsia" w:cs="Times New Roman"/>
                      <w:color w:val="auto"/>
                      <w:highlight w:val="none"/>
                      <w:lang w:eastAsia="zh-CN"/>
                    </w:rPr>
                    <w:t>（</w:t>
                  </w:r>
                  <w:r>
                    <w:rPr>
                      <w:rFonts w:cs="Times New Roman"/>
                      <w:color w:val="auto"/>
                      <w:highlight w:val="none"/>
                    </w:rPr>
                    <w:t>2015年本</w:t>
                  </w:r>
                  <w:r>
                    <w:rPr>
                      <w:rFonts w:hint="eastAsia" w:cs="Times New Roman"/>
                      <w:color w:val="auto"/>
                      <w:highlight w:val="none"/>
                      <w:lang w:eastAsia="zh-CN"/>
                    </w:rPr>
                    <w:t>）</w:t>
                  </w:r>
                  <w:r>
                    <w:rPr>
                      <w:rFonts w:cs="Times New Roman"/>
                      <w:color w:val="auto"/>
                      <w:highlight w:val="none"/>
                    </w:rPr>
                    <w:t>》</w:t>
                  </w:r>
                  <w:r>
                    <w:rPr>
                      <w:rFonts w:hint="eastAsia" w:cs="Times New Roman"/>
                      <w:color w:val="auto"/>
                      <w:highlight w:val="none"/>
                      <w:lang w:eastAsia="zh-CN"/>
                    </w:rPr>
                    <w:t>（</w:t>
                  </w:r>
                  <w:r>
                    <w:rPr>
                      <w:rFonts w:hint="eastAsia" w:cs="Times New Roman"/>
                      <w:color w:val="auto"/>
                      <w:highlight w:val="none"/>
                      <w:lang w:val="en-US" w:eastAsia="zh-CN"/>
                    </w:rPr>
                    <w:t>2021年修订</w:t>
                  </w:r>
                  <w:r>
                    <w:rPr>
                      <w:rFonts w:hint="eastAsia" w:cs="Times New Roman"/>
                      <w:color w:val="auto"/>
                      <w:highlight w:val="none"/>
                      <w:lang w:eastAsia="zh-CN"/>
                    </w:rPr>
                    <w:t>）</w:t>
                  </w:r>
                  <w:r>
                    <w:rPr>
                      <w:rFonts w:cs="Times New Roman"/>
                      <w:color w:val="auto"/>
                      <w:highlight w:val="none"/>
                    </w:rPr>
                    <w:t>中属于限制类和淘汰类的项目</w:t>
                  </w:r>
                  <w:r>
                    <w:rPr>
                      <w:rFonts w:hint="eastAsia" w:cs="Times New Roman"/>
                      <w:color w:val="auto"/>
                      <w:highlight w:val="none"/>
                      <w:lang w:eastAsia="zh-CN"/>
                    </w:rPr>
                    <w:t>，</w:t>
                  </w:r>
                  <w:r>
                    <w:rPr>
                      <w:rFonts w:hint="eastAsia" w:cs="Times New Roman"/>
                      <w:color w:val="auto"/>
                      <w:highlight w:val="none"/>
                      <w:lang w:val="en-US" w:eastAsia="zh-CN"/>
                    </w:rPr>
                    <w:t>不属于</w:t>
                  </w:r>
                  <w:r>
                    <w:rPr>
                      <w:rFonts w:cs="Times New Roman"/>
                      <w:color w:val="auto"/>
                      <w:highlight w:val="none"/>
                    </w:rPr>
                    <w:t>《外商投资准入特别管理措施（负面清单）（2020年版）》、《市场准入负面清单（202</w:t>
                  </w:r>
                  <w:r>
                    <w:rPr>
                      <w:rFonts w:hint="eastAsia" w:cs="Times New Roman"/>
                      <w:color w:val="auto"/>
                      <w:highlight w:val="none"/>
                      <w:lang w:val="en-US" w:eastAsia="zh-CN"/>
                    </w:rPr>
                    <w:t>2</w:t>
                  </w:r>
                  <w:r>
                    <w:rPr>
                      <w:rFonts w:cs="Times New Roman"/>
                      <w:color w:val="auto"/>
                      <w:highlight w:val="none"/>
                    </w:rPr>
                    <w:t>年版）》中禁止或许可事项的项目</w:t>
                  </w:r>
                </w:p>
              </w:tc>
              <w:tc>
                <w:tcPr>
                  <w:tcW w:w="834" w:type="dxa"/>
                  <w:vMerge w:val="continue"/>
                  <w:tcBorders>
                    <w:tl2br w:val="nil"/>
                    <w:tr2bl w:val="nil"/>
                  </w:tcBorders>
                  <w:shd w:val="clear" w:color="auto" w:fill="auto"/>
                  <w:vAlign w:val="center"/>
                </w:tcPr>
                <w:p>
                  <w:pPr>
                    <w:pStyle w:val="57"/>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hint="eastAsia" w:eastAsia="宋体" w:cs="Times New Roman"/>
                      <w:color w:val="auto"/>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4" w:type="dxa"/>
                  <w:vMerge w:val="continue"/>
                  <w:tcBorders>
                    <w:tl2br w:val="nil"/>
                    <w:tr2bl w:val="nil"/>
                  </w:tcBorders>
                  <w:shd w:val="clear" w:color="auto" w:fill="auto"/>
                  <w:vAlign w:val="center"/>
                </w:tcPr>
                <w:p>
                  <w:pPr>
                    <w:pStyle w:val="57"/>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p>
              </w:tc>
              <w:tc>
                <w:tcPr>
                  <w:tcW w:w="1610" w:type="dxa"/>
                  <w:vMerge w:val="continue"/>
                  <w:tcBorders>
                    <w:tl2br w:val="nil"/>
                    <w:tr2bl w:val="nil"/>
                  </w:tcBorders>
                  <w:shd w:val="clear" w:color="auto" w:fill="auto"/>
                  <w:vAlign w:val="center"/>
                </w:tcPr>
                <w:p>
                  <w:pPr>
                    <w:pStyle w:val="57"/>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p>
              </w:tc>
              <w:tc>
                <w:tcPr>
                  <w:tcW w:w="2549" w:type="dxa"/>
                  <w:tcBorders>
                    <w:tl2br w:val="nil"/>
                    <w:tr2bl w:val="nil"/>
                  </w:tcBorders>
                  <w:shd w:val="clear" w:color="auto" w:fill="auto"/>
                  <w:vAlign w:val="center"/>
                </w:tcPr>
                <w:p>
                  <w:pPr>
                    <w:pStyle w:val="57"/>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r>
                    <w:rPr>
                      <w:rFonts w:cs="Times New Roman"/>
                      <w:color w:val="auto"/>
                      <w:highlight w:val="none"/>
                    </w:rPr>
                    <w:t>禁止引入不符合相关行业准入条件要求的建设项目</w:t>
                  </w:r>
                </w:p>
              </w:tc>
              <w:tc>
                <w:tcPr>
                  <w:tcW w:w="1930" w:type="dxa"/>
                  <w:tcBorders>
                    <w:tl2br w:val="nil"/>
                    <w:tr2bl w:val="nil"/>
                  </w:tcBorders>
                  <w:shd w:val="clear" w:color="auto" w:fill="auto"/>
                  <w:vAlign w:val="center"/>
                </w:tcPr>
                <w:p>
                  <w:pPr>
                    <w:pStyle w:val="57"/>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本项目无行业准入条件</w:t>
                  </w:r>
                </w:p>
              </w:tc>
              <w:tc>
                <w:tcPr>
                  <w:tcW w:w="834" w:type="dxa"/>
                  <w:vMerge w:val="continue"/>
                  <w:tcBorders>
                    <w:tl2br w:val="nil"/>
                    <w:tr2bl w:val="nil"/>
                  </w:tcBorders>
                  <w:shd w:val="clear" w:color="auto" w:fill="auto"/>
                  <w:vAlign w:val="center"/>
                </w:tcPr>
                <w:p>
                  <w:pPr>
                    <w:pStyle w:val="57"/>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cs="Times New Roman"/>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24" w:hRule="atLeast"/>
                <w:jc w:val="center"/>
              </w:trPr>
              <w:tc>
                <w:tcPr>
                  <w:tcW w:w="504" w:type="dxa"/>
                  <w:vMerge w:val="continue"/>
                  <w:tcBorders>
                    <w:tl2br w:val="nil"/>
                    <w:tr2bl w:val="nil"/>
                  </w:tcBorders>
                  <w:shd w:val="clear" w:color="auto" w:fill="auto"/>
                  <w:vAlign w:val="center"/>
                </w:tcPr>
                <w:p>
                  <w:pPr>
                    <w:pStyle w:val="57"/>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p>
              </w:tc>
              <w:tc>
                <w:tcPr>
                  <w:tcW w:w="1610" w:type="dxa"/>
                  <w:vMerge w:val="continue"/>
                  <w:tcBorders>
                    <w:tl2br w:val="nil"/>
                    <w:tr2bl w:val="nil"/>
                  </w:tcBorders>
                  <w:shd w:val="clear" w:color="auto" w:fill="auto"/>
                  <w:vAlign w:val="center"/>
                </w:tcPr>
                <w:p>
                  <w:pPr>
                    <w:pStyle w:val="57"/>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p>
              </w:tc>
              <w:tc>
                <w:tcPr>
                  <w:tcW w:w="2549" w:type="dxa"/>
                  <w:tcBorders>
                    <w:tl2br w:val="nil"/>
                    <w:tr2bl w:val="nil"/>
                  </w:tcBorders>
                  <w:shd w:val="clear" w:color="auto" w:fill="auto"/>
                  <w:vAlign w:val="center"/>
                </w:tcPr>
                <w:p>
                  <w:pPr>
                    <w:pStyle w:val="57"/>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r>
                    <w:rPr>
                      <w:rFonts w:cs="Times New Roman"/>
                      <w:color w:val="auto"/>
                      <w:highlight w:val="none"/>
                    </w:rPr>
                    <w:t>禁止引进高污染、高能耗、清洁生产水平不能达到国家清洁生产水平二级以上的建设项目</w:t>
                  </w:r>
                </w:p>
              </w:tc>
              <w:tc>
                <w:tcPr>
                  <w:tcW w:w="1930" w:type="dxa"/>
                  <w:tcBorders>
                    <w:tl2br w:val="nil"/>
                    <w:tr2bl w:val="nil"/>
                  </w:tcBorders>
                  <w:shd w:val="clear" w:color="auto" w:fill="auto"/>
                  <w:vAlign w:val="center"/>
                </w:tcPr>
                <w:p>
                  <w:pPr>
                    <w:pStyle w:val="57"/>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本项目不属于</w:t>
                  </w:r>
                  <w:r>
                    <w:rPr>
                      <w:rFonts w:cs="Times New Roman"/>
                      <w:color w:val="auto"/>
                      <w:highlight w:val="none"/>
                    </w:rPr>
                    <w:t>高污染、高能耗</w:t>
                  </w:r>
                  <w:r>
                    <w:rPr>
                      <w:rFonts w:hint="eastAsia" w:cs="Times New Roman"/>
                      <w:color w:val="auto"/>
                      <w:highlight w:val="none"/>
                      <w:lang w:val="en-US" w:eastAsia="zh-CN"/>
                    </w:rPr>
                    <w:t>的建设项目</w:t>
                  </w:r>
                </w:p>
              </w:tc>
              <w:tc>
                <w:tcPr>
                  <w:tcW w:w="834" w:type="dxa"/>
                  <w:vMerge w:val="continue"/>
                  <w:tcBorders>
                    <w:tl2br w:val="nil"/>
                    <w:tr2bl w:val="nil"/>
                  </w:tcBorders>
                  <w:shd w:val="clear" w:color="auto" w:fill="auto"/>
                  <w:vAlign w:val="center"/>
                </w:tcPr>
                <w:p>
                  <w:pPr>
                    <w:pStyle w:val="57"/>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cs="Times New Roman"/>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11" w:hRule="atLeast"/>
                <w:jc w:val="center"/>
              </w:trPr>
              <w:tc>
                <w:tcPr>
                  <w:tcW w:w="504" w:type="dxa"/>
                  <w:vMerge w:val="continue"/>
                  <w:tcBorders>
                    <w:tl2br w:val="nil"/>
                    <w:tr2bl w:val="nil"/>
                  </w:tcBorders>
                  <w:shd w:val="clear" w:color="auto" w:fill="auto"/>
                  <w:vAlign w:val="center"/>
                </w:tcPr>
                <w:p>
                  <w:pPr>
                    <w:pStyle w:val="57"/>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p>
              </w:tc>
              <w:tc>
                <w:tcPr>
                  <w:tcW w:w="1610" w:type="dxa"/>
                  <w:vMerge w:val="continue"/>
                  <w:tcBorders>
                    <w:tl2br w:val="nil"/>
                    <w:tr2bl w:val="nil"/>
                  </w:tcBorders>
                  <w:shd w:val="clear" w:color="auto" w:fill="auto"/>
                  <w:vAlign w:val="center"/>
                </w:tcPr>
                <w:p>
                  <w:pPr>
                    <w:pStyle w:val="57"/>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p>
              </w:tc>
              <w:tc>
                <w:tcPr>
                  <w:tcW w:w="2549" w:type="dxa"/>
                  <w:tcBorders>
                    <w:tl2br w:val="nil"/>
                    <w:tr2bl w:val="nil"/>
                  </w:tcBorders>
                  <w:shd w:val="clear" w:color="auto" w:fill="auto"/>
                  <w:vAlign w:val="center"/>
                </w:tcPr>
                <w:p>
                  <w:pPr>
                    <w:pStyle w:val="57"/>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r>
                    <w:rPr>
                      <w:rFonts w:cs="Times New Roman"/>
                      <w:color w:val="auto"/>
                      <w:highlight w:val="none"/>
                    </w:rPr>
                    <w:t>除应急供水外，禁止新建和扩建取用地下水的建设项目入驻</w:t>
                  </w:r>
                </w:p>
              </w:tc>
              <w:tc>
                <w:tcPr>
                  <w:tcW w:w="1930" w:type="dxa"/>
                  <w:tcBorders>
                    <w:tl2br w:val="nil"/>
                    <w:tr2bl w:val="nil"/>
                  </w:tcBorders>
                  <w:shd w:val="clear" w:color="auto" w:fill="auto"/>
                  <w:vAlign w:val="center"/>
                </w:tcPr>
                <w:p>
                  <w:pPr>
                    <w:pStyle w:val="57"/>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本项目不新增用水，不取用地下水</w:t>
                  </w:r>
                </w:p>
              </w:tc>
              <w:tc>
                <w:tcPr>
                  <w:tcW w:w="834" w:type="dxa"/>
                  <w:vMerge w:val="continue"/>
                  <w:tcBorders>
                    <w:tl2br w:val="nil"/>
                    <w:tr2bl w:val="nil"/>
                  </w:tcBorders>
                  <w:shd w:val="clear" w:color="auto" w:fill="auto"/>
                  <w:vAlign w:val="center"/>
                </w:tcPr>
                <w:p>
                  <w:pPr>
                    <w:pStyle w:val="57"/>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cs="Times New Roman"/>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504" w:type="dxa"/>
                  <w:vMerge w:val="continue"/>
                  <w:tcBorders>
                    <w:tl2br w:val="nil"/>
                    <w:tr2bl w:val="nil"/>
                  </w:tcBorders>
                  <w:shd w:val="clear" w:color="auto" w:fill="auto"/>
                  <w:vAlign w:val="center"/>
                </w:tcPr>
                <w:p>
                  <w:pPr>
                    <w:pStyle w:val="57"/>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p>
              </w:tc>
              <w:tc>
                <w:tcPr>
                  <w:tcW w:w="1610" w:type="dxa"/>
                  <w:vMerge w:val="continue"/>
                  <w:tcBorders>
                    <w:tl2br w:val="nil"/>
                    <w:tr2bl w:val="nil"/>
                  </w:tcBorders>
                  <w:shd w:val="clear" w:color="auto" w:fill="auto"/>
                  <w:vAlign w:val="center"/>
                </w:tcPr>
                <w:p>
                  <w:pPr>
                    <w:pStyle w:val="57"/>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p>
              </w:tc>
              <w:tc>
                <w:tcPr>
                  <w:tcW w:w="2549" w:type="dxa"/>
                  <w:tcBorders>
                    <w:tl2br w:val="nil"/>
                    <w:tr2bl w:val="nil"/>
                  </w:tcBorders>
                  <w:shd w:val="clear" w:color="auto" w:fill="auto"/>
                  <w:vAlign w:val="center"/>
                </w:tcPr>
                <w:p>
                  <w:pPr>
                    <w:pStyle w:val="57"/>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r>
                    <w:rPr>
                      <w:rFonts w:cs="Times New Roman"/>
                      <w:color w:val="auto"/>
                      <w:highlight w:val="none"/>
                    </w:rPr>
                    <w:t>禁止入区企业新建燃煤锅炉</w:t>
                  </w:r>
                </w:p>
              </w:tc>
              <w:tc>
                <w:tcPr>
                  <w:tcW w:w="1930" w:type="dxa"/>
                  <w:tcBorders>
                    <w:tl2br w:val="nil"/>
                    <w:tr2bl w:val="nil"/>
                  </w:tcBorders>
                  <w:shd w:val="clear" w:color="auto" w:fill="auto"/>
                  <w:vAlign w:val="center"/>
                </w:tcPr>
                <w:p>
                  <w:pPr>
                    <w:pStyle w:val="57"/>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本项目不</w:t>
                  </w:r>
                  <w:r>
                    <w:rPr>
                      <w:rFonts w:cs="Times New Roman"/>
                      <w:color w:val="auto"/>
                      <w:highlight w:val="none"/>
                    </w:rPr>
                    <w:t>新建燃煤锅炉</w:t>
                  </w:r>
                </w:p>
              </w:tc>
              <w:tc>
                <w:tcPr>
                  <w:tcW w:w="834" w:type="dxa"/>
                  <w:vMerge w:val="continue"/>
                  <w:tcBorders>
                    <w:tl2br w:val="nil"/>
                    <w:tr2bl w:val="nil"/>
                  </w:tcBorders>
                  <w:shd w:val="clear" w:color="auto" w:fill="auto"/>
                  <w:vAlign w:val="center"/>
                </w:tcPr>
                <w:p>
                  <w:pPr>
                    <w:pStyle w:val="57"/>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cs="Times New Roman"/>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95" w:hRule="atLeast"/>
                <w:jc w:val="center"/>
              </w:trPr>
              <w:tc>
                <w:tcPr>
                  <w:tcW w:w="504" w:type="dxa"/>
                  <w:vMerge w:val="continue"/>
                  <w:tcBorders>
                    <w:tl2br w:val="nil"/>
                    <w:tr2bl w:val="nil"/>
                  </w:tcBorders>
                  <w:shd w:val="clear" w:color="auto" w:fill="auto"/>
                  <w:vAlign w:val="center"/>
                </w:tcPr>
                <w:p>
                  <w:pPr>
                    <w:pStyle w:val="57"/>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p>
              </w:tc>
              <w:tc>
                <w:tcPr>
                  <w:tcW w:w="1610" w:type="dxa"/>
                  <w:vMerge w:val="continue"/>
                  <w:tcBorders>
                    <w:tl2br w:val="nil"/>
                    <w:tr2bl w:val="nil"/>
                  </w:tcBorders>
                  <w:shd w:val="clear" w:color="auto" w:fill="auto"/>
                  <w:vAlign w:val="center"/>
                </w:tcPr>
                <w:p>
                  <w:pPr>
                    <w:pStyle w:val="57"/>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p>
              </w:tc>
              <w:tc>
                <w:tcPr>
                  <w:tcW w:w="2549" w:type="dxa"/>
                  <w:tcBorders>
                    <w:tl2br w:val="nil"/>
                    <w:tr2bl w:val="nil"/>
                  </w:tcBorders>
                  <w:shd w:val="clear" w:color="auto" w:fill="auto"/>
                  <w:vAlign w:val="center"/>
                </w:tcPr>
                <w:p>
                  <w:pPr>
                    <w:pStyle w:val="57"/>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r>
                    <w:rPr>
                      <w:rFonts w:cs="Times New Roman"/>
                      <w:color w:val="auto"/>
                      <w:highlight w:val="none"/>
                    </w:rPr>
                    <w:t>禁止不符合国家及地方环境污染防治和生态环境保护政策及要求的项目</w:t>
                  </w:r>
                </w:p>
              </w:tc>
              <w:tc>
                <w:tcPr>
                  <w:tcW w:w="1930" w:type="dxa"/>
                  <w:tcBorders>
                    <w:tl2br w:val="nil"/>
                    <w:tr2bl w:val="nil"/>
                  </w:tcBorders>
                  <w:shd w:val="clear" w:color="auto" w:fill="auto"/>
                  <w:vAlign w:val="center"/>
                </w:tcPr>
                <w:p>
                  <w:pPr>
                    <w:pStyle w:val="57"/>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本项目符合</w:t>
                  </w:r>
                  <w:r>
                    <w:rPr>
                      <w:rFonts w:cs="Times New Roman"/>
                      <w:color w:val="auto"/>
                      <w:highlight w:val="none"/>
                    </w:rPr>
                    <w:t>国家及地方环境污染防治和生态环境保护政策及要求</w:t>
                  </w:r>
                </w:p>
              </w:tc>
              <w:tc>
                <w:tcPr>
                  <w:tcW w:w="834" w:type="dxa"/>
                  <w:vMerge w:val="continue"/>
                  <w:tcBorders>
                    <w:tl2br w:val="nil"/>
                    <w:tr2bl w:val="nil"/>
                  </w:tcBorders>
                  <w:shd w:val="clear" w:color="auto" w:fill="auto"/>
                  <w:vAlign w:val="center"/>
                </w:tcPr>
                <w:p>
                  <w:pPr>
                    <w:pStyle w:val="57"/>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cs="Times New Roman"/>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18" w:hRule="atLeast"/>
                <w:jc w:val="center"/>
              </w:trPr>
              <w:tc>
                <w:tcPr>
                  <w:tcW w:w="504" w:type="dxa"/>
                  <w:vMerge w:val="continue"/>
                  <w:tcBorders>
                    <w:tl2br w:val="nil"/>
                    <w:tr2bl w:val="nil"/>
                  </w:tcBorders>
                  <w:shd w:val="clear" w:color="auto" w:fill="auto"/>
                  <w:vAlign w:val="center"/>
                </w:tcPr>
                <w:p>
                  <w:pPr>
                    <w:pStyle w:val="57"/>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p>
              </w:tc>
              <w:tc>
                <w:tcPr>
                  <w:tcW w:w="1610" w:type="dxa"/>
                  <w:vMerge w:val="continue"/>
                  <w:tcBorders>
                    <w:tl2br w:val="nil"/>
                    <w:tr2bl w:val="nil"/>
                  </w:tcBorders>
                  <w:shd w:val="clear" w:color="auto" w:fill="auto"/>
                  <w:vAlign w:val="center"/>
                </w:tcPr>
                <w:p>
                  <w:pPr>
                    <w:pStyle w:val="57"/>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p>
              </w:tc>
              <w:tc>
                <w:tcPr>
                  <w:tcW w:w="2549" w:type="dxa"/>
                  <w:tcBorders>
                    <w:tl2br w:val="nil"/>
                    <w:tr2bl w:val="nil"/>
                  </w:tcBorders>
                  <w:shd w:val="clear" w:color="auto" w:fill="auto"/>
                  <w:vAlign w:val="center"/>
                </w:tcPr>
                <w:p>
                  <w:pPr>
                    <w:pStyle w:val="57"/>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r>
                    <w:rPr>
                      <w:rFonts w:cs="Times New Roman"/>
                      <w:color w:val="auto"/>
                      <w:highlight w:val="none"/>
                    </w:rPr>
                    <w:t>禁止引进生产和使用高VOCs含量的溶剂型涂料、油墨、胶粘剂等项目</w:t>
                  </w:r>
                </w:p>
              </w:tc>
              <w:tc>
                <w:tcPr>
                  <w:tcW w:w="1930" w:type="dxa"/>
                  <w:tcBorders>
                    <w:tl2br w:val="nil"/>
                    <w:tr2bl w:val="nil"/>
                  </w:tcBorders>
                  <w:shd w:val="clear" w:color="auto" w:fill="auto"/>
                  <w:vAlign w:val="center"/>
                </w:tcPr>
                <w:p>
                  <w:pPr>
                    <w:pStyle w:val="57"/>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本项目不</w:t>
                  </w:r>
                  <w:r>
                    <w:rPr>
                      <w:rFonts w:cs="Times New Roman"/>
                      <w:color w:val="auto"/>
                      <w:highlight w:val="none"/>
                    </w:rPr>
                    <w:t>生产和使用高VOCs含量的溶剂型涂料、油墨、胶粘剂</w:t>
                  </w:r>
                </w:p>
              </w:tc>
              <w:tc>
                <w:tcPr>
                  <w:tcW w:w="834" w:type="dxa"/>
                  <w:vMerge w:val="continue"/>
                  <w:tcBorders>
                    <w:tl2br w:val="nil"/>
                    <w:tr2bl w:val="nil"/>
                  </w:tcBorders>
                  <w:shd w:val="clear" w:color="auto" w:fill="auto"/>
                  <w:vAlign w:val="center"/>
                </w:tcPr>
                <w:p>
                  <w:pPr>
                    <w:pStyle w:val="57"/>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cs="Times New Roman"/>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15" w:hRule="atLeast"/>
                <w:jc w:val="center"/>
              </w:trPr>
              <w:tc>
                <w:tcPr>
                  <w:tcW w:w="504" w:type="dxa"/>
                  <w:vMerge w:val="continue"/>
                  <w:tcBorders>
                    <w:tl2br w:val="nil"/>
                    <w:tr2bl w:val="nil"/>
                  </w:tcBorders>
                  <w:shd w:val="clear" w:color="auto" w:fill="auto"/>
                  <w:vAlign w:val="center"/>
                </w:tcPr>
                <w:p>
                  <w:pPr>
                    <w:pStyle w:val="57"/>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p>
              </w:tc>
              <w:tc>
                <w:tcPr>
                  <w:tcW w:w="1610" w:type="dxa"/>
                  <w:vMerge w:val="continue"/>
                  <w:tcBorders>
                    <w:tl2br w:val="nil"/>
                    <w:tr2bl w:val="nil"/>
                  </w:tcBorders>
                  <w:shd w:val="clear" w:color="auto" w:fill="auto"/>
                  <w:vAlign w:val="center"/>
                </w:tcPr>
                <w:p>
                  <w:pPr>
                    <w:pStyle w:val="57"/>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p>
              </w:tc>
              <w:tc>
                <w:tcPr>
                  <w:tcW w:w="2549" w:type="dxa"/>
                  <w:tcBorders>
                    <w:tl2br w:val="nil"/>
                    <w:tr2bl w:val="nil"/>
                  </w:tcBorders>
                  <w:shd w:val="clear" w:color="auto" w:fill="auto"/>
                  <w:vAlign w:val="center"/>
                </w:tcPr>
                <w:p>
                  <w:pPr>
                    <w:pStyle w:val="57"/>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r>
                    <w:rPr>
                      <w:rFonts w:cs="Times New Roman"/>
                      <w:color w:val="auto"/>
                      <w:highlight w:val="none"/>
                    </w:rPr>
                    <w:t>禁止燃用原（散）煤、重油、渣油、石油焦等高污染燃料</w:t>
                  </w:r>
                </w:p>
              </w:tc>
              <w:tc>
                <w:tcPr>
                  <w:tcW w:w="1930" w:type="dxa"/>
                  <w:tcBorders>
                    <w:tl2br w:val="nil"/>
                    <w:tr2bl w:val="nil"/>
                  </w:tcBorders>
                  <w:shd w:val="clear" w:color="auto" w:fill="auto"/>
                  <w:vAlign w:val="center"/>
                </w:tcPr>
                <w:p>
                  <w:pPr>
                    <w:pStyle w:val="57"/>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本项目不使用</w:t>
                  </w:r>
                  <w:r>
                    <w:rPr>
                      <w:rFonts w:cs="Times New Roman"/>
                      <w:color w:val="auto"/>
                      <w:highlight w:val="none"/>
                    </w:rPr>
                    <w:t>原（散）煤、重油、渣油、石油焦等高污染燃料</w:t>
                  </w:r>
                </w:p>
              </w:tc>
              <w:tc>
                <w:tcPr>
                  <w:tcW w:w="834" w:type="dxa"/>
                  <w:vMerge w:val="continue"/>
                  <w:tcBorders>
                    <w:tl2br w:val="nil"/>
                    <w:tr2bl w:val="nil"/>
                  </w:tcBorders>
                  <w:shd w:val="clear" w:color="auto" w:fill="auto"/>
                  <w:vAlign w:val="center"/>
                </w:tcPr>
                <w:p>
                  <w:pPr>
                    <w:pStyle w:val="57"/>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cs="Times New Roman"/>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98" w:hRule="atLeast"/>
                <w:jc w:val="center"/>
              </w:trPr>
              <w:tc>
                <w:tcPr>
                  <w:tcW w:w="504" w:type="dxa"/>
                  <w:vMerge w:val="continue"/>
                  <w:tcBorders>
                    <w:tl2br w:val="nil"/>
                    <w:tr2bl w:val="nil"/>
                  </w:tcBorders>
                  <w:shd w:val="clear" w:color="auto" w:fill="auto"/>
                  <w:vAlign w:val="center"/>
                </w:tcPr>
                <w:p>
                  <w:pPr>
                    <w:pStyle w:val="57"/>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p>
              </w:tc>
              <w:tc>
                <w:tcPr>
                  <w:tcW w:w="1610" w:type="dxa"/>
                  <w:vMerge w:val="continue"/>
                  <w:tcBorders>
                    <w:tl2br w:val="nil"/>
                    <w:tr2bl w:val="nil"/>
                  </w:tcBorders>
                  <w:shd w:val="clear" w:color="auto" w:fill="auto"/>
                  <w:vAlign w:val="center"/>
                </w:tcPr>
                <w:p>
                  <w:pPr>
                    <w:pStyle w:val="57"/>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p>
              </w:tc>
              <w:tc>
                <w:tcPr>
                  <w:tcW w:w="2549" w:type="dxa"/>
                  <w:tcBorders>
                    <w:tl2br w:val="nil"/>
                    <w:tr2bl w:val="nil"/>
                  </w:tcBorders>
                  <w:shd w:val="clear" w:color="auto" w:fill="auto"/>
                  <w:vAlign w:val="center"/>
                </w:tcPr>
                <w:p>
                  <w:pPr>
                    <w:pStyle w:val="57"/>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r>
                    <w:rPr>
                      <w:rFonts w:cs="Times New Roman"/>
                      <w:color w:val="auto"/>
                      <w:highlight w:val="none"/>
                    </w:rPr>
                    <w:t>禁止风险防控措施不能满足环境风险管理要求的相关建设项目引入</w:t>
                  </w:r>
                </w:p>
              </w:tc>
              <w:tc>
                <w:tcPr>
                  <w:tcW w:w="1930" w:type="dxa"/>
                  <w:tcBorders>
                    <w:tl2br w:val="nil"/>
                    <w:tr2bl w:val="nil"/>
                  </w:tcBorders>
                  <w:shd w:val="clear" w:color="auto" w:fill="auto"/>
                  <w:vAlign w:val="center"/>
                </w:tcPr>
                <w:p>
                  <w:pPr>
                    <w:pStyle w:val="57"/>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hint="eastAsia" w:eastAsia="宋体" w:cs="Times New Roman"/>
                      <w:color w:val="auto"/>
                      <w:highlight w:val="none"/>
                      <w:lang w:val="en-US" w:eastAsia="zh-CN"/>
                    </w:rPr>
                  </w:pPr>
                  <w:r>
                    <w:rPr>
                      <w:rFonts w:hint="eastAsia" w:cs="Times New Roman"/>
                      <w:color w:val="auto"/>
                      <w:highlight w:val="none"/>
                      <w:lang w:val="en-US" w:eastAsia="zh-CN"/>
                    </w:rPr>
                    <w:t>本项目</w:t>
                  </w:r>
                  <w:r>
                    <w:rPr>
                      <w:rFonts w:cs="Times New Roman"/>
                      <w:color w:val="auto"/>
                      <w:highlight w:val="none"/>
                    </w:rPr>
                    <w:t>风险防控措施</w:t>
                  </w:r>
                  <w:r>
                    <w:rPr>
                      <w:rFonts w:hint="eastAsia" w:cs="Times New Roman"/>
                      <w:color w:val="auto"/>
                      <w:highlight w:val="none"/>
                      <w:lang w:val="en-US" w:eastAsia="zh-CN"/>
                    </w:rPr>
                    <w:t>满足</w:t>
                  </w:r>
                  <w:r>
                    <w:rPr>
                      <w:rFonts w:cs="Times New Roman"/>
                      <w:color w:val="auto"/>
                      <w:highlight w:val="none"/>
                    </w:rPr>
                    <w:t>环境风险管理要求</w:t>
                  </w:r>
                </w:p>
              </w:tc>
              <w:tc>
                <w:tcPr>
                  <w:tcW w:w="834" w:type="dxa"/>
                  <w:vMerge w:val="continue"/>
                  <w:tcBorders>
                    <w:tl2br w:val="nil"/>
                    <w:tr2bl w:val="nil"/>
                  </w:tcBorders>
                  <w:shd w:val="clear" w:color="auto" w:fill="auto"/>
                  <w:vAlign w:val="center"/>
                </w:tcPr>
                <w:p>
                  <w:pPr>
                    <w:pStyle w:val="57"/>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cs="Times New Roman"/>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09" w:hRule="atLeast"/>
                <w:jc w:val="center"/>
              </w:trPr>
              <w:tc>
                <w:tcPr>
                  <w:tcW w:w="504" w:type="dxa"/>
                  <w:vMerge w:val="continue"/>
                  <w:tcBorders>
                    <w:tl2br w:val="nil"/>
                    <w:tr2bl w:val="nil"/>
                  </w:tcBorders>
                  <w:shd w:val="clear" w:color="auto" w:fill="auto"/>
                  <w:vAlign w:val="center"/>
                </w:tcPr>
                <w:p>
                  <w:pPr>
                    <w:pStyle w:val="57"/>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p>
              </w:tc>
              <w:tc>
                <w:tcPr>
                  <w:tcW w:w="1610" w:type="dxa"/>
                  <w:vMerge w:val="continue"/>
                  <w:tcBorders>
                    <w:tl2br w:val="nil"/>
                    <w:tr2bl w:val="nil"/>
                  </w:tcBorders>
                  <w:shd w:val="clear" w:color="auto" w:fill="auto"/>
                  <w:vAlign w:val="center"/>
                </w:tcPr>
                <w:p>
                  <w:pPr>
                    <w:pStyle w:val="57"/>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p>
              </w:tc>
              <w:tc>
                <w:tcPr>
                  <w:tcW w:w="2549" w:type="dxa"/>
                  <w:tcBorders>
                    <w:tl2br w:val="nil"/>
                    <w:tr2bl w:val="nil"/>
                  </w:tcBorders>
                  <w:shd w:val="clear" w:color="auto" w:fill="auto"/>
                  <w:vAlign w:val="center"/>
                </w:tcPr>
                <w:p>
                  <w:pPr>
                    <w:pStyle w:val="57"/>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r>
                    <w:rPr>
                      <w:rFonts w:cs="Times New Roman"/>
                      <w:color w:val="auto"/>
                      <w:highlight w:val="none"/>
                    </w:rPr>
                    <w:t>禁止引进产生致癌、致畸、致突变物质及列入《有毒有害大气污染物名录（2018年）》中污染物的项目</w:t>
                  </w:r>
                </w:p>
              </w:tc>
              <w:tc>
                <w:tcPr>
                  <w:tcW w:w="1930" w:type="dxa"/>
                  <w:tcBorders>
                    <w:tl2br w:val="nil"/>
                    <w:tr2bl w:val="nil"/>
                  </w:tcBorders>
                  <w:shd w:val="clear" w:color="auto" w:fill="auto"/>
                  <w:vAlign w:val="center"/>
                </w:tcPr>
                <w:p>
                  <w:pPr>
                    <w:pStyle w:val="57"/>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本项目不涉及</w:t>
                  </w:r>
                  <w:r>
                    <w:rPr>
                      <w:rFonts w:cs="Times New Roman"/>
                      <w:color w:val="auto"/>
                      <w:highlight w:val="none"/>
                    </w:rPr>
                    <w:t>产生致癌、致畸、致突变物质及列入《有毒有害大气污染物名录（2018年）》中污染物</w:t>
                  </w:r>
                </w:p>
              </w:tc>
              <w:tc>
                <w:tcPr>
                  <w:tcW w:w="834" w:type="dxa"/>
                  <w:vMerge w:val="continue"/>
                  <w:tcBorders>
                    <w:tl2br w:val="nil"/>
                    <w:tr2bl w:val="nil"/>
                  </w:tcBorders>
                  <w:shd w:val="clear" w:color="auto" w:fill="auto"/>
                  <w:vAlign w:val="center"/>
                </w:tcPr>
                <w:p>
                  <w:pPr>
                    <w:pStyle w:val="57"/>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cs="Times New Roman"/>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44" w:hRule="atLeast"/>
                <w:jc w:val="center"/>
              </w:trPr>
              <w:tc>
                <w:tcPr>
                  <w:tcW w:w="504" w:type="dxa"/>
                  <w:vMerge w:val="continue"/>
                  <w:tcBorders>
                    <w:tl2br w:val="nil"/>
                    <w:tr2bl w:val="nil"/>
                  </w:tcBorders>
                  <w:shd w:val="clear" w:color="auto" w:fill="auto"/>
                  <w:vAlign w:val="center"/>
                </w:tcPr>
                <w:p>
                  <w:pPr>
                    <w:pStyle w:val="57"/>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p>
              </w:tc>
              <w:tc>
                <w:tcPr>
                  <w:tcW w:w="1610" w:type="dxa"/>
                  <w:vMerge w:val="continue"/>
                  <w:tcBorders>
                    <w:tl2br w:val="nil"/>
                    <w:tr2bl w:val="nil"/>
                  </w:tcBorders>
                  <w:shd w:val="clear" w:color="auto" w:fill="auto"/>
                  <w:vAlign w:val="center"/>
                </w:tcPr>
                <w:p>
                  <w:pPr>
                    <w:pStyle w:val="57"/>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p>
              </w:tc>
              <w:tc>
                <w:tcPr>
                  <w:tcW w:w="2549" w:type="dxa"/>
                  <w:tcBorders>
                    <w:tl2br w:val="nil"/>
                    <w:tr2bl w:val="nil"/>
                  </w:tcBorders>
                  <w:shd w:val="clear" w:color="auto" w:fill="auto"/>
                  <w:vAlign w:val="center"/>
                </w:tcPr>
                <w:p>
                  <w:pPr>
                    <w:pStyle w:val="57"/>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r>
                    <w:rPr>
                      <w:rFonts w:cs="Times New Roman"/>
                      <w:color w:val="auto"/>
                      <w:szCs w:val="21"/>
                      <w:highlight w:val="none"/>
                    </w:rPr>
                    <w:t>禁止引入河北省及唐山市</w:t>
                  </w:r>
                  <w:r>
                    <w:rPr>
                      <w:rFonts w:hint="eastAsia" w:ascii="宋体" w:hAnsi="宋体" w:eastAsia="宋体" w:cs="宋体"/>
                      <w:color w:val="auto"/>
                      <w:szCs w:val="21"/>
                      <w:highlight w:val="none"/>
                    </w:rPr>
                    <w:t>“三线一单”</w:t>
                  </w:r>
                  <w:r>
                    <w:rPr>
                      <w:rFonts w:cs="Times New Roman"/>
                      <w:color w:val="auto"/>
                      <w:szCs w:val="21"/>
                      <w:highlight w:val="none"/>
                    </w:rPr>
                    <w:t>禁止引入类项目</w:t>
                  </w:r>
                </w:p>
              </w:tc>
              <w:tc>
                <w:tcPr>
                  <w:tcW w:w="1930" w:type="dxa"/>
                  <w:tcBorders>
                    <w:tl2br w:val="nil"/>
                    <w:tr2bl w:val="nil"/>
                  </w:tcBorders>
                  <w:shd w:val="clear" w:color="auto" w:fill="auto"/>
                  <w:vAlign w:val="center"/>
                </w:tcPr>
                <w:p>
                  <w:pPr>
                    <w:pStyle w:val="57"/>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hint="default" w:eastAsia="宋体" w:cs="Times New Roman"/>
                      <w:color w:val="auto"/>
                      <w:szCs w:val="21"/>
                      <w:highlight w:val="none"/>
                      <w:lang w:val="en-US" w:eastAsia="zh-CN"/>
                    </w:rPr>
                  </w:pPr>
                  <w:r>
                    <w:rPr>
                      <w:rFonts w:hint="eastAsia" w:cs="Times New Roman"/>
                      <w:color w:val="auto"/>
                      <w:szCs w:val="21"/>
                      <w:highlight w:val="none"/>
                      <w:lang w:val="en-US" w:eastAsia="zh-CN"/>
                    </w:rPr>
                    <w:t>本项目不属于</w:t>
                  </w:r>
                  <w:r>
                    <w:rPr>
                      <w:rFonts w:cs="Times New Roman"/>
                      <w:color w:val="auto"/>
                      <w:szCs w:val="21"/>
                      <w:highlight w:val="none"/>
                    </w:rPr>
                    <w:t>河北省及唐山市</w:t>
                  </w:r>
                  <w:r>
                    <w:rPr>
                      <w:rFonts w:hint="eastAsia" w:ascii="宋体" w:hAnsi="宋体" w:eastAsia="宋体" w:cs="宋体"/>
                      <w:color w:val="auto"/>
                      <w:szCs w:val="21"/>
                      <w:highlight w:val="none"/>
                    </w:rPr>
                    <w:t>“三线一单”</w:t>
                  </w:r>
                  <w:r>
                    <w:rPr>
                      <w:rFonts w:cs="Times New Roman"/>
                      <w:color w:val="auto"/>
                      <w:szCs w:val="21"/>
                      <w:highlight w:val="none"/>
                    </w:rPr>
                    <w:t>禁止引入类项目</w:t>
                  </w:r>
                </w:p>
              </w:tc>
              <w:tc>
                <w:tcPr>
                  <w:tcW w:w="834" w:type="dxa"/>
                  <w:vMerge w:val="continue"/>
                  <w:tcBorders>
                    <w:tl2br w:val="nil"/>
                    <w:tr2bl w:val="nil"/>
                  </w:tcBorders>
                  <w:shd w:val="clear" w:color="auto" w:fill="auto"/>
                  <w:vAlign w:val="center"/>
                </w:tcPr>
                <w:p>
                  <w:pPr>
                    <w:pStyle w:val="57"/>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cs="Times New Roman"/>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2114" w:type="dxa"/>
                  <w:gridSpan w:val="2"/>
                  <w:vMerge w:val="restart"/>
                  <w:tcBorders>
                    <w:tl2br w:val="nil"/>
                    <w:tr2bl w:val="nil"/>
                  </w:tcBorders>
                  <w:shd w:val="clear" w:color="auto" w:fill="auto"/>
                  <w:vAlign w:val="center"/>
                </w:tcPr>
                <w:p>
                  <w:pPr>
                    <w:pStyle w:val="57"/>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r>
                    <w:rPr>
                      <w:rFonts w:cs="Times New Roman"/>
                      <w:color w:val="auto"/>
                      <w:highlight w:val="none"/>
                    </w:rPr>
                    <w:t>限制类</w:t>
                  </w:r>
                </w:p>
              </w:tc>
              <w:tc>
                <w:tcPr>
                  <w:tcW w:w="2549" w:type="dxa"/>
                  <w:tcBorders>
                    <w:tl2br w:val="nil"/>
                    <w:tr2bl w:val="nil"/>
                  </w:tcBorders>
                  <w:shd w:val="clear" w:color="auto" w:fill="auto"/>
                  <w:vAlign w:val="center"/>
                </w:tcPr>
                <w:p>
                  <w:pPr>
                    <w:pStyle w:val="57"/>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r>
                    <w:rPr>
                      <w:rFonts w:cs="Times New Roman"/>
                      <w:color w:val="auto"/>
                      <w:szCs w:val="21"/>
                      <w:highlight w:val="none"/>
                    </w:rPr>
                    <w:t>严格限制三类工业企业</w:t>
                  </w:r>
                  <w:r>
                    <w:rPr>
                      <w:rFonts w:hint="eastAsia" w:cs="Times New Roman"/>
                      <w:color w:val="auto"/>
                      <w:szCs w:val="21"/>
                      <w:highlight w:val="none"/>
                    </w:rPr>
                    <w:t>入驻</w:t>
                  </w:r>
                </w:p>
              </w:tc>
              <w:tc>
                <w:tcPr>
                  <w:tcW w:w="1930" w:type="dxa"/>
                  <w:tcBorders>
                    <w:tl2br w:val="nil"/>
                    <w:tr2bl w:val="nil"/>
                  </w:tcBorders>
                  <w:shd w:val="clear" w:color="auto" w:fill="auto"/>
                  <w:vAlign w:val="center"/>
                </w:tcPr>
                <w:p>
                  <w:pPr>
                    <w:pStyle w:val="57"/>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hint="default" w:eastAsia="宋体" w:cs="Times New Roman"/>
                      <w:color w:val="auto"/>
                      <w:szCs w:val="21"/>
                      <w:highlight w:val="none"/>
                      <w:lang w:val="en-US" w:eastAsia="zh-CN"/>
                    </w:rPr>
                  </w:pPr>
                  <w:r>
                    <w:rPr>
                      <w:rFonts w:hint="eastAsia" w:cs="Times New Roman"/>
                      <w:color w:val="auto"/>
                      <w:szCs w:val="21"/>
                      <w:highlight w:val="none"/>
                      <w:lang w:val="en-US" w:eastAsia="zh-CN"/>
                    </w:rPr>
                    <w:t>本项目不属于三类工业企业</w:t>
                  </w:r>
                </w:p>
              </w:tc>
              <w:tc>
                <w:tcPr>
                  <w:tcW w:w="834" w:type="dxa"/>
                  <w:vMerge w:val="restart"/>
                  <w:tcBorders>
                    <w:tl2br w:val="nil"/>
                    <w:tr2bl w:val="nil"/>
                  </w:tcBorders>
                  <w:shd w:val="clear" w:color="auto" w:fill="auto"/>
                  <w:vAlign w:val="center"/>
                </w:tcPr>
                <w:p>
                  <w:pPr>
                    <w:pStyle w:val="57"/>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eastAsia="宋体" w:cs="Times New Roman"/>
                      <w:color w:val="auto"/>
                      <w:szCs w:val="21"/>
                      <w:highlight w:val="none"/>
                      <w:lang w:val="en-US" w:eastAsia="zh-CN"/>
                    </w:rPr>
                    <w:t>不属于开发区生态环境准入清单中限制类项目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69" w:hRule="atLeast"/>
                <w:jc w:val="center"/>
              </w:trPr>
              <w:tc>
                <w:tcPr>
                  <w:tcW w:w="2114" w:type="dxa"/>
                  <w:gridSpan w:val="2"/>
                  <w:vMerge w:val="continue"/>
                  <w:tcBorders>
                    <w:tl2br w:val="nil"/>
                    <w:tr2bl w:val="nil"/>
                  </w:tcBorders>
                  <w:shd w:val="clear" w:color="auto" w:fill="auto"/>
                  <w:vAlign w:val="center"/>
                </w:tcPr>
                <w:p>
                  <w:pPr>
                    <w:pStyle w:val="57"/>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p>
              </w:tc>
              <w:tc>
                <w:tcPr>
                  <w:tcW w:w="2549" w:type="dxa"/>
                  <w:tcBorders>
                    <w:tl2br w:val="nil"/>
                    <w:tr2bl w:val="nil"/>
                  </w:tcBorders>
                  <w:shd w:val="clear" w:color="auto" w:fill="auto"/>
                  <w:vAlign w:val="center"/>
                </w:tcPr>
                <w:p>
                  <w:pPr>
                    <w:pStyle w:val="57"/>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szCs w:val="21"/>
                      <w:highlight w:val="none"/>
                    </w:rPr>
                  </w:pPr>
                  <w:r>
                    <w:rPr>
                      <w:rFonts w:cs="Times New Roman"/>
                      <w:color w:val="auto"/>
                      <w:highlight w:val="none"/>
                      <w:lang w:val="zh-CN"/>
                    </w:rPr>
                    <w:t>严格限制</w:t>
                  </w:r>
                  <w:r>
                    <w:rPr>
                      <w:rFonts w:hint="eastAsia" w:ascii="宋体" w:hAnsi="宋体" w:eastAsia="宋体" w:cs="宋体"/>
                      <w:color w:val="auto"/>
                      <w:highlight w:val="none"/>
                      <w:lang w:val="zh-CN"/>
                    </w:rPr>
                    <w:t>“高污染、高环境风险”产</w:t>
                  </w:r>
                  <w:r>
                    <w:rPr>
                      <w:rFonts w:cs="Times New Roman"/>
                      <w:color w:val="auto"/>
                      <w:highlight w:val="none"/>
                      <w:lang w:val="zh-CN"/>
                    </w:rPr>
                    <w:t>品与工艺设备</w:t>
                  </w:r>
                </w:p>
              </w:tc>
              <w:tc>
                <w:tcPr>
                  <w:tcW w:w="1930" w:type="dxa"/>
                  <w:tcBorders>
                    <w:tl2br w:val="nil"/>
                    <w:tr2bl w:val="nil"/>
                  </w:tcBorders>
                  <w:shd w:val="clear" w:color="auto" w:fill="auto"/>
                  <w:vAlign w:val="center"/>
                </w:tcPr>
                <w:p>
                  <w:pPr>
                    <w:pStyle w:val="57"/>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本项目不涉及</w:t>
                  </w:r>
                  <w:r>
                    <w:rPr>
                      <w:rFonts w:hint="eastAsia" w:ascii="宋体" w:hAnsi="宋体" w:eastAsia="宋体" w:cs="宋体"/>
                      <w:color w:val="auto"/>
                      <w:highlight w:val="none"/>
                      <w:lang w:val="zh-CN"/>
                    </w:rPr>
                    <w:t>“高污染、高环境风险”产</w:t>
                  </w:r>
                  <w:r>
                    <w:rPr>
                      <w:rFonts w:cs="Times New Roman"/>
                      <w:color w:val="auto"/>
                      <w:highlight w:val="none"/>
                      <w:lang w:val="zh-CN"/>
                    </w:rPr>
                    <w:t>品与工艺设备</w:t>
                  </w:r>
                </w:p>
              </w:tc>
              <w:tc>
                <w:tcPr>
                  <w:tcW w:w="834" w:type="dxa"/>
                  <w:vMerge w:val="continue"/>
                  <w:tcBorders>
                    <w:tl2br w:val="nil"/>
                    <w:tr2bl w:val="nil"/>
                  </w:tcBorders>
                  <w:shd w:val="clear" w:color="auto" w:fill="auto"/>
                  <w:vAlign w:val="center"/>
                </w:tcPr>
                <w:p>
                  <w:pPr>
                    <w:pStyle w:val="57"/>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cs="Times New Roman"/>
                      <w:color w:val="auto"/>
                      <w:highlight w:val="none"/>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2114" w:type="dxa"/>
                  <w:gridSpan w:val="2"/>
                  <w:vMerge w:val="continue"/>
                  <w:tcBorders>
                    <w:tl2br w:val="nil"/>
                    <w:tr2bl w:val="nil"/>
                  </w:tcBorders>
                  <w:shd w:val="clear" w:color="auto" w:fill="auto"/>
                  <w:vAlign w:val="center"/>
                </w:tcPr>
                <w:p>
                  <w:pPr>
                    <w:pStyle w:val="57"/>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p>
              </w:tc>
              <w:tc>
                <w:tcPr>
                  <w:tcW w:w="2549" w:type="dxa"/>
                  <w:tcBorders>
                    <w:tl2br w:val="nil"/>
                    <w:tr2bl w:val="nil"/>
                  </w:tcBorders>
                  <w:shd w:val="clear" w:color="auto" w:fill="auto"/>
                  <w:vAlign w:val="center"/>
                </w:tcPr>
                <w:p>
                  <w:pPr>
                    <w:pStyle w:val="57"/>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szCs w:val="21"/>
                      <w:highlight w:val="none"/>
                    </w:rPr>
                  </w:pPr>
                  <w:r>
                    <w:rPr>
                      <w:rFonts w:cs="Times New Roman"/>
                      <w:color w:val="auto"/>
                      <w:highlight w:val="none"/>
                    </w:rPr>
                    <w:t>严格</w:t>
                  </w:r>
                  <w:r>
                    <w:rPr>
                      <w:rFonts w:hint="eastAsia" w:cs="Times New Roman"/>
                      <w:color w:val="auto"/>
                      <w:highlight w:val="none"/>
                    </w:rPr>
                    <w:t>限</w:t>
                  </w:r>
                  <w:r>
                    <w:rPr>
                      <w:rFonts w:cs="Times New Roman"/>
                      <w:color w:val="auto"/>
                      <w:highlight w:val="none"/>
                    </w:rPr>
                    <w:t>制产生一类污染物（含汞、砷等重金属）的企业</w:t>
                  </w:r>
                  <w:r>
                    <w:rPr>
                      <w:rFonts w:hint="eastAsia" w:cs="Times New Roman"/>
                      <w:color w:val="auto"/>
                      <w:highlight w:val="none"/>
                    </w:rPr>
                    <w:t>入驻</w:t>
                  </w:r>
                </w:p>
              </w:tc>
              <w:tc>
                <w:tcPr>
                  <w:tcW w:w="1930" w:type="dxa"/>
                  <w:tcBorders>
                    <w:tl2br w:val="nil"/>
                    <w:tr2bl w:val="nil"/>
                  </w:tcBorders>
                  <w:shd w:val="clear" w:color="auto" w:fill="auto"/>
                  <w:vAlign w:val="center"/>
                </w:tcPr>
                <w:p>
                  <w:pPr>
                    <w:pStyle w:val="57"/>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本项目不产生</w:t>
                  </w:r>
                  <w:r>
                    <w:rPr>
                      <w:rFonts w:cs="Times New Roman"/>
                      <w:color w:val="auto"/>
                      <w:highlight w:val="none"/>
                    </w:rPr>
                    <w:t>一类污染物</w:t>
                  </w:r>
                </w:p>
              </w:tc>
              <w:tc>
                <w:tcPr>
                  <w:tcW w:w="834" w:type="dxa"/>
                  <w:vMerge w:val="continue"/>
                  <w:tcBorders>
                    <w:tl2br w:val="nil"/>
                    <w:tr2bl w:val="nil"/>
                  </w:tcBorders>
                  <w:shd w:val="clear" w:color="auto" w:fill="auto"/>
                  <w:vAlign w:val="center"/>
                </w:tcPr>
                <w:p>
                  <w:pPr>
                    <w:pStyle w:val="57"/>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cs="Times New Roman"/>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2114" w:type="dxa"/>
                  <w:gridSpan w:val="2"/>
                  <w:vMerge w:val="continue"/>
                  <w:tcBorders>
                    <w:tl2br w:val="nil"/>
                    <w:tr2bl w:val="nil"/>
                  </w:tcBorders>
                  <w:shd w:val="clear" w:color="auto" w:fill="auto"/>
                  <w:vAlign w:val="center"/>
                </w:tcPr>
                <w:p>
                  <w:pPr>
                    <w:pStyle w:val="57"/>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p>
              </w:tc>
              <w:tc>
                <w:tcPr>
                  <w:tcW w:w="2549" w:type="dxa"/>
                  <w:tcBorders>
                    <w:tl2br w:val="nil"/>
                    <w:tr2bl w:val="nil"/>
                  </w:tcBorders>
                  <w:shd w:val="clear" w:color="auto" w:fill="auto"/>
                  <w:vAlign w:val="center"/>
                </w:tcPr>
                <w:p>
                  <w:pPr>
                    <w:pStyle w:val="57"/>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lang w:val="zh-CN"/>
                    </w:rPr>
                  </w:pPr>
                  <w:r>
                    <w:rPr>
                      <w:rFonts w:hint="eastAsia" w:cs="Times New Roman"/>
                      <w:color w:val="auto"/>
                      <w:szCs w:val="21"/>
                      <w:highlight w:val="none"/>
                    </w:rPr>
                    <w:t>严格限制达不到本规划评价指标要求的企业入驻</w:t>
                  </w:r>
                </w:p>
              </w:tc>
              <w:tc>
                <w:tcPr>
                  <w:tcW w:w="1930" w:type="dxa"/>
                  <w:tcBorders>
                    <w:tl2br w:val="nil"/>
                    <w:tr2bl w:val="nil"/>
                  </w:tcBorders>
                  <w:shd w:val="clear" w:color="auto" w:fill="auto"/>
                  <w:vAlign w:val="center"/>
                </w:tcPr>
                <w:p>
                  <w:pPr>
                    <w:pStyle w:val="57"/>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hint="default" w:eastAsia="宋体" w:cs="Times New Roman"/>
                      <w:color w:val="auto"/>
                      <w:szCs w:val="21"/>
                      <w:highlight w:val="none"/>
                      <w:lang w:val="en-US" w:eastAsia="zh-CN"/>
                    </w:rPr>
                  </w:pPr>
                  <w:r>
                    <w:rPr>
                      <w:rFonts w:hint="eastAsia" w:cs="Times New Roman"/>
                      <w:color w:val="auto"/>
                      <w:szCs w:val="21"/>
                      <w:highlight w:val="none"/>
                      <w:lang w:val="en-US" w:eastAsia="zh-CN"/>
                    </w:rPr>
                    <w:t>本项目满足</w:t>
                  </w:r>
                  <w:r>
                    <w:rPr>
                      <w:rFonts w:hint="eastAsia" w:cs="Times New Roman"/>
                      <w:color w:val="auto"/>
                      <w:szCs w:val="21"/>
                      <w:highlight w:val="none"/>
                    </w:rPr>
                    <w:t>规划评价指标要求</w:t>
                  </w:r>
                </w:p>
              </w:tc>
              <w:tc>
                <w:tcPr>
                  <w:tcW w:w="834" w:type="dxa"/>
                  <w:vMerge w:val="continue"/>
                  <w:tcBorders>
                    <w:tl2br w:val="nil"/>
                    <w:tr2bl w:val="nil"/>
                  </w:tcBorders>
                  <w:shd w:val="clear" w:color="auto" w:fill="auto"/>
                  <w:vAlign w:val="center"/>
                </w:tcPr>
                <w:p>
                  <w:pPr>
                    <w:pStyle w:val="57"/>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hint="eastAsia" w:cs="Times New Roman"/>
                      <w:color w:val="auto"/>
                      <w:szCs w:val="21"/>
                      <w:highlight w:val="none"/>
                    </w:rPr>
                  </w:pPr>
                </w:p>
              </w:tc>
            </w:tr>
          </w:tbl>
          <w:p>
            <w:pPr>
              <w:bidi w:val="0"/>
              <w:rPr>
                <w:rFonts w:hint="default"/>
                <w:color w:val="auto"/>
                <w:highlight w:val="none"/>
                <w:lang w:val="en-US" w:eastAsia="zh-CN"/>
              </w:rPr>
            </w:pPr>
            <w:r>
              <w:rPr>
                <w:rFonts w:hint="eastAsia"/>
                <w:color w:val="auto"/>
                <w:highlight w:val="none"/>
                <w:lang w:val="en-US" w:eastAsia="zh-CN"/>
              </w:rPr>
              <w:t>由上表可知，本项目符合</w:t>
            </w:r>
            <w:r>
              <w:rPr>
                <w:rFonts w:hint="default" w:ascii="Times New Roman" w:hAnsi="Times New Roman" w:eastAsia="宋体" w:cs="Times New Roman"/>
                <w:color w:val="auto"/>
                <w:kern w:val="0"/>
                <w:sz w:val="24"/>
                <w:szCs w:val="24"/>
                <w:highlight w:val="none"/>
                <w:lang w:eastAsia="zh-CN"/>
              </w:rPr>
              <w:t>开发区生态环境准入清单</w:t>
            </w:r>
            <w:r>
              <w:rPr>
                <w:rFonts w:hint="eastAsia" w:ascii="Times New Roman" w:hAnsi="Times New Roman" w:eastAsia="宋体" w:cs="Times New Roman"/>
                <w:color w:val="auto"/>
                <w:kern w:val="0"/>
                <w:sz w:val="24"/>
                <w:szCs w:val="24"/>
                <w:highlight w:val="none"/>
                <w:lang w:val="en-US" w:eastAsia="zh-CN"/>
              </w:rPr>
              <w:t>要求。</w:t>
            </w:r>
          </w:p>
          <w:p>
            <w:pPr>
              <w:bidi w:val="0"/>
              <w:rPr>
                <w:rFonts w:hint="eastAsia"/>
                <w:color w:val="auto"/>
                <w:highlight w:val="none"/>
                <w:lang w:val="zh-CN" w:eastAsia="zh-CN"/>
              </w:rPr>
            </w:pPr>
            <w:r>
              <w:rPr>
                <w:rFonts w:hint="default"/>
                <w:color w:val="auto"/>
                <w:highlight w:val="none"/>
                <w:lang w:val="zh-CN" w:eastAsia="zh-CN"/>
              </w:rPr>
              <w:t>综上所述，本项目的建设符合</w:t>
            </w:r>
            <w:r>
              <w:rPr>
                <w:rFonts w:hint="eastAsia"/>
                <w:color w:val="auto"/>
                <w:highlight w:val="none"/>
                <w:lang w:val="zh-CN" w:eastAsia="zh-CN"/>
              </w:rPr>
              <w:t>“</w:t>
            </w:r>
            <w:r>
              <w:rPr>
                <w:rFonts w:hint="default"/>
                <w:color w:val="auto"/>
                <w:highlight w:val="none"/>
                <w:lang w:val="zh-CN" w:eastAsia="zh-CN"/>
              </w:rPr>
              <w:t>三线一单</w:t>
            </w:r>
            <w:r>
              <w:rPr>
                <w:rFonts w:hint="eastAsia"/>
                <w:color w:val="auto"/>
                <w:highlight w:val="none"/>
                <w:lang w:val="zh-CN" w:eastAsia="zh-CN"/>
              </w:rPr>
              <w:t>”</w:t>
            </w:r>
            <w:r>
              <w:rPr>
                <w:rFonts w:hint="default"/>
                <w:color w:val="auto"/>
                <w:highlight w:val="none"/>
                <w:lang w:val="zh-CN" w:eastAsia="zh-CN"/>
              </w:rPr>
              <w:t>管控要求</w:t>
            </w:r>
            <w:r>
              <w:rPr>
                <w:rFonts w:hint="eastAsia"/>
                <w:color w:val="auto"/>
                <w:highlight w:val="none"/>
                <w:lang w:val="zh-CN" w:eastAsia="zh-CN"/>
              </w:rPr>
              <w:t>。</w:t>
            </w:r>
          </w:p>
          <w:p>
            <w:pPr>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b/>
                <w:bCs/>
                <w:color w:val="auto"/>
                <w:sz w:val="24"/>
                <w:szCs w:val="24"/>
                <w:highlight w:val="none"/>
              </w:rPr>
            </w:pPr>
            <w:r>
              <w:rPr>
                <w:rFonts w:hint="eastAsia"/>
                <w:b/>
                <w:bCs/>
                <w:color w:val="auto"/>
                <w:sz w:val="24"/>
                <w:szCs w:val="24"/>
                <w:highlight w:val="none"/>
                <w:lang w:val="en-US" w:eastAsia="zh-CN"/>
              </w:rPr>
              <w:t>4、与唐山市“</w:t>
            </w:r>
            <w:r>
              <w:rPr>
                <w:rFonts w:hint="default"/>
                <w:b/>
                <w:bCs/>
                <w:color w:val="auto"/>
                <w:sz w:val="24"/>
                <w:szCs w:val="24"/>
                <w:highlight w:val="none"/>
              </w:rPr>
              <w:t>三线一单</w:t>
            </w:r>
            <w:r>
              <w:rPr>
                <w:rFonts w:hint="eastAsia"/>
                <w:b/>
                <w:bCs/>
                <w:color w:val="auto"/>
                <w:sz w:val="24"/>
                <w:szCs w:val="24"/>
                <w:highlight w:val="none"/>
                <w:lang w:val="en-US" w:eastAsia="zh-CN"/>
              </w:rPr>
              <w:t>”</w:t>
            </w:r>
            <w:r>
              <w:rPr>
                <w:rFonts w:hint="default"/>
                <w:b/>
                <w:bCs/>
                <w:color w:val="auto"/>
                <w:sz w:val="24"/>
                <w:szCs w:val="24"/>
                <w:highlight w:val="none"/>
              </w:rPr>
              <w:t>相符性分析</w:t>
            </w:r>
          </w:p>
          <w:p>
            <w:pPr>
              <w:bidi w:val="0"/>
              <w:rPr>
                <w:rFonts w:hint="default"/>
                <w:color w:val="auto"/>
                <w:highlight w:val="none"/>
              </w:rPr>
            </w:pPr>
            <w:r>
              <w:rPr>
                <w:rFonts w:hint="eastAsia"/>
                <w:color w:val="auto"/>
                <w:highlight w:val="none"/>
                <w:lang w:val="en-US" w:eastAsia="zh-CN"/>
              </w:rPr>
              <w:t>根据《唐山市人民政府关于实施“三线一单”生态环境分区管控的意见》（唐政字[2021] 48号），本项目与其对比分析如下：</w:t>
            </w:r>
          </w:p>
          <w:p>
            <w:pPr>
              <w:bidi w:val="0"/>
              <w:rPr>
                <w:rFonts w:hint="default"/>
                <w:color w:val="auto"/>
                <w:highlight w:val="none"/>
              </w:rPr>
            </w:pPr>
            <w:r>
              <w:rPr>
                <w:rFonts w:hint="eastAsia"/>
                <w:color w:val="auto"/>
                <w:highlight w:val="none"/>
                <w:lang w:val="en-US" w:eastAsia="zh-CN"/>
              </w:rPr>
              <w:t>本项目</w:t>
            </w:r>
            <w:r>
              <w:rPr>
                <w:rFonts w:hint="default"/>
                <w:color w:val="auto"/>
                <w:highlight w:val="none"/>
              </w:rPr>
              <w:t>位于</w:t>
            </w:r>
            <w:r>
              <w:rPr>
                <w:rFonts w:hint="eastAsia"/>
                <w:color w:val="auto"/>
                <w:sz w:val="24"/>
                <w:szCs w:val="24"/>
                <w:highlight w:val="none"/>
                <w:lang w:val="en-US" w:eastAsia="zh-CN"/>
              </w:rPr>
              <w:t>唐山市高新区学院北路1718-1号，唐山烯彤科技有限公司院内</w:t>
            </w:r>
            <w:r>
              <w:rPr>
                <w:rFonts w:hint="eastAsia"/>
                <w:color w:val="auto"/>
                <w:highlight w:val="none"/>
                <w:lang w:eastAsia="zh-CN"/>
              </w:rPr>
              <w:t>，</w:t>
            </w:r>
            <w:r>
              <w:rPr>
                <w:rFonts w:hint="eastAsia"/>
                <w:color w:val="auto"/>
                <w:highlight w:val="none"/>
                <w:lang w:val="en-US" w:eastAsia="zh-CN"/>
              </w:rPr>
              <w:t>不在生态保护红线区、自然保护区、风景名胜区、森林公园、湿地公园、地质公园、水产种质资源保护区、自然文化遗产、湿地空间、饮用水地下水源保护区、一般生态空间范围内，为重点管控单元，项目与唐山市生态环境准入清单符合性分析见下表。</w:t>
            </w:r>
          </w:p>
          <w:p>
            <w:pPr>
              <w:bidi w:val="0"/>
              <w:rPr>
                <w:rFonts w:hint="eastAsia"/>
                <w:color w:val="auto"/>
                <w:highlight w:val="none"/>
                <w:lang w:val="en-US" w:eastAsia="zh-CN"/>
              </w:rPr>
            </w:pPr>
          </w:p>
          <w:p>
            <w:pPr>
              <w:bidi w:val="0"/>
              <w:rPr>
                <w:rFonts w:hint="eastAsia"/>
                <w:color w:val="auto"/>
                <w:highlight w:val="none"/>
                <w:lang w:val="en-US" w:eastAsia="zh-CN"/>
              </w:rPr>
            </w:pPr>
          </w:p>
          <w:p>
            <w:pPr>
              <w:bidi w:val="0"/>
              <w:rPr>
                <w:rFonts w:hint="eastAsia"/>
                <w:color w:val="auto"/>
                <w:highlight w:val="none"/>
                <w:lang w:val="en-US" w:eastAsia="zh-CN"/>
              </w:rPr>
            </w:pPr>
          </w:p>
          <w:p>
            <w:pPr>
              <w:bidi w:val="0"/>
              <w:rPr>
                <w:rFonts w:hint="eastAsia"/>
                <w:color w:val="auto"/>
                <w:highlight w:val="none"/>
                <w:lang w:val="en-US" w:eastAsia="zh-CN"/>
              </w:rPr>
            </w:pPr>
          </w:p>
          <w:p>
            <w:pPr>
              <w:bidi w:val="0"/>
              <w:rPr>
                <w:rFonts w:hint="eastAsia"/>
                <w:color w:val="auto"/>
                <w:highlight w:val="none"/>
                <w:lang w:val="en-US" w:eastAsia="zh-CN"/>
              </w:rPr>
            </w:pPr>
          </w:p>
          <w:p>
            <w:pPr>
              <w:bidi w:val="0"/>
              <w:rPr>
                <w:rFonts w:hint="eastAsia"/>
                <w:color w:val="auto"/>
                <w:highlight w:val="none"/>
                <w:lang w:val="en-US" w:eastAsia="zh-CN"/>
              </w:rPr>
            </w:pPr>
          </w:p>
          <w:p>
            <w:pPr>
              <w:bidi w:val="0"/>
              <w:rPr>
                <w:rFonts w:hint="eastAsia"/>
                <w:color w:val="auto"/>
                <w:highlight w:val="none"/>
                <w:lang w:val="en-US" w:eastAsia="zh-CN"/>
              </w:rPr>
            </w:pPr>
          </w:p>
          <w:p>
            <w:pPr>
              <w:bidi w:val="0"/>
              <w:rPr>
                <w:rFonts w:hint="eastAsia"/>
                <w:color w:val="auto"/>
                <w:highlight w:val="none"/>
                <w:lang w:val="en-US" w:eastAsia="zh-CN"/>
              </w:rPr>
            </w:pPr>
          </w:p>
          <w:p>
            <w:pPr>
              <w:bidi w:val="0"/>
              <w:rPr>
                <w:rFonts w:hint="eastAsia"/>
                <w:color w:val="auto"/>
                <w:highlight w:val="none"/>
                <w:lang w:val="en-US" w:eastAsia="zh-CN"/>
              </w:rPr>
            </w:pPr>
          </w:p>
          <w:p>
            <w:pPr>
              <w:bidi w:val="0"/>
              <w:ind w:left="0" w:leftChars="0" w:firstLine="0" w:firstLineChars="0"/>
              <w:rPr>
                <w:rFonts w:hint="eastAsia"/>
                <w:color w:val="auto"/>
                <w:highlight w:val="none"/>
                <w:lang w:val="en-US" w:eastAsia="zh-CN"/>
              </w:rPr>
            </w:pPr>
          </w:p>
          <w:p>
            <w:pPr>
              <w:bidi w:val="0"/>
              <w:ind w:left="0" w:leftChars="0" w:firstLine="0" w:firstLineChars="0"/>
              <w:rPr>
                <w:rFonts w:hint="eastAsia"/>
                <w:color w:val="auto"/>
                <w:highlight w:val="none"/>
                <w:lang w:val="en-US" w:eastAsia="zh-CN"/>
              </w:rPr>
            </w:pPr>
          </w:p>
          <w:p>
            <w:pPr>
              <w:bidi w:val="0"/>
              <w:ind w:left="0" w:leftChars="0" w:firstLine="0" w:firstLineChars="0"/>
              <w:rPr>
                <w:rFonts w:hint="eastAsia"/>
                <w:color w:val="auto"/>
                <w:highlight w:val="none"/>
                <w:lang w:val="en-US" w:eastAsia="zh-CN"/>
              </w:rPr>
            </w:pPr>
          </w:p>
          <w:p>
            <w:pPr>
              <w:bidi w:val="0"/>
              <w:ind w:left="0" w:leftChars="0" w:firstLine="0" w:firstLineChars="0"/>
              <w:rPr>
                <w:rFonts w:hint="eastAsia"/>
                <w:color w:val="auto"/>
                <w:highlight w:val="none"/>
                <w:lang w:val="en-US" w:eastAsia="zh-CN"/>
              </w:rPr>
            </w:pPr>
          </w:p>
          <w:p>
            <w:pPr>
              <w:bidi w:val="0"/>
              <w:ind w:left="0" w:leftChars="0" w:firstLine="0" w:firstLineChars="0"/>
              <w:rPr>
                <w:rFonts w:hint="eastAsia"/>
                <w:color w:val="auto"/>
                <w:highlight w:val="none"/>
                <w:lang w:val="en-US" w:eastAsia="zh-CN"/>
              </w:rPr>
            </w:pPr>
          </w:p>
          <w:p>
            <w:pPr>
              <w:bidi w:val="0"/>
              <w:ind w:left="0" w:leftChars="0" w:firstLine="0" w:firstLineChars="0"/>
              <w:rPr>
                <w:rFonts w:hint="eastAsia"/>
                <w:color w:val="auto"/>
                <w:highlight w:val="none"/>
                <w:lang w:val="en-US" w:eastAsia="zh-CN"/>
              </w:rPr>
            </w:pPr>
          </w:p>
          <w:p>
            <w:pPr>
              <w:bidi w:val="0"/>
              <w:ind w:left="0" w:leftChars="0" w:firstLine="0" w:firstLineChars="0"/>
              <w:rPr>
                <w:rFonts w:hint="eastAsia"/>
                <w:color w:val="auto"/>
                <w:highlight w:val="none"/>
                <w:lang w:val="en-US" w:eastAsia="zh-CN"/>
              </w:rPr>
            </w:pPr>
          </w:p>
          <w:p>
            <w:pPr>
              <w:bidi w:val="0"/>
              <w:ind w:left="0" w:leftChars="0" w:firstLine="0" w:firstLineChars="0"/>
              <w:rPr>
                <w:rFonts w:hint="eastAsia"/>
                <w:color w:val="auto"/>
                <w:highlight w:val="none"/>
                <w:lang w:val="en-US" w:eastAsia="zh-CN"/>
              </w:rPr>
            </w:pPr>
          </w:p>
        </w:tc>
      </w:tr>
    </w:tbl>
    <w:p>
      <w:pPr>
        <w:rPr>
          <w:color w:val="auto"/>
          <w:highlight w:val="none"/>
        </w:rPr>
        <w:sectPr>
          <w:footerReference r:id="rId8" w:type="default"/>
          <w:pgSz w:w="11906" w:h="16838"/>
          <w:pgMar w:top="1440" w:right="1247" w:bottom="1440" w:left="1417"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p>
    <w:tbl>
      <w:tblPr>
        <w:tblStyle w:val="25"/>
        <w:tblW w:w="14173"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75"/>
        <w:gridCol w:w="1319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975"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textAlignment w:val="auto"/>
              <w:rPr>
                <w:rFonts w:hint="eastAsia"/>
                <w:b/>
                <w:bCs/>
                <w:color w:val="auto"/>
                <w:sz w:val="24"/>
                <w:szCs w:val="24"/>
                <w:highlight w:val="none"/>
                <w:vertAlign w:val="baseline"/>
                <w:lang w:val="en-US" w:eastAsia="zh-CN"/>
              </w:rPr>
            </w:pPr>
          </w:p>
        </w:tc>
        <w:tc>
          <w:tcPr>
            <w:tcW w:w="1319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val="0"/>
              <w:spacing w:line="480" w:lineRule="exact"/>
              <w:ind w:left="0" w:leftChars="0" w:right="0" w:rightChars="0" w:firstLine="0" w:firstLineChars="0"/>
              <w:jc w:val="center"/>
              <w:textAlignment w:val="auto"/>
              <w:outlineLvl w:val="9"/>
              <w:rPr>
                <w:rFonts w:hint="eastAsia" w:ascii="Times New Roman" w:hAnsi="Times New Roman" w:eastAsia="宋体"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rPr>
              <w:t>表</w:t>
            </w:r>
            <w:r>
              <w:rPr>
                <w:rFonts w:hint="eastAsia" w:cs="Times New Roman"/>
                <w:b/>
                <w:bCs/>
                <w:color w:val="auto"/>
                <w:sz w:val="21"/>
                <w:szCs w:val="21"/>
                <w:highlight w:val="none"/>
                <w:lang w:val="en-US" w:eastAsia="zh-CN"/>
              </w:rPr>
              <w:t>6</w:t>
            </w:r>
            <w:r>
              <w:rPr>
                <w:rFonts w:hint="eastAsia" w:ascii="Times New Roman" w:hAnsi="Times New Roman" w:cs="Times New Roman"/>
                <w:b/>
                <w:bCs/>
                <w:color w:val="auto"/>
                <w:sz w:val="21"/>
                <w:szCs w:val="21"/>
                <w:highlight w:val="none"/>
                <w:lang w:val="en-US" w:eastAsia="zh-CN"/>
              </w:rPr>
              <w:t xml:space="preserve">  </w:t>
            </w:r>
            <w:r>
              <w:rPr>
                <w:rFonts w:hint="default" w:ascii="Times New Roman" w:hAnsi="Times New Roman" w:cs="Times New Roman"/>
                <w:b/>
                <w:bCs/>
                <w:color w:val="auto"/>
                <w:sz w:val="21"/>
                <w:szCs w:val="21"/>
                <w:highlight w:val="none"/>
              </w:rPr>
              <w:t>与</w:t>
            </w:r>
            <w:r>
              <w:rPr>
                <w:rFonts w:hint="eastAsia" w:ascii="Times New Roman" w:hAnsi="Times New Roman" w:cs="Times New Roman"/>
                <w:b/>
                <w:bCs/>
                <w:color w:val="auto"/>
                <w:sz w:val="21"/>
                <w:szCs w:val="21"/>
                <w:highlight w:val="none"/>
                <w:lang w:val="en-US" w:eastAsia="zh-CN"/>
              </w:rPr>
              <w:t>陆域环境管控单元生态环境准入清单</w:t>
            </w:r>
            <w:r>
              <w:rPr>
                <w:rFonts w:hint="default" w:ascii="Times New Roman" w:hAnsi="Times New Roman" w:cs="Times New Roman"/>
                <w:b/>
                <w:bCs/>
                <w:color w:val="auto"/>
                <w:sz w:val="21"/>
                <w:szCs w:val="21"/>
                <w:highlight w:val="none"/>
              </w:rPr>
              <w:t>相符性分析</w:t>
            </w:r>
            <w:r>
              <w:rPr>
                <w:rFonts w:hint="eastAsia" w:cs="Times New Roman"/>
                <w:b/>
                <w:bCs/>
                <w:color w:val="auto"/>
                <w:sz w:val="21"/>
                <w:szCs w:val="21"/>
                <w:highlight w:val="none"/>
                <w:lang w:val="en-US" w:eastAsia="zh-CN"/>
              </w:rPr>
              <w:t>一览表</w:t>
            </w:r>
          </w:p>
          <w:tbl>
            <w:tblPr>
              <w:tblStyle w:val="24"/>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656"/>
              <w:gridCol w:w="600"/>
              <w:gridCol w:w="826"/>
              <w:gridCol w:w="705"/>
              <w:gridCol w:w="960"/>
              <w:gridCol w:w="705"/>
              <w:gridCol w:w="5790"/>
              <w:gridCol w:w="2013"/>
              <w:gridCol w:w="69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65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宋体" w:cs="Times New Roman"/>
                      <w:color w:val="auto"/>
                      <w:spacing w:val="0"/>
                      <w:kern w:val="0"/>
                      <w:sz w:val="21"/>
                      <w:szCs w:val="21"/>
                      <w:highlight w:val="none"/>
                      <w:lang w:val="en-US" w:eastAsia="zh-CN"/>
                    </w:rPr>
                  </w:pPr>
                  <w:r>
                    <w:rPr>
                      <w:rFonts w:hint="eastAsia" w:ascii="Times New Roman" w:hAnsi="Times New Roman" w:eastAsia="宋体" w:cs="Times New Roman"/>
                      <w:color w:val="auto"/>
                      <w:spacing w:val="0"/>
                      <w:kern w:val="0"/>
                      <w:sz w:val="21"/>
                      <w:szCs w:val="21"/>
                      <w:highlight w:val="none"/>
                      <w:lang w:val="en-US" w:eastAsia="zh-CN"/>
                    </w:rPr>
                    <w:t>编号</w:t>
                  </w:r>
                </w:p>
              </w:tc>
              <w:tc>
                <w:tcPr>
                  <w:tcW w:w="60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宋体" w:cs="Times New Roman"/>
                      <w:color w:val="auto"/>
                      <w:spacing w:val="0"/>
                      <w:kern w:val="0"/>
                      <w:sz w:val="21"/>
                      <w:szCs w:val="21"/>
                      <w:highlight w:val="none"/>
                      <w:lang w:val="en-US" w:eastAsia="zh-CN"/>
                    </w:rPr>
                  </w:pPr>
                  <w:r>
                    <w:rPr>
                      <w:rFonts w:hint="eastAsia" w:ascii="Times New Roman" w:hAnsi="Times New Roman" w:eastAsia="宋体" w:cs="Times New Roman"/>
                      <w:color w:val="auto"/>
                      <w:spacing w:val="0"/>
                      <w:kern w:val="0"/>
                      <w:sz w:val="21"/>
                      <w:szCs w:val="21"/>
                      <w:highlight w:val="none"/>
                      <w:lang w:val="en-US" w:eastAsia="zh-CN"/>
                    </w:rPr>
                    <w:t>区县</w:t>
                  </w:r>
                </w:p>
              </w:tc>
              <w:tc>
                <w:tcPr>
                  <w:tcW w:w="82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宋体" w:cs="Times New Roman"/>
                      <w:color w:val="auto"/>
                      <w:spacing w:val="0"/>
                      <w:kern w:val="0"/>
                      <w:sz w:val="21"/>
                      <w:szCs w:val="21"/>
                      <w:highlight w:val="none"/>
                      <w:lang w:val="en-US" w:eastAsia="zh-CN"/>
                    </w:rPr>
                  </w:pPr>
                  <w:r>
                    <w:rPr>
                      <w:rFonts w:hint="eastAsia" w:ascii="Times New Roman" w:hAnsi="Times New Roman" w:eastAsia="宋体" w:cs="Times New Roman"/>
                      <w:color w:val="auto"/>
                      <w:spacing w:val="0"/>
                      <w:kern w:val="0"/>
                      <w:sz w:val="21"/>
                      <w:szCs w:val="21"/>
                      <w:highlight w:val="none"/>
                      <w:lang w:val="en-US" w:eastAsia="zh-CN"/>
                    </w:rPr>
                    <w:t>乡镇</w:t>
                  </w:r>
                </w:p>
              </w:tc>
              <w:tc>
                <w:tcPr>
                  <w:tcW w:w="70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宋体" w:cs="Times New Roman"/>
                      <w:color w:val="auto"/>
                      <w:spacing w:val="0"/>
                      <w:kern w:val="0"/>
                      <w:sz w:val="21"/>
                      <w:szCs w:val="21"/>
                      <w:highlight w:val="none"/>
                      <w:lang w:val="en-US" w:eastAsia="zh-CN"/>
                    </w:rPr>
                  </w:pPr>
                  <w:r>
                    <w:rPr>
                      <w:rFonts w:hint="eastAsia" w:ascii="Times New Roman" w:hAnsi="Times New Roman" w:eastAsia="宋体" w:cs="Times New Roman"/>
                      <w:color w:val="auto"/>
                      <w:spacing w:val="0"/>
                      <w:kern w:val="0"/>
                      <w:sz w:val="21"/>
                      <w:szCs w:val="21"/>
                      <w:highlight w:val="none"/>
                      <w:lang w:val="en-US" w:eastAsia="zh-CN"/>
                    </w:rPr>
                    <w:t>单元类别</w:t>
                  </w:r>
                </w:p>
              </w:tc>
              <w:tc>
                <w:tcPr>
                  <w:tcW w:w="96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宋体" w:cs="Times New Roman"/>
                      <w:color w:val="auto"/>
                      <w:spacing w:val="0"/>
                      <w:kern w:val="0"/>
                      <w:sz w:val="21"/>
                      <w:szCs w:val="21"/>
                      <w:highlight w:val="none"/>
                      <w:lang w:val="en-US" w:eastAsia="zh-CN"/>
                    </w:rPr>
                  </w:pPr>
                  <w:r>
                    <w:rPr>
                      <w:rFonts w:hint="eastAsia" w:ascii="Times New Roman" w:hAnsi="Times New Roman" w:eastAsia="宋体" w:cs="Times New Roman"/>
                      <w:color w:val="auto"/>
                      <w:spacing w:val="0"/>
                      <w:kern w:val="0"/>
                      <w:sz w:val="21"/>
                      <w:szCs w:val="21"/>
                      <w:highlight w:val="none"/>
                      <w:lang w:val="en-US" w:eastAsia="zh-CN"/>
                    </w:rPr>
                    <w:t>环境要素类别</w:t>
                  </w:r>
                </w:p>
              </w:tc>
              <w:tc>
                <w:tcPr>
                  <w:tcW w:w="70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宋体" w:cs="Times New Roman"/>
                      <w:color w:val="auto"/>
                      <w:spacing w:val="0"/>
                      <w:kern w:val="0"/>
                      <w:sz w:val="21"/>
                      <w:szCs w:val="21"/>
                      <w:highlight w:val="none"/>
                      <w:lang w:val="en-US" w:eastAsia="zh-CN"/>
                    </w:rPr>
                  </w:pPr>
                  <w:r>
                    <w:rPr>
                      <w:rFonts w:hint="eastAsia" w:ascii="Times New Roman" w:hAnsi="Times New Roman" w:eastAsia="宋体" w:cs="Times New Roman"/>
                      <w:color w:val="auto"/>
                      <w:spacing w:val="0"/>
                      <w:kern w:val="0"/>
                      <w:sz w:val="21"/>
                      <w:szCs w:val="21"/>
                      <w:highlight w:val="none"/>
                      <w:lang w:val="en-US" w:eastAsia="zh-CN"/>
                    </w:rPr>
                    <w:t>维度</w:t>
                  </w:r>
                </w:p>
              </w:tc>
              <w:tc>
                <w:tcPr>
                  <w:tcW w:w="57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宋体" w:cs="Times New Roman"/>
                      <w:color w:val="auto"/>
                      <w:spacing w:val="0"/>
                      <w:kern w:val="0"/>
                      <w:sz w:val="21"/>
                      <w:szCs w:val="21"/>
                      <w:highlight w:val="none"/>
                      <w:lang w:val="en-US" w:eastAsia="zh-CN"/>
                    </w:rPr>
                  </w:pPr>
                  <w:r>
                    <w:rPr>
                      <w:rFonts w:hint="eastAsia" w:ascii="Times New Roman" w:hAnsi="Times New Roman" w:eastAsia="宋体" w:cs="Times New Roman"/>
                      <w:color w:val="auto"/>
                      <w:spacing w:val="0"/>
                      <w:kern w:val="0"/>
                      <w:sz w:val="21"/>
                      <w:szCs w:val="21"/>
                      <w:highlight w:val="none"/>
                      <w:lang w:val="en-US" w:eastAsia="zh-CN"/>
                    </w:rPr>
                    <w:t>管控措施</w:t>
                  </w:r>
                </w:p>
              </w:tc>
              <w:tc>
                <w:tcPr>
                  <w:tcW w:w="201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宋体" w:cs="Times New Roman"/>
                      <w:color w:val="auto"/>
                      <w:spacing w:val="0"/>
                      <w:kern w:val="0"/>
                      <w:sz w:val="21"/>
                      <w:szCs w:val="21"/>
                      <w:highlight w:val="none"/>
                      <w:lang w:eastAsia="zh-CN"/>
                    </w:rPr>
                  </w:pPr>
                  <w:r>
                    <w:rPr>
                      <w:rFonts w:hint="default" w:ascii="Times New Roman" w:hAnsi="Times New Roman" w:eastAsia="宋体" w:cs="Times New Roman"/>
                      <w:color w:val="auto"/>
                      <w:spacing w:val="0"/>
                      <w:kern w:val="0"/>
                      <w:sz w:val="21"/>
                      <w:szCs w:val="21"/>
                      <w:highlight w:val="none"/>
                      <w:lang w:eastAsia="zh-CN"/>
                    </w:rPr>
                    <w:t>项目情况</w:t>
                  </w:r>
                </w:p>
              </w:tc>
              <w:tc>
                <w:tcPr>
                  <w:tcW w:w="69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宋体" w:cs="Times New Roman"/>
                      <w:color w:val="auto"/>
                      <w:spacing w:val="0"/>
                      <w:kern w:val="0"/>
                      <w:sz w:val="21"/>
                      <w:szCs w:val="21"/>
                      <w:highlight w:val="none"/>
                      <w:lang w:eastAsia="zh-CN"/>
                    </w:rPr>
                  </w:pPr>
                  <w:r>
                    <w:rPr>
                      <w:rFonts w:hint="default" w:ascii="Times New Roman" w:hAnsi="Times New Roman" w:eastAsia="宋体" w:cs="Times New Roman"/>
                      <w:color w:val="auto"/>
                      <w:spacing w:val="0"/>
                      <w:kern w:val="0"/>
                      <w:sz w:val="21"/>
                      <w:szCs w:val="21"/>
                      <w:highlight w:val="none"/>
                      <w:lang w:eastAsia="zh-CN"/>
                    </w:rPr>
                    <w:t>符合性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435" w:hRule="atLeast"/>
                <w:jc w:val="center"/>
              </w:trPr>
              <w:tc>
                <w:tcPr>
                  <w:tcW w:w="657"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宋体" w:cs="Times New Roman"/>
                      <w:color w:val="auto"/>
                      <w:spacing w:val="0"/>
                      <w:kern w:val="0"/>
                      <w:sz w:val="21"/>
                      <w:szCs w:val="21"/>
                      <w:highlight w:val="none"/>
                      <w:lang w:val="en-US" w:eastAsia="zh-CN"/>
                    </w:rPr>
                  </w:pPr>
                  <w:r>
                    <w:rPr>
                      <w:rFonts w:hint="eastAsia" w:ascii="Times New Roman" w:hAnsi="Times New Roman" w:eastAsia="宋体" w:cs="Times New Roman"/>
                      <w:color w:val="auto"/>
                      <w:spacing w:val="0"/>
                      <w:kern w:val="0"/>
                      <w:sz w:val="21"/>
                      <w:szCs w:val="21"/>
                      <w:highlight w:val="none"/>
                      <w:lang w:val="en-US" w:eastAsia="zh-CN"/>
                    </w:rPr>
                    <w:t>ZH1302</w:t>
                  </w:r>
                  <w:r>
                    <w:rPr>
                      <w:rFonts w:hint="eastAsia" w:cs="Times New Roman"/>
                      <w:color w:val="auto"/>
                      <w:spacing w:val="0"/>
                      <w:kern w:val="0"/>
                      <w:sz w:val="21"/>
                      <w:szCs w:val="21"/>
                      <w:highlight w:val="none"/>
                      <w:lang w:val="en-US" w:eastAsia="zh-CN"/>
                    </w:rPr>
                    <w:t>7320001</w:t>
                  </w:r>
                </w:p>
              </w:tc>
              <w:tc>
                <w:tcPr>
                  <w:tcW w:w="600"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宋体" w:cs="Times New Roman"/>
                      <w:color w:val="auto"/>
                      <w:spacing w:val="0"/>
                      <w:kern w:val="0"/>
                      <w:sz w:val="21"/>
                      <w:szCs w:val="21"/>
                      <w:highlight w:val="none"/>
                      <w:lang w:val="en-US" w:eastAsia="zh-CN"/>
                    </w:rPr>
                  </w:pPr>
                  <w:r>
                    <w:rPr>
                      <w:rFonts w:hint="eastAsia" w:cs="Times New Roman"/>
                      <w:color w:val="auto"/>
                      <w:spacing w:val="0"/>
                      <w:kern w:val="0"/>
                      <w:sz w:val="21"/>
                      <w:szCs w:val="21"/>
                      <w:highlight w:val="none"/>
                      <w:lang w:val="en-US" w:eastAsia="zh-CN"/>
                    </w:rPr>
                    <w:t>高新技术产业开发区</w:t>
                  </w:r>
                </w:p>
              </w:tc>
              <w:tc>
                <w:tcPr>
                  <w:tcW w:w="826"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宋体" w:cs="Times New Roman"/>
                      <w:color w:val="auto"/>
                      <w:spacing w:val="0"/>
                      <w:kern w:val="0"/>
                      <w:sz w:val="21"/>
                      <w:szCs w:val="21"/>
                      <w:highlight w:val="none"/>
                      <w:lang w:val="en-US" w:eastAsia="zh-CN"/>
                    </w:rPr>
                  </w:pPr>
                  <w:r>
                    <w:rPr>
                      <w:rFonts w:hint="eastAsia" w:cs="Times New Roman"/>
                      <w:color w:val="auto"/>
                      <w:spacing w:val="0"/>
                      <w:kern w:val="0"/>
                      <w:sz w:val="21"/>
                      <w:szCs w:val="21"/>
                      <w:highlight w:val="none"/>
                      <w:lang w:val="en-US" w:eastAsia="zh-CN"/>
                    </w:rPr>
                    <w:t>高新区街道、庆北街道</w:t>
                  </w:r>
                </w:p>
              </w:tc>
              <w:tc>
                <w:tcPr>
                  <w:tcW w:w="705"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center"/>
                    <w:textAlignment w:val="auto"/>
                    <w:rPr>
                      <w:rFonts w:hint="default" w:ascii="Times New Roman" w:hAnsi="Times New Roman" w:eastAsia="宋体" w:cs="Times New Roman"/>
                      <w:color w:val="auto"/>
                      <w:spacing w:val="0"/>
                      <w:kern w:val="0"/>
                      <w:sz w:val="21"/>
                      <w:szCs w:val="21"/>
                      <w:highlight w:val="none"/>
                      <w:lang w:val="en-US" w:eastAsia="zh-CN"/>
                    </w:rPr>
                  </w:pPr>
                  <w:r>
                    <w:rPr>
                      <w:rFonts w:hint="eastAsia" w:ascii="Times New Roman" w:hAnsi="Times New Roman" w:eastAsia="宋体" w:cs="Times New Roman"/>
                      <w:color w:val="auto"/>
                      <w:spacing w:val="0"/>
                      <w:kern w:val="0"/>
                      <w:sz w:val="21"/>
                      <w:szCs w:val="21"/>
                      <w:highlight w:val="none"/>
                      <w:lang w:val="en-US" w:eastAsia="zh-CN"/>
                    </w:rPr>
                    <w:t>重点管控单元</w:t>
                  </w:r>
                </w:p>
              </w:tc>
              <w:tc>
                <w:tcPr>
                  <w:tcW w:w="960" w:type="dxa"/>
                  <w:vMerge w:val="restart"/>
                  <w:tcBorders>
                    <w:tl2br w:val="nil"/>
                    <w:tr2bl w:val="nil"/>
                  </w:tcBorders>
                  <w:noWrap w:val="0"/>
                  <w:vAlign w:val="center"/>
                </w:tcPr>
                <w:p>
                  <w:pPr>
                    <w:keepNext w:val="0"/>
                    <w:keepLines w:val="0"/>
                    <w:pageBreakBefore w:val="0"/>
                    <w:widowControl/>
                    <w:numPr>
                      <w:ilvl w:val="0"/>
                      <w:numId w:val="4"/>
                    </w:numPr>
                    <w:suppressLineNumbers w:val="0"/>
                    <w:kinsoku/>
                    <w:wordWrap/>
                    <w:overflowPunct/>
                    <w:topLinePunct w:val="0"/>
                    <w:autoSpaceDE/>
                    <w:autoSpaceDN/>
                    <w:bidi w:val="0"/>
                    <w:adjustRightInd/>
                    <w:snapToGrid/>
                    <w:spacing w:line="280" w:lineRule="exact"/>
                    <w:ind w:firstLine="0" w:firstLineChars="0"/>
                    <w:jc w:val="center"/>
                    <w:textAlignment w:val="auto"/>
                    <w:rPr>
                      <w:rFonts w:hint="eastAsia" w:cs="Times New Roman"/>
                      <w:color w:val="auto"/>
                      <w:spacing w:val="0"/>
                      <w:kern w:val="0"/>
                      <w:sz w:val="21"/>
                      <w:szCs w:val="21"/>
                      <w:highlight w:val="none"/>
                      <w:lang w:val="en-US" w:eastAsia="zh-CN"/>
                    </w:rPr>
                  </w:pPr>
                  <w:r>
                    <w:rPr>
                      <w:rFonts w:hint="eastAsia" w:cs="Times New Roman"/>
                      <w:color w:val="auto"/>
                      <w:spacing w:val="0"/>
                      <w:kern w:val="0"/>
                      <w:sz w:val="21"/>
                      <w:szCs w:val="21"/>
                      <w:highlight w:val="none"/>
                      <w:lang w:val="en-US" w:eastAsia="zh-CN"/>
                    </w:rPr>
                    <w:t>大气受体敏感、高排放重点管控区</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line="280" w:lineRule="exact"/>
                    <w:ind w:firstLine="0" w:firstLineChars="0"/>
                    <w:jc w:val="center"/>
                    <w:textAlignment w:val="auto"/>
                    <w:rPr>
                      <w:rFonts w:hint="default" w:cs="Times New Roman"/>
                      <w:color w:val="auto"/>
                      <w:spacing w:val="0"/>
                      <w:kern w:val="0"/>
                      <w:sz w:val="21"/>
                      <w:szCs w:val="21"/>
                      <w:highlight w:val="none"/>
                      <w:lang w:val="en-US" w:eastAsia="zh-CN"/>
                    </w:rPr>
                  </w:pPr>
                  <w:r>
                    <w:rPr>
                      <w:rFonts w:hint="eastAsia" w:cs="Times New Roman"/>
                      <w:color w:val="auto"/>
                      <w:spacing w:val="0"/>
                      <w:kern w:val="0"/>
                      <w:sz w:val="21"/>
                      <w:szCs w:val="21"/>
                      <w:highlight w:val="none"/>
                      <w:lang w:val="en-US" w:eastAsia="zh-CN"/>
                    </w:rPr>
                    <w:t>水环境工业污染重点管控区</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line="280" w:lineRule="exact"/>
                    <w:ind w:firstLine="0" w:firstLineChars="0"/>
                    <w:jc w:val="center"/>
                    <w:textAlignment w:val="auto"/>
                    <w:rPr>
                      <w:rFonts w:hint="default" w:cs="Times New Roman"/>
                      <w:color w:val="auto"/>
                      <w:spacing w:val="0"/>
                      <w:kern w:val="0"/>
                      <w:sz w:val="21"/>
                      <w:szCs w:val="21"/>
                      <w:highlight w:val="none"/>
                      <w:lang w:val="en-US" w:eastAsia="zh-CN"/>
                    </w:rPr>
                  </w:pPr>
                  <w:r>
                    <w:rPr>
                      <w:rFonts w:hint="eastAsia" w:cs="Times New Roman"/>
                      <w:color w:val="auto"/>
                      <w:spacing w:val="0"/>
                      <w:kern w:val="0"/>
                      <w:sz w:val="21"/>
                      <w:szCs w:val="21"/>
                      <w:highlight w:val="none"/>
                      <w:lang w:val="en-US" w:eastAsia="zh-CN"/>
                    </w:rPr>
                    <w:t>地下水风险防控重点管控区</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line="280" w:lineRule="exact"/>
                    <w:ind w:firstLine="0" w:firstLineChars="0"/>
                    <w:jc w:val="center"/>
                    <w:textAlignment w:val="auto"/>
                    <w:rPr>
                      <w:rFonts w:hint="default" w:cs="Times New Roman"/>
                      <w:color w:val="auto"/>
                      <w:spacing w:val="0"/>
                      <w:kern w:val="0"/>
                      <w:sz w:val="21"/>
                      <w:szCs w:val="21"/>
                      <w:highlight w:val="none"/>
                      <w:lang w:val="en-US" w:eastAsia="zh-CN"/>
                    </w:rPr>
                  </w:pPr>
                  <w:r>
                    <w:rPr>
                      <w:rFonts w:hint="eastAsia" w:cs="Times New Roman"/>
                      <w:color w:val="auto"/>
                      <w:spacing w:val="0"/>
                      <w:kern w:val="0"/>
                      <w:sz w:val="21"/>
                      <w:szCs w:val="21"/>
                      <w:highlight w:val="none"/>
                      <w:lang w:val="en-US" w:eastAsia="zh-CN"/>
                    </w:rPr>
                    <w:t>高新技术产业开发区中心区、唐山市规划城区</w:t>
                  </w:r>
                </w:p>
                <w:p>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center"/>
                    <w:textAlignment w:val="auto"/>
                    <w:rPr>
                      <w:rFonts w:hint="default" w:ascii="Times New Roman" w:hAnsi="Times New Roman" w:eastAsia="宋体" w:cs="Times New Roman"/>
                      <w:color w:val="auto"/>
                      <w:spacing w:val="0"/>
                      <w:kern w:val="0"/>
                      <w:sz w:val="21"/>
                      <w:szCs w:val="21"/>
                      <w:highlight w:val="none"/>
                    </w:rPr>
                  </w:pPr>
                </w:p>
              </w:tc>
              <w:tc>
                <w:tcPr>
                  <w:tcW w:w="705"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center"/>
                    <w:textAlignment w:val="auto"/>
                    <w:rPr>
                      <w:rFonts w:hint="default" w:ascii="Times New Roman" w:hAnsi="Times New Roman" w:eastAsia="宋体" w:cs="Times New Roman"/>
                      <w:color w:val="auto"/>
                      <w:spacing w:val="0"/>
                      <w:kern w:val="0"/>
                      <w:sz w:val="21"/>
                      <w:szCs w:val="21"/>
                      <w:highlight w:val="none"/>
                    </w:rPr>
                  </w:pPr>
                  <w:r>
                    <w:rPr>
                      <w:rFonts w:hint="default" w:ascii="Times New Roman" w:hAnsi="Times New Roman" w:eastAsia="宋体" w:cs="Times New Roman"/>
                      <w:color w:val="auto"/>
                      <w:spacing w:val="0"/>
                      <w:kern w:val="0"/>
                      <w:sz w:val="21"/>
                      <w:szCs w:val="21"/>
                      <w:highlight w:val="none"/>
                    </w:rPr>
                    <w:t>空间布局约束</w:t>
                  </w:r>
                </w:p>
              </w:tc>
              <w:tc>
                <w:tcPr>
                  <w:tcW w:w="579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auto"/>
                    <w:rPr>
                      <w:rFonts w:hint="default" w:ascii="Times New Roman" w:hAnsi="Times New Roman" w:eastAsia="宋体" w:cs="Times New Roman"/>
                      <w:color w:val="auto"/>
                      <w:spacing w:val="0"/>
                      <w:kern w:val="0"/>
                      <w:sz w:val="21"/>
                      <w:szCs w:val="21"/>
                      <w:highlight w:val="none"/>
                    </w:rPr>
                  </w:pPr>
                  <w:r>
                    <w:rPr>
                      <w:rFonts w:hint="default" w:ascii="Times New Roman" w:hAnsi="Times New Roman" w:eastAsia="宋体" w:cs="Times New Roman"/>
                      <w:color w:val="auto"/>
                      <w:spacing w:val="0"/>
                      <w:kern w:val="0"/>
                      <w:sz w:val="21"/>
                      <w:szCs w:val="21"/>
                      <w:highlight w:val="none"/>
                    </w:rPr>
                    <w:t>1、</w:t>
                  </w:r>
                  <w:r>
                    <w:rPr>
                      <w:rFonts w:hint="default" w:ascii="Times New Roman" w:hAnsi="Times New Roman" w:eastAsia="宋体" w:cs="Times New Roman"/>
                      <w:color w:val="auto"/>
                      <w:spacing w:val="0"/>
                      <w:kern w:val="0"/>
                      <w:sz w:val="21"/>
                      <w:szCs w:val="21"/>
                      <w:highlight w:val="none"/>
                      <w:lang w:val="zh-CN"/>
                    </w:rPr>
                    <w:t>开发区内北郊饮用水水源地二级保护区执行全市生态环境空间总体管控要求的各类保护地中饮用水水源地的管控要求</w:t>
                  </w:r>
                  <w:r>
                    <w:rPr>
                      <w:rFonts w:hint="default" w:ascii="Times New Roman" w:hAnsi="Times New Roman" w:eastAsia="宋体" w:cs="Times New Roman"/>
                      <w:color w:val="auto"/>
                      <w:spacing w:val="0"/>
                      <w:kern w:val="0"/>
                      <w:sz w:val="21"/>
                      <w:szCs w:val="21"/>
                      <w:highlight w:val="none"/>
                    </w:rPr>
                    <w:t>。</w:t>
                  </w:r>
                </w:p>
                <w:p>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auto"/>
                    <w:rPr>
                      <w:rFonts w:hint="default" w:ascii="Times New Roman" w:hAnsi="Times New Roman" w:eastAsia="宋体" w:cs="Times New Roman"/>
                      <w:color w:val="auto"/>
                      <w:spacing w:val="0"/>
                      <w:kern w:val="0"/>
                      <w:sz w:val="21"/>
                      <w:szCs w:val="21"/>
                      <w:highlight w:val="none"/>
                    </w:rPr>
                  </w:pPr>
                  <w:r>
                    <w:rPr>
                      <w:rFonts w:hint="default" w:ascii="Times New Roman" w:hAnsi="Times New Roman" w:eastAsia="宋体" w:cs="Times New Roman"/>
                      <w:color w:val="auto"/>
                      <w:spacing w:val="0"/>
                      <w:kern w:val="0"/>
                      <w:sz w:val="21"/>
                      <w:szCs w:val="21"/>
                      <w:highlight w:val="none"/>
                    </w:rPr>
                    <w:t>2、</w:t>
                  </w:r>
                  <w:r>
                    <w:rPr>
                      <w:rFonts w:hint="default" w:ascii="Times New Roman" w:hAnsi="Times New Roman" w:eastAsia="宋体" w:cs="Times New Roman"/>
                      <w:color w:val="auto"/>
                      <w:spacing w:val="0"/>
                      <w:kern w:val="0"/>
                      <w:sz w:val="21"/>
                      <w:szCs w:val="21"/>
                      <w:highlight w:val="none"/>
                      <w:lang w:val="zh-CN"/>
                    </w:rPr>
                    <w:t>市核心区禁止布局废品收购站，经营性印刷、铁艺加工等涉VOCs排放行业企业，涉喷漆工序汽修行业二类以下企业</w:t>
                  </w:r>
                  <w:r>
                    <w:rPr>
                      <w:rFonts w:hint="eastAsia" w:ascii="Times New Roman" w:hAnsi="Times New Roman" w:eastAsia="宋体" w:cs="Times New Roman"/>
                      <w:color w:val="auto"/>
                      <w:spacing w:val="0"/>
                      <w:kern w:val="0"/>
                      <w:sz w:val="21"/>
                      <w:szCs w:val="21"/>
                      <w:highlight w:val="none"/>
                      <w:lang w:val="zh-CN"/>
                    </w:rPr>
                    <w:t>；</w:t>
                  </w:r>
                  <w:r>
                    <w:rPr>
                      <w:rFonts w:hint="default" w:ascii="Times New Roman" w:hAnsi="Times New Roman" w:eastAsia="宋体" w:cs="Times New Roman"/>
                      <w:color w:val="auto"/>
                      <w:spacing w:val="0"/>
                      <w:kern w:val="0"/>
                      <w:sz w:val="21"/>
                      <w:szCs w:val="21"/>
                      <w:highlight w:val="none"/>
                      <w:lang w:val="zh-CN"/>
                    </w:rPr>
                    <w:t>环线以内禁止布局搅拌站、沥青拌合站</w:t>
                  </w:r>
                  <w:r>
                    <w:rPr>
                      <w:rFonts w:hint="default" w:ascii="Times New Roman" w:hAnsi="Times New Roman" w:eastAsia="宋体" w:cs="Times New Roman"/>
                      <w:color w:val="auto"/>
                      <w:spacing w:val="0"/>
                      <w:kern w:val="0"/>
                      <w:sz w:val="21"/>
                      <w:szCs w:val="21"/>
                      <w:highlight w:val="none"/>
                    </w:rPr>
                    <w:t>。</w:t>
                  </w:r>
                </w:p>
                <w:p>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auto"/>
                    <w:rPr>
                      <w:rFonts w:hint="eastAsia" w:ascii="Times New Roman" w:hAnsi="Times New Roman" w:eastAsia="宋体" w:cs="Times New Roman"/>
                      <w:color w:val="auto"/>
                      <w:spacing w:val="0"/>
                      <w:kern w:val="0"/>
                      <w:sz w:val="21"/>
                      <w:szCs w:val="21"/>
                      <w:highlight w:val="none"/>
                      <w:lang w:val="en-US" w:eastAsia="zh-CN"/>
                    </w:rPr>
                  </w:pPr>
                  <w:r>
                    <w:rPr>
                      <w:rFonts w:hint="eastAsia" w:ascii="Times New Roman" w:hAnsi="Times New Roman" w:eastAsia="宋体" w:cs="Times New Roman"/>
                      <w:color w:val="auto"/>
                      <w:spacing w:val="0"/>
                      <w:kern w:val="0"/>
                      <w:sz w:val="21"/>
                      <w:szCs w:val="21"/>
                      <w:highlight w:val="none"/>
                      <w:lang w:val="en-US" w:eastAsia="zh-CN"/>
                    </w:rPr>
                    <w:t>3、二环线内，禁止新建铸造、轧钢、石灰窑、砖瓦窑、家具制造（涉VOCs）、化工行业企业，严禁国IV及以下排放标准柴油货车驶入。</w:t>
                  </w:r>
                </w:p>
              </w:tc>
              <w:tc>
                <w:tcPr>
                  <w:tcW w:w="201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宋体" w:cs="Times New Roman"/>
                      <w:color w:val="auto"/>
                      <w:spacing w:val="0"/>
                      <w:kern w:val="0"/>
                      <w:sz w:val="21"/>
                      <w:szCs w:val="21"/>
                      <w:highlight w:val="none"/>
                      <w:lang w:val="en-US" w:eastAsia="zh-CN"/>
                    </w:rPr>
                  </w:pPr>
                  <w:r>
                    <w:rPr>
                      <w:rFonts w:hint="eastAsia" w:ascii="Times New Roman" w:hAnsi="Times New Roman" w:eastAsia="宋体" w:cs="Times New Roman"/>
                      <w:color w:val="auto"/>
                      <w:spacing w:val="0"/>
                      <w:kern w:val="0"/>
                      <w:sz w:val="21"/>
                      <w:szCs w:val="21"/>
                      <w:highlight w:val="none"/>
                      <w:lang w:val="en-US" w:eastAsia="zh-CN"/>
                    </w:rPr>
                    <w:t>本项目不在</w:t>
                  </w:r>
                  <w:r>
                    <w:rPr>
                      <w:rFonts w:hint="default" w:ascii="Times New Roman" w:hAnsi="Times New Roman" w:eastAsia="宋体" w:cs="Times New Roman"/>
                      <w:color w:val="auto"/>
                      <w:spacing w:val="0"/>
                      <w:kern w:val="0"/>
                      <w:sz w:val="21"/>
                      <w:szCs w:val="21"/>
                      <w:highlight w:val="none"/>
                      <w:lang w:val="zh-CN"/>
                    </w:rPr>
                    <w:t>北郊饮用水水源地二级保护区</w:t>
                  </w:r>
                  <w:r>
                    <w:rPr>
                      <w:rFonts w:hint="eastAsia" w:ascii="Times New Roman" w:hAnsi="Times New Roman" w:eastAsia="宋体" w:cs="Times New Roman"/>
                      <w:color w:val="auto"/>
                      <w:spacing w:val="0"/>
                      <w:kern w:val="0"/>
                      <w:sz w:val="21"/>
                      <w:szCs w:val="21"/>
                      <w:highlight w:val="none"/>
                      <w:lang w:val="zh-CN"/>
                    </w:rPr>
                    <w:t>，</w:t>
                  </w:r>
                  <w:r>
                    <w:rPr>
                      <w:rFonts w:hint="eastAsia" w:ascii="Times New Roman" w:hAnsi="Times New Roman" w:eastAsia="宋体" w:cs="Times New Roman"/>
                      <w:color w:val="auto"/>
                      <w:spacing w:val="0"/>
                      <w:kern w:val="0"/>
                      <w:sz w:val="21"/>
                      <w:szCs w:val="21"/>
                      <w:highlight w:val="none"/>
                      <w:lang w:val="en-US" w:eastAsia="zh-CN"/>
                    </w:rPr>
                    <w:t>为</w:t>
                  </w:r>
                  <w:r>
                    <w:rPr>
                      <w:rFonts w:hint="eastAsia" w:cs="Times New Roman"/>
                      <w:color w:val="auto"/>
                      <w:spacing w:val="0"/>
                      <w:kern w:val="0"/>
                      <w:sz w:val="21"/>
                      <w:szCs w:val="21"/>
                      <w:highlight w:val="none"/>
                      <w:lang w:val="en-US" w:eastAsia="zh-CN"/>
                    </w:rPr>
                    <w:t>其他家用电力器具制造</w:t>
                  </w:r>
                  <w:r>
                    <w:rPr>
                      <w:rFonts w:hint="eastAsia" w:ascii="Times New Roman" w:hAnsi="Times New Roman" w:eastAsia="宋体" w:cs="Times New Roman"/>
                      <w:color w:val="auto"/>
                      <w:spacing w:val="0"/>
                      <w:kern w:val="0"/>
                      <w:sz w:val="21"/>
                      <w:szCs w:val="21"/>
                      <w:highlight w:val="none"/>
                      <w:lang w:val="en-US" w:eastAsia="zh-CN"/>
                    </w:rPr>
                    <w:t>，本项目建成后对进出厂区车辆进行要求，严禁国V及以下排放标准柴油货车驶入</w:t>
                  </w:r>
                </w:p>
              </w:tc>
              <w:tc>
                <w:tcPr>
                  <w:tcW w:w="69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宋体" w:cs="Times New Roman"/>
                      <w:color w:val="auto"/>
                      <w:spacing w:val="0"/>
                      <w:kern w:val="0"/>
                      <w:sz w:val="21"/>
                      <w:szCs w:val="21"/>
                      <w:highlight w:val="none"/>
                      <w:lang w:eastAsia="zh-CN"/>
                    </w:rPr>
                  </w:pPr>
                  <w:r>
                    <w:rPr>
                      <w:rFonts w:hint="default" w:ascii="Times New Roman" w:hAnsi="Times New Roman" w:eastAsia="宋体" w:cs="Times New Roman"/>
                      <w:color w:val="auto"/>
                      <w:spacing w:val="0"/>
                      <w:kern w:val="0"/>
                      <w:sz w:val="21"/>
                      <w:szCs w:val="21"/>
                      <w:highlight w:val="none"/>
                      <w:lang w:eastAsia="zh-CN"/>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100" w:hRule="atLeast"/>
                <w:jc w:val="center"/>
              </w:trPr>
              <w:tc>
                <w:tcPr>
                  <w:tcW w:w="657"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outlineLvl w:val="9"/>
                    <w:rPr>
                      <w:rFonts w:hint="eastAsia" w:ascii="Times New Roman" w:hAnsi="Times New Roman" w:eastAsia="宋体" w:cs="Times New Roman"/>
                      <w:color w:val="auto"/>
                      <w:spacing w:val="0"/>
                      <w:kern w:val="0"/>
                      <w:sz w:val="21"/>
                      <w:szCs w:val="21"/>
                      <w:highlight w:val="none"/>
                      <w:lang w:val="en-US" w:eastAsia="zh-CN"/>
                    </w:rPr>
                  </w:pPr>
                </w:p>
              </w:tc>
              <w:tc>
                <w:tcPr>
                  <w:tcW w:w="60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outlineLvl w:val="9"/>
                    <w:rPr>
                      <w:rFonts w:hint="eastAsia" w:ascii="Times New Roman" w:hAnsi="Times New Roman" w:eastAsia="宋体" w:cs="Times New Roman"/>
                      <w:color w:val="auto"/>
                      <w:spacing w:val="0"/>
                      <w:kern w:val="0"/>
                      <w:sz w:val="21"/>
                      <w:szCs w:val="21"/>
                      <w:highlight w:val="none"/>
                      <w:lang w:val="en-US" w:eastAsia="zh-CN"/>
                    </w:rPr>
                  </w:pPr>
                </w:p>
              </w:tc>
              <w:tc>
                <w:tcPr>
                  <w:tcW w:w="826"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outlineLvl w:val="9"/>
                    <w:rPr>
                      <w:rFonts w:hint="eastAsia" w:ascii="Times New Roman" w:hAnsi="Times New Roman" w:eastAsia="宋体" w:cs="Times New Roman"/>
                      <w:color w:val="auto"/>
                      <w:spacing w:val="0"/>
                      <w:kern w:val="0"/>
                      <w:sz w:val="21"/>
                      <w:szCs w:val="21"/>
                      <w:highlight w:val="none"/>
                      <w:lang w:val="en-US" w:eastAsia="zh-CN"/>
                    </w:rPr>
                  </w:pPr>
                </w:p>
              </w:tc>
              <w:tc>
                <w:tcPr>
                  <w:tcW w:w="705" w:type="dxa"/>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center"/>
                    <w:textAlignment w:val="auto"/>
                    <w:rPr>
                      <w:rFonts w:hint="eastAsia" w:ascii="Times New Roman" w:hAnsi="Times New Roman" w:eastAsia="宋体" w:cs="Times New Roman"/>
                      <w:color w:val="auto"/>
                      <w:spacing w:val="0"/>
                      <w:kern w:val="0"/>
                      <w:sz w:val="21"/>
                      <w:szCs w:val="21"/>
                      <w:highlight w:val="none"/>
                      <w:lang w:val="en-US" w:eastAsia="zh-CN"/>
                    </w:rPr>
                  </w:pPr>
                </w:p>
              </w:tc>
              <w:tc>
                <w:tcPr>
                  <w:tcW w:w="960" w:type="dxa"/>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center"/>
                    <w:textAlignment w:val="auto"/>
                    <w:rPr>
                      <w:rFonts w:hint="default" w:ascii="Times New Roman" w:hAnsi="Times New Roman" w:eastAsia="宋体" w:cs="Times New Roman"/>
                      <w:color w:val="auto"/>
                      <w:spacing w:val="0"/>
                      <w:kern w:val="0"/>
                      <w:sz w:val="21"/>
                      <w:szCs w:val="21"/>
                      <w:highlight w:val="none"/>
                    </w:rPr>
                  </w:pPr>
                </w:p>
              </w:tc>
              <w:tc>
                <w:tcPr>
                  <w:tcW w:w="705"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center"/>
                    <w:textAlignment w:val="auto"/>
                    <w:rPr>
                      <w:rFonts w:hint="default" w:ascii="Times New Roman" w:hAnsi="Times New Roman" w:eastAsia="宋体" w:cs="Times New Roman"/>
                      <w:color w:val="auto"/>
                      <w:spacing w:val="0"/>
                      <w:kern w:val="0"/>
                      <w:sz w:val="21"/>
                      <w:szCs w:val="21"/>
                      <w:highlight w:val="none"/>
                    </w:rPr>
                  </w:pPr>
                  <w:r>
                    <w:rPr>
                      <w:rFonts w:hint="default" w:ascii="Times New Roman" w:hAnsi="Times New Roman" w:eastAsia="宋体" w:cs="Times New Roman"/>
                      <w:color w:val="auto"/>
                      <w:spacing w:val="0"/>
                      <w:kern w:val="0"/>
                      <w:sz w:val="21"/>
                      <w:szCs w:val="21"/>
                      <w:highlight w:val="none"/>
                    </w:rPr>
                    <w:t>污染物排放管控</w:t>
                  </w:r>
                </w:p>
              </w:tc>
              <w:tc>
                <w:tcPr>
                  <w:tcW w:w="5790" w:type="dxa"/>
                  <w:tcBorders>
                    <w:tl2br w:val="nil"/>
                    <w:tr2bl w:val="nil"/>
                  </w:tcBorders>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eastAsia="宋体" w:cs="Times New Roman"/>
                      <w:color w:val="auto"/>
                      <w:spacing w:val="0"/>
                      <w:kern w:val="0"/>
                      <w:sz w:val="21"/>
                      <w:szCs w:val="21"/>
                      <w:highlight w:val="none"/>
                    </w:rPr>
                  </w:pPr>
                  <w:r>
                    <w:rPr>
                      <w:rFonts w:hint="default" w:ascii="Times New Roman" w:hAnsi="Times New Roman" w:eastAsia="宋体" w:cs="Times New Roman"/>
                      <w:color w:val="auto"/>
                      <w:spacing w:val="0"/>
                      <w:kern w:val="0"/>
                      <w:sz w:val="21"/>
                      <w:szCs w:val="21"/>
                      <w:highlight w:val="none"/>
                      <w:lang w:val="zh-CN"/>
                    </w:rPr>
                    <w:t>对环线内汽修企业的喷漆工序加强源头控制，禁止使用等离子、活性炭吸附、光催化氧化等单级治理技术处理VOCs废气，必须使用双级或多级质量技术处理措施</w:t>
                  </w:r>
                </w:p>
              </w:tc>
              <w:tc>
                <w:tcPr>
                  <w:tcW w:w="201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spacing w:val="0"/>
                      <w:kern w:val="0"/>
                      <w:sz w:val="21"/>
                      <w:szCs w:val="21"/>
                      <w:highlight w:val="none"/>
                      <w:lang w:val="en-US" w:eastAsia="zh-CN"/>
                    </w:rPr>
                    <w:t>本项目不属于汽修企业</w:t>
                  </w:r>
                </w:p>
              </w:tc>
              <w:tc>
                <w:tcPr>
                  <w:tcW w:w="69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宋体" w:cs="Times New Roman"/>
                      <w:color w:val="auto"/>
                      <w:spacing w:val="0"/>
                      <w:kern w:val="0"/>
                      <w:sz w:val="21"/>
                      <w:szCs w:val="21"/>
                      <w:highlight w:val="none"/>
                      <w:lang w:eastAsia="zh-CN"/>
                    </w:rPr>
                  </w:pPr>
                  <w:r>
                    <w:rPr>
                      <w:rFonts w:hint="default" w:ascii="Times New Roman" w:hAnsi="Times New Roman" w:eastAsia="宋体" w:cs="Times New Roman"/>
                      <w:color w:val="auto"/>
                      <w:spacing w:val="0"/>
                      <w:kern w:val="0"/>
                      <w:sz w:val="21"/>
                      <w:szCs w:val="21"/>
                      <w:highlight w:val="none"/>
                      <w:lang w:eastAsia="zh-CN"/>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185" w:hRule="atLeast"/>
                <w:jc w:val="center"/>
              </w:trPr>
              <w:tc>
                <w:tcPr>
                  <w:tcW w:w="657"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outlineLvl w:val="9"/>
                    <w:rPr>
                      <w:rFonts w:hint="eastAsia" w:ascii="Times New Roman" w:hAnsi="Times New Roman" w:eastAsia="宋体" w:cs="Times New Roman"/>
                      <w:color w:val="auto"/>
                      <w:spacing w:val="0"/>
                      <w:kern w:val="0"/>
                      <w:sz w:val="21"/>
                      <w:szCs w:val="21"/>
                      <w:highlight w:val="none"/>
                      <w:lang w:val="en-US" w:eastAsia="zh-CN"/>
                    </w:rPr>
                  </w:pPr>
                </w:p>
              </w:tc>
              <w:tc>
                <w:tcPr>
                  <w:tcW w:w="60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outlineLvl w:val="9"/>
                    <w:rPr>
                      <w:rFonts w:hint="eastAsia" w:ascii="Times New Roman" w:hAnsi="Times New Roman" w:eastAsia="宋体" w:cs="Times New Roman"/>
                      <w:color w:val="auto"/>
                      <w:spacing w:val="0"/>
                      <w:kern w:val="0"/>
                      <w:sz w:val="21"/>
                      <w:szCs w:val="21"/>
                      <w:highlight w:val="none"/>
                      <w:lang w:val="en-US" w:eastAsia="zh-CN"/>
                    </w:rPr>
                  </w:pPr>
                </w:p>
              </w:tc>
              <w:tc>
                <w:tcPr>
                  <w:tcW w:w="826"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outlineLvl w:val="9"/>
                    <w:rPr>
                      <w:rFonts w:hint="eastAsia" w:ascii="Times New Roman" w:hAnsi="Times New Roman" w:eastAsia="宋体" w:cs="Times New Roman"/>
                      <w:color w:val="auto"/>
                      <w:spacing w:val="0"/>
                      <w:kern w:val="0"/>
                      <w:sz w:val="21"/>
                      <w:szCs w:val="21"/>
                      <w:highlight w:val="none"/>
                      <w:lang w:val="en-US" w:eastAsia="zh-CN"/>
                    </w:rPr>
                  </w:pPr>
                </w:p>
              </w:tc>
              <w:tc>
                <w:tcPr>
                  <w:tcW w:w="705" w:type="dxa"/>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center"/>
                    <w:textAlignment w:val="auto"/>
                    <w:rPr>
                      <w:rFonts w:hint="eastAsia" w:ascii="Times New Roman" w:hAnsi="Times New Roman" w:eastAsia="宋体" w:cs="Times New Roman"/>
                      <w:color w:val="auto"/>
                      <w:spacing w:val="0"/>
                      <w:kern w:val="0"/>
                      <w:sz w:val="21"/>
                      <w:szCs w:val="21"/>
                      <w:highlight w:val="none"/>
                      <w:lang w:val="en-US" w:eastAsia="zh-CN"/>
                    </w:rPr>
                  </w:pPr>
                </w:p>
              </w:tc>
              <w:tc>
                <w:tcPr>
                  <w:tcW w:w="960" w:type="dxa"/>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center"/>
                    <w:textAlignment w:val="auto"/>
                    <w:rPr>
                      <w:rFonts w:hint="default" w:ascii="Times New Roman" w:hAnsi="Times New Roman" w:eastAsia="宋体" w:cs="Times New Roman"/>
                      <w:color w:val="auto"/>
                      <w:spacing w:val="0"/>
                      <w:kern w:val="0"/>
                      <w:sz w:val="21"/>
                      <w:szCs w:val="21"/>
                      <w:highlight w:val="none"/>
                    </w:rPr>
                  </w:pPr>
                </w:p>
              </w:tc>
              <w:tc>
                <w:tcPr>
                  <w:tcW w:w="705"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center"/>
                    <w:textAlignment w:val="auto"/>
                    <w:rPr>
                      <w:rFonts w:hint="default" w:ascii="Times New Roman" w:hAnsi="Times New Roman" w:eastAsia="宋体" w:cs="Times New Roman"/>
                      <w:color w:val="auto"/>
                      <w:spacing w:val="0"/>
                      <w:kern w:val="0"/>
                      <w:sz w:val="21"/>
                      <w:szCs w:val="21"/>
                      <w:highlight w:val="none"/>
                    </w:rPr>
                  </w:pPr>
                  <w:r>
                    <w:rPr>
                      <w:rFonts w:hint="default" w:ascii="Times New Roman" w:hAnsi="Times New Roman" w:eastAsia="宋体" w:cs="Times New Roman"/>
                      <w:color w:val="auto"/>
                      <w:spacing w:val="0"/>
                      <w:kern w:val="0"/>
                      <w:sz w:val="21"/>
                      <w:szCs w:val="21"/>
                      <w:highlight w:val="none"/>
                    </w:rPr>
                    <w:t>环境风险防控</w:t>
                  </w:r>
                </w:p>
              </w:tc>
              <w:tc>
                <w:tcPr>
                  <w:tcW w:w="579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auto"/>
                    <w:rPr>
                      <w:rFonts w:hint="default" w:ascii="Times New Roman" w:hAnsi="Times New Roman" w:eastAsia="宋体" w:cs="Times New Roman"/>
                      <w:color w:val="auto"/>
                      <w:spacing w:val="0"/>
                      <w:kern w:val="0"/>
                      <w:sz w:val="21"/>
                      <w:szCs w:val="21"/>
                      <w:highlight w:val="none"/>
                    </w:rPr>
                  </w:pPr>
                  <w:r>
                    <w:rPr>
                      <w:rFonts w:hint="default" w:ascii="Times New Roman" w:hAnsi="Times New Roman" w:eastAsia="宋体" w:cs="Times New Roman"/>
                      <w:color w:val="auto"/>
                      <w:spacing w:val="0"/>
                      <w:kern w:val="0"/>
                      <w:sz w:val="21"/>
                      <w:szCs w:val="21"/>
                      <w:highlight w:val="none"/>
                    </w:rPr>
                    <w:t>1、</w:t>
                  </w:r>
                  <w:r>
                    <w:rPr>
                      <w:rFonts w:hint="default" w:ascii="Times New Roman" w:hAnsi="Times New Roman" w:eastAsia="宋体" w:cs="Times New Roman"/>
                      <w:color w:val="auto"/>
                      <w:spacing w:val="0"/>
                      <w:kern w:val="0"/>
                      <w:sz w:val="21"/>
                      <w:szCs w:val="21"/>
                      <w:highlight w:val="none"/>
                      <w:lang w:val="zh-CN"/>
                    </w:rPr>
                    <w:t>开发区及入区企业需组织编制《环境风险应急预案》，成立应急组织机构，定期开展应急演练，提高区域环境风险防范能力。</w:t>
                  </w:r>
                </w:p>
                <w:p>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auto"/>
                    <w:rPr>
                      <w:rFonts w:hint="default" w:ascii="Times New Roman" w:hAnsi="Times New Roman" w:eastAsia="宋体" w:cs="Times New Roman"/>
                      <w:color w:val="auto"/>
                      <w:spacing w:val="0"/>
                      <w:kern w:val="0"/>
                      <w:sz w:val="21"/>
                      <w:szCs w:val="21"/>
                      <w:highlight w:val="none"/>
                    </w:rPr>
                  </w:pPr>
                  <w:r>
                    <w:rPr>
                      <w:rFonts w:hint="default" w:ascii="Times New Roman" w:hAnsi="Times New Roman" w:eastAsia="宋体" w:cs="Times New Roman"/>
                      <w:color w:val="auto"/>
                      <w:spacing w:val="0"/>
                      <w:kern w:val="0"/>
                      <w:sz w:val="21"/>
                      <w:szCs w:val="21"/>
                      <w:highlight w:val="none"/>
                    </w:rPr>
                    <w:t>2、</w:t>
                  </w:r>
                  <w:r>
                    <w:rPr>
                      <w:rFonts w:hint="default" w:ascii="Times New Roman" w:hAnsi="Times New Roman" w:eastAsia="宋体" w:cs="Times New Roman"/>
                      <w:color w:val="auto"/>
                      <w:spacing w:val="0"/>
                      <w:kern w:val="0"/>
                      <w:sz w:val="21"/>
                      <w:szCs w:val="21"/>
                      <w:highlight w:val="none"/>
                      <w:lang w:val="zh-CN"/>
                    </w:rPr>
                    <w:t>企业事业单位拆除设施、设备或者建筑物、构筑物的，应当采取相应的土壤污染防治措施。其中，土壤污染重点监管单位还应当制定包括应急措施在内的土壤污染防治工作方案，报地方人民政府生态环境、工业和信息化主管部门备案并实施。退成搬迁企业用地再次开发利用前，按程序开展土壤污染状况调查、风险评估、风险管控和修复</w:t>
                  </w:r>
                  <w:r>
                    <w:rPr>
                      <w:rFonts w:hint="default" w:ascii="Times New Roman" w:hAnsi="Times New Roman" w:eastAsia="宋体" w:cs="Times New Roman"/>
                      <w:color w:val="auto"/>
                      <w:spacing w:val="0"/>
                      <w:kern w:val="0"/>
                      <w:sz w:val="21"/>
                      <w:szCs w:val="21"/>
                      <w:highlight w:val="none"/>
                    </w:rPr>
                    <w:t>。</w:t>
                  </w:r>
                </w:p>
              </w:tc>
              <w:tc>
                <w:tcPr>
                  <w:tcW w:w="201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spacing w:val="0"/>
                      <w:kern w:val="0"/>
                      <w:sz w:val="21"/>
                      <w:szCs w:val="21"/>
                      <w:highlight w:val="none"/>
                      <w:lang w:val="en-US" w:eastAsia="zh-CN"/>
                    </w:rPr>
                    <w:t>本项目</w:t>
                  </w:r>
                  <w:r>
                    <w:rPr>
                      <w:rFonts w:hint="eastAsia" w:cs="Times New Roman"/>
                      <w:color w:val="auto"/>
                      <w:spacing w:val="0"/>
                      <w:kern w:val="0"/>
                      <w:sz w:val="21"/>
                      <w:szCs w:val="21"/>
                      <w:highlight w:val="none"/>
                      <w:lang w:val="en-US" w:eastAsia="zh-CN"/>
                    </w:rPr>
                    <w:t>完成后对</w:t>
                  </w:r>
                  <w:r>
                    <w:rPr>
                      <w:rFonts w:hint="default" w:ascii="Times New Roman" w:hAnsi="Times New Roman" w:eastAsia="宋体" w:cs="Times New Roman"/>
                      <w:color w:val="auto"/>
                      <w:spacing w:val="0"/>
                      <w:kern w:val="0"/>
                      <w:sz w:val="21"/>
                      <w:szCs w:val="21"/>
                      <w:highlight w:val="none"/>
                      <w:lang w:eastAsia="zh-CN"/>
                    </w:rPr>
                    <w:t>风险应急预案</w:t>
                  </w:r>
                  <w:r>
                    <w:rPr>
                      <w:rFonts w:hint="eastAsia" w:cs="Times New Roman"/>
                      <w:color w:val="auto"/>
                      <w:spacing w:val="0"/>
                      <w:kern w:val="0"/>
                      <w:sz w:val="21"/>
                      <w:szCs w:val="21"/>
                      <w:highlight w:val="none"/>
                      <w:lang w:val="en-US" w:eastAsia="zh-CN"/>
                    </w:rPr>
                    <w:t>进行修编</w:t>
                  </w:r>
                  <w:r>
                    <w:rPr>
                      <w:rFonts w:hint="eastAsia" w:ascii="Times New Roman" w:hAnsi="Times New Roman" w:eastAsia="宋体" w:cs="Times New Roman"/>
                      <w:color w:val="auto"/>
                      <w:spacing w:val="0"/>
                      <w:kern w:val="0"/>
                      <w:sz w:val="21"/>
                      <w:szCs w:val="21"/>
                      <w:highlight w:val="none"/>
                      <w:lang w:eastAsia="zh-CN"/>
                    </w:rPr>
                    <w:t>，</w:t>
                  </w:r>
                  <w:r>
                    <w:rPr>
                      <w:rFonts w:hint="eastAsia" w:ascii="Times New Roman" w:hAnsi="Times New Roman" w:eastAsia="宋体" w:cs="Times New Roman"/>
                      <w:color w:val="auto"/>
                      <w:spacing w:val="0"/>
                      <w:kern w:val="0"/>
                      <w:sz w:val="21"/>
                      <w:szCs w:val="21"/>
                      <w:highlight w:val="none"/>
                      <w:lang w:val="en-US" w:eastAsia="zh-CN"/>
                    </w:rPr>
                    <w:t>并</w:t>
                  </w:r>
                  <w:r>
                    <w:rPr>
                      <w:rFonts w:hint="default" w:ascii="Times New Roman" w:hAnsi="Times New Roman" w:eastAsia="宋体" w:cs="Times New Roman"/>
                      <w:color w:val="auto"/>
                      <w:spacing w:val="0"/>
                      <w:kern w:val="0"/>
                      <w:sz w:val="21"/>
                      <w:szCs w:val="21"/>
                      <w:highlight w:val="none"/>
                    </w:rPr>
                    <w:t>建立有效的事故风险防范体系</w:t>
                  </w:r>
                  <w:r>
                    <w:rPr>
                      <w:rFonts w:hint="eastAsia" w:ascii="Times New Roman" w:hAnsi="Times New Roman" w:eastAsia="宋体" w:cs="Times New Roman"/>
                      <w:color w:val="auto"/>
                      <w:spacing w:val="0"/>
                      <w:kern w:val="0"/>
                      <w:sz w:val="21"/>
                      <w:szCs w:val="21"/>
                      <w:highlight w:val="none"/>
                      <w:lang w:eastAsia="zh-CN"/>
                    </w:rPr>
                    <w:t>，</w:t>
                  </w:r>
                  <w:r>
                    <w:rPr>
                      <w:rFonts w:hint="eastAsia" w:ascii="Times New Roman" w:hAnsi="Times New Roman" w:eastAsia="宋体" w:cs="Times New Roman"/>
                      <w:color w:val="auto"/>
                      <w:spacing w:val="0"/>
                      <w:kern w:val="0"/>
                      <w:sz w:val="21"/>
                      <w:szCs w:val="21"/>
                      <w:highlight w:val="none"/>
                      <w:lang w:val="en-US" w:eastAsia="zh-CN"/>
                    </w:rPr>
                    <w:t>本项目不属于土壤污染重点监管单位，在现有生产车间内建设，不涉及</w:t>
                  </w:r>
                  <w:r>
                    <w:rPr>
                      <w:rFonts w:hint="default" w:ascii="Times New Roman" w:hAnsi="Times New Roman" w:eastAsia="宋体" w:cs="Times New Roman"/>
                      <w:color w:val="auto"/>
                      <w:spacing w:val="0"/>
                      <w:kern w:val="0"/>
                      <w:sz w:val="21"/>
                      <w:szCs w:val="21"/>
                      <w:highlight w:val="none"/>
                      <w:lang w:val="zh-CN"/>
                    </w:rPr>
                    <w:t>拆除设施、设备或者建筑物、构筑物</w:t>
                  </w:r>
                </w:p>
              </w:tc>
              <w:tc>
                <w:tcPr>
                  <w:tcW w:w="69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宋体" w:cs="Times New Roman"/>
                      <w:color w:val="auto"/>
                      <w:spacing w:val="0"/>
                      <w:kern w:val="0"/>
                      <w:sz w:val="21"/>
                      <w:szCs w:val="21"/>
                      <w:highlight w:val="none"/>
                      <w:lang w:eastAsia="zh-CN"/>
                    </w:rPr>
                  </w:pPr>
                  <w:r>
                    <w:rPr>
                      <w:rFonts w:hint="default" w:ascii="Times New Roman" w:hAnsi="Times New Roman" w:eastAsia="宋体" w:cs="Times New Roman"/>
                      <w:color w:val="auto"/>
                      <w:spacing w:val="0"/>
                      <w:kern w:val="0"/>
                      <w:sz w:val="21"/>
                      <w:szCs w:val="21"/>
                      <w:highlight w:val="none"/>
                      <w:lang w:eastAsia="zh-CN"/>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770" w:hRule="atLeast"/>
                <w:jc w:val="center"/>
              </w:trPr>
              <w:tc>
                <w:tcPr>
                  <w:tcW w:w="657"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outlineLvl w:val="9"/>
                    <w:rPr>
                      <w:rFonts w:hint="eastAsia" w:ascii="Times New Roman" w:hAnsi="Times New Roman" w:eastAsia="宋体" w:cs="Times New Roman"/>
                      <w:color w:val="auto"/>
                      <w:spacing w:val="0"/>
                      <w:kern w:val="0"/>
                      <w:sz w:val="21"/>
                      <w:szCs w:val="21"/>
                      <w:highlight w:val="none"/>
                      <w:lang w:val="en-US" w:eastAsia="zh-CN"/>
                    </w:rPr>
                  </w:pPr>
                </w:p>
              </w:tc>
              <w:tc>
                <w:tcPr>
                  <w:tcW w:w="60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outlineLvl w:val="9"/>
                    <w:rPr>
                      <w:rFonts w:hint="eastAsia" w:ascii="Times New Roman" w:hAnsi="Times New Roman" w:eastAsia="宋体" w:cs="Times New Roman"/>
                      <w:color w:val="auto"/>
                      <w:spacing w:val="0"/>
                      <w:kern w:val="0"/>
                      <w:sz w:val="21"/>
                      <w:szCs w:val="21"/>
                      <w:highlight w:val="none"/>
                      <w:lang w:val="en-US" w:eastAsia="zh-CN"/>
                    </w:rPr>
                  </w:pPr>
                </w:p>
              </w:tc>
              <w:tc>
                <w:tcPr>
                  <w:tcW w:w="826"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outlineLvl w:val="9"/>
                    <w:rPr>
                      <w:rFonts w:hint="eastAsia" w:ascii="Times New Roman" w:hAnsi="Times New Roman" w:eastAsia="宋体" w:cs="Times New Roman"/>
                      <w:color w:val="auto"/>
                      <w:spacing w:val="0"/>
                      <w:kern w:val="0"/>
                      <w:sz w:val="21"/>
                      <w:szCs w:val="21"/>
                      <w:highlight w:val="none"/>
                      <w:lang w:val="en-US" w:eastAsia="zh-CN"/>
                    </w:rPr>
                  </w:pPr>
                </w:p>
              </w:tc>
              <w:tc>
                <w:tcPr>
                  <w:tcW w:w="705" w:type="dxa"/>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center"/>
                    <w:textAlignment w:val="auto"/>
                    <w:rPr>
                      <w:rFonts w:hint="eastAsia" w:ascii="Times New Roman" w:hAnsi="Times New Roman" w:eastAsia="宋体" w:cs="Times New Roman"/>
                      <w:color w:val="auto"/>
                      <w:spacing w:val="0"/>
                      <w:kern w:val="0"/>
                      <w:sz w:val="21"/>
                      <w:szCs w:val="21"/>
                      <w:highlight w:val="none"/>
                      <w:lang w:val="en-US" w:eastAsia="zh-CN"/>
                    </w:rPr>
                  </w:pPr>
                </w:p>
              </w:tc>
              <w:tc>
                <w:tcPr>
                  <w:tcW w:w="960" w:type="dxa"/>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center"/>
                    <w:textAlignment w:val="auto"/>
                    <w:rPr>
                      <w:rFonts w:hint="default" w:ascii="Times New Roman" w:hAnsi="Times New Roman" w:eastAsia="宋体" w:cs="Times New Roman"/>
                      <w:color w:val="auto"/>
                      <w:spacing w:val="0"/>
                      <w:kern w:val="0"/>
                      <w:sz w:val="21"/>
                      <w:szCs w:val="21"/>
                      <w:highlight w:val="none"/>
                    </w:rPr>
                  </w:pPr>
                </w:p>
              </w:tc>
              <w:tc>
                <w:tcPr>
                  <w:tcW w:w="705"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center"/>
                    <w:textAlignment w:val="auto"/>
                    <w:rPr>
                      <w:rFonts w:hint="default" w:ascii="Times New Roman" w:hAnsi="Times New Roman" w:eastAsia="宋体" w:cs="Times New Roman"/>
                      <w:color w:val="auto"/>
                      <w:spacing w:val="0"/>
                      <w:kern w:val="0"/>
                      <w:sz w:val="21"/>
                      <w:szCs w:val="21"/>
                      <w:highlight w:val="none"/>
                    </w:rPr>
                  </w:pPr>
                  <w:r>
                    <w:rPr>
                      <w:rFonts w:hint="default" w:ascii="Times New Roman" w:hAnsi="Times New Roman" w:eastAsia="宋体" w:cs="Times New Roman"/>
                      <w:color w:val="auto"/>
                      <w:spacing w:val="0"/>
                      <w:kern w:val="0"/>
                      <w:sz w:val="21"/>
                      <w:szCs w:val="21"/>
                      <w:highlight w:val="none"/>
                    </w:rPr>
                    <w:t>资源利用效率要求</w:t>
                  </w:r>
                </w:p>
              </w:tc>
              <w:tc>
                <w:tcPr>
                  <w:tcW w:w="579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auto"/>
                    <w:rPr>
                      <w:rFonts w:hint="default" w:ascii="Times New Roman" w:hAnsi="Times New Roman" w:eastAsia="宋体" w:cs="Times New Roman"/>
                      <w:color w:val="auto"/>
                      <w:spacing w:val="0"/>
                      <w:kern w:val="0"/>
                      <w:sz w:val="21"/>
                      <w:szCs w:val="21"/>
                      <w:highlight w:val="none"/>
                    </w:rPr>
                  </w:pPr>
                  <w:r>
                    <w:rPr>
                      <w:rFonts w:hint="default" w:ascii="Times New Roman" w:hAnsi="Times New Roman" w:eastAsia="宋体" w:cs="Times New Roman"/>
                      <w:color w:val="auto"/>
                      <w:spacing w:val="0"/>
                      <w:kern w:val="0"/>
                      <w:sz w:val="21"/>
                      <w:szCs w:val="21"/>
                      <w:highlight w:val="none"/>
                    </w:rPr>
                    <w:t>1、</w:t>
                  </w:r>
                  <w:r>
                    <w:rPr>
                      <w:rFonts w:hint="default" w:ascii="Times New Roman" w:hAnsi="Times New Roman" w:eastAsia="宋体" w:cs="Times New Roman"/>
                      <w:color w:val="auto"/>
                      <w:spacing w:val="0"/>
                      <w:kern w:val="0"/>
                      <w:sz w:val="21"/>
                      <w:szCs w:val="21"/>
                      <w:highlight w:val="none"/>
                      <w:lang w:val="zh-CN"/>
                    </w:rPr>
                    <w:t>高新区街道、庆北街道为浅层地下水限采区，一般不得开凿新的取水井。确需取用地下水的，应当由省人民政府水行政主管部门统筹安排，按照总量控制原则通过按比例核减其他取水单位的地下水取水量和年度用水计划，进行合理配置</w:t>
                  </w:r>
                  <w:r>
                    <w:rPr>
                      <w:rFonts w:hint="default" w:ascii="Times New Roman" w:hAnsi="Times New Roman" w:eastAsia="宋体" w:cs="Times New Roman"/>
                      <w:color w:val="auto"/>
                      <w:spacing w:val="0"/>
                      <w:kern w:val="0"/>
                      <w:sz w:val="21"/>
                      <w:szCs w:val="21"/>
                      <w:highlight w:val="none"/>
                    </w:rPr>
                    <w:t>。</w:t>
                  </w:r>
                </w:p>
                <w:p>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auto"/>
                    <w:rPr>
                      <w:rFonts w:hint="default" w:ascii="Times New Roman" w:hAnsi="Times New Roman" w:eastAsia="宋体" w:cs="Times New Roman"/>
                      <w:color w:val="auto"/>
                      <w:spacing w:val="0"/>
                      <w:kern w:val="0"/>
                      <w:sz w:val="21"/>
                      <w:szCs w:val="21"/>
                      <w:highlight w:val="none"/>
                    </w:rPr>
                  </w:pPr>
                  <w:r>
                    <w:rPr>
                      <w:rFonts w:hint="default" w:ascii="Times New Roman" w:hAnsi="Times New Roman" w:eastAsia="宋体" w:cs="Times New Roman"/>
                      <w:color w:val="auto"/>
                      <w:spacing w:val="0"/>
                      <w:kern w:val="0"/>
                      <w:sz w:val="21"/>
                      <w:szCs w:val="21"/>
                      <w:highlight w:val="none"/>
                    </w:rPr>
                    <w:t>2、</w:t>
                  </w:r>
                  <w:r>
                    <w:rPr>
                      <w:rFonts w:hint="default" w:ascii="Times New Roman" w:hAnsi="Times New Roman" w:eastAsia="宋体" w:cs="Times New Roman"/>
                      <w:color w:val="auto"/>
                      <w:spacing w:val="0"/>
                      <w:kern w:val="0"/>
                      <w:sz w:val="21"/>
                      <w:szCs w:val="21"/>
                      <w:highlight w:val="none"/>
                      <w:lang w:val="zh-CN"/>
                    </w:rPr>
                    <w:t>推进海绵城市建设，加快城镇供水管网改造，推广节水器具，提高水资源重复利用率，加强再生水的回用</w:t>
                  </w:r>
                  <w:r>
                    <w:rPr>
                      <w:rFonts w:hint="default" w:ascii="Times New Roman" w:hAnsi="Times New Roman" w:eastAsia="宋体" w:cs="Times New Roman"/>
                      <w:color w:val="auto"/>
                      <w:spacing w:val="0"/>
                      <w:kern w:val="0"/>
                      <w:sz w:val="21"/>
                      <w:szCs w:val="21"/>
                      <w:highlight w:val="none"/>
                    </w:rPr>
                    <w:t>。</w:t>
                  </w:r>
                </w:p>
              </w:tc>
              <w:tc>
                <w:tcPr>
                  <w:tcW w:w="201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24"/>
                      <w:sz w:val="21"/>
                      <w:szCs w:val="21"/>
                      <w:highlight w:val="none"/>
                      <w:lang w:val="en-US" w:eastAsia="zh-CN"/>
                    </w:rPr>
                    <w:t>本项目</w:t>
                  </w:r>
                  <w:r>
                    <w:rPr>
                      <w:rFonts w:hint="eastAsia" w:cs="Times New Roman"/>
                      <w:color w:val="auto"/>
                      <w:kern w:val="24"/>
                      <w:sz w:val="21"/>
                      <w:szCs w:val="21"/>
                      <w:highlight w:val="none"/>
                      <w:lang w:val="en-US" w:eastAsia="zh-CN"/>
                    </w:rPr>
                    <w:t>不新增用水</w:t>
                  </w:r>
                  <w:r>
                    <w:rPr>
                      <w:rFonts w:hint="eastAsia" w:ascii="Times New Roman" w:hAnsi="Times New Roman" w:eastAsia="宋体" w:cs="Times New Roman"/>
                      <w:color w:val="auto"/>
                      <w:kern w:val="24"/>
                      <w:sz w:val="21"/>
                      <w:szCs w:val="21"/>
                      <w:highlight w:val="none"/>
                      <w:lang w:val="en-US" w:eastAsia="zh-CN"/>
                    </w:rPr>
                    <w:t>，不涉及取用地下水</w:t>
                  </w:r>
                </w:p>
              </w:tc>
              <w:tc>
                <w:tcPr>
                  <w:tcW w:w="69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宋体" w:cs="Times New Roman"/>
                      <w:color w:val="auto"/>
                      <w:spacing w:val="0"/>
                      <w:kern w:val="0"/>
                      <w:sz w:val="21"/>
                      <w:szCs w:val="21"/>
                      <w:highlight w:val="none"/>
                      <w:lang w:eastAsia="zh-CN"/>
                    </w:rPr>
                  </w:pPr>
                  <w:r>
                    <w:rPr>
                      <w:rFonts w:hint="default" w:ascii="Times New Roman" w:hAnsi="Times New Roman" w:eastAsia="宋体" w:cs="Times New Roman"/>
                      <w:color w:val="auto"/>
                      <w:spacing w:val="0"/>
                      <w:kern w:val="0"/>
                      <w:sz w:val="21"/>
                      <w:szCs w:val="21"/>
                      <w:highlight w:val="none"/>
                      <w:lang w:eastAsia="zh-CN"/>
                    </w:rPr>
                    <w:t>符合</w:t>
                  </w:r>
                </w:p>
              </w:tc>
            </w:tr>
          </w:tbl>
          <w:p>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color w:val="auto"/>
                <w:highlight w:val="none"/>
                <w:lang w:val="en-US" w:eastAsia="zh-CN"/>
              </w:rPr>
            </w:pPr>
          </w:p>
        </w:tc>
      </w:tr>
    </w:tbl>
    <w:p>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eastAsia"/>
          <w:color w:val="auto"/>
          <w:highlight w:val="none"/>
          <w:lang w:val="zh-CN"/>
        </w:rPr>
        <w:sectPr>
          <w:footerReference r:id="rId9" w:type="default"/>
          <w:pgSz w:w="16838" w:h="11906" w:orient="landscape"/>
          <w:pgMar w:top="1417" w:right="1440" w:bottom="1247" w:left="144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25"/>
        <w:tblW w:w="9354"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589"/>
        <w:gridCol w:w="776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58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color w:val="auto"/>
                <w:highlight w:val="none"/>
                <w:vertAlign w:val="baseline"/>
                <w:lang w:val="zh-CN"/>
              </w:rPr>
            </w:pPr>
          </w:p>
        </w:tc>
        <w:tc>
          <w:tcPr>
            <w:tcW w:w="7765" w:type="dxa"/>
            <w:tcBorders>
              <w:tl2br w:val="nil"/>
              <w:tr2bl w:val="nil"/>
            </w:tcBorders>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firstLine="0" w:firstLineChars="0"/>
              <w:jc w:val="left"/>
              <w:textAlignment w:val="auto"/>
              <w:rPr>
                <w:rFonts w:hint="default"/>
                <w:b/>
                <w:bCs/>
                <w:color w:val="auto"/>
                <w:sz w:val="24"/>
                <w:szCs w:val="24"/>
                <w:highlight w:val="none"/>
                <w:lang w:val="en-US"/>
              </w:rPr>
            </w:pPr>
            <w:r>
              <w:rPr>
                <w:rFonts w:hint="eastAsia"/>
                <w:b/>
                <w:bCs/>
                <w:color w:val="auto"/>
                <w:sz w:val="24"/>
                <w:szCs w:val="24"/>
                <w:highlight w:val="none"/>
                <w:lang w:val="en-US" w:eastAsia="zh-CN"/>
              </w:rPr>
              <w:t>5、</w:t>
            </w:r>
            <w:r>
              <w:rPr>
                <w:rFonts w:hint="eastAsia"/>
                <w:b/>
                <w:bCs/>
                <w:color w:val="auto"/>
                <w:sz w:val="24"/>
                <w:szCs w:val="24"/>
                <w:highlight w:val="none"/>
              </w:rPr>
              <w:t>与</w:t>
            </w:r>
            <w:r>
              <w:rPr>
                <w:rFonts w:hint="eastAsia"/>
                <w:b/>
                <w:bCs/>
                <w:color w:val="auto"/>
                <w:sz w:val="24"/>
                <w:szCs w:val="24"/>
                <w:highlight w:val="none"/>
                <w:lang w:val="en-US" w:eastAsia="zh-CN"/>
              </w:rPr>
              <w:t>绩效评级相关要求符合性分析</w:t>
            </w:r>
          </w:p>
          <w:p>
            <w:pPr>
              <w:bidi w:val="0"/>
              <w:rPr>
                <w:rFonts w:hint="eastAsia"/>
                <w:color w:val="auto"/>
                <w:highlight w:val="none"/>
                <w:lang w:val="en-US" w:eastAsia="zh-CN"/>
              </w:rPr>
            </w:pPr>
            <w:r>
              <w:rPr>
                <w:rFonts w:hint="eastAsia"/>
                <w:color w:val="auto"/>
                <w:lang w:val="en-US" w:eastAsia="zh-CN"/>
              </w:rPr>
              <w:t>本项目为</w:t>
            </w:r>
            <w:r>
              <w:rPr>
                <w:rFonts w:hint="eastAsia"/>
                <w:color w:val="auto"/>
                <w:highlight w:val="none"/>
                <w:lang w:val="en-US" w:eastAsia="zh-CN"/>
              </w:rPr>
              <w:t>C3859其他家用电力器具制造，对照《重污染天气重点行业应急减排措施制定技术指南（2021年修订版）》、《关于印发&lt;重污染天气重点行业绩效分级及减排措施&gt;补充说明的通知》、《河北省十一个行业重污染天气应急减排措施制定技术指南》，该行业无需进行绩效评级。</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firstLine="0" w:firstLineChars="0"/>
              <w:jc w:val="left"/>
              <w:textAlignment w:val="auto"/>
              <w:rPr>
                <w:rFonts w:hint="default"/>
                <w:b/>
                <w:bCs/>
                <w:color w:val="auto"/>
                <w:sz w:val="24"/>
                <w:szCs w:val="24"/>
                <w:highlight w:val="none"/>
                <w:lang w:val="en-US"/>
              </w:rPr>
            </w:pPr>
            <w:r>
              <w:rPr>
                <w:rFonts w:hint="eastAsia"/>
                <w:b/>
                <w:bCs/>
                <w:color w:val="auto"/>
                <w:sz w:val="24"/>
                <w:szCs w:val="24"/>
                <w:highlight w:val="none"/>
                <w:lang w:val="en-US" w:eastAsia="zh-CN"/>
              </w:rPr>
              <w:t>6、</w:t>
            </w:r>
            <w:r>
              <w:rPr>
                <w:rFonts w:hint="eastAsia"/>
                <w:b/>
                <w:bCs/>
                <w:color w:val="auto"/>
                <w:sz w:val="24"/>
                <w:szCs w:val="24"/>
                <w:highlight w:val="none"/>
              </w:rPr>
              <w:t>与</w:t>
            </w:r>
            <w:r>
              <w:rPr>
                <w:rFonts w:hint="default" w:ascii="Times New Roman" w:hAnsi="Times New Roman" w:eastAsia="宋体" w:cs="Times New Roman"/>
                <w:b/>
                <w:bCs/>
                <w:color w:val="auto"/>
                <w:lang w:val="en-US" w:eastAsia="zh-CN"/>
              </w:rPr>
              <w:t>环境保护综合名录（2021年版）</w:t>
            </w:r>
            <w:r>
              <w:rPr>
                <w:rFonts w:hint="eastAsia"/>
                <w:b/>
                <w:bCs/>
                <w:color w:val="auto"/>
                <w:sz w:val="24"/>
                <w:szCs w:val="24"/>
                <w:highlight w:val="none"/>
                <w:lang w:val="en-US" w:eastAsia="zh-CN"/>
              </w:rPr>
              <w:t>符合性分析</w:t>
            </w:r>
          </w:p>
          <w:p>
            <w:pPr>
              <w:rPr>
                <w:rFonts w:hint="eastAsia" w:ascii="黑体" w:hAnsi="黑体" w:eastAsia="黑体"/>
                <w:snapToGrid w:val="0"/>
                <w:color w:val="auto"/>
                <w:sz w:val="30"/>
                <w:szCs w:val="30"/>
                <w:vertAlign w:val="baseline"/>
              </w:rPr>
            </w:pPr>
            <w:r>
              <w:rPr>
                <w:rFonts w:hint="default" w:ascii="Times New Roman" w:hAnsi="Times New Roman" w:eastAsia="宋体" w:cs="Times New Roman"/>
                <w:color w:val="auto"/>
                <w:lang w:val="en-US" w:eastAsia="zh-CN"/>
              </w:rPr>
              <w:t>本项目产品不在《环境保护综合名录（2021年版）》（环办综合函</w:t>
            </w:r>
            <w:r>
              <w:rPr>
                <w:rFonts w:hint="eastAsia" w:cs="Times New Roman"/>
                <w:color w:val="auto"/>
                <w:lang w:val="en-US" w:eastAsia="zh-CN"/>
              </w:rPr>
              <w:t>[</w:t>
            </w:r>
            <w:r>
              <w:rPr>
                <w:rFonts w:hint="default" w:ascii="Times New Roman" w:hAnsi="Times New Roman" w:eastAsia="宋体" w:cs="Times New Roman"/>
                <w:color w:val="auto"/>
                <w:lang w:val="en-US" w:eastAsia="zh-CN"/>
              </w:rPr>
              <w:t>2021</w:t>
            </w:r>
            <w:r>
              <w:rPr>
                <w:rFonts w:hint="eastAsia" w:cs="Times New Roman"/>
                <w:color w:val="auto"/>
                <w:lang w:val="en-US" w:eastAsia="zh-CN"/>
              </w:rPr>
              <w:t>]</w:t>
            </w:r>
            <w:r>
              <w:rPr>
                <w:rFonts w:hint="default" w:ascii="Times New Roman" w:hAnsi="Times New Roman" w:eastAsia="宋体" w:cs="Times New Roman"/>
                <w:color w:val="auto"/>
                <w:lang w:val="en-US" w:eastAsia="zh-CN"/>
              </w:rPr>
              <w:t>495号）中</w:t>
            </w:r>
            <w:r>
              <w:rPr>
                <w:rFonts w:hint="eastAsia" w:ascii="宋体" w:hAnsi="宋体" w:eastAsia="宋体" w:cs="宋体"/>
                <w:color w:val="auto"/>
                <w:lang w:val="en-US" w:eastAsia="zh-CN"/>
              </w:rPr>
              <w:t>“高污染”、“高环境风险”、“高污染、高环境风险”</w:t>
            </w:r>
            <w:r>
              <w:rPr>
                <w:rFonts w:hint="default" w:ascii="Times New Roman" w:hAnsi="Times New Roman" w:eastAsia="宋体" w:cs="Times New Roman"/>
                <w:color w:val="auto"/>
                <w:lang w:val="en-US" w:eastAsia="zh-CN"/>
              </w:rPr>
              <w:t>产品名录之列</w:t>
            </w:r>
            <w:r>
              <w:rPr>
                <w:rFonts w:hint="eastAsia" w:ascii="Times New Roman" w:hAnsi="Times New Roman" w:eastAsia="宋体" w:cs="Times New Roman"/>
                <w:color w:val="auto"/>
                <w:lang w:val="en-US" w:eastAsia="zh-CN"/>
              </w:rPr>
              <w:t>。</w:t>
            </w:r>
          </w:p>
          <w:p>
            <w:pPr>
              <w:keepNext w:val="0"/>
              <w:keepLines w:val="0"/>
              <w:pageBreakBefore w:val="0"/>
              <w:widowControl w:val="0"/>
              <w:numPr>
                <w:ilvl w:val="0"/>
                <w:numId w:val="5"/>
              </w:numPr>
              <w:suppressLineNumbers w:val="0"/>
              <w:kinsoku/>
              <w:wordWrap/>
              <w:overflowPunct/>
              <w:topLinePunct w:val="0"/>
              <w:autoSpaceDE/>
              <w:autoSpaceDN/>
              <w:bidi w:val="0"/>
              <w:adjustRightInd/>
              <w:snapToGrid/>
              <w:spacing w:before="0" w:beforeAutospacing="0" w:after="0" w:afterAutospacing="0" w:line="480" w:lineRule="exact"/>
              <w:ind w:right="0" w:firstLine="0" w:firstLineChars="0"/>
              <w:jc w:val="left"/>
              <w:textAlignment w:val="auto"/>
              <w:rPr>
                <w:rFonts w:hint="eastAsia"/>
                <w:b/>
                <w:bCs/>
                <w:color w:val="auto"/>
                <w:sz w:val="24"/>
                <w:szCs w:val="24"/>
                <w:highlight w:val="none"/>
                <w:lang w:val="en-US" w:eastAsia="zh-CN"/>
              </w:rPr>
            </w:pPr>
            <w:r>
              <w:rPr>
                <w:rFonts w:hint="eastAsia"/>
                <w:b/>
                <w:bCs/>
                <w:color w:val="auto"/>
                <w:sz w:val="24"/>
                <w:szCs w:val="24"/>
                <w:highlight w:val="none"/>
              </w:rPr>
              <w:t>与</w:t>
            </w:r>
            <w:r>
              <w:rPr>
                <w:rFonts w:hint="default"/>
                <w:b/>
                <w:bCs/>
                <w:color w:val="auto"/>
                <w:sz w:val="24"/>
                <w:szCs w:val="24"/>
                <w:highlight w:val="none"/>
              </w:rPr>
              <w:t>VOC</w:t>
            </w:r>
            <w:r>
              <w:rPr>
                <w:rFonts w:hint="eastAsia"/>
                <w:b/>
                <w:bCs/>
                <w:color w:val="auto"/>
                <w:sz w:val="24"/>
                <w:szCs w:val="24"/>
                <w:highlight w:val="none"/>
                <w:lang w:val="en-US" w:eastAsia="zh-CN"/>
              </w:rPr>
              <w:t>s</w:t>
            </w:r>
            <w:r>
              <w:rPr>
                <w:rFonts w:hint="eastAsia"/>
                <w:b/>
                <w:bCs/>
                <w:color w:val="auto"/>
                <w:sz w:val="24"/>
                <w:szCs w:val="24"/>
                <w:highlight w:val="none"/>
              </w:rPr>
              <w:t>政策的符合性</w:t>
            </w:r>
            <w:r>
              <w:rPr>
                <w:rFonts w:hint="eastAsia"/>
                <w:b/>
                <w:bCs/>
                <w:color w:val="auto"/>
                <w:sz w:val="24"/>
                <w:szCs w:val="24"/>
                <w:highlight w:val="none"/>
                <w:lang w:val="en-US" w:eastAsia="zh-CN"/>
              </w:rPr>
              <w:t>分析</w:t>
            </w:r>
          </w:p>
          <w:p>
            <w:pPr>
              <w:bidi w:val="0"/>
              <w:rPr>
                <w:rFonts w:hint="eastAsia"/>
                <w:color w:val="auto"/>
                <w:highlight w:val="none"/>
                <w:lang w:val="en-US" w:eastAsia="zh-CN"/>
              </w:rPr>
            </w:pPr>
            <w:r>
              <w:rPr>
                <w:rFonts w:hint="eastAsia"/>
                <w:color w:val="auto"/>
                <w:highlight w:val="none"/>
                <w:lang w:val="en-US" w:eastAsia="zh-CN"/>
              </w:rPr>
              <w:t>本项目与VOCs相关政策符合性分析见下表。</w:t>
            </w:r>
          </w:p>
          <w:p>
            <w:pPr>
              <w:bidi w:val="0"/>
              <w:rPr>
                <w:rFonts w:hint="eastAsia"/>
                <w:color w:val="auto"/>
                <w:highlight w:val="none"/>
                <w:lang w:val="en-US" w:eastAsia="zh-CN"/>
              </w:rPr>
            </w:pPr>
          </w:p>
          <w:p>
            <w:pPr>
              <w:bidi w:val="0"/>
              <w:rPr>
                <w:rFonts w:hint="eastAsia"/>
                <w:color w:val="auto"/>
                <w:highlight w:val="none"/>
                <w:lang w:val="en-US" w:eastAsia="zh-CN"/>
              </w:rPr>
            </w:pPr>
          </w:p>
          <w:p>
            <w:pPr>
              <w:bidi w:val="0"/>
              <w:rPr>
                <w:rFonts w:hint="eastAsia"/>
                <w:color w:val="auto"/>
                <w:highlight w:val="none"/>
                <w:lang w:val="en-US" w:eastAsia="zh-CN"/>
              </w:rPr>
            </w:pPr>
          </w:p>
          <w:p>
            <w:pPr>
              <w:bidi w:val="0"/>
              <w:rPr>
                <w:rFonts w:hint="eastAsia"/>
                <w:color w:val="auto"/>
                <w:highlight w:val="none"/>
                <w:lang w:val="en-US" w:eastAsia="zh-CN"/>
              </w:rPr>
            </w:pPr>
          </w:p>
          <w:p>
            <w:pPr>
              <w:bidi w:val="0"/>
              <w:rPr>
                <w:rFonts w:hint="eastAsia"/>
                <w:color w:val="auto"/>
                <w:highlight w:val="none"/>
                <w:lang w:val="en-US" w:eastAsia="zh-CN"/>
              </w:rPr>
            </w:pPr>
          </w:p>
          <w:p>
            <w:pPr>
              <w:bidi w:val="0"/>
              <w:rPr>
                <w:rFonts w:hint="eastAsia"/>
                <w:color w:val="auto"/>
                <w:highlight w:val="none"/>
                <w:lang w:val="en-US" w:eastAsia="zh-CN"/>
              </w:rPr>
            </w:pPr>
          </w:p>
          <w:p>
            <w:pPr>
              <w:bidi w:val="0"/>
              <w:rPr>
                <w:rFonts w:hint="eastAsia"/>
                <w:color w:val="auto"/>
                <w:highlight w:val="none"/>
                <w:lang w:val="en-US" w:eastAsia="zh-CN"/>
              </w:rPr>
            </w:pPr>
          </w:p>
          <w:p>
            <w:pPr>
              <w:bidi w:val="0"/>
              <w:rPr>
                <w:rFonts w:hint="eastAsia"/>
                <w:color w:val="auto"/>
                <w:highlight w:val="none"/>
                <w:lang w:val="en-US" w:eastAsia="zh-CN"/>
              </w:rPr>
            </w:pPr>
          </w:p>
          <w:p>
            <w:pPr>
              <w:bidi w:val="0"/>
              <w:rPr>
                <w:rFonts w:hint="eastAsia"/>
                <w:color w:val="auto"/>
                <w:highlight w:val="none"/>
                <w:lang w:val="en-US" w:eastAsia="zh-CN"/>
              </w:rPr>
            </w:pPr>
          </w:p>
          <w:p>
            <w:pPr>
              <w:bidi w:val="0"/>
              <w:rPr>
                <w:rFonts w:hint="eastAsia"/>
                <w:color w:val="auto"/>
                <w:highlight w:val="none"/>
                <w:lang w:val="en-US" w:eastAsia="zh-CN"/>
              </w:rPr>
            </w:pPr>
          </w:p>
          <w:p>
            <w:pPr>
              <w:bidi w:val="0"/>
              <w:rPr>
                <w:rFonts w:hint="eastAsia"/>
                <w:color w:val="auto"/>
                <w:highlight w:val="none"/>
                <w:lang w:val="en-US" w:eastAsia="zh-CN"/>
              </w:rPr>
            </w:pPr>
          </w:p>
          <w:p>
            <w:pPr>
              <w:bidi w:val="0"/>
              <w:rPr>
                <w:rFonts w:hint="eastAsia"/>
                <w:color w:val="auto"/>
                <w:highlight w:val="none"/>
                <w:lang w:val="en-US" w:eastAsia="zh-CN"/>
              </w:rPr>
            </w:pPr>
          </w:p>
          <w:p>
            <w:pPr>
              <w:bidi w:val="0"/>
              <w:rPr>
                <w:rFonts w:hint="eastAsia"/>
                <w:color w:val="auto"/>
                <w:highlight w:val="none"/>
                <w:lang w:val="en-US" w:eastAsia="zh-CN"/>
              </w:rPr>
            </w:pPr>
          </w:p>
          <w:p>
            <w:pPr>
              <w:bidi w:val="0"/>
              <w:rPr>
                <w:rFonts w:hint="eastAsia"/>
                <w:color w:val="auto"/>
                <w:highlight w:val="none"/>
                <w:lang w:val="en-US" w:eastAsia="zh-CN"/>
              </w:rPr>
            </w:pPr>
          </w:p>
          <w:p>
            <w:pPr>
              <w:bidi w:val="0"/>
              <w:rPr>
                <w:rFonts w:hint="default"/>
                <w:color w:val="auto"/>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jc w:val="left"/>
              <w:textAlignment w:val="auto"/>
              <w:rPr>
                <w:rFonts w:hint="eastAsia"/>
                <w:color w:val="auto"/>
                <w:highlight w:val="none"/>
                <w:vertAlign w:val="baseline"/>
                <w:lang w:val="zh-CN"/>
              </w:rPr>
            </w:pPr>
          </w:p>
        </w:tc>
      </w:tr>
    </w:tbl>
    <w:p>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eastAsia"/>
          <w:color w:val="auto"/>
          <w:highlight w:val="none"/>
          <w:lang w:val="zh-CN"/>
        </w:rPr>
        <w:sectPr>
          <w:pgSz w:w="11906" w:h="16838"/>
          <w:pgMar w:top="1440" w:right="1247" w:bottom="1440" w:left="1417"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25"/>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065"/>
        <w:gridCol w:w="1310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065" w:type="dxa"/>
            <w:tcBorders>
              <w:tl2br w:val="nil"/>
              <w:tr2bl w:val="nil"/>
            </w:tcBorders>
          </w:tcPr>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color w:val="auto"/>
                <w:highlight w:val="none"/>
                <w:vertAlign w:val="baseline"/>
                <w:lang w:val="zh-CN"/>
              </w:rPr>
            </w:pPr>
          </w:p>
        </w:tc>
        <w:tc>
          <w:tcPr>
            <w:tcW w:w="13109" w:type="dxa"/>
            <w:tcBorders>
              <w:tl2br w:val="nil"/>
              <w:tr2bl w:val="nil"/>
            </w:tcBorders>
          </w:tcPr>
          <w:p>
            <w:pPr>
              <w:pStyle w:val="31"/>
              <w:bidi w:val="0"/>
              <w:rPr>
                <w:rFonts w:hint="default"/>
                <w:color w:val="auto"/>
                <w:highlight w:val="none"/>
                <w:lang w:val="zh-CN"/>
              </w:rPr>
            </w:pPr>
            <w:r>
              <w:rPr>
                <w:rFonts w:hint="default"/>
                <w:color w:val="auto"/>
                <w:sz w:val="21"/>
                <w:szCs w:val="21"/>
                <w:highlight w:val="none"/>
                <w:lang w:val="zh-CN"/>
              </w:rPr>
              <w:t>表</w:t>
            </w:r>
            <w:r>
              <w:rPr>
                <w:rFonts w:hint="eastAsia"/>
                <w:color w:val="auto"/>
                <w:sz w:val="21"/>
                <w:szCs w:val="21"/>
                <w:highlight w:val="none"/>
                <w:lang w:val="en-US" w:eastAsia="zh-CN"/>
              </w:rPr>
              <w:t xml:space="preserve">7  </w:t>
            </w:r>
            <w:r>
              <w:rPr>
                <w:rFonts w:hint="eastAsia"/>
                <w:color w:val="auto"/>
                <w:sz w:val="21"/>
                <w:szCs w:val="21"/>
                <w:highlight w:val="none"/>
              </w:rPr>
              <w:t>项目与</w:t>
            </w:r>
            <w:r>
              <w:rPr>
                <w:rFonts w:hint="default"/>
                <w:color w:val="auto"/>
                <w:sz w:val="21"/>
                <w:szCs w:val="21"/>
                <w:highlight w:val="none"/>
              </w:rPr>
              <w:t>VOC</w:t>
            </w:r>
            <w:r>
              <w:rPr>
                <w:rFonts w:hint="eastAsia"/>
                <w:color w:val="auto"/>
                <w:sz w:val="21"/>
                <w:szCs w:val="21"/>
                <w:highlight w:val="none"/>
                <w:lang w:val="en-US" w:eastAsia="zh-CN"/>
              </w:rPr>
              <w:t>s</w:t>
            </w:r>
            <w:r>
              <w:rPr>
                <w:rFonts w:hint="eastAsia"/>
                <w:color w:val="auto"/>
                <w:sz w:val="21"/>
                <w:szCs w:val="21"/>
                <w:highlight w:val="none"/>
              </w:rPr>
              <w:t>政策符合性分析一览表</w:t>
            </w:r>
          </w:p>
          <w:tbl>
            <w:tblPr>
              <w:tblStyle w:val="24"/>
              <w:tblW w:w="12756"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28" w:type="dxa"/>
                <w:bottom w:w="0" w:type="dxa"/>
                <w:right w:w="28" w:type="dxa"/>
              </w:tblCellMar>
            </w:tblPr>
            <w:tblGrid>
              <w:gridCol w:w="529"/>
              <w:gridCol w:w="1295"/>
              <w:gridCol w:w="6690"/>
              <w:gridCol w:w="3413"/>
              <w:gridCol w:w="829"/>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28" w:type="dxa"/>
                  <w:bottom w:w="0" w:type="dxa"/>
                  <w:right w:w="28" w:type="dxa"/>
                </w:tblCellMar>
              </w:tblPrEx>
              <w:trPr>
                <w:trHeight w:val="689" w:hRule="atLeast"/>
                <w:jc w:val="center"/>
              </w:trPr>
              <w:tc>
                <w:tcPr>
                  <w:tcW w:w="51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序号</w:t>
                  </w:r>
                </w:p>
              </w:tc>
              <w:tc>
                <w:tcPr>
                  <w:tcW w:w="7807"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VOCs政策要求</w:t>
                  </w:r>
                </w:p>
              </w:tc>
              <w:tc>
                <w:tcPr>
                  <w:tcW w:w="333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本项目建设情况</w:t>
                  </w:r>
                </w:p>
              </w:tc>
              <w:tc>
                <w:tcPr>
                  <w:tcW w:w="81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rPr>
                  </w:pPr>
                  <w:r>
                    <w:rPr>
                      <w:rFonts w:hint="eastAsia" w:ascii="Times New Roman" w:hAnsi="Times New Roman" w:cs="Times New Roman"/>
                      <w:color w:val="auto"/>
                      <w:sz w:val="21"/>
                      <w:szCs w:val="21"/>
                      <w:highlight w:val="none"/>
                      <w:lang w:val="en-US" w:eastAsia="zh-CN"/>
                    </w:rPr>
                    <w:t>本</w:t>
                  </w:r>
                  <w:r>
                    <w:rPr>
                      <w:rFonts w:hint="default" w:ascii="Times New Roman" w:hAnsi="Times New Roman" w:eastAsia="宋体" w:cs="Times New Roman"/>
                      <w:color w:val="auto"/>
                      <w:sz w:val="21"/>
                      <w:szCs w:val="21"/>
                      <w:highlight w:val="none"/>
                      <w:lang w:val="en-US" w:eastAsia="zh-CN"/>
                    </w:rPr>
                    <w:t>项目</w:t>
                  </w:r>
                  <w:r>
                    <w:rPr>
                      <w:rFonts w:hint="default" w:ascii="Times New Roman" w:hAnsi="Times New Roman" w:eastAsia="宋体" w:cs="Times New Roman"/>
                      <w:color w:val="auto"/>
                      <w:sz w:val="21"/>
                      <w:szCs w:val="21"/>
                      <w:highlight w:val="none"/>
                    </w:rPr>
                    <w:t>符合性</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28" w:type="dxa"/>
                  <w:bottom w:w="0" w:type="dxa"/>
                  <w:right w:w="28" w:type="dxa"/>
                </w:tblCellMar>
              </w:tblPrEx>
              <w:trPr>
                <w:trHeight w:val="1328" w:hRule="atLeast"/>
                <w:jc w:val="center"/>
              </w:trPr>
              <w:tc>
                <w:tcPr>
                  <w:tcW w:w="517" w:type="dxa"/>
                  <w:noWrap w:val="0"/>
                  <w:vAlign w:val="center"/>
                </w:tcPr>
                <w:p>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eastAsia="宋体" w:cs="Times New Roman"/>
                      <w:color w:val="auto"/>
                      <w:sz w:val="21"/>
                      <w:szCs w:val="21"/>
                      <w:highlight w:val="none"/>
                    </w:rPr>
                  </w:pPr>
                </w:p>
              </w:tc>
              <w:tc>
                <w:tcPr>
                  <w:tcW w:w="126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color w:val="auto"/>
                      <w:kern w:val="0"/>
                      <w:sz w:val="21"/>
                      <w:szCs w:val="21"/>
                      <w:highlight w:val="none"/>
                      <w:lang w:val="en-US" w:eastAsia="zh-CN" w:bidi="ar"/>
                    </w:rPr>
                  </w:pPr>
                  <w:r>
                    <w:rPr>
                      <w:rFonts w:hint="eastAsia" w:ascii="Calibri" w:hAnsi="Calibri" w:eastAsia="宋体"/>
                      <w:color w:val="auto"/>
                      <w:sz w:val="21"/>
                      <w:szCs w:val="21"/>
                      <w:highlight w:val="none"/>
                    </w:rPr>
                    <w:t>“十三五”挥发性有机物污染防治工作方案</w:t>
                  </w:r>
                </w:p>
              </w:tc>
              <w:tc>
                <w:tcPr>
                  <w:tcW w:w="6541"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center"/>
                    <w:textAlignment w:val="center"/>
                    <w:rPr>
                      <w:rFonts w:hint="eastAsia" w:cs="Times New Roman"/>
                      <w:color w:val="auto"/>
                      <w:sz w:val="21"/>
                      <w:szCs w:val="21"/>
                      <w:highlight w:val="none"/>
                      <w:lang w:val="en-US" w:eastAsia="zh-CN"/>
                    </w:rPr>
                  </w:pPr>
                  <w:r>
                    <w:rPr>
                      <w:rFonts w:hint="eastAsia" w:eastAsia="宋体"/>
                      <w:color w:val="auto"/>
                      <w:sz w:val="21"/>
                      <w:szCs w:val="21"/>
                      <w:highlight w:val="none"/>
                    </w:rPr>
                    <w:t>重点地区要严格限制石化、化工、包装印刷、工业涂装等高VOCs排放建设项目。新建涉VOC</w:t>
                  </w:r>
                  <w:r>
                    <w:rPr>
                      <w:rFonts w:hint="eastAsia" w:eastAsia="宋体"/>
                      <w:color w:val="auto"/>
                      <w:sz w:val="21"/>
                      <w:szCs w:val="21"/>
                      <w:highlight w:val="none"/>
                      <w:lang w:val="en-US" w:eastAsia="zh-CN"/>
                    </w:rPr>
                    <w:t>s</w:t>
                  </w:r>
                  <w:r>
                    <w:rPr>
                      <w:rFonts w:hint="eastAsia" w:eastAsia="宋体"/>
                      <w:color w:val="auto"/>
                      <w:sz w:val="21"/>
                      <w:szCs w:val="21"/>
                      <w:highlight w:val="none"/>
                    </w:rPr>
                    <w:t>排放的工业企业要入园区。</w:t>
                  </w:r>
                </w:p>
              </w:tc>
              <w:tc>
                <w:tcPr>
                  <w:tcW w:w="333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本项目位于唐山市高新区学院北路1718-1号，唐山烯彤科技有限公司院内，在高新区北部拓展区内</w:t>
                  </w:r>
                </w:p>
              </w:tc>
              <w:tc>
                <w:tcPr>
                  <w:tcW w:w="81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28" w:type="dxa"/>
                  <w:bottom w:w="0" w:type="dxa"/>
                  <w:right w:w="28" w:type="dxa"/>
                </w:tblCellMar>
              </w:tblPrEx>
              <w:trPr>
                <w:trHeight w:val="5324" w:hRule="atLeast"/>
                <w:jc w:val="center"/>
              </w:trPr>
              <w:tc>
                <w:tcPr>
                  <w:tcW w:w="517" w:type="dxa"/>
                  <w:noWrap w:val="0"/>
                  <w:vAlign w:val="center"/>
                </w:tcPr>
                <w:p>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eastAsia="宋体" w:cs="Times New Roman"/>
                      <w:color w:val="auto"/>
                      <w:sz w:val="21"/>
                      <w:szCs w:val="21"/>
                      <w:highlight w:val="none"/>
                    </w:rPr>
                  </w:pPr>
                </w:p>
              </w:tc>
              <w:tc>
                <w:tcPr>
                  <w:tcW w:w="126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kern w:val="0"/>
                      <w:sz w:val="21"/>
                      <w:szCs w:val="21"/>
                      <w:highlight w:val="none"/>
                      <w:lang w:val="en-US" w:eastAsia="zh-CN" w:bidi="ar"/>
                    </w:rPr>
                    <w:t>关于印发《河北省涉VOCs工业企业常用治理技术指南》的通知（冀环应急[2022]140号）</w:t>
                  </w:r>
                </w:p>
              </w:tc>
              <w:tc>
                <w:tcPr>
                  <w:tcW w:w="6541" w:type="dxa"/>
                  <w:noWrap w:val="0"/>
                  <w:vAlign w:val="center"/>
                </w:tcPr>
                <w:p>
                  <w:pPr>
                    <w:keepNext w:val="0"/>
                    <w:keepLines w:val="0"/>
                    <w:pageBreakBefore w:val="0"/>
                    <w:widowControl w:val="0"/>
                    <w:numPr>
                      <w:ilvl w:val="0"/>
                      <w:numId w:val="7"/>
                    </w:numPr>
                    <w:kinsoku/>
                    <w:wordWrap/>
                    <w:overflowPunct/>
                    <w:topLinePunct w:val="0"/>
                    <w:autoSpaceDE/>
                    <w:autoSpaceDN/>
                    <w:bidi w:val="0"/>
                    <w:adjustRightInd/>
                    <w:snapToGrid/>
                    <w:spacing w:line="240" w:lineRule="auto"/>
                    <w:ind w:firstLine="0" w:firstLineChars="0"/>
                    <w:jc w:val="left"/>
                    <w:textAlignment w:val="center"/>
                    <w:rPr>
                      <w:rFonts w:hint="eastAsia"/>
                      <w:color w:val="auto"/>
                      <w:sz w:val="21"/>
                      <w:szCs w:val="21"/>
                      <w:highlight w:val="none"/>
                      <w:lang w:val="en-US" w:eastAsia="zh-CN"/>
                    </w:rPr>
                  </w:pPr>
                  <w:r>
                    <w:rPr>
                      <w:rFonts w:hint="eastAsia"/>
                      <w:color w:val="auto"/>
                      <w:sz w:val="21"/>
                      <w:szCs w:val="21"/>
                      <w:highlight w:val="none"/>
                      <w:lang w:val="en-US" w:eastAsia="zh-CN"/>
                    </w:rPr>
                    <w:t>过滤棉+活性炭吸附技术</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center"/>
                    <w:rPr>
                      <w:rFonts w:hint="eastAsia"/>
                      <w:color w:val="auto"/>
                      <w:sz w:val="21"/>
                      <w:szCs w:val="21"/>
                      <w:highlight w:val="none"/>
                      <w:lang w:val="en-US" w:eastAsia="zh-CN"/>
                    </w:rPr>
                  </w:pPr>
                  <w:r>
                    <w:rPr>
                      <w:rFonts w:hint="eastAsia"/>
                      <w:color w:val="auto"/>
                      <w:sz w:val="21"/>
                      <w:szCs w:val="21"/>
                      <w:highlight w:val="none"/>
                      <w:lang w:val="en-US" w:eastAsia="zh-CN"/>
                    </w:rPr>
                    <w:t>（1）适用范围</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firstLine="420" w:firstLineChars="200"/>
                    <w:jc w:val="left"/>
                    <w:textAlignment w:val="center"/>
                    <w:rPr>
                      <w:rFonts w:hint="eastAsia"/>
                      <w:color w:val="auto"/>
                      <w:sz w:val="21"/>
                      <w:szCs w:val="21"/>
                      <w:highlight w:val="none"/>
                      <w:lang w:val="en-US" w:eastAsia="zh-CN"/>
                    </w:rPr>
                  </w:pPr>
                  <w:r>
                    <w:rPr>
                      <w:rFonts w:hint="eastAsia"/>
                      <w:color w:val="auto"/>
                      <w:sz w:val="21"/>
                      <w:szCs w:val="21"/>
                      <w:highlight w:val="none"/>
                      <w:lang w:val="en-US" w:eastAsia="zh-CN"/>
                    </w:rPr>
                    <w:t>①适用于VOCs产生量&lt;500kg/年，排放速率&lt;0.5kg/h的VOCs废气净化；</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firstLine="420" w:firstLineChars="200"/>
                    <w:jc w:val="left"/>
                    <w:textAlignment w:val="center"/>
                    <w:rPr>
                      <w:rFonts w:hint="eastAsia" w:ascii="Times New Roman" w:hAnsi="Times New Roman" w:cs="Times New Roman"/>
                      <w:color w:val="auto"/>
                      <w:sz w:val="21"/>
                      <w:szCs w:val="21"/>
                      <w:highlight w:val="none"/>
                      <w:lang w:val="en-US" w:eastAsia="zh-CN"/>
                    </w:rPr>
                  </w:pPr>
                  <w:r>
                    <w:rPr>
                      <w:rFonts w:hint="eastAsia"/>
                      <w:color w:val="auto"/>
                      <w:sz w:val="21"/>
                      <w:szCs w:val="21"/>
                      <w:highlight w:val="none"/>
                      <w:lang w:val="en-US" w:eastAsia="zh-CN"/>
                    </w:rPr>
                    <w:t>②蜂窝活性炭宜采用防水型，废气温度</w:t>
                  </w:r>
                  <w:r>
                    <w:rPr>
                      <w:rFonts w:hint="default" w:ascii="Arial" w:hAnsi="Arial" w:cs="Arial"/>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40℃</w:t>
                  </w:r>
                  <w:r>
                    <w:rPr>
                      <w:rFonts w:hint="eastAsia"/>
                      <w:color w:val="auto"/>
                      <w:sz w:val="21"/>
                      <w:szCs w:val="21"/>
                      <w:highlight w:val="none"/>
                      <w:lang w:val="en-US" w:eastAsia="zh-CN"/>
                    </w:rPr>
                    <w:t>，湿度</w:t>
                  </w:r>
                  <w:r>
                    <w:rPr>
                      <w:rFonts w:hint="default" w:ascii="Arial" w:hAnsi="Arial" w:cs="Arial"/>
                      <w:color w:val="auto"/>
                      <w:sz w:val="21"/>
                      <w:szCs w:val="21"/>
                      <w:highlight w:val="none"/>
                      <w:lang w:val="en-US" w:eastAsia="zh-CN"/>
                    </w:rPr>
                    <w:t>≤</w:t>
                  </w:r>
                  <w:r>
                    <w:rPr>
                      <w:rFonts w:hint="eastAsia" w:ascii="Times New Roman" w:hAnsi="Times New Roman" w:cs="Times New Roman"/>
                      <w:color w:val="auto"/>
                      <w:sz w:val="21"/>
                      <w:szCs w:val="21"/>
                      <w:highlight w:val="none"/>
                      <w:lang w:val="en-US" w:eastAsia="zh-CN"/>
                    </w:rPr>
                    <w:t>60%；</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firstLine="420" w:firstLineChars="200"/>
                    <w:jc w:val="left"/>
                    <w:textAlignment w:val="center"/>
                    <w:rPr>
                      <w:rFonts w:hint="eastAsia"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③</w:t>
                  </w:r>
                  <w:r>
                    <w:rPr>
                      <w:rFonts w:hint="eastAsia" w:ascii="Times New Roman" w:hAnsi="Times New Roman" w:cs="Times New Roman"/>
                      <w:color w:val="auto"/>
                      <w:sz w:val="21"/>
                      <w:szCs w:val="21"/>
                      <w:highlight w:val="none"/>
                      <w:lang w:val="en-US" w:eastAsia="zh-CN"/>
                    </w:rPr>
                    <w:t>该吸附技术不适用于处理含苯乙烯、丙烯酸酯、环己酮、低分子有机酸等易发生聚合、氧化等反应或含有难脱附物质的废气。</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firstLine="420" w:firstLineChars="200"/>
                    <w:jc w:val="left"/>
                    <w:textAlignment w:val="center"/>
                    <w:rPr>
                      <w:rFonts w:hint="eastAsia"/>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④</w:t>
                  </w:r>
                  <w:r>
                    <w:rPr>
                      <w:rFonts w:hint="eastAsia" w:ascii="Times New Roman" w:hAnsi="Times New Roman" w:cs="Times New Roman"/>
                      <w:color w:val="auto"/>
                      <w:sz w:val="21"/>
                      <w:szCs w:val="21"/>
                      <w:highlight w:val="none"/>
                      <w:lang w:val="en-US" w:eastAsia="zh-CN"/>
                    </w:rPr>
                    <w:t>过滤后废气中颗粒物或油烟</w:t>
                  </w:r>
                  <w:r>
                    <w:rPr>
                      <w:rFonts w:hint="eastAsia"/>
                      <w:color w:val="auto"/>
                      <w:sz w:val="21"/>
                      <w:szCs w:val="21"/>
                      <w:highlight w:val="none"/>
                      <w:lang w:val="en-US" w:eastAsia="zh-CN"/>
                    </w:rPr>
                    <w:t>&lt;1mg/m</w:t>
                  </w:r>
                  <w:r>
                    <w:rPr>
                      <w:rFonts w:hint="eastAsia"/>
                      <w:color w:val="auto"/>
                      <w:sz w:val="21"/>
                      <w:szCs w:val="21"/>
                      <w:highlight w:val="none"/>
                      <w:vertAlign w:val="superscript"/>
                      <w:lang w:val="en-US" w:eastAsia="zh-CN"/>
                    </w:rPr>
                    <w:t>3</w:t>
                  </w:r>
                  <w:r>
                    <w:rPr>
                      <w:rFonts w:hint="eastAsia"/>
                      <w:color w:val="auto"/>
                      <w:sz w:val="21"/>
                      <w:szCs w:val="21"/>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center"/>
                    <w:rPr>
                      <w:rFonts w:hint="eastAsia"/>
                      <w:color w:val="auto"/>
                      <w:sz w:val="21"/>
                      <w:szCs w:val="21"/>
                      <w:highlight w:val="none"/>
                      <w:lang w:val="en-US" w:eastAsia="zh-CN"/>
                    </w:rPr>
                  </w:pPr>
                  <w:r>
                    <w:rPr>
                      <w:rFonts w:hint="eastAsia"/>
                      <w:color w:val="auto"/>
                      <w:sz w:val="21"/>
                      <w:szCs w:val="21"/>
                      <w:highlight w:val="none"/>
                      <w:lang w:val="en-US" w:eastAsia="zh-CN"/>
                    </w:rPr>
                    <w:t>（2）性能要求</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jc w:val="left"/>
                    <w:textAlignment w:val="center"/>
                    <w:rPr>
                      <w:rFonts w:hint="eastAsia"/>
                      <w:color w:val="auto"/>
                      <w:sz w:val="21"/>
                      <w:szCs w:val="21"/>
                      <w:highlight w:val="none"/>
                      <w:lang w:val="en-US" w:eastAsia="zh-CN"/>
                    </w:rPr>
                  </w:pPr>
                  <w:r>
                    <w:rPr>
                      <w:rFonts w:hint="eastAsia"/>
                      <w:color w:val="auto"/>
                      <w:sz w:val="21"/>
                      <w:szCs w:val="21"/>
                      <w:highlight w:val="none"/>
                      <w:lang w:val="en-US" w:eastAsia="zh-CN"/>
                    </w:rPr>
                    <w:t>蜂窝活性炭吸附单元</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jc w:val="left"/>
                    <w:textAlignment w:val="center"/>
                    <w:rPr>
                      <w:rFonts w:hint="eastAsia" w:cs="Times New Roman"/>
                      <w:color w:val="auto"/>
                      <w:sz w:val="21"/>
                      <w:szCs w:val="21"/>
                      <w:highlight w:val="none"/>
                      <w:lang w:val="en-US" w:eastAsia="zh-CN"/>
                    </w:rPr>
                  </w:pPr>
                  <w:r>
                    <w:rPr>
                      <w:rFonts w:hint="eastAsia"/>
                      <w:color w:val="auto"/>
                      <w:sz w:val="21"/>
                      <w:szCs w:val="21"/>
                      <w:highlight w:val="none"/>
                      <w:lang w:val="en-US" w:eastAsia="zh-CN"/>
                    </w:rPr>
                    <w:t>①蜂窝活性炭层表观流速宜</w:t>
                  </w:r>
                  <w:r>
                    <w:rPr>
                      <w:rFonts w:hint="default" w:ascii="Times New Roman" w:hAnsi="Times New Roman" w:cs="Times New Roman"/>
                      <w:color w:val="auto"/>
                      <w:sz w:val="21"/>
                      <w:szCs w:val="21"/>
                      <w:highlight w:val="none"/>
                      <w:lang w:val="en-US" w:eastAsia="zh-CN"/>
                    </w:rPr>
                    <w:t>﹤</w:t>
                  </w:r>
                  <w:r>
                    <w:rPr>
                      <w:rFonts w:hint="eastAsia" w:cs="Times New Roman"/>
                      <w:color w:val="auto"/>
                      <w:sz w:val="21"/>
                      <w:szCs w:val="21"/>
                      <w:highlight w:val="none"/>
                      <w:lang w:val="en-US" w:eastAsia="zh-CN"/>
                    </w:rPr>
                    <w:t>1.2m/s；</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jc w:val="left"/>
                    <w:textAlignment w:val="center"/>
                    <w:rPr>
                      <w:rFonts w:hint="eastAsia"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②吸附装置设计的总压力损失宜</w:t>
                  </w:r>
                  <w:r>
                    <w:rPr>
                      <w:rFonts w:hint="default" w:ascii="Calibri" w:hAnsi="Calibri" w:cs="Calibri"/>
                      <w:color w:val="auto"/>
                      <w:sz w:val="21"/>
                      <w:szCs w:val="21"/>
                      <w:highlight w:val="none"/>
                      <w:lang w:val="en-US" w:eastAsia="zh-CN"/>
                    </w:rPr>
                    <w:t>﹤</w:t>
                  </w:r>
                  <w:r>
                    <w:rPr>
                      <w:rFonts w:hint="eastAsia" w:ascii="Times New Roman" w:hAnsi="Times New Roman" w:cs="Times New Roman"/>
                      <w:color w:val="auto"/>
                      <w:sz w:val="21"/>
                      <w:szCs w:val="21"/>
                      <w:highlight w:val="none"/>
                      <w:lang w:val="en-US" w:eastAsia="zh-CN"/>
                    </w:rPr>
                    <w:t>600Pa；</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jc w:val="left"/>
                    <w:textAlignment w:val="center"/>
                    <w:rPr>
                      <w:rFonts w:hint="eastAsia"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③</w:t>
                  </w:r>
                  <w:r>
                    <w:rPr>
                      <w:rFonts w:hint="eastAsia"/>
                      <w:color w:val="auto"/>
                      <w:sz w:val="21"/>
                      <w:szCs w:val="21"/>
                      <w:highlight w:val="none"/>
                      <w:lang w:val="en-US" w:eastAsia="zh-CN"/>
                    </w:rPr>
                    <w:t>采用一次性活性炭吸附工艺的，应选择碘值</w:t>
                  </w:r>
                  <w:r>
                    <w:rPr>
                      <w:rFonts w:hint="default" w:ascii="Times New Roman" w:hAnsi="Times New Roman" w:cs="Times New Roman"/>
                      <w:color w:val="auto"/>
                      <w:sz w:val="21"/>
                      <w:szCs w:val="21"/>
                      <w:highlight w:val="none"/>
                      <w:lang w:val="en-US" w:eastAsia="zh-CN"/>
                    </w:rPr>
                    <w:t>≥</w:t>
                  </w:r>
                  <w:r>
                    <w:rPr>
                      <w:rFonts w:hint="eastAsia" w:cs="Times New Roman"/>
                      <w:color w:val="auto"/>
                      <w:sz w:val="21"/>
                      <w:szCs w:val="21"/>
                      <w:highlight w:val="none"/>
                      <w:lang w:val="en-US" w:eastAsia="zh-CN"/>
                    </w:rPr>
                    <w:t>650mg/g的活性炭；</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jc w:val="left"/>
                    <w:textAlignment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④蜂窝状活性炭的横向强度不应低于0.3MPa，纵向强度不应低于0.8MPa；</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jc w:val="left"/>
                    <w:textAlignment w:val="center"/>
                    <w:rPr>
                      <w:rFonts w:hint="default" w:ascii="Times New Roman" w:hAnsi="Times New Roman" w:cs="Times New Roman"/>
                      <w:color w:val="auto"/>
                      <w:kern w:val="0"/>
                      <w:sz w:val="21"/>
                      <w:szCs w:val="21"/>
                      <w:highlight w:val="none"/>
                      <w:lang w:val="en-US" w:eastAsia="zh-CN" w:bidi="ar"/>
                    </w:rPr>
                  </w:pPr>
                  <w:r>
                    <w:rPr>
                      <w:rFonts w:hint="eastAsia" w:cs="Times New Roman"/>
                      <w:color w:val="auto"/>
                      <w:sz w:val="21"/>
                      <w:szCs w:val="21"/>
                      <w:highlight w:val="none"/>
                      <w:lang w:val="en-US" w:eastAsia="zh-CN"/>
                    </w:rPr>
                    <w:t>⑤蜂窝状活性炭填充量与每小时处理废气量体积之比宜</w:t>
                  </w:r>
                  <w:r>
                    <w:rPr>
                      <w:rFonts w:hint="default" w:cs="Times New Roman" w:asciiTheme="minorAscii" w:hAnsiTheme="minorAscii"/>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1</w:t>
                  </w:r>
                  <w:r>
                    <w:rPr>
                      <w:rFonts w:hint="eastAsia" w:cs="Times New Roman"/>
                      <w:color w:val="auto"/>
                      <w:sz w:val="21"/>
                      <w:szCs w:val="21"/>
                      <w:highlight w:val="none"/>
                      <w:lang w:val="en-US" w:eastAsia="zh-CN"/>
                    </w:rPr>
                    <w:t>:5000，每1万Nm</w:t>
                  </w:r>
                  <w:r>
                    <w:rPr>
                      <w:rFonts w:hint="eastAsia" w:cs="Times New Roman"/>
                      <w:color w:val="auto"/>
                      <w:sz w:val="21"/>
                      <w:szCs w:val="21"/>
                      <w:highlight w:val="none"/>
                      <w:vertAlign w:val="superscript"/>
                      <w:lang w:val="en-US" w:eastAsia="zh-CN"/>
                    </w:rPr>
                    <w:t>3</w:t>
                  </w:r>
                  <w:r>
                    <w:rPr>
                      <w:rFonts w:hint="eastAsia" w:cs="Times New Roman"/>
                      <w:color w:val="auto"/>
                      <w:sz w:val="21"/>
                      <w:szCs w:val="21"/>
                      <w:highlight w:val="none"/>
                      <w:lang w:val="en-US" w:eastAsia="zh-CN"/>
                    </w:rPr>
                    <w:t>/h废气处理蜂窝活性炭吸附截面积宜</w:t>
                  </w:r>
                  <w:r>
                    <w:rPr>
                      <w:rFonts w:hint="default" w:cs="Times New Roman" w:asciiTheme="minorAscii" w:hAnsiTheme="minorAscii"/>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2.3m</w:t>
                  </w:r>
                  <w:r>
                    <w:rPr>
                      <w:rFonts w:hint="default" w:ascii="Times New Roman" w:hAnsi="Times New Roman" w:cs="Times New Roman"/>
                      <w:color w:val="auto"/>
                      <w:sz w:val="21"/>
                      <w:szCs w:val="21"/>
                      <w:highlight w:val="none"/>
                      <w:vertAlign w:val="superscript"/>
                      <w:lang w:val="en-US" w:eastAsia="zh-CN"/>
                    </w:rPr>
                    <w:t>2</w:t>
                  </w:r>
                  <w:r>
                    <w:rPr>
                      <w:rFonts w:hint="eastAsia" w:cs="Times New Roman"/>
                      <w:color w:val="auto"/>
                      <w:sz w:val="21"/>
                      <w:szCs w:val="21"/>
                      <w:highlight w:val="none"/>
                      <w:vertAlign w:val="baseline"/>
                      <w:lang w:val="en-US" w:eastAsia="zh-CN"/>
                    </w:rPr>
                    <w:t>；</w:t>
                  </w:r>
                </w:p>
              </w:tc>
              <w:tc>
                <w:tcPr>
                  <w:tcW w:w="333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本项目建成后全厂VOCs</w:t>
                  </w:r>
                  <w:r>
                    <w:rPr>
                      <w:rFonts w:hint="eastAsia"/>
                      <w:color w:val="auto"/>
                      <w:sz w:val="21"/>
                      <w:szCs w:val="21"/>
                      <w:highlight w:val="none"/>
                      <w:lang w:val="en-US" w:eastAsia="zh-CN"/>
                    </w:rPr>
                    <w:t>产生量&lt;500kg/年，排放速率&lt;0.5kg/h，采用防水型蜂窝活性炭，按照蜂窝活性炭吸附单元性能要求进行建设</w:t>
                  </w:r>
                </w:p>
              </w:tc>
              <w:tc>
                <w:tcPr>
                  <w:tcW w:w="81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28" w:type="dxa"/>
                  <w:bottom w:w="0" w:type="dxa"/>
                  <w:right w:w="28" w:type="dxa"/>
                </w:tblCellMar>
              </w:tblPrEx>
              <w:trPr>
                <w:trHeight w:val="754" w:hRule="atLeast"/>
                <w:jc w:val="center"/>
              </w:trPr>
              <w:tc>
                <w:tcPr>
                  <w:tcW w:w="517" w:type="dxa"/>
                  <w:noWrap w:val="0"/>
                  <w:vAlign w:val="center"/>
                </w:tcPr>
                <w:p>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eastAsia="宋体" w:cs="Times New Roman"/>
                      <w:color w:val="auto"/>
                      <w:sz w:val="21"/>
                      <w:szCs w:val="21"/>
                      <w:highlight w:val="none"/>
                    </w:rPr>
                  </w:pPr>
                </w:p>
              </w:tc>
              <w:tc>
                <w:tcPr>
                  <w:tcW w:w="1266"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color w:val="auto"/>
                      <w:kern w:val="0"/>
                      <w:sz w:val="21"/>
                      <w:szCs w:val="21"/>
                      <w:highlight w:val="none"/>
                      <w:lang w:val="en-US" w:eastAsia="zh-CN" w:bidi="ar"/>
                    </w:rPr>
                  </w:pPr>
                  <w:r>
                    <w:rPr>
                      <w:rFonts w:hint="eastAsia"/>
                      <w:color w:val="auto"/>
                      <w:kern w:val="0"/>
                      <w:sz w:val="21"/>
                      <w:szCs w:val="21"/>
                      <w:highlight w:val="none"/>
                      <w:lang w:val="en-US" w:eastAsia="zh-CN" w:bidi="ar"/>
                    </w:rPr>
                    <w:t>唐山市重点行业涉VOCs治理技术推荐指导</w:t>
                  </w:r>
                </w:p>
              </w:tc>
              <w:tc>
                <w:tcPr>
                  <w:tcW w:w="654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cs="Times New Roman"/>
                      <w:color w:val="auto"/>
                      <w:sz w:val="21"/>
                      <w:szCs w:val="21"/>
                      <w:highlight w:val="none"/>
                      <w:lang w:val="en-US" w:eastAsia="zh-CN"/>
                    </w:rPr>
                  </w:pPr>
                  <w:r>
                    <w:rPr>
                      <w:rFonts w:hint="eastAsia"/>
                      <w:color w:val="auto"/>
                      <w:sz w:val="21"/>
                      <w:szCs w:val="21"/>
                      <w:highlight w:val="none"/>
                      <w:lang w:val="en-US" w:eastAsia="zh-CN"/>
                    </w:rPr>
                    <w:t>由于硫、氯、砷、磷、重金属等会引起的催化剂长久性中毒。故含有以上成分的废气不可使用催化燃烧设备</w:t>
                  </w:r>
                </w:p>
              </w:tc>
              <w:tc>
                <w:tcPr>
                  <w:tcW w:w="333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本项目建成后，印刷、印刷烘干、覆膜过程产生的废气与烘干及烧结还原废气采用两级活性炭吸附装置进行处理，</w:t>
                  </w:r>
                  <w:r>
                    <w:rPr>
                      <w:rFonts w:hint="eastAsia"/>
                      <w:color w:val="auto"/>
                      <w:sz w:val="21"/>
                      <w:szCs w:val="21"/>
                      <w:highlight w:val="none"/>
                      <w:lang w:val="en-US" w:eastAsia="zh-CN"/>
                    </w:rPr>
                    <w:t>根据VOCs吸附量定期更换活性炭，废活性炭作为危废处置</w:t>
                  </w:r>
                </w:p>
              </w:tc>
              <w:tc>
                <w:tcPr>
                  <w:tcW w:w="811"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28" w:type="dxa"/>
                  <w:bottom w:w="0" w:type="dxa"/>
                  <w:right w:w="28" w:type="dxa"/>
                </w:tblCellMar>
              </w:tblPrEx>
              <w:trPr>
                <w:trHeight w:val="521" w:hRule="atLeast"/>
                <w:jc w:val="center"/>
              </w:trPr>
              <w:tc>
                <w:tcPr>
                  <w:tcW w:w="517" w:type="dxa"/>
                  <w:noWrap w:val="0"/>
                  <w:vAlign w:val="center"/>
                </w:tcPr>
                <w:p>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eastAsia="宋体" w:cs="Times New Roman"/>
                      <w:color w:val="auto"/>
                      <w:sz w:val="21"/>
                      <w:szCs w:val="21"/>
                      <w:highlight w:val="none"/>
                    </w:rPr>
                  </w:pPr>
                </w:p>
              </w:tc>
              <w:tc>
                <w:tcPr>
                  <w:tcW w:w="126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color w:val="auto"/>
                      <w:kern w:val="0"/>
                      <w:sz w:val="21"/>
                      <w:szCs w:val="21"/>
                      <w:highlight w:val="none"/>
                      <w:lang w:val="en-US" w:eastAsia="zh-CN" w:bidi="ar"/>
                    </w:rPr>
                  </w:pPr>
                </w:p>
              </w:tc>
              <w:tc>
                <w:tcPr>
                  <w:tcW w:w="654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cs="Times New Roman"/>
                      <w:color w:val="auto"/>
                      <w:sz w:val="21"/>
                      <w:szCs w:val="21"/>
                      <w:highlight w:val="none"/>
                      <w:lang w:val="en-US" w:eastAsia="zh-CN"/>
                    </w:rPr>
                  </w:pPr>
                  <w:r>
                    <w:rPr>
                      <w:rFonts w:hint="eastAsia"/>
                      <w:color w:val="auto"/>
                      <w:sz w:val="21"/>
                      <w:szCs w:val="21"/>
                      <w:highlight w:val="none"/>
                      <w:lang w:val="en-US" w:eastAsia="zh-CN"/>
                    </w:rPr>
                    <w:t>采用一次性活性炭吸附技术的，应定期更换活性炭，废旧活性炭应再生或做危废处置</w:t>
                  </w:r>
                </w:p>
              </w:tc>
              <w:tc>
                <w:tcPr>
                  <w:tcW w:w="333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cs="Times New Roman"/>
                      <w:color w:val="auto"/>
                      <w:sz w:val="21"/>
                      <w:szCs w:val="21"/>
                      <w:highlight w:val="none"/>
                      <w:lang w:val="en-US" w:eastAsia="zh-CN"/>
                    </w:rPr>
                  </w:pPr>
                </w:p>
              </w:tc>
              <w:tc>
                <w:tcPr>
                  <w:tcW w:w="81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cs="Times New Roman"/>
                      <w:color w:val="auto"/>
                      <w:sz w:val="21"/>
                      <w:szCs w:val="21"/>
                      <w:highlight w:val="none"/>
                      <w:lang w:val="en-US" w:eastAsia="zh-CN"/>
                    </w:rPr>
                  </w:pPr>
                </w:p>
              </w:tc>
            </w:tr>
          </w:tbl>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color w:val="auto"/>
                <w:highlight w:val="none"/>
                <w:lang w:val="en-US" w:eastAsia="zh-CN"/>
              </w:rPr>
            </w:pPr>
            <w:r>
              <w:rPr>
                <w:rFonts w:hint="eastAsia"/>
                <w:color w:val="auto"/>
                <w:highlight w:val="none"/>
                <w:vertAlign w:val="baseline"/>
                <w:lang w:val="en-US" w:eastAsia="zh-CN"/>
              </w:rPr>
              <w:t>由上表可知，本项目符合</w:t>
            </w:r>
            <w:r>
              <w:rPr>
                <w:rFonts w:hint="eastAsia"/>
                <w:color w:val="auto"/>
                <w:highlight w:val="none"/>
                <w:lang w:val="en-US" w:eastAsia="zh-CN"/>
              </w:rPr>
              <w:t>VOCs相关政策要求。</w:t>
            </w:r>
          </w:p>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color w:val="auto"/>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color w:val="auto"/>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color w:val="auto"/>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color w:val="auto"/>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color w:val="auto"/>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color w:val="auto"/>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color w:val="auto"/>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color w:val="auto"/>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color w:val="auto"/>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color w:val="auto"/>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color w:val="auto"/>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color w:val="auto"/>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color w:val="auto"/>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color w:val="auto"/>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color w:val="auto"/>
                <w:highlight w:val="none"/>
                <w:lang w:val="zh-CN" w:eastAsia="zh-CN"/>
              </w:rPr>
            </w:pPr>
          </w:p>
        </w:tc>
      </w:tr>
    </w:tbl>
    <w:p>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eastAsia"/>
          <w:color w:val="auto"/>
          <w:highlight w:val="none"/>
          <w:lang w:val="zh-CN"/>
        </w:rPr>
        <w:sectPr>
          <w:pgSz w:w="16838" w:h="11906" w:orient="landscape"/>
          <w:pgMar w:top="1417" w:right="1440" w:bottom="1247" w:left="144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pStyle w:val="21"/>
        <w:keepNext w:val="0"/>
        <w:keepLines w:val="0"/>
        <w:pageBreakBefore w:val="0"/>
        <w:widowControl/>
        <w:kinsoku/>
        <w:wordWrap/>
        <w:overflowPunct/>
        <w:topLinePunct w:val="0"/>
        <w:autoSpaceDE/>
        <w:autoSpaceDN/>
        <w:bidi w:val="0"/>
        <w:adjustRightInd/>
        <w:snapToGrid/>
        <w:ind w:firstLine="0" w:firstLineChars="0"/>
        <w:jc w:val="center"/>
        <w:textAlignment w:val="auto"/>
        <w:outlineLvl w:val="0"/>
        <w:rPr>
          <w:rFonts w:ascii="黑体" w:hAnsi="黑体" w:eastAsia="黑体"/>
          <w:snapToGrid w:val="0"/>
          <w:color w:val="auto"/>
          <w:sz w:val="30"/>
          <w:szCs w:val="30"/>
          <w:highlight w:val="none"/>
        </w:rPr>
      </w:pPr>
      <w:bookmarkStart w:id="3" w:name="_Toc15867"/>
      <w:r>
        <w:rPr>
          <w:rFonts w:hint="eastAsia" w:ascii="黑体" w:hAnsi="黑体" w:eastAsia="黑体"/>
          <w:snapToGrid w:val="0"/>
          <w:color w:val="auto"/>
          <w:sz w:val="30"/>
          <w:szCs w:val="30"/>
          <w:highlight w:val="none"/>
        </w:rPr>
        <w:t>二、建设项目工程分析</w:t>
      </w:r>
      <w:bookmarkEnd w:id="3"/>
    </w:p>
    <w:tbl>
      <w:tblPr>
        <w:tblStyle w:val="24"/>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40"/>
        <w:gridCol w:w="851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557" w:hRule="atLeast"/>
          <w:jc w:val="center"/>
        </w:trPr>
        <w:tc>
          <w:tcPr>
            <w:tcW w:w="840" w:type="dxa"/>
            <w:noWrap w:val="0"/>
            <w:vAlign w:val="center"/>
          </w:tcPr>
          <w:p>
            <w:pPr>
              <w:pStyle w:val="32"/>
              <w:bidi w:val="0"/>
              <w:rPr>
                <w:color w:val="auto"/>
                <w:sz w:val="24"/>
                <w:szCs w:val="24"/>
                <w:highlight w:val="none"/>
              </w:rPr>
            </w:pPr>
            <w:r>
              <w:rPr>
                <w:rFonts w:hint="eastAsia"/>
                <w:color w:val="auto"/>
                <w:sz w:val="24"/>
                <w:szCs w:val="24"/>
                <w:highlight w:val="none"/>
              </w:rPr>
              <w:t>建设内容</w:t>
            </w:r>
          </w:p>
        </w:tc>
        <w:tc>
          <w:tcPr>
            <w:tcW w:w="8514" w:type="dxa"/>
            <w:noWrap w:val="0"/>
            <w:vAlign w:val="top"/>
          </w:tcPr>
          <w:p>
            <w:pPr>
              <w:keepNext w:val="0"/>
              <w:keepLines w:val="0"/>
              <w:pageBreakBefore w:val="0"/>
              <w:widowControl w:val="0"/>
              <w:numPr>
                <w:ilvl w:val="0"/>
                <w:numId w:val="8"/>
              </w:numPr>
              <w:suppressLineNumbers w:val="0"/>
              <w:kinsoku/>
              <w:wordWrap/>
              <w:overflowPunct/>
              <w:topLinePunct w:val="0"/>
              <w:autoSpaceDE w:val="0"/>
              <w:autoSpaceDN w:val="0"/>
              <w:bidi w:val="0"/>
              <w:adjustRightInd w:val="0"/>
              <w:snapToGrid/>
              <w:spacing w:beforeAutospacing="0" w:after="0" w:afterAutospacing="0" w:line="480" w:lineRule="exact"/>
              <w:ind w:right="0" w:firstLine="0" w:firstLineChars="0"/>
              <w:textAlignment w:val="auto"/>
              <w:rPr>
                <w:rFonts w:hint="eastAsia"/>
                <w:b/>
                <w:bCs/>
                <w:color w:val="auto"/>
                <w:sz w:val="24"/>
                <w:szCs w:val="24"/>
                <w:highlight w:val="none"/>
                <w:lang w:val="en-US" w:eastAsia="zh-CN"/>
              </w:rPr>
            </w:pPr>
            <w:r>
              <w:rPr>
                <w:rFonts w:hint="eastAsia"/>
                <w:b/>
                <w:bCs/>
                <w:color w:val="auto"/>
                <w:sz w:val="24"/>
                <w:szCs w:val="24"/>
                <w:highlight w:val="none"/>
                <w:lang w:val="en-US" w:eastAsia="zh-CN"/>
              </w:rPr>
              <w:t>项目由来</w:t>
            </w:r>
          </w:p>
          <w:p>
            <w:pPr>
              <w:bidi w:val="0"/>
              <w:rPr>
                <w:rFonts w:hint="default"/>
                <w:color w:val="auto"/>
                <w:sz w:val="24"/>
                <w:szCs w:val="24"/>
                <w:highlight w:val="none"/>
                <w:lang w:val="en-US" w:eastAsia="zh-CN"/>
              </w:rPr>
            </w:pPr>
            <w:r>
              <w:rPr>
                <w:rFonts w:hint="eastAsia"/>
                <w:color w:val="auto"/>
                <w:sz w:val="24"/>
                <w:szCs w:val="24"/>
                <w:highlight w:val="none"/>
                <w:lang w:val="en-US" w:eastAsia="zh-CN"/>
              </w:rPr>
              <w:t>唐山烯彤科技有限公司位于唐山市高新区学院北路1718-1号，成立于2020年11月18日，于2020年03月实施了年产八万套石墨烯电发热元件及年产三千吨高性能等静压石墨项目，主要建设石墨烯电发热元件生产线和等静压石墨生产线，年产</w:t>
            </w:r>
            <w:r>
              <w:rPr>
                <w:rFonts w:hint="eastAsia" w:ascii="Times New Roman" w:hAnsi="Times New Roman" w:eastAsia="宋体"/>
                <w:color w:val="auto"/>
                <w:sz w:val="24"/>
                <w:szCs w:val="30"/>
              </w:rPr>
              <w:t>石墨烯电发热元件8万套、高性能等静压石墨3000t</w:t>
            </w:r>
            <w:r>
              <w:rPr>
                <w:rFonts w:hint="eastAsia"/>
                <w:color w:val="auto"/>
                <w:sz w:val="24"/>
                <w:szCs w:val="24"/>
                <w:highlight w:val="none"/>
                <w:lang w:val="en-US" w:eastAsia="zh-CN"/>
              </w:rPr>
              <w:t>。该项目于2020年03月09日取得唐山高新技术产业开发区行政审批局的审批意见（唐高行审环表[2020]4号），并于2020年11月06日进行了自主验收，并取得了专家签字的验收意见。企业于2020年11月17日进行了排污登记，取得固定污染源排污登记回执，登记编号：91130293MA0D04HWXG001X，有效期为2020年11月17日至2025年11月16日。</w:t>
            </w:r>
          </w:p>
          <w:p>
            <w:pPr>
              <w:bidi w:val="0"/>
              <w:rPr>
                <w:rFonts w:hint="default"/>
                <w:color w:val="auto"/>
                <w:sz w:val="24"/>
                <w:szCs w:val="24"/>
                <w:highlight w:val="none"/>
                <w:lang w:val="en-US" w:eastAsia="zh-CN"/>
              </w:rPr>
            </w:pPr>
            <w:r>
              <w:rPr>
                <w:rFonts w:hint="eastAsia"/>
                <w:color w:val="auto"/>
                <w:sz w:val="24"/>
                <w:szCs w:val="24"/>
                <w:highlight w:val="none"/>
                <w:lang w:val="en-US" w:eastAsia="zh-CN"/>
              </w:rPr>
              <w:t>为适应市场需求，唐山烯彤科技有限公司拟投资300万元，利用现有厂房建设年产八万套石墨烯电发热元件技改及年产五万台节能速热电锅炉建设项目，项目建成后全厂年产</w:t>
            </w:r>
            <w:r>
              <w:rPr>
                <w:rFonts w:hint="eastAsia" w:ascii="Times New Roman" w:hAnsi="Times New Roman" w:eastAsia="宋体"/>
                <w:color w:val="auto"/>
                <w:sz w:val="24"/>
                <w:szCs w:val="30"/>
              </w:rPr>
              <w:t>石墨烯电发热元件8万套、</w:t>
            </w:r>
            <w:r>
              <w:rPr>
                <w:rFonts w:hint="eastAsia" w:ascii="Times New Roman" w:hAnsi="Times New Roman" w:eastAsia="宋体"/>
                <w:color w:val="auto"/>
                <w:sz w:val="24"/>
                <w:szCs w:val="30"/>
                <w:lang w:val="en-US" w:eastAsia="zh-CN"/>
              </w:rPr>
              <w:t>节能速热电锅炉5万台</w:t>
            </w:r>
            <w:r>
              <w:rPr>
                <w:rFonts w:hint="eastAsia"/>
                <w:color w:val="auto"/>
                <w:sz w:val="24"/>
                <w:szCs w:val="24"/>
                <w:highlight w:val="none"/>
                <w:lang w:val="en-US" w:eastAsia="zh-CN"/>
              </w:rPr>
              <w:t>。</w:t>
            </w:r>
          </w:p>
          <w:p>
            <w:pPr>
              <w:bidi w:val="0"/>
              <w:rPr>
                <w:rFonts w:hint="eastAsia" w:eastAsia="宋体"/>
                <w:color w:val="auto"/>
                <w:sz w:val="24"/>
                <w:szCs w:val="24"/>
                <w:highlight w:val="none"/>
                <w:lang w:eastAsia="zh-CN"/>
              </w:rPr>
            </w:pPr>
            <w:r>
              <w:rPr>
                <w:rFonts w:hint="eastAsia"/>
                <w:color w:val="auto"/>
                <w:sz w:val="24"/>
                <w:szCs w:val="24"/>
                <w:highlight w:val="none"/>
                <w:lang w:val="en-US" w:eastAsia="zh-CN"/>
              </w:rPr>
              <w:t>本项目主要对现有石墨烯电发热元件生产线进行改造，同时新建节能速热电锅炉组装生产线，生产节能速热电锅炉，为家用电热取暖器具，</w:t>
            </w:r>
            <w:r>
              <w:rPr>
                <w:rFonts w:hint="default"/>
                <w:color w:val="auto"/>
                <w:sz w:val="24"/>
                <w:szCs w:val="24"/>
                <w:highlight w:val="none"/>
                <w:lang w:eastAsia="zh-CN"/>
              </w:rPr>
              <w:t>根据《中华人民共和国环境保护法》、《中华人民共和国环境影响评价法》、《建设项目环境保护管理条例》（国务院</w:t>
            </w:r>
            <w:r>
              <w:rPr>
                <w:rFonts w:hint="eastAsia"/>
                <w:color w:val="auto"/>
                <w:sz w:val="24"/>
                <w:szCs w:val="24"/>
                <w:highlight w:val="none"/>
                <w:lang w:val="en-US" w:eastAsia="zh-CN"/>
              </w:rPr>
              <w:t>第</w:t>
            </w:r>
            <w:r>
              <w:rPr>
                <w:rFonts w:hint="default"/>
                <w:color w:val="auto"/>
                <w:sz w:val="24"/>
                <w:szCs w:val="24"/>
                <w:highlight w:val="none"/>
                <w:lang w:eastAsia="zh-CN"/>
              </w:rPr>
              <w:t>682号令）的要求，</w:t>
            </w:r>
            <w:r>
              <w:rPr>
                <w:rFonts w:hint="eastAsia"/>
                <w:color w:val="auto"/>
                <w:highlight w:val="none"/>
                <w:lang w:val="en-US" w:eastAsia="zh-CN"/>
              </w:rPr>
              <w:t>以及</w:t>
            </w:r>
            <w:r>
              <w:rPr>
                <w:rFonts w:hint="default"/>
                <w:color w:val="auto"/>
                <w:highlight w:val="none"/>
                <w:lang w:eastAsia="zh-CN"/>
              </w:rPr>
              <w:t>《建设项目环境影响评价分类管理名录》（</w:t>
            </w:r>
            <w:r>
              <w:rPr>
                <w:rFonts w:hint="default"/>
                <w:color w:val="auto"/>
                <w:highlight w:val="none"/>
                <w:lang w:val="en-US" w:eastAsia="zh-CN"/>
              </w:rPr>
              <w:t>2021年版</w:t>
            </w:r>
            <w:r>
              <w:rPr>
                <w:rFonts w:hint="default"/>
                <w:color w:val="auto"/>
                <w:highlight w:val="none"/>
                <w:lang w:eastAsia="zh-CN"/>
              </w:rPr>
              <w:t>）（部令</w:t>
            </w:r>
            <w:r>
              <w:rPr>
                <w:rFonts w:hint="default"/>
                <w:color w:val="auto"/>
                <w:highlight w:val="none"/>
                <w:lang w:val="en-US" w:eastAsia="zh-CN"/>
              </w:rPr>
              <w:t>第</w:t>
            </w:r>
            <w:r>
              <w:rPr>
                <w:rFonts w:hint="default"/>
                <w:color w:val="auto"/>
                <w:highlight w:val="none"/>
                <w:lang w:eastAsia="zh-CN"/>
              </w:rPr>
              <w:t>16号）等环保法律法规的相关规定</w:t>
            </w:r>
            <w:r>
              <w:rPr>
                <w:rFonts w:hint="eastAsia"/>
                <w:color w:val="auto"/>
                <w:highlight w:val="none"/>
                <w:lang w:eastAsia="zh-CN"/>
              </w:rPr>
              <w:t>，</w:t>
            </w:r>
            <w:r>
              <w:rPr>
                <w:rFonts w:hint="default"/>
                <w:color w:val="auto"/>
                <w:highlight w:val="none"/>
              </w:rPr>
              <w:t>该项目属于</w:t>
            </w:r>
            <w:r>
              <w:rPr>
                <w:rFonts w:hint="eastAsia"/>
                <w:color w:val="auto"/>
                <w:highlight w:val="none"/>
              </w:rPr>
              <w:t>“</w:t>
            </w:r>
            <w:r>
              <w:rPr>
                <w:rFonts w:hint="eastAsia"/>
                <w:color w:val="auto"/>
                <w:sz w:val="24"/>
                <w:szCs w:val="24"/>
                <w:highlight w:val="none"/>
                <w:lang w:val="en-US" w:eastAsia="zh-CN"/>
              </w:rPr>
              <w:t>三十五、电气机械和器材制造业38-77.家用电力器具制造385-其他（仅分割、焊接、组装的除外；年用非溶剂型低VOCs含量涂料10吨以下的除外）”</w:t>
            </w:r>
            <w:r>
              <w:rPr>
                <w:rFonts w:hint="eastAsia"/>
                <w:color w:val="auto"/>
                <w:highlight w:val="none"/>
                <w:lang w:val="en-US" w:eastAsia="zh-CN"/>
              </w:rPr>
              <w:t>，</w:t>
            </w:r>
            <w:r>
              <w:rPr>
                <w:rFonts w:hint="default"/>
                <w:color w:val="auto"/>
                <w:highlight w:val="none"/>
              </w:rPr>
              <w:t>应编制环境影响报告表。</w:t>
            </w:r>
            <w:r>
              <w:rPr>
                <w:rFonts w:hint="eastAsia"/>
                <w:color w:val="auto"/>
                <w:highlight w:val="none"/>
                <w:lang w:val="en-US" w:eastAsia="zh-CN"/>
              </w:rPr>
              <w:t>唐山烯彤科技有限公司</w:t>
            </w:r>
            <w:r>
              <w:rPr>
                <w:rFonts w:hint="default"/>
                <w:color w:val="auto"/>
                <w:highlight w:val="none"/>
              </w:rPr>
              <w:t>委托我公司承担该项目的环境影响报告表的编制工作，接受委托后，我单位立即开展了现场踏勘、资料收集等工作，</w:t>
            </w:r>
            <w:r>
              <w:rPr>
                <w:rFonts w:hint="eastAsia"/>
                <w:color w:val="auto"/>
                <w:highlight w:val="none"/>
                <w:lang w:val="en-US" w:eastAsia="zh-CN"/>
              </w:rPr>
              <w:t>并</w:t>
            </w:r>
            <w:r>
              <w:rPr>
                <w:rFonts w:hint="default"/>
                <w:color w:val="auto"/>
                <w:highlight w:val="none"/>
              </w:rPr>
              <w:t>根据国家、省、市有关环保政策、法规及</w:t>
            </w:r>
            <w:r>
              <w:rPr>
                <w:rFonts w:hint="eastAsia"/>
                <w:color w:val="auto"/>
                <w:sz w:val="24"/>
                <w:szCs w:val="24"/>
                <w:highlight w:val="none"/>
                <w:lang w:val="en-US" w:eastAsia="zh-CN"/>
              </w:rPr>
              <w:t>唐山市生态环境局高新技术产业开发区分局、唐山高新技术产业开发区行政审批局</w:t>
            </w:r>
            <w:r>
              <w:rPr>
                <w:rFonts w:hint="default"/>
                <w:color w:val="auto"/>
                <w:highlight w:val="none"/>
              </w:rPr>
              <w:t>要求，从本项目及周边环境实际出发，分析项目建设与运营对环境的影响，</w:t>
            </w:r>
            <w:r>
              <w:rPr>
                <w:rFonts w:hint="eastAsia"/>
                <w:color w:val="auto"/>
                <w:highlight w:val="none"/>
                <w:lang w:val="en-US" w:eastAsia="zh-CN"/>
              </w:rPr>
              <w:t>编制完成了</w:t>
            </w:r>
            <w:r>
              <w:rPr>
                <w:rFonts w:hint="default"/>
                <w:color w:val="auto"/>
                <w:highlight w:val="none"/>
              </w:rPr>
              <w:t>本项目环境影响报告表</w:t>
            </w:r>
            <w:r>
              <w:rPr>
                <w:rFonts w:hint="eastAsia"/>
                <w:color w:val="auto"/>
                <w:highlight w:val="none"/>
                <w:lang w:eastAsia="zh-CN"/>
              </w:rPr>
              <w:t>。</w:t>
            </w:r>
          </w:p>
          <w:p>
            <w:pPr>
              <w:keepNext w:val="0"/>
              <w:keepLines w:val="0"/>
              <w:pageBreakBefore w:val="0"/>
              <w:widowControl w:val="0"/>
              <w:kinsoku/>
              <w:wordWrap/>
              <w:overflowPunct/>
              <w:topLinePunct w:val="0"/>
              <w:autoSpaceDE/>
              <w:autoSpaceDN/>
              <w:bidi w:val="0"/>
              <w:adjustRightInd/>
              <w:snapToGrid/>
              <w:spacing w:line="480" w:lineRule="exact"/>
              <w:ind w:firstLine="0" w:firstLineChars="0"/>
              <w:textAlignment w:val="auto"/>
              <w:rPr>
                <w:rFonts w:hint="default" w:ascii="Times New Roman" w:hAnsi="Times New Roman" w:cs="Times New Roman"/>
                <w:b/>
                <w:bCs/>
                <w:color w:val="auto"/>
                <w:sz w:val="24"/>
                <w:szCs w:val="24"/>
                <w:highlight w:val="none"/>
                <w:lang w:val="en-US" w:eastAsia="zh-CN"/>
              </w:rPr>
            </w:pPr>
            <w:r>
              <w:rPr>
                <w:rFonts w:hint="eastAsia"/>
                <w:color w:val="auto"/>
                <w:sz w:val="24"/>
                <w:szCs w:val="24"/>
                <w:highlight w:val="none"/>
                <w:lang w:val="en-US" w:eastAsia="zh-CN"/>
              </w:rPr>
              <w:t>二</w:t>
            </w:r>
            <w:r>
              <w:rPr>
                <w:rFonts w:hint="eastAsia" w:ascii="Times New Roman" w:hAnsi="Times New Roman" w:cs="Times New Roman"/>
                <w:b/>
                <w:bCs/>
                <w:color w:val="auto"/>
                <w:sz w:val="24"/>
                <w:szCs w:val="24"/>
                <w:highlight w:val="none"/>
                <w:lang w:val="en-US" w:eastAsia="zh-CN"/>
              </w:rPr>
              <w:t>、</w:t>
            </w:r>
            <w:r>
              <w:rPr>
                <w:rFonts w:hint="eastAsia" w:cs="Times New Roman"/>
                <w:b/>
                <w:bCs/>
                <w:color w:val="auto"/>
                <w:sz w:val="24"/>
                <w:szCs w:val="24"/>
                <w:highlight w:val="none"/>
                <w:lang w:val="en-US" w:eastAsia="zh-CN"/>
              </w:rPr>
              <w:t>现有</w:t>
            </w:r>
            <w:r>
              <w:rPr>
                <w:rFonts w:hint="eastAsia" w:ascii="Times New Roman" w:hAnsi="Times New Roman" w:cs="Times New Roman"/>
                <w:b/>
                <w:bCs/>
                <w:color w:val="auto"/>
                <w:sz w:val="24"/>
                <w:szCs w:val="24"/>
                <w:highlight w:val="none"/>
                <w:lang w:val="en-US" w:eastAsia="zh-CN"/>
              </w:rPr>
              <w:t>工程建设情况</w:t>
            </w:r>
          </w:p>
          <w:p>
            <w:pPr>
              <w:bidi w:val="0"/>
              <w:rPr>
                <w:rFonts w:hint="default" w:eastAsia="宋体"/>
                <w:color w:val="auto"/>
                <w:highlight w:val="none"/>
                <w:lang w:val="en-US" w:eastAsia="zh-CN"/>
              </w:rPr>
            </w:pPr>
            <w:r>
              <w:rPr>
                <w:rFonts w:hint="eastAsia"/>
                <w:color w:val="auto"/>
                <w:sz w:val="24"/>
                <w:szCs w:val="24"/>
                <w:highlight w:val="none"/>
                <w:lang w:val="en-US" w:eastAsia="zh-CN"/>
              </w:rPr>
              <w:t>唐山烯彤科技有限公司于2020年03月实施了年产八万套石墨烯电发热元件及年产三千吨高性能等静压石墨项目，该项目主要建设石墨烯电发热元件生产线和等静压石墨生产线，年产</w:t>
            </w:r>
            <w:r>
              <w:rPr>
                <w:rFonts w:hint="eastAsia" w:ascii="Times New Roman" w:hAnsi="Times New Roman" w:eastAsia="宋体"/>
                <w:color w:val="auto"/>
                <w:sz w:val="24"/>
                <w:szCs w:val="30"/>
              </w:rPr>
              <w:t>石墨烯电发热元件8万套、高性能等静压石墨3000t</w:t>
            </w:r>
            <w:r>
              <w:rPr>
                <w:rFonts w:hint="eastAsia"/>
                <w:color w:val="auto"/>
                <w:sz w:val="24"/>
                <w:szCs w:val="30"/>
                <w:lang w:eastAsia="zh-CN"/>
              </w:rPr>
              <w:t>，</w:t>
            </w:r>
            <w:r>
              <w:rPr>
                <w:rFonts w:hint="eastAsia"/>
                <w:color w:val="auto"/>
                <w:sz w:val="24"/>
                <w:szCs w:val="30"/>
                <w:lang w:val="en-US" w:eastAsia="zh-CN"/>
              </w:rPr>
              <w:t>根据市场需求及订单数量，</w:t>
            </w:r>
            <w:r>
              <w:rPr>
                <w:rFonts w:hint="eastAsia"/>
                <w:color w:val="auto"/>
                <w:sz w:val="24"/>
                <w:szCs w:val="24"/>
                <w:highlight w:val="none"/>
                <w:lang w:val="en-US" w:eastAsia="zh-CN"/>
              </w:rPr>
              <w:t>唐山烯彤科技有限公司于</w:t>
            </w:r>
            <w:r>
              <w:rPr>
                <w:rFonts w:hint="eastAsia"/>
                <w:color w:val="auto"/>
                <w:sz w:val="24"/>
                <w:szCs w:val="30"/>
                <w:lang w:val="en-US" w:eastAsia="zh-CN"/>
              </w:rPr>
              <w:t>2021年决定不再生产高性能等静压石墨，并计划不再复产，因此，本次评价现有工程不再对其进行分析。</w:t>
            </w:r>
          </w:p>
          <w:p>
            <w:pPr>
              <w:bidi w:val="0"/>
              <w:rPr>
                <w:rFonts w:hint="default"/>
                <w:color w:val="auto"/>
                <w:highlight w:val="none"/>
              </w:rPr>
            </w:pPr>
            <w:r>
              <w:rPr>
                <w:rFonts w:hint="eastAsia"/>
                <w:color w:val="auto"/>
                <w:highlight w:val="none"/>
                <w:lang w:val="en-US" w:eastAsia="zh-CN"/>
              </w:rPr>
              <w:t>1、</w:t>
            </w:r>
            <w:r>
              <w:rPr>
                <w:rFonts w:hint="default"/>
                <w:color w:val="auto"/>
                <w:highlight w:val="none"/>
              </w:rPr>
              <w:t>建设单位：</w:t>
            </w:r>
            <w:r>
              <w:rPr>
                <w:rFonts w:hint="eastAsia"/>
                <w:color w:val="auto"/>
                <w:sz w:val="24"/>
                <w:szCs w:val="24"/>
                <w:highlight w:val="none"/>
                <w:lang w:val="en-US" w:eastAsia="zh-CN"/>
              </w:rPr>
              <w:t>唐山烯彤科技有限公司</w:t>
            </w:r>
            <w:r>
              <w:rPr>
                <w:rFonts w:hint="default"/>
                <w:color w:val="auto"/>
                <w:highlight w:val="none"/>
              </w:rPr>
              <w:t>。</w:t>
            </w:r>
          </w:p>
          <w:p>
            <w:pPr>
              <w:bidi w:val="0"/>
              <w:rPr>
                <w:rFonts w:hint="eastAsia" w:eastAsia="宋体"/>
                <w:color w:val="auto"/>
                <w:highlight w:val="none"/>
                <w:lang w:val="en-US" w:eastAsia="zh-CN"/>
              </w:rPr>
            </w:pPr>
            <w:r>
              <w:rPr>
                <w:rFonts w:hint="eastAsia"/>
                <w:color w:val="auto"/>
                <w:highlight w:val="none"/>
                <w:lang w:val="en-US" w:eastAsia="zh-CN"/>
              </w:rPr>
              <w:t>2、</w:t>
            </w:r>
            <w:r>
              <w:rPr>
                <w:rFonts w:hint="default"/>
                <w:color w:val="auto"/>
                <w:highlight w:val="none"/>
              </w:rPr>
              <w:t>建设地点：</w:t>
            </w:r>
            <w:r>
              <w:rPr>
                <w:rFonts w:hint="eastAsia"/>
                <w:color w:val="auto"/>
                <w:sz w:val="24"/>
                <w:szCs w:val="30"/>
                <w:lang w:eastAsia="zh-CN"/>
              </w:rPr>
              <w:t>唐山市高新区学院北路1718-1号</w:t>
            </w:r>
            <w:r>
              <w:rPr>
                <w:rFonts w:hint="default"/>
                <w:color w:val="auto"/>
                <w:highlight w:val="none"/>
              </w:rPr>
              <w:t>。</w:t>
            </w:r>
          </w:p>
          <w:p>
            <w:pPr>
              <w:bidi w:val="0"/>
              <w:rPr>
                <w:rFonts w:hint="default" w:eastAsia="宋体"/>
                <w:color w:val="auto"/>
                <w:sz w:val="24"/>
                <w:szCs w:val="24"/>
                <w:highlight w:val="none"/>
                <w:lang w:val="en-US" w:eastAsia="zh-CN"/>
              </w:rPr>
            </w:pPr>
            <w:r>
              <w:rPr>
                <w:rFonts w:hint="eastAsia"/>
                <w:color w:val="auto"/>
                <w:sz w:val="24"/>
                <w:szCs w:val="24"/>
                <w:highlight w:val="none"/>
                <w:lang w:val="en-US" w:eastAsia="zh-CN"/>
              </w:rPr>
              <w:t>3、</w:t>
            </w:r>
            <w:r>
              <w:rPr>
                <w:rFonts w:hint="default"/>
                <w:color w:val="auto"/>
                <w:sz w:val="24"/>
                <w:szCs w:val="24"/>
                <w:highlight w:val="none"/>
              </w:rPr>
              <w:t>项目组成</w:t>
            </w:r>
            <w:r>
              <w:rPr>
                <w:rFonts w:hint="eastAsia"/>
                <w:color w:val="auto"/>
                <w:sz w:val="24"/>
                <w:szCs w:val="24"/>
                <w:highlight w:val="none"/>
                <w:lang w:val="en-US" w:eastAsia="zh-CN"/>
              </w:rPr>
              <w:t>：主体工程为生产区；辅助工程为办公区；储运工程包括库房、危废间及原料、成品储存区等；公用工程包括供水、供电、供暖等</w:t>
            </w:r>
            <w:r>
              <w:rPr>
                <w:rFonts w:hint="default"/>
                <w:color w:val="auto"/>
                <w:sz w:val="24"/>
                <w:szCs w:val="24"/>
                <w:highlight w:val="none"/>
              </w:rPr>
              <w:t>。</w:t>
            </w:r>
            <w:r>
              <w:rPr>
                <w:rFonts w:hint="eastAsia"/>
                <w:color w:val="auto"/>
                <w:sz w:val="24"/>
                <w:szCs w:val="24"/>
                <w:highlight w:val="none"/>
                <w:lang w:val="en-US" w:eastAsia="zh-CN"/>
              </w:rPr>
              <w:t>现有工程主要建构筑物见表8，现有工程主要建设内容见表9。</w:t>
            </w:r>
          </w:p>
          <w:p>
            <w:pPr>
              <w:pStyle w:val="31"/>
              <w:bidi w:val="0"/>
              <w:rPr>
                <w:color w:val="auto"/>
              </w:rPr>
            </w:pPr>
            <w:r>
              <w:rPr>
                <w:rFonts w:hint="eastAsia"/>
                <w:color w:val="auto"/>
              </w:rPr>
              <w:t>表</w:t>
            </w:r>
            <w:r>
              <w:rPr>
                <w:rFonts w:hint="eastAsia"/>
                <w:color w:val="auto"/>
                <w:lang w:val="en-US" w:eastAsia="zh-CN"/>
              </w:rPr>
              <w:t>8</w:t>
            </w:r>
            <w:r>
              <w:rPr>
                <w:rFonts w:hint="eastAsia"/>
                <w:color w:val="auto"/>
              </w:rPr>
              <w:t xml:space="preserve">  </w:t>
            </w:r>
            <w:r>
              <w:rPr>
                <w:rFonts w:hint="eastAsia"/>
                <w:color w:val="auto"/>
                <w:lang w:val="en-US" w:eastAsia="zh-CN"/>
              </w:rPr>
              <w:t>现有工程</w:t>
            </w:r>
            <w:r>
              <w:rPr>
                <w:color w:val="auto"/>
              </w:rPr>
              <w:t>主要建、构筑物一览表</w:t>
            </w:r>
          </w:p>
          <w:tbl>
            <w:tblPr>
              <w:tblStyle w:val="25"/>
              <w:tblW w:w="827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32"/>
              <w:gridCol w:w="1095"/>
              <w:gridCol w:w="1500"/>
              <w:gridCol w:w="495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0" w:hRule="atLeast"/>
                <w:tblHeader/>
                <w:jc w:val="center"/>
              </w:trPr>
              <w:tc>
                <w:tcPr>
                  <w:tcW w:w="732"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default"/>
                      <w:color w:val="auto"/>
                      <w:sz w:val="21"/>
                      <w:szCs w:val="21"/>
                      <w:highlight w:val="none"/>
                    </w:rPr>
                    <w:t>序号</w:t>
                  </w:r>
                </w:p>
              </w:tc>
              <w:tc>
                <w:tcPr>
                  <w:tcW w:w="1095"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default"/>
                      <w:color w:val="auto"/>
                      <w:sz w:val="21"/>
                      <w:szCs w:val="21"/>
                      <w:highlight w:val="none"/>
                    </w:rPr>
                    <w:t>名称</w:t>
                  </w:r>
                </w:p>
              </w:tc>
              <w:tc>
                <w:tcPr>
                  <w:tcW w:w="1500"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eastAsia"/>
                      <w:color w:val="auto"/>
                      <w:sz w:val="21"/>
                      <w:szCs w:val="21"/>
                      <w:highlight w:val="none"/>
                      <w:lang w:val="en-US" w:eastAsia="zh-CN"/>
                    </w:rPr>
                    <w:t>占地</w:t>
                  </w:r>
                  <w:r>
                    <w:rPr>
                      <w:rFonts w:hint="default"/>
                      <w:color w:val="auto"/>
                      <w:sz w:val="21"/>
                      <w:szCs w:val="21"/>
                      <w:highlight w:val="none"/>
                    </w:rPr>
                    <w:t>面积（m</w:t>
                  </w:r>
                  <w:r>
                    <w:rPr>
                      <w:rFonts w:hint="default"/>
                      <w:color w:val="auto"/>
                      <w:sz w:val="21"/>
                      <w:szCs w:val="21"/>
                      <w:highlight w:val="none"/>
                      <w:vertAlign w:val="superscript"/>
                    </w:rPr>
                    <w:t>2</w:t>
                  </w:r>
                  <w:r>
                    <w:rPr>
                      <w:rFonts w:hint="default"/>
                      <w:color w:val="auto"/>
                      <w:sz w:val="21"/>
                      <w:szCs w:val="21"/>
                      <w:highlight w:val="none"/>
                    </w:rPr>
                    <w:t>）</w:t>
                  </w:r>
                </w:p>
              </w:tc>
              <w:tc>
                <w:tcPr>
                  <w:tcW w:w="4950"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default"/>
                      <w:color w:val="auto"/>
                      <w:sz w:val="21"/>
                      <w:szCs w:val="21"/>
                      <w:highlight w:val="none"/>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732" w:type="dxa"/>
                  <w:tcBorders>
                    <w:tl2br w:val="nil"/>
                    <w:tr2bl w:val="nil"/>
                  </w:tcBorders>
                  <w:noWrap w:val="0"/>
                  <w:vAlign w:val="center"/>
                </w:tcPr>
                <w:p>
                  <w:pPr>
                    <w:pStyle w:val="32"/>
                    <w:keepNext w:val="0"/>
                    <w:keepLines w:val="0"/>
                    <w:pageBreakBefore w:val="0"/>
                    <w:widowControl w:val="0"/>
                    <w:numPr>
                      <w:ilvl w:val="0"/>
                      <w:numId w:val="9"/>
                    </w:numPr>
                    <w:kinsoku/>
                    <w:wordWrap/>
                    <w:overflowPunct/>
                    <w:topLinePunct w:val="0"/>
                    <w:autoSpaceDE/>
                    <w:autoSpaceDN/>
                    <w:bidi w:val="0"/>
                    <w:adjustRightInd/>
                    <w:snapToGrid/>
                    <w:spacing w:before="0" w:after="0"/>
                    <w:ind w:left="0" w:leftChars="0" w:firstLine="0" w:firstLineChars="0"/>
                    <w:textAlignment w:val="auto"/>
                    <w:rPr>
                      <w:rFonts w:hint="default"/>
                      <w:color w:val="auto"/>
                      <w:sz w:val="21"/>
                      <w:szCs w:val="21"/>
                      <w:highlight w:val="none"/>
                    </w:rPr>
                  </w:pPr>
                </w:p>
              </w:tc>
              <w:tc>
                <w:tcPr>
                  <w:tcW w:w="1095" w:type="dxa"/>
                  <w:tcBorders>
                    <w:tl2br w:val="nil"/>
                    <w:tr2bl w:val="nil"/>
                  </w:tcBorders>
                  <w:noWrap w:val="0"/>
                  <w:vAlign w:val="center"/>
                </w:tcPr>
                <w:p>
                  <w:pPr>
                    <w:pStyle w:val="32"/>
                    <w:ind w:firstLine="0" w:firstLineChars="0"/>
                    <w:rPr>
                      <w:rFonts w:hint="eastAsia" w:eastAsia="宋体"/>
                      <w:color w:val="auto"/>
                      <w:sz w:val="21"/>
                      <w:szCs w:val="21"/>
                      <w:highlight w:val="none"/>
                      <w:lang w:val="en-US" w:eastAsia="zh-CN"/>
                    </w:rPr>
                  </w:pPr>
                  <w:r>
                    <w:rPr>
                      <w:rFonts w:hint="eastAsia"/>
                      <w:color w:val="auto"/>
                      <w:sz w:val="21"/>
                      <w:highlight w:val="none"/>
                      <w:lang w:val="en-US" w:eastAsia="zh-CN"/>
                    </w:rPr>
                    <w:t>生产车间</w:t>
                  </w:r>
                </w:p>
              </w:tc>
              <w:tc>
                <w:tcPr>
                  <w:tcW w:w="1500" w:type="dxa"/>
                  <w:tcBorders>
                    <w:tl2br w:val="nil"/>
                    <w:tr2bl w:val="nil"/>
                  </w:tcBorders>
                  <w:noWrap w:val="0"/>
                  <w:vAlign w:val="center"/>
                </w:tcPr>
                <w:p>
                  <w:pPr>
                    <w:pStyle w:val="32"/>
                    <w:ind w:firstLine="0" w:firstLineChars="0"/>
                    <w:rPr>
                      <w:rFonts w:hint="default"/>
                      <w:color w:val="auto"/>
                      <w:sz w:val="21"/>
                      <w:highlight w:val="none"/>
                      <w:lang w:val="en-US" w:eastAsia="zh-CN"/>
                    </w:rPr>
                  </w:pPr>
                  <w:r>
                    <w:rPr>
                      <w:rFonts w:hint="eastAsia"/>
                      <w:color w:val="auto"/>
                      <w:sz w:val="21"/>
                      <w:highlight w:val="none"/>
                      <w:lang w:val="en-US" w:eastAsia="zh-CN"/>
                    </w:rPr>
                    <w:t>7600</w:t>
                  </w:r>
                </w:p>
              </w:tc>
              <w:tc>
                <w:tcPr>
                  <w:tcW w:w="4950"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default" w:eastAsia="宋体"/>
                      <w:color w:val="auto"/>
                      <w:sz w:val="21"/>
                      <w:szCs w:val="21"/>
                      <w:highlight w:val="none"/>
                      <w:lang w:val="en-US" w:eastAsia="zh-CN"/>
                    </w:rPr>
                  </w:pPr>
                  <w:r>
                    <w:rPr>
                      <w:rFonts w:hint="eastAsia" w:eastAsia="宋体"/>
                      <w:color w:val="auto"/>
                      <w:sz w:val="21"/>
                      <w:szCs w:val="21"/>
                      <w:highlight w:val="none"/>
                      <w:lang w:val="en-US" w:eastAsia="zh-CN"/>
                    </w:rPr>
                    <w:t>生产车间南部主要为办公区，四层，高14m，占地面积1600m</w:t>
                  </w:r>
                  <w:r>
                    <w:rPr>
                      <w:rFonts w:hint="eastAsia" w:eastAsia="宋体"/>
                      <w:color w:val="auto"/>
                      <w:sz w:val="21"/>
                      <w:szCs w:val="21"/>
                      <w:highlight w:val="none"/>
                      <w:vertAlign w:val="superscript"/>
                      <w:lang w:val="en-US" w:eastAsia="zh-CN"/>
                    </w:rPr>
                    <w:t>2</w:t>
                  </w:r>
                  <w:r>
                    <w:rPr>
                      <w:rFonts w:hint="eastAsia" w:eastAsia="宋体"/>
                      <w:color w:val="auto"/>
                      <w:sz w:val="21"/>
                      <w:szCs w:val="21"/>
                      <w:highlight w:val="none"/>
                      <w:vertAlign w:val="baseline"/>
                      <w:lang w:val="en-US" w:eastAsia="zh-CN"/>
                    </w:rPr>
                    <w:t>（东侧</w:t>
                  </w:r>
                  <w:r>
                    <w:rPr>
                      <w:rFonts w:hint="eastAsia"/>
                      <w:color w:val="auto"/>
                      <w:sz w:val="21"/>
                      <w:szCs w:val="21"/>
                      <w:highlight w:val="none"/>
                      <w:vertAlign w:val="baseline"/>
                      <w:lang w:val="en-US" w:eastAsia="zh-CN"/>
                    </w:rPr>
                    <w:t>约</w:t>
                  </w:r>
                  <w:r>
                    <w:rPr>
                      <w:rFonts w:hint="eastAsia" w:eastAsia="宋体"/>
                      <w:color w:val="auto"/>
                      <w:sz w:val="21"/>
                      <w:szCs w:val="21"/>
                      <w:highlight w:val="none"/>
                      <w:vertAlign w:val="baseline"/>
                      <w:lang w:val="en-US" w:eastAsia="zh-CN"/>
                    </w:rPr>
                    <w:t>800m</w:t>
                  </w:r>
                  <w:r>
                    <w:rPr>
                      <w:rFonts w:hint="eastAsia" w:eastAsia="宋体"/>
                      <w:color w:val="auto"/>
                      <w:sz w:val="21"/>
                      <w:szCs w:val="21"/>
                      <w:highlight w:val="none"/>
                      <w:vertAlign w:val="superscript"/>
                      <w:lang w:val="en-US" w:eastAsia="zh-CN"/>
                    </w:rPr>
                    <w:t>2</w:t>
                  </w:r>
                  <w:r>
                    <w:rPr>
                      <w:rFonts w:hint="eastAsia" w:eastAsia="宋体"/>
                      <w:color w:val="auto"/>
                      <w:sz w:val="21"/>
                      <w:szCs w:val="21"/>
                      <w:highlight w:val="none"/>
                      <w:vertAlign w:val="baseline"/>
                      <w:lang w:val="en-US" w:eastAsia="zh-CN"/>
                    </w:rPr>
                    <w:t>租赁给中节能（唐山）环保装备有限公司）</w:t>
                  </w:r>
                  <w:r>
                    <w:rPr>
                      <w:rFonts w:hint="eastAsia" w:eastAsia="宋体"/>
                      <w:color w:val="auto"/>
                      <w:sz w:val="21"/>
                      <w:szCs w:val="21"/>
                      <w:highlight w:val="none"/>
                      <w:lang w:val="en-US" w:eastAsia="zh-CN"/>
                    </w:rPr>
                    <w:t>；生产车间北部主要为生产区，两层，高16m，占地面积6000m</w:t>
                  </w:r>
                  <w:r>
                    <w:rPr>
                      <w:rFonts w:hint="eastAsia" w:eastAsia="宋体"/>
                      <w:color w:val="auto"/>
                      <w:sz w:val="21"/>
                      <w:szCs w:val="21"/>
                      <w:highlight w:val="none"/>
                      <w:vertAlign w:val="superscript"/>
                      <w:lang w:val="en-US" w:eastAsia="zh-CN"/>
                    </w:rPr>
                    <w:t>2</w:t>
                  </w:r>
                  <w:r>
                    <w:rPr>
                      <w:rFonts w:hint="eastAsia" w:eastAsia="宋体"/>
                      <w:color w:val="auto"/>
                      <w:sz w:val="21"/>
                      <w:szCs w:val="21"/>
                      <w:highlight w:val="none"/>
                      <w:vertAlign w:val="baseline"/>
                      <w:lang w:val="en-US" w:eastAsia="zh-CN"/>
                    </w:rPr>
                    <w:t>（</w:t>
                  </w:r>
                  <w:r>
                    <w:rPr>
                      <w:rFonts w:hint="eastAsia"/>
                      <w:color w:val="auto"/>
                      <w:sz w:val="21"/>
                      <w:szCs w:val="21"/>
                      <w:highlight w:val="none"/>
                      <w:vertAlign w:val="baseline"/>
                      <w:lang w:val="en-US" w:eastAsia="zh-CN"/>
                    </w:rPr>
                    <w:t>一层</w:t>
                  </w:r>
                  <w:r>
                    <w:rPr>
                      <w:rFonts w:hint="eastAsia" w:eastAsia="宋体"/>
                      <w:color w:val="auto"/>
                      <w:sz w:val="21"/>
                      <w:szCs w:val="21"/>
                      <w:highlight w:val="none"/>
                      <w:vertAlign w:val="baseline"/>
                      <w:lang w:val="en-US" w:eastAsia="zh-CN"/>
                    </w:rPr>
                    <w:t>东侧</w:t>
                  </w:r>
                  <w:r>
                    <w:rPr>
                      <w:rFonts w:hint="eastAsia"/>
                      <w:color w:val="auto"/>
                      <w:sz w:val="21"/>
                      <w:szCs w:val="21"/>
                      <w:highlight w:val="none"/>
                      <w:vertAlign w:val="baseline"/>
                      <w:lang w:val="en-US" w:eastAsia="zh-CN"/>
                    </w:rPr>
                    <w:t>约40</w:t>
                  </w:r>
                  <w:r>
                    <w:rPr>
                      <w:rFonts w:hint="eastAsia" w:eastAsia="宋体"/>
                      <w:color w:val="auto"/>
                      <w:sz w:val="21"/>
                      <w:szCs w:val="21"/>
                      <w:highlight w:val="none"/>
                      <w:vertAlign w:val="baseline"/>
                      <w:lang w:val="en-US" w:eastAsia="zh-CN"/>
                    </w:rPr>
                    <w:t>00m</w:t>
                  </w:r>
                  <w:r>
                    <w:rPr>
                      <w:rFonts w:hint="eastAsia" w:eastAsia="宋体"/>
                      <w:color w:val="auto"/>
                      <w:sz w:val="21"/>
                      <w:szCs w:val="21"/>
                      <w:highlight w:val="none"/>
                      <w:vertAlign w:val="superscript"/>
                      <w:lang w:val="en-US" w:eastAsia="zh-CN"/>
                    </w:rPr>
                    <w:t>2</w:t>
                  </w:r>
                  <w:r>
                    <w:rPr>
                      <w:rFonts w:hint="eastAsia" w:eastAsia="宋体"/>
                      <w:color w:val="auto"/>
                      <w:sz w:val="21"/>
                      <w:szCs w:val="21"/>
                      <w:highlight w:val="none"/>
                      <w:vertAlign w:val="baseline"/>
                      <w:lang w:val="en-US" w:eastAsia="zh-CN"/>
                    </w:rPr>
                    <w:t>租赁给中节能（唐山）环保装备有限公司</w:t>
                  </w:r>
                  <w:r>
                    <w:rPr>
                      <w:rFonts w:hint="eastAsia"/>
                      <w:color w:val="auto"/>
                      <w:sz w:val="21"/>
                      <w:szCs w:val="21"/>
                      <w:highlight w:val="none"/>
                      <w:vertAlign w:val="baseline"/>
                      <w:lang w:val="en-US" w:eastAsia="zh-CN"/>
                    </w:rPr>
                    <w:t>和唐山墨希新材料科技有限公司，二层东侧约40</w:t>
                  </w:r>
                  <w:r>
                    <w:rPr>
                      <w:rFonts w:hint="eastAsia" w:eastAsia="宋体"/>
                      <w:color w:val="auto"/>
                      <w:sz w:val="21"/>
                      <w:szCs w:val="21"/>
                      <w:highlight w:val="none"/>
                      <w:vertAlign w:val="baseline"/>
                      <w:lang w:val="en-US" w:eastAsia="zh-CN"/>
                    </w:rPr>
                    <w:t>00m</w:t>
                  </w:r>
                  <w:r>
                    <w:rPr>
                      <w:rFonts w:hint="eastAsia" w:eastAsia="宋体"/>
                      <w:color w:val="auto"/>
                      <w:sz w:val="21"/>
                      <w:szCs w:val="21"/>
                      <w:highlight w:val="none"/>
                      <w:vertAlign w:val="superscript"/>
                      <w:lang w:val="en-US" w:eastAsia="zh-CN"/>
                    </w:rPr>
                    <w:t>2</w:t>
                  </w:r>
                  <w:r>
                    <w:rPr>
                      <w:rFonts w:hint="eastAsia" w:eastAsia="宋体"/>
                      <w:color w:val="auto"/>
                      <w:sz w:val="21"/>
                      <w:szCs w:val="21"/>
                      <w:highlight w:val="none"/>
                      <w:vertAlign w:val="baseline"/>
                      <w:lang w:val="en-US" w:eastAsia="zh-CN"/>
                    </w:rPr>
                    <w:t>租赁给中节能（唐山）环保装备有限公司）</w:t>
                  </w:r>
                  <w:r>
                    <w:rPr>
                      <w:rFonts w:hint="eastAsia" w:eastAsia="宋体"/>
                      <w:color w:val="auto"/>
                      <w:sz w:val="21"/>
                      <w:szCs w:val="21"/>
                      <w:highlight w:val="none"/>
                      <w:lang w:val="en-US" w:eastAsia="zh-CN"/>
                    </w:rPr>
                    <w:t>，一层</w:t>
                  </w:r>
                  <w:r>
                    <w:rPr>
                      <w:rFonts w:hint="eastAsia"/>
                      <w:color w:val="auto"/>
                      <w:sz w:val="21"/>
                      <w:szCs w:val="21"/>
                      <w:highlight w:val="none"/>
                      <w:lang w:val="en-US" w:eastAsia="zh-CN"/>
                    </w:rPr>
                    <w:t>主要用于生产</w:t>
                  </w:r>
                  <w:r>
                    <w:rPr>
                      <w:rFonts w:hint="eastAsia" w:eastAsia="宋体"/>
                      <w:color w:val="auto"/>
                      <w:sz w:val="21"/>
                      <w:szCs w:val="21"/>
                      <w:highlight w:val="none"/>
                      <w:lang w:val="en-US" w:eastAsia="zh-CN"/>
                    </w:rPr>
                    <w:t>，二层主要</w:t>
                  </w:r>
                  <w:r>
                    <w:rPr>
                      <w:rFonts w:hint="eastAsia"/>
                      <w:color w:val="auto"/>
                      <w:sz w:val="21"/>
                      <w:szCs w:val="21"/>
                      <w:highlight w:val="none"/>
                      <w:lang w:val="en-US" w:eastAsia="zh-CN"/>
                    </w:rPr>
                    <w:t>用于包装和原料、成品储存</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732" w:type="dxa"/>
                  <w:tcBorders>
                    <w:tl2br w:val="nil"/>
                    <w:tr2bl w:val="nil"/>
                  </w:tcBorders>
                  <w:noWrap w:val="0"/>
                  <w:vAlign w:val="center"/>
                </w:tcPr>
                <w:p>
                  <w:pPr>
                    <w:pStyle w:val="32"/>
                    <w:keepNext w:val="0"/>
                    <w:keepLines w:val="0"/>
                    <w:pageBreakBefore w:val="0"/>
                    <w:widowControl w:val="0"/>
                    <w:numPr>
                      <w:ilvl w:val="0"/>
                      <w:numId w:val="9"/>
                    </w:numPr>
                    <w:kinsoku/>
                    <w:wordWrap/>
                    <w:overflowPunct/>
                    <w:topLinePunct w:val="0"/>
                    <w:autoSpaceDE/>
                    <w:autoSpaceDN/>
                    <w:bidi w:val="0"/>
                    <w:adjustRightInd/>
                    <w:snapToGrid/>
                    <w:spacing w:before="0" w:after="0"/>
                    <w:ind w:left="0" w:leftChars="0" w:firstLine="0" w:firstLineChars="0"/>
                    <w:textAlignment w:val="auto"/>
                    <w:rPr>
                      <w:rFonts w:hint="default"/>
                      <w:color w:val="auto"/>
                      <w:sz w:val="21"/>
                      <w:szCs w:val="21"/>
                      <w:highlight w:val="none"/>
                    </w:rPr>
                  </w:pPr>
                </w:p>
              </w:tc>
              <w:tc>
                <w:tcPr>
                  <w:tcW w:w="1095" w:type="dxa"/>
                  <w:tcBorders>
                    <w:tl2br w:val="nil"/>
                    <w:tr2bl w:val="nil"/>
                  </w:tcBorders>
                  <w:noWrap w:val="0"/>
                  <w:vAlign w:val="center"/>
                </w:tcPr>
                <w:p>
                  <w:pPr>
                    <w:pStyle w:val="32"/>
                    <w:ind w:firstLine="0" w:firstLineChars="0"/>
                    <w:rPr>
                      <w:rFonts w:hint="default"/>
                      <w:color w:val="auto"/>
                      <w:sz w:val="21"/>
                      <w:highlight w:val="none"/>
                      <w:lang w:val="en-US" w:eastAsia="zh-CN"/>
                    </w:rPr>
                  </w:pPr>
                  <w:r>
                    <w:rPr>
                      <w:rFonts w:hint="eastAsia"/>
                      <w:color w:val="auto"/>
                      <w:sz w:val="21"/>
                      <w:highlight w:val="none"/>
                      <w:lang w:val="en-US" w:eastAsia="zh-CN"/>
                    </w:rPr>
                    <w:t>危废间</w:t>
                  </w:r>
                </w:p>
              </w:tc>
              <w:tc>
                <w:tcPr>
                  <w:tcW w:w="1500" w:type="dxa"/>
                  <w:tcBorders>
                    <w:tl2br w:val="nil"/>
                    <w:tr2bl w:val="nil"/>
                  </w:tcBorders>
                  <w:noWrap w:val="0"/>
                  <w:vAlign w:val="center"/>
                </w:tcPr>
                <w:p>
                  <w:pPr>
                    <w:pStyle w:val="32"/>
                    <w:ind w:firstLine="0" w:firstLineChars="0"/>
                    <w:rPr>
                      <w:rFonts w:hint="default"/>
                      <w:color w:val="auto"/>
                      <w:sz w:val="21"/>
                      <w:highlight w:val="none"/>
                      <w:lang w:val="en-US" w:eastAsia="zh-CN"/>
                    </w:rPr>
                  </w:pPr>
                  <w:r>
                    <w:rPr>
                      <w:rFonts w:hint="eastAsia"/>
                      <w:color w:val="auto"/>
                      <w:sz w:val="21"/>
                      <w:highlight w:val="none"/>
                      <w:lang w:val="en-US" w:eastAsia="zh-CN"/>
                    </w:rPr>
                    <w:t>15</w:t>
                  </w:r>
                </w:p>
              </w:tc>
              <w:tc>
                <w:tcPr>
                  <w:tcW w:w="4950"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位于生产车间内西北侧</w:t>
                  </w:r>
                </w:p>
              </w:tc>
            </w:tr>
          </w:tbl>
          <w:p>
            <w:pPr>
              <w:pStyle w:val="31"/>
              <w:bidi w:val="0"/>
              <w:rPr>
                <w:color w:val="auto"/>
              </w:rPr>
            </w:pPr>
            <w:r>
              <w:rPr>
                <w:rFonts w:hint="eastAsia"/>
                <w:color w:val="auto"/>
              </w:rPr>
              <w:t>表</w:t>
            </w:r>
            <w:r>
              <w:rPr>
                <w:rFonts w:hint="eastAsia"/>
                <w:color w:val="auto"/>
                <w:lang w:val="en-US" w:eastAsia="zh-CN"/>
              </w:rPr>
              <w:t>9</w:t>
            </w:r>
            <w:r>
              <w:rPr>
                <w:rFonts w:hint="eastAsia"/>
                <w:color w:val="auto"/>
              </w:rPr>
              <w:t xml:space="preserve">  </w:t>
            </w:r>
            <w:r>
              <w:rPr>
                <w:rFonts w:hint="eastAsia"/>
                <w:color w:val="auto"/>
                <w:lang w:val="en-US" w:eastAsia="zh-CN"/>
              </w:rPr>
              <w:t>现有工程建设内容</w:t>
            </w:r>
            <w:r>
              <w:rPr>
                <w:color w:val="auto"/>
              </w:rPr>
              <w:t>一览表</w:t>
            </w:r>
          </w:p>
          <w:tbl>
            <w:tblPr>
              <w:tblStyle w:val="25"/>
              <w:tblW w:w="827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290"/>
              <w:gridCol w:w="1334"/>
              <w:gridCol w:w="565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90"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rPr>
                  </w:pPr>
                  <w:r>
                    <w:rPr>
                      <w:rFonts w:hint="eastAsia"/>
                      <w:color w:val="auto"/>
                    </w:rPr>
                    <w:t>项目</w:t>
                  </w:r>
                </w:p>
              </w:tc>
              <w:tc>
                <w:tcPr>
                  <w:tcW w:w="1334"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rPr>
                  </w:pPr>
                  <w:r>
                    <w:rPr>
                      <w:rFonts w:hint="eastAsia"/>
                      <w:color w:val="auto"/>
                    </w:rPr>
                    <w:t>主要设施</w:t>
                  </w:r>
                </w:p>
              </w:tc>
              <w:tc>
                <w:tcPr>
                  <w:tcW w:w="5653"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rPr>
                  </w:pPr>
                  <w:r>
                    <w:rPr>
                      <w:rFonts w:hint="eastAsia"/>
                      <w:color w:val="auto"/>
                    </w:rPr>
                    <w:t>工程</w:t>
                  </w:r>
                  <w:r>
                    <w:rPr>
                      <w:color w:val="auto"/>
                    </w:rPr>
                    <w:t>内容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90"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rPr>
                  </w:pPr>
                  <w:r>
                    <w:rPr>
                      <w:rFonts w:hint="eastAsia"/>
                      <w:color w:val="auto"/>
                    </w:rPr>
                    <w:t>主体</w:t>
                  </w:r>
                  <w:r>
                    <w:rPr>
                      <w:color w:val="auto"/>
                    </w:rPr>
                    <w:t>工程</w:t>
                  </w:r>
                </w:p>
              </w:tc>
              <w:tc>
                <w:tcPr>
                  <w:tcW w:w="1334"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rFonts w:hint="eastAsia" w:eastAsia="宋体"/>
                      <w:color w:val="auto"/>
                      <w:lang w:val="en-US" w:eastAsia="zh-CN"/>
                    </w:rPr>
                  </w:pPr>
                  <w:r>
                    <w:rPr>
                      <w:rFonts w:hint="eastAsia"/>
                      <w:color w:val="auto"/>
                      <w:lang w:val="en-US" w:eastAsia="zh-CN"/>
                    </w:rPr>
                    <w:t>生产区</w:t>
                  </w:r>
                </w:p>
              </w:tc>
              <w:tc>
                <w:tcPr>
                  <w:tcW w:w="5653"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rPr>
                  </w:pPr>
                  <w:r>
                    <w:rPr>
                      <w:rFonts w:hint="eastAsia"/>
                      <w:color w:val="auto"/>
                    </w:rPr>
                    <w:t>2层建筑，布置安装镀膜机</w:t>
                  </w:r>
                  <w:r>
                    <w:rPr>
                      <w:color w:val="auto"/>
                    </w:rPr>
                    <w:t>、</w:t>
                  </w:r>
                  <w:r>
                    <w:rPr>
                      <w:rFonts w:hint="eastAsia"/>
                      <w:color w:val="auto"/>
                    </w:rPr>
                    <w:t>空压机</w:t>
                  </w:r>
                  <w:r>
                    <w:rPr>
                      <w:color w:val="auto"/>
                    </w:rPr>
                    <w:t>、丝印机、</w:t>
                  </w:r>
                  <w:r>
                    <w:rPr>
                      <w:rFonts w:hint="eastAsia"/>
                      <w:color w:val="auto"/>
                    </w:rPr>
                    <w:t>烘干</w:t>
                  </w:r>
                  <w:r>
                    <w:rPr>
                      <w:rFonts w:hint="eastAsia"/>
                      <w:color w:val="auto"/>
                      <w:lang w:val="en-US" w:eastAsia="zh-CN"/>
                    </w:rPr>
                    <w:t>炉、烧熔炉、覆膜机</w:t>
                  </w:r>
                  <w:r>
                    <w:rPr>
                      <w:color w:val="auto"/>
                    </w:rPr>
                    <w:t>等设备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90"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rPr>
                  </w:pPr>
                  <w:r>
                    <w:rPr>
                      <w:rFonts w:hint="eastAsia"/>
                      <w:color w:val="auto"/>
                    </w:rPr>
                    <w:t>辅助</w:t>
                  </w:r>
                  <w:r>
                    <w:rPr>
                      <w:color w:val="auto"/>
                    </w:rPr>
                    <w:t>工程</w:t>
                  </w:r>
                </w:p>
              </w:tc>
              <w:tc>
                <w:tcPr>
                  <w:tcW w:w="1334"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ascii="Times New Roman" w:hAnsi="Times New Roman" w:eastAsia="宋体" w:cs="Times New Roman"/>
                      <w:color w:val="auto"/>
                      <w:kern w:val="2"/>
                      <w:sz w:val="21"/>
                      <w:szCs w:val="21"/>
                      <w:lang w:val="en-US" w:eastAsia="zh-CN" w:bidi="ar-SA"/>
                    </w:rPr>
                  </w:pPr>
                  <w:r>
                    <w:rPr>
                      <w:rFonts w:hint="eastAsia"/>
                      <w:color w:val="auto"/>
                    </w:rPr>
                    <w:t>办公区</w:t>
                  </w:r>
                </w:p>
              </w:tc>
              <w:tc>
                <w:tcPr>
                  <w:tcW w:w="5653"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eastAsia" w:ascii="Times New Roman" w:hAnsi="Times New Roman" w:eastAsia="宋体" w:cs="Times New Roman"/>
                      <w:color w:val="auto"/>
                      <w:kern w:val="2"/>
                      <w:sz w:val="21"/>
                      <w:szCs w:val="21"/>
                      <w:lang w:val="en-US" w:eastAsia="zh-CN" w:bidi="ar-SA"/>
                    </w:rPr>
                  </w:pPr>
                  <w:r>
                    <w:rPr>
                      <w:rFonts w:hint="eastAsia"/>
                      <w:color w:val="auto"/>
                      <w:lang w:val="en-US" w:eastAsia="zh-CN"/>
                    </w:rPr>
                    <w:t>主要用于</w:t>
                  </w:r>
                  <w:r>
                    <w:rPr>
                      <w:rFonts w:hint="eastAsia"/>
                      <w:color w:val="auto"/>
                    </w:rPr>
                    <w:t>办公</w:t>
                  </w:r>
                  <w:r>
                    <w:rPr>
                      <w:color w:val="auto"/>
                    </w:rPr>
                    <w:t>、职工休息，不设食堂、</w:t>
                  </w:r>
                  <w:r>
                    <w:rPr>
                      <w:rFonts w:hint="eastAsia"/>
                      <w:color w:val="auto"/>
                      <w:lang w:val="en-US" w:eastAsia="zh-CN"/>
                    </w:rPr>
                    <w:t>宿舍和</w:t>
                  </w:r>
                  <w:r>
                    <w:rPr>
                      <w:color w:val="auto"/>
                    </w:rPr>
                    <w:t>浴室</w:t>
                  </w:r>
                  <w:r>
                    <w:rPr>
                      <w:rFonts w:hint="eastAsia"/>
                      <w:color w:val="auto"/>
                      <w:lang w:val="en-US" w:eastAsia="zh-CN"/>
                    </w:rPr>
                    <w:t>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90" w:type="dxa"/>
                  <w:vMerge w:val="restart"/>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lang w:val="en-US" w:eastAsia="zh-CN"/>
                    </w:rPr>
                  </w:pPr>
                  <w:r>
                    <w:rPr>
                      <w:rFonts w:hint="eastAsia"/>
                      <w:color w:val="auto"/>
                      <w:lang w:val="en-US" w:eastAsia="zh-CN"/>
                    </w:rPr>
                    <w:t>储运工程</w:t>
                  </w:r>
                </w:p>
              </w:tc>
              <w:tc>
                <w:tcPr>
                  <w:tcW w:w="1334"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eastAsia" w:ascii="Times New Roman" w:hAnsi="Times New Roman" w:eastAsia="宋体" w:cs="Times New Roman"/>
                      <w:color w:val="auto"/>
                      <w:kern w:val="2"/>
                      <w:sz w:val="21"/>
                      <w:szCs w:val="21"/>
                      <w:lang w:val="en-US" w:eastAsia="zh-CN" w:bidi="ar-SA"/>
                    </w:rPr>
                  </w:pPr>
                  <w:r>
                    <w:rPr>
                      <w:rFonts w:hint="eastAsia"/>
                      <w:color w:val="auto"/>
                    </w:rPr>
                    <w:t>库房</w:t>
                  </w:r>
                </w:p>
              </w:tc>
              <w:tc>
                <w:tcPr>
                  <w:tcW w:w="5653"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default" w:ascii="Times New Roman" w:hAnsi="Times New Roman" w:eastAsia="宋体" w:cs="Times New Roman"/>
                      <w:color w:val="auto"/>
                      <w:kern w:val="2"/>
                      <w:sz w:val="21"/>
                      <w:szCs w:val="21"/>
                      <w:lang w:val="en-US" w:eastAsia="zh-CN" w:bidi="ar-SA"/>
                    </w:rPr>
                  </w:pPr>
                  <w:r>
                    <w:rPr>
                      <w:rFonts w:hint="eastAsia"/>
                      <w:color w:val="auto"/>
                      <w:lang w:val="en-US" w:eastAsia="zh-CN"/>
                    </w:rPr>
                    <w:t>位于生产车间生产区一层，</w:t>
                  </w:r>
                  <w:r>
                    <w:rPr>
                      <w:rFonts w:hint="eastAsia"/>
                      <w:color w:val="auto"/>
                    </w:rPr>
                    <w:t>用于</w:t>
                  </w:r>
                  <w:r>
                    <w:rPr>
                      <w:rFonts w:hint="eastAsia"/>
                      <w:color w:val="auto"/>
                      <w:lang w:val="en-US" w:eastAsia="zh-CN"/>
                    </w:rPr>
                    <w:t>临时存放原料及成品</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90" w:type="dxa"/>
                  <w:vMerge w:val="continue"/>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rPr>
                  </w:pPr>
                </w:p>
              </w:tc>
              <w:tc>
                <w:tcPr>
                  <w:tcW w:w="1334"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rPr>
                  </w:pPr>
                  <w:r>
                    <w:rPr>
                      <w:rFonts w:hint="eastAsia"/>
                      <w:color w:val="auto"/>
                    </w:rPr>
                    <w:t>危废间</w:t>
                  </w:r>
                </w:p>
              </w:tc>
              <w:tc>
                <w:tcPr>
                  <w:tcW w:w="5653"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rPr>
                  </w:pPr>
                  <w:r>
                    <w:rPr>
                      <w:rFonts w:hint="eastAsia"/>
                      <w:color w:val="auto"/>
                      <w:lang w:val="en-US" w:eastAsia="zh-CN"/>
                    </w:rPr>
                    <w:t>位于生产车间生产区一层，</w:t>
                  </w:r>
                  <w:r>
                    <w:rPr>
                      <w:rFonts w:hint="eastAsia"/>
                      <w:color w:val="auto"/>
                    </w:rPr>
                    <w:t>用于</w:t>
                  </w:r>
                  <w:r>
                    <w:rPr>
                      <w:color w:val="auto"/>
                    </w:rPr>
                    <w:t>储存</w:t>
                  </w:r>
                  <w:r>
                    <w:rPr>
                      <w:rFonts w:hint="eastAsia"/>
                      <w:color w:val="auto"/>
                      <w:lang w:val="en-US" w:eastAsia="zh-CN"/>
                    </w:rPr>
                    <w:t>生产过程产生的</w:t>
                  </w:r>
                  <w:r>
                    <w:rPr>
                      <w:color w:val="auto"/>
                    </w:rPr>
                    <w:t>危险废物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90" w:type="dxa"/>
                  <w:vMerge w:val="continue"/>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rPr>
                  </w:pPr>
                </w:p>
              </w:tc>
              <w:tc>
                <w:tcPr>
                  <w:tcW w:w="1334"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eastAsia" w:ascii="Times New Roman" w:hAnsi="Times New Roman" w:eastAsia="宋体" w:cs="Times New Roman"/>
                      <w:color w:val="auto"/>
                      <w:kern w:val="1"/>
                      <w:sz w:val="21"/>
                      <w:szCs w:val="21"/>
                      <w:lang w:val="en-US" w:eastAsia="zh-CN" w:bidi="ar-SA"/>
                    </w:rPr>
                  </w:pPr>
                  <w:r>
                    <w:rPr>
                      <w:rFonts w:hint="eastAsia"/>
                      <w:color w:val="auto"/>
                      <w:lang w:val="en-US" w:eastAsia="zh-CN"/>
                    </w:rPr>
                    <w:t>原料、成品储存区</w:t>
                  </w:r>
                </w:p>
              </w:tc>
              <w:tc>
                <w:tcPr>
                  <w:tcW w:w="5653"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default" w:ascii="Times New Roman" w:hAnsi="Times New Roman" w:eastAsia="宋体" w:cs="Times New Roman"/>
                      <w:color w:val="auto"/>
                      <w:kern w:val="1"/>
                      <w:sz w:val="21"/>
                      <w:szCs w:val="21"/>
                      <w:lang w:val="en-US" w:eastAsia="zh-CN" w:bidi="ar-SA"/>
                    </w:rPr>
                  </w:pPr>
                  <w:r>
                    <w:rPr>
                      <w:rFonts w:hint="eastAsia"/>
                      <w:color w:val="auto"/>
                      <w:lang w:val="en-US" w:eastAsia="zh-CN"/>
                    </w:rPr>
                    <w:t>位于生产车间生产区二层，用于原料及成品储存，并在东北侧设置危险品储存区，用于储存电极银浆、镀膜液、润滑油、氢氧化钠等，在西北侧设置一般固废储存区，用于储存生产过程产生的一般工业固体废物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90" w:type="dxa"/>
                  <w:vMerge w:val="restart"/>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rPr>
                  </w:pPr>
                  <w:r>
                    <w:rPr>
                      <w:rFonts w:hint="eastAsia"/>
                      <w:color w:val="auto"/>
                    </w:rPr>
                    <w:t>公用工程</w:t>
                  </w:r>
                </w:p>
              </w:tc>
              <w:tc>
                <w:tcPr>
                  <w:tcW w:w="1334"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rPr>
                  </w:pPr>
                  <w:r>
                    <w:rPr>
                      <w:rFonts w:hint="eastAsia"/>
                      <w:color w:val="auto"/>
                    </w:rPr>
                    <w:t>供水</w:t>
                  </w:r>
                </w:p>
              </w:tc>
              <w:tc>
                <w:tcPr>
                  <w:tcW w:w="5653"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rPr>
                  </w:pPr>
                  <w:r>
                    <w:rPr>
                      <w:rFonts w:hint="eastAsia"/>
                      <w:color w:val="auto"/>
                    </w:rPr>
                    <w:t>市政供水管网</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90" w:type="dxa"/>
                  <w:vMerge w:val="continue"/>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rPr>
                  </w:pPr>
                </w:p>
              </w:tc>
              <w:tc>
                <w:tcPr>
                  <w:tcW w:w="1334"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rPr>
                  </w:pPr>
                  <w:r>
                    <w:rPr>
                      <w:rFonts w:hint="eastAsia"/>
                      <w:color w:val="auto"/>
                    </w:rPr>
                    <w:t>供电</w:t>
                  </w:r>
                </w:p>
              </w:tc>
              <w:tc>
                <w:tcPr>
                  <w:tcW w:w="5653"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rPr>
                  </w:pPr>
                  <w:r>
                    <w:rPr>
                      <w:rFonts w:hint="eastAsia"/>
                      <w:color w:val="auto"/>
                    </w:rPr>
                    <w:t>当地电网</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90" w:type="dxa"/>
                  <w:vMerge w:val="continue"/>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rPr>
                  </w:pPr>
                </w:p>
              </w:tc>
              <w:tc>
                <w:tcPr>
                  <w:tcW w:w="1334"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rPr>
                  </w:pPr>
                  <w:r>
                    <w:rPr>
                      <w:rFonts w:hint="eastAsia"/>
                      <w:color w:val="auto"/>
                    </w:rPr>
                    <w:t>供暖</w:t>
                  </w:r>
                </w:p>
              </w:tc>
              <w:tc>
                <w:tcPr>
                  <w:tcW w:w="5653"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rPr>
                  </w:pPr>
                  <w:r>
                    <w:rPr>
                      <w:rFonts w:hint="eastAsia"/>
                      <w:color w:val="auto"/>
                    </w:rPr>
                    <w:t>生产车间</w:t>
                  </w:r>
                  <w:r>
                    <w:rPr>
                      <w:color w:val="auto"/>
                    </w:rPr>
                    <w:t>不设供暖设施，办公用房冬季采用</w:t>
                  </w:r>
                  <w:r>
                    <w:rPr>
                      <w:rFonts w:hint="eastAsia"/>
                      <w:color w:val="auto"/>
                      <w:lang w:val="en-US" w:eastAsia="zh-CN"/>
                    </w:rPr>
                    <w:t>单体</w:t>
                  </w:r>
                  <w:r>
                    <w:rPr>
                      <w:color w:val="auto"/>
                    </w:rPr>
                    <w:t>空调供暖</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90" w:type="dxa"/>
                  <w:vMerge w:val="continue"/>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rPr>
                  </w:pPr>
                </w:p>
              </w:tc>
              <w:tc>
                <w:tcPr>
                  <w:tcW w:w="1334"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rFonts w:hint="eastAsia" w:eastAsia="宋体"/>
                      <w:color w:val="auto"/>
                      <w:lang w:val="en-US" w:eastAsia="zh-CN"/>
                    </w:rPr>
                  </w:pPr>
                  <w:r>
                    <w:rPr>
                      <w:rFonts w:hint="eastAsia"/>
                      <w:color w:val="auto"/>
                      <w:lang w:val="en-US" w:eastAsia="zh-CN"/>
                    </w:rPr>
                    <w:t>供热</w:t>
                  </w:r>
                </w:p>
              </w:tc>
              <w:tc>
                <w:tcPr>
                  <w:tcW w:w="5653"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rFonts w:hint="default" w:eastAsia="宋体"/>
                      <w:color w:val="auto"/>
                      <w:lang w:val="en-US" w:eastAsia="zh-CN"/>
                    </w:rPr>
                  </w:pPr>
                  <w:r>
                    <w:rPr>
                      <w:rFonts w:hint="eastAsia"/>
                      <w:color w:val="auto"/>
                      <w:lang w:val="en-US" w:eastAsia="zh-CN"/>
                    </w:rPr>
                    <w:t>烘干炉、烧熔炉均为电加热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90" w:type="dxa"/>
                  <w:vMerge w:val="restart"/>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rPr>
                  </w:pPr>
                  <w:r>
                    <w:rPr>
                      <w:rFonts w:hint="eastAsia"/>
                      <w:color w:val="auto"/>
                    </w:rPr>
                    <w:t>环保</w:t>
                  </w:r>
                  <w:r>
                    <w:rPr>
                      <w:color w:val="auto"/>
                    </w:rPr>
                    <w:t>工程</w:t>
                  </w:r>
                </w:p>
              </w:tc>
              <w:tc>
                <w:tcPr>
                  <w:tcW w:w="1334"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rPr>
                  </w:pPr>
                  <w:r>
                    <w:rPr>
                      <w:rFonts w:hint="eastAsia"/>
                      <w:color w:val="auto"/>
                    </w:rPr>
                    <w:t>废气</w:t>
                  </w:r>
                </w:p>
              </w:tc>
              <w:tc>
                <w:tcPr>
                  <w:tcW w:w="5653"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420" w:firstLineChars="200"/>
                    <w:jc w:val="left"/>
                    <w:textAlignment w:val="auto"/>
                    <w:rPr>
                      <w:color w:val="auto"/>
                    </w:rPr>
                  </w:pPr>
                  <w:r>
                    <w:rPr>
                      <w:rFonts w:hint="eastAsia"/>
                      <w:color w:val="auto"/>
                    </w:rPr>
                    <w:t>1.镀膜</w:t>
                  </w:r>
                  <w:r>
                    <w:rPr>
                      <w:color w:val="auto"/>
                    </w:rPr>
                    <w:t>过程废气</w:t>
                  </w:r>
                  <w:r>
                    <w:rPr>
                      <w:rFonts w:hint="eastAsia"/>
                      <w:color w:val="auto"/>
                    </w:rPr>
                    <w:t>：镀膜机</w:t>
                  </w:r>
                  <w:r>
                    <w:rPr>
                      <w:color w:val="auto"/>
                    </w:rPr>
                    <w:t>采取封闭措施，并在设备上方设置引风管道，</w:t>
                  </w:r>
                  <w:r>
                    <w:rPr>
                      <w:rFonts w:hint="eastAsia"/>
                      <w:color w:val="auto"/>
                    </w:rPr>
                    <w:t>通过</w:t>
                  </w:r>
                  <w:r>
                    <w:rPr>
                      <w:color w:val="auto"/>
                    </w:rPr>
                    <w:t>风机将废气引入</w:t>
                  </w:r>
                  <w:r>
                    <w:rPr>
                      <w:rFonts w:hint="eastAsia"/>
                      <w:color w:val="auto"/>
                    </w:rPr>
                    <w:t>1套</w:t>
                  </w:r>
                  <w:r>
                    <w:rPr>
                      <w:color w:val="auto"/>
                    </w:rPr>
                    <w:t>三级串联的碱液喷淋塔进行净化处理</w:t>
                  </w:r>
                  <w:r>
                    <w:rPr>
                      <w:rFonts w:hint="eastAsia"/>
                      <w:color w:val="auto"/>
                    </w:rPr>
                    <w:t>；</w:t>
                  </w:r>
                </w:p>
                <w:p>
                  <w:pPr>
                    <w:pStyle w:val="32"/>
                    <w:keepNext w:val="0"/>
                    <w:keepLines w:val="0"/>
                    <w:pageBreakBefore w:val="0"/>
                    <w:widowControl w:val="0"/>
                    <w:kinsoku/>
                    <w:wordWrap/>
                    <w:overflowPunct/>
                    <w:topLinePunct w:val="0"/>
                    <w:autoSpaceDE/>
                    <w:autoSpaceDN/>
                    <w:bidi w:val="0"/>
                    <w:adjustRightInd/>
                    <w:snapToGrid/>
                    <w:spacing w:before="0" w:after="0"/>
                    <w:ind w:firstLine="420" w:firstLineChars="200"/>
                    <w:jc w:val="left"/>
                    <w:textAlignment w:val="auto"/>
                    <w:rPr>
                      <w:color w:val="auto"/>
                    </w:rPr>
                  </w:pPr>
                  <w:r>
                    <w:rPr>
                      <w:rFonts w:hint="eastAsia"/>
                      <w:color w:val="auto"/>
                    </w:rPr>
                    <w:t>2.烘干</w:t>
                  </w:r>
                  <w:r>
                    <w:rPr>
                      <w:rFonts w:hint="eastAsia"/>
                      <w:color w:val="auto"/>
                      <w:lang w:val="en-US" w:eastAsia="zh-CN"/>
                    </w:rPr>
                    <w:t>及</w:t>
                  </w:r>
                  <w:r>
                    <w:rPr>
                      <w:color w:val="auto"/>
                    </w:rPr>
                    <w:t>烧结还原过程废气：</w:t>
                  </w:r>
                  <w:r>
                    <w:rPr>
                      <w:rFonts w:hint="eastAsia"/>
                      <w:color w:val="auto"/>
                    </w:rPr>
                    <w:t>烘干</w:t>
                  </w:r>
                  <w:r>
                    <w:rPr>
                      <w:color w:val="auto"/>
                    </w:rPr>
                    <w:t>和烧结还原过程</w:t>
                  </w:r>
                  <w:r>
                    <w:rPr>
                      <w:rFonts w:hint="eastAsia"/>
                      <w:color w:val="auto"/>
                      <w:lang w:val="en-US" w:eastAsia="zh-CN"/>
                    </w:rPr>
                    <w:t>设备密闭</w:t>
                  </w:r>
                  <w:r>
                    <w:rPr>
                      <w:color w:val="auto"/>
                    </w:rPr>
                    <w:t>，在各烘干</w:t>
                  </w:r>
                  <w:r>
                    <w:rPr>
                      <w:rFonts w:hint="eastAsia"/>
                      <w:color w:val="auto"/>
                      <w:lang w:val="en-US" w:eastAsia="zh-CN"/>
                    </w:rPr>
                    <w:t>炉</w:t>
                  </w:r>
                  <w:r>
                    <w:rPr>
                      <w:color w:val="auto"/>
                    </w:rPr>
                    <w:t>和烧熔炉的出口上方设置集气罩，通过风机将废气引入</w:t>
                  </w:r>
                  <w:r>
                    <w:rPr>
                      <w:rFonts w:hint="eastAsia"/>
                      <w:color w:val="auto"/>
                    </w:rPr>
                    <w:t>1套活性炭吸附装置进行净化</w:t>
                  </w:r>
                  <w:r>
                    <w:rPr>
                      <w:color w:val="auto"/>
                    </w:rPr>
                    <w:t>处理</w:t>
                  </w:r>
                  <w:r>
                    <w:rPr>
                      <w:rFonts w:hint="eastAsia"/>
                      <w:color w:val="auto"/>
                    </w:rPr>
                    <w:t>；</w:t>
                  </w:r>
                </w:p>
                <w:p>
                  <w:pPr>
                    <w:pStyle w:val="32"/>
                    <w:keepNext w:val="0"/>
                    <w:keepLines w:val="0"/>
                    <w:pageBreakBefore w:val="0"/>
                    <w:widowControl w:val="0"/>
                    <w:kinsoku/>
                    <w:wordWrap/>
                    <w:overflowPunct/>
                    <w:topLinePunct w:val="0"/>
                    <w:autoSpaceDE/>
                    <w:autoSpaceDN/>
                    <w:bidi w:val="0"/>
                    <w:adjustRightInd/>
                    <w:snapToGrid/>
                    <w:spacing w:before="0" w:after="0"/>
                    <w:ind w:firstLine="420" w:firstLineChars="200"/>
                    <w:jc w:val="left"/>
                    <w:textAlignment w:val="auto"/>
                    <w:rPr>
                      <w:color w:val="auto"/>
                    </w:rPr>
                  </w:pPr>
                  <w:r>
                    <w:rPr>
                      <w:rFonts w:hint="eastAsia"/>
                      <w:color w:val="auto"/>
                    </w:rPr>
                    <w:t>3.镀膜过程废气与烘干</w:t>
                  </w:r>
                  <w:r>
                    <w:rPr>
                      <w:rFonts w:hint="eastAsia"/>
                      <w:color w:val="auto"/>
                      <w:lang w:val="en-US" w:eastAsia="zh-CN"/>
                    </w:rPr>
                    <w:t>及</w:t>
                  </w:r>
                  <w:r>
                    <w:rPr>
                      <w:rFonts w:hint="eastAsia"/>
                      <w:color w:val="auto"/>
                    </w:rPr>
                    <w:t>烧结还原过程废气经净化设备处理后共用1根30m高排气筒排放。</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90" w:type="dxa"/>
                  <w:vMerge w:val="continue"/>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rPr>
                  </w:pPr>
                </w:p>
              </w:tc>
              <w:tc>
                <w:tcPr>
                  <w:tcW w:w="1334"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rPr>
                  </w:pPr>
                  <w:r>
                    <w:rPr>
                      <w:rFonts w:hint="eastAsia"/>
                      <w:color w:val="auto"/>
                    </w:rPr>
                    <w:t>废水</w:t>
                  </w:r>
                </w:p>
              </w:tc>
              <w:tc>
                <w:tcPr>
                  <w:tcW w:w="5653"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420" w:firstLineChars="200"/>
                    <w:jc w:val="left"/>
                    <w:textAlignment w:val="auto"/>
                    <w:rPr>
                      <w:color w:val="auto"/>
                    </w:rPr>
                  </w:pPr>
                  <w:r>
                    <w:rPr>
                      <w:rFonts w:hint="eastAsia"/>
                      <w:color w:val="auto"/>
                    </w:rPr>
                    <w:t>1.镀膜</w:t>
                  </w:r>
                  <w:r>
                    <w:rPr>
                      <w:color w:val="auto"/>
                    </w:rPr>
                    <w:t>废气处理过程废水</w:t>
                  </w:r>
                  <w:r>
                    <w:rPr>
                      <w:rFonts w:hint="eastAsia"/>
                      <w:color w:val="auto"/>
                    </w:rPr>
                    <w:t>更换后采用</w:t>
                  </w:r>
                  <w:r>
                    <w:rPr>
                      <w:color w:val="auto"/>
                    </w:rPr>
                    <w:t>耐腐蚀防</w:t>
                  </w:r>
                  <w:r>
                    <w:rPr>
                      <w:rFonts w:hint="eastAsia"/>
                      <w:color w:val="auto"/>
                      <w:lang w:val="en-US" w:eastAsia="zh-CN"/>
                    </w:rPr>
                    <w:t>渗</w:t>
                  </w:r>
                  <w:r>
                    <w:rPr>
                      <w:color w:val="auto"/>
                    </w:rPr>
                    <w:t>漏的容器</w:t>
                  </w:r>
                  <w:r>
                    <w:rPr>
                      <w:rFonts w:hint="eastAsia"/>
                      <w:color w:val="auto"/>
                    </w:rPr>
                    <w:t>集中</w:t>
                  </w:r>
                  <w:r>
                    <w:rPr>
                      <w:color w:val="auto"/>
                    </w:rPr>
                    <w:t>收集</w:t>
                  </w:r>
                  <w:r>
                    <w:rPr>
                      <w:rFonts w:hint="eastAsia"/>
                      <w:color w:val="auto"/>
                    </w:rPr>
                    <w:t>，</w:t>
                  </w:r>
                  <w:r>
                    <w:rPr>
                      <w:rFonts w:hint="eastAsia"/>
                      <w:color w:val="auto"/>
                      <w:lang w:val="en-US" w:eastAsia="zh-CN"/>
                    </w:rPr>
                    <w:t>暂存于危废间，定期委托有资质单位运走处置</w:t>
                  </w:r>
                  <w:r>
                    <w:rPr>
                      <w:rFonts w:hint="eastAsia"/>
                      <w:color w:val="auto"/>
                    </w:rPr>
                    <w:t>；</w:t>
                  </w:r>
                </w:p>
                <w:p>
                  <w:pPr>
                    <w:pStyle w:val="32"/>
                    <w:keepNext w:val="0"/>
                    <w:keepLines w:val="0"/>
                    <w:pageBreakBefore w:val="0"/>
                    <w:widowControl w:val="0"/>
                    <w:kinsoku/>
                    <w:wordWrap/>
                    <w:overflowPunct/>
                    <w:topLinePunct w:val="0"/>
                    <w:autoSpaceDE/>
                    <w:autoSpaceDN/>
                    <w:bidi w:val="0"/>
                    <w:adjustRightInd/>
                    <w:snapToGrid/>
                    <w:spacing w:before="0" w:after="0"/>
                    <w:ind w:firstLine="420" w:firstLineChars="200"/>
                    <w:jc w:val="left"/>
                    <w:textAlignment w:val="auto"/>
                    <w:rPr>
                      <w:color w:val="auto"/>
                    </w:rPr>
                  </w:pPr>
                  <w:r>
                    <w:rPr>
                      <w:color w:val="auto"/>
                    </w:rPr>
                    <w:t>2.</w:t>
                  </w:r>
                  <w:r>
                    <w:rPr>
                      <w:rFonts w:hint="eastAsia"/>
                      <w:color w:val="auto"/>
                    </w:rPr>
                    <w:t>基体镀膜冷却过程废水循环使用，不外排；</w:t>
                  </w:r>
                </w:p>
                <w:p>
                  <w:pPr>
                    <w:pStyle w:val="32"/>
                    <w:keepNext w:val="0"/>
                    <w:keepLines w:val="0"/>
                    <w:pageBreakBefore w:val="0"/>
                    <w:widowControl w:val="0"/>
                    <w:kinsoku/>
                    <w:wordWrap/>
                    <w:overflowPunct/>
                    <w:topLinePunct w:val="0"/>
                    <w:autoSpaceDE/>
                    <w:autoSpaceDN/>
                    <w:bidi w:val="0"/>
                    <w:adjustRightInd/>
                    <w:snapToGrid/>
                    <w:spacing w:before="0" w:after="0"/>
                    <w:ind w:firstLine="420" w:firstLineChars="200"/>
                    <w:jc w:val="left"/>
                    <w:textAlignment w:val="auto"/>
                    <w:rPr>
                      <w:color w:val="auto"/>
                    </w:rPr>
                  </w:pPr>
                  <w:r>
                    <w:rPr>
                      <w:rFonts w:hint="eastAsia"/>
                      <w:color w:val="auto"/>
                    </w:rPr>
                    <w:t>3.职工</w:t>
                  </w:r>
                  <w:r>
                    <w:rPr>
                      <w:color w:val="auto"/>
                    </w:rPr>
                    <w:t>生活</w:t>
                  </w:r>
                  <w:r>
                    <w:rPr>
                      <w:rFonts w:hint="eastAsia"/>
                      <w:color w:val="auto"/>
                      <w:lang w:val="en-US" w:eastAsia="zh-CN"/>
                    </w:rPr>
                    <w:t>污</w:t>
                  </w:r>
                  <w:r>
                    <w:rPr>
                      <w:color w:val="auto"/>
                    </w:rPr>
                    <w:t>水</w:t>
                  </w:r>
                  <w:r>
                    <w:rPr>
                      <w:rFonts w:hint="eastAsia"/>
                      <w:color w:val="auto"/>
                    </w:rPr>
                    <w:t>经</w:t>
                  </w:r>
                  <w:r>
                    <w:rPr>
                      <w:color w:val="auto"/>
                    </w:rPr>
                    <w:t>市政污水管网排入</w:t>
                  </w:r>
                  <w:r>
                    <w:rPr>
                      <w:rFonts w:hint="eastAsia"/>
                      <w:color w:val="auto"/>
                      <w:lang w:val="en-US" w:eastAsia="zh-CN"/>
                    </w:rPr>
                    <w:t>西</w:t>
                  </w:r>
                  <w:r>
                    <w:rPr>
                      <w:color w:val="auto"/>
                    </w:rPr>
                    <w:t>郊污水处理厂统一处理</w:t>
                  </w:r>
                  <w:r>
                    <w:rPr>
                      <w:rFonts w:hint="eastAsia"/>
                      <w:color w:val="auto"/>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90" w:type="dxa"/>
                  <w:vMerge w:val="continue"/>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rPr>
                  </w:pPr>
                </w:p>
              </w:tc>
              <w:tc>
                <w:tcPr>
                  <w:tcW w:w="1334"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rPr>
                  </w:pPr>
                  <w:r>
                    <w:rPr>
                      <w:rFonts w:hint="eastAsia"/>
                      <w:color w:val="auto"/>
                    </w:rPr>
                    <w:t>噪声</w:t>
                  </w:r>
                </w:p>
              </w:tc>
              <w:tc>
                <w:tcPr>
                  <w:tcW w:w="5653"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rPr>
                  </w:pPr>
                  <w:r>
                    <w:rPr>
                      <w:rFonts w:hint="eastAsia"/>
                      <w:color w:val="auto"/>
                    </w:rPr>
                    <w:t>选用</w:t>
                  </w:r>
                  <w:r>
                    <w:rPr>
                      <w:color w:val="auto"/>
                    </w:rPr>
                    <w:t>低噪声设备、厂房隔声</w:t>
                  </w:r>
                  <w:r>
                    <w:rPr>
                      <w:rFonts w:hint="eastAsia"/>
                      <w:color w:val="auto"/>
                    </w:rPr>
                    <w:t>、</w:t>
                  </w:r>
                  <w:r>
                    <w:rPr>
                      <w:color w:val="auto"/>
                    </w:rPr>
                    <w:t>基础减振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90" w:type="dxa"/>
                  <w:vMerge w:val="continue"/>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rPr>
                  </w:pPr>
                </w:p>
              </w:tc>
              <w:tc>
                <w:tcPr>
                  <w:tcW w:w="1334"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rPr>
                  </w:pPr>
                  <w:r>
                    <w:rPr>
                      <w:rFonts w:hint="eastAsia"/>
                      <w:color w:val="auto"/>
                    </w:rPr>
                    <w:t>固废</w:t>
                  </w:r>
                </w:p>
              </w:tc>
              <w:tc>
                <w:tcPr>
                  <w:tcW w:w="5653"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420" w:firstLineChars="200"/>
                    <w:jc w:val="left"/>
                    <w:textAlignment w:val="auto"/>
                    <w:rPr>
                      <w:color w:val="auto"/>
                    </w:rPr>
                  </w:pPr>
                  <w:r>
                    <w:rPr>
                      <w:rFonts w:hint="eastAsia"/>
                      <w:color w:val="auto"/>
                    </w:rPr>
                    <w:t>镀膜液包装桶、电极银浆包装罐在原料使用后</w:t>
                  </w:r>
                  <w:r>
                    <w:rPr>
                      <w:rFonts w:hint="eastAsia"/>
                      <w:color w:val="auto"/>
                      <w:lang w:val="en-US" w:eastAsia="zh-CN"/>
                    </w:rPr>
                    <w:t>暂存于危废间，定期由厂家回收，作为</w:t>
                  </w:r>
                  <w:r>
                    <w:rPr>
                      <w:rFonts w:hint="eastAsia"/>
                      <w:color w:val="auto"/>
                    </w:rPr>
                    <w:t>镀膜液</w:t>
                  </w:r>
                  <w:r>
                    <w:rPr>
                      <w:rFonts w:hint="eastAsia"/>
                      <w:color w:val="auto"/>
                      <w:lang w:eastAsia="zh-CN"/>
                    </w:rPr>
                    <w:t>、</w:t>
                  </w:r>
                  <w:r>
                    <w:rPr>
                      <w:rFonts w:hint="eastAsia"/>
                      <w:color w:val="auto"/>
                    </w:rPr>
                    <w:t>电极银浆</w:t>
                  </w:r>
                  <w:r>
                    <w:rPr>
                      <w:rFonts w:hint="eastAsia"/>
                      <w:color w:val="auto"/>
                      <w:lang w:val="en-US" w:eastAsia="zh-CN"/>
                    </w:rPr>
                    <w:t>包装材料</w:t>
                  </w:r>
                  <w:r>
                    <w:rPr>
                      <w:rFonts w:hint="eastAsia"/>
                      <w:color w:val="auto"/>
                      <w:lang w:eastAsia="zh-CN"/>
                    </w:rPr>
                    <w:t>，</w:t>
                  </w:r>
                  <w:r>
                    <w:rPr>
                      <w:rFonts w:hint="eastAsia"/>
                      <w:color w:val="auto"/>
                      <w:lang w:val="en-US" w:eastAsia="zh-CN"/>
                    </w:rPr>
                    <w:t>循环使用</w:t>
                  </w:r>
                  <w:r>
                    <w:rPr>
                      <w:rFonts w:hint="eastAsia"/>
                      <w:color w:val="auto"/>
                    </w:rPr>
                    <w:t>；</w:t>
                  </w:r>
                </w:p>
                <w:p>
                  <w:pPr>
                    <w:pStyle w:val="32"/>
                    <w:keepNext w:val="0"/>
                    <w:keepLines w:val="0"/>
                    <w:pageBreakBefore w:val="0"/>
                    <w:widowControl w:val="0"/>
                    <w:kinsoku/>
                    <w:wordWrap/>
                    <w:overflowPunct/>
                    <w:topLinePunct w:val="0"/>
                    <w:autoSpaceDE/>
                    <w:autoSpaceDN/>
                    <w:bidi w:val="0"/>
                    <w:adjustRightInd/>
                    <w:snapToGrid/>
                    <w:spacing w:before="0" w:after="0"/>
                    <w:ind w:firstLine="420" w:firstLineChars="200"/>
                    <w:jc w:val="left"/>
                    <w:textAlignment w:val="auto"/>
                    <w:rPr>
                      <w:color w:val="auto"/>
                    </w:rPr>
                  </w:pPr>
                  <w:r>
                    <w:rPr>
                      <w:rFonts w:hint="eastAsia"/>
                      <w:color w:val="auto"/>
                    </w:rPr>
                    <w:t>废</w:t>
                  </w:r>
                  <w:r>
                    <w:rPr>
                      <w:color w:val="auto"/>
                    </w:rPr>
                    <w:t>活性炭</w:t>
                  </w:r>
                  <w:r>
                    <w:rPr>
                      <w:rFonts w:hint="eastAsia"/>
                      <w:color w:val="auto"/>
                    </w:rPr>
                    <w:t>使用专用容器收集，</w:t>
                  </w:r>
                  <w:r>
                    <w:rPr>
                      <w:color w:val="auto"/>
                    </w:rPr>
                    <w:t>暂存危废间，定期交有资质单位处置；</w:t>
                  </w:r>
                </w:p>
                <w:p>
                  <w:pPr>
                    <w:pStyle w:val="32"/>
                    <w:keepNext w:val="0"/>
                    <w:keepLines w:val="0"/>
                    <w:pageBreakBefore w:val="0"/>
                    <w:widowControl w:val="0"/>
                    <w:kinsoku/>
                    <w:wordWrap/>
                    <w:overflowPunct/>
                    <w:topLinePunct w:val="0"/>
                    <w:autoSpaceDE/>
                    <w:autoSpaceDN/>
                    <w:bidi w:val="0"/>
                    <w:adjustRightInd/>
                    <w:snapToGrid/>
                    <w:spacing w:before="0" w:after="0"/>
                    <w:ind w:firstLine="420" w:firstLineChars="200"/>
                    <w:jc w:val="left"/>
                    <w:textAlignment w:val="auto"/>
                    <w:rPr>
                      <w:color w:val="auto"/>
                    </w:rPr>
                  </w:pPr>
                  <w:r>
                    <w:rPr>
                      <w:rFonts w:hint="eastAsia"/>
                      <w:color w:val="auto"/>
                    </w:rPr>
                    <w:t>废</w:t>
                  </w:r>
                  <w:r>
                    <w:rPr>
                      <w:rFonts w:hint="eastAsia"/>
                      <w:color w:val="auto"/>
                      <w:lang w:val="en-US" w:eastAsia="zh-CN"/>
                    </w:rPr>
                    <w:t>润滑</w:t>
                  </w:r>
                  <w:r>
                    <w:rPr>
                      <w:rFonts w:hint="eastAsia"/>
                      <w:color w:val="auto"/>
                    </w:rPr>
                    <w:t>油</w:t>
                  </w:r>
                  <w:r>
                    <w:rPr>
                      <w:color w:val="auto"/>
                    </w:rPr>
                    <w:t>使用原包装桶收集后，密封保存，暂存</w:t>
                  </w:r>
                  <w:r>
                    <w:rPr>
                      <w:rFonts w:hint="eastAsia"/>
                      <w:color w:val="auto"/>
                    </w:rPr>
                    <w:t>危废间</w:t>
                  </w:r>
                  <w:r>
                    <w:rPr>
                      <w:color w:val="auto"/>
                    </w:rPr>
                    <w:t>，</w:t>
                  </w:r>
                  <w:r>
                    <w:rPr>
                      <w:rFonts w:hint="eastAsia"/>
                      <w:color w:val="auto"/>
                    </w:rPr>
                    <w:t>定期</w:t>
                  </w:r>
                  <w:r>
                    <w:rPr>
                      <w:color w:val="auto"/>
                    </w:rPr>
                    <w:t>交有资质单位处置</w:t>
                  </w:r>
                  <w:r>
                    <w:rPr>
                      <w:rFonts w:hint="eastAsia"/>
                      <w:color w:val="auto"/>
                    </w:rPr>
                    <w:t>；</w:t>
                  </w:r>
                </w:p>
                <w:p>
                  <w:pPr>
                    <w:pStyle w:val="32"/>
                    <w:keepNext w:val="0"/>
                    <w:keepLines w:val="0"/>
                    <w:pageBreakBefore w:val="0"/>
                    <w:widowControl w:val="0"/>
                    <w:kinsoku/>
                    <w:wordWrap/>
                    <w:overflowPunct/>
                    <w:topLinePunct w:val="0"/>
                    <w:autoSpaceDE/>
                    <w:autoSpaceDN/>
                    <w:bidi w:val="0"/>
                    <w:adjustRightInd/>
                    <w:snapToGrid/>
                    <w:spacing w:before="0" w:after="0"/>
                    <w:ind w:firstLine="420" w:firstLineChars="200"/>
                    <w:jc w:val="left"/>
                    <w:textAlignment w:val="auto"/>
                    <w:rPr>
                      <w:color w:val="auto"/>
                    </w:rPr>
                  </w:pPr>
                  <w:r>
                    <w:rPr>
                      <w:rFonts w:hint="eastAsia"/>
                      <w:color w:val="auto"/>
                    </w:rPr>
                    <w:t>职工生活垃圾集中</w:t>
                  </w:r>
                  <w:r>
                    <w:rPr>
                      <w:color w:val="auto"/>
                    </w:rPr>
                    <w:t>收集，</w:t>
                  </w:r>
                  <w:r>
                    <w:rPr>
                      <w:rFonts w:hint="eastAsia"/>
                      <w:color w:val="auto"/>
                    </w:rPr>
                    <w:t>定期</w:t>
                  </w:r>
                  <w:r>
                    <w:rPr>
                      <w:color w:val="auto"/>
                    </w:rPr>
                    <w:t>送环卫部门指定地点统一处理。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90" w:type="dxa"/>
                  <w:vMerge w:val="continue"/>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rPr>
                  </w:pPr>
                </w:p>
              </w:tc>
              <w:tc>
                <w:tcPr>
                  <w:tcW w:w="1334"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rPr>
                  </w:pPr>
                  <w:r>
                    <w:rPr>
                      <w:rFonts w:hint="eastAsia"/>
                      <w:color w:val="auto"/>
                    </w:rPr>
                    <w:t>防渗</w:t>
                  </w:r>
                </w:p>
              </w:tc>
              <w:tc>
                <w:tcPr>
                  <w:tcW w:w="5653"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420" w:firstLineChars="200"/>
                    <w:jc w:val="left"/>
                    <w:textAlignment w:val="auto"/>
                    <w:rPr>
                      <w:color w:val="auto"/>
                    </w:rPr>
                  </w:pPr>
                  <w:r>
                    <w:rPr>
                      <w:rFonts w:hint="eastAsia"/>
                      <w:color w:val="auto"/>
                    </w:rPr>
                    <w:t>危废间</w:t>
                  </w:r>
                  <w:r>
                    <w:rPr>
                      <w:color w:val="auto"/>
                    </w:rPr>
                    <w:t>地面及裙角采用</w:t>
                  </w:r>
                  <w:r>
                    <w:rPr>
                      <w:rFonts w:hint="eastAsia"/>
                      <w:color w:val="auto"/>
                    </w:rPr>
                    <w:t>2mm厚高强度</w:t>
                  </w:r>
                  <w:r>
                    <w:rPr>
                      <w:color w:val="auto"/>
                    </w:rPr>
                    <w:t>聚乙烯（</w:t>
                  </w:r>
                  <w:r>
                    <w:rPr>
                      <w:rFonts w:hint="eastAsia"/>
                      <w:color w:val="auto"/>
                    </w:rPr>
                    <w:t>HDPE</w:t>
                  </w:r>
                  <w:r>
                    <w:rPr>
                      <w:color w:val="auto"/>
                    </w:rPr>
                    <w:t>）</w:t>
                  </w:r>
                  <w:r>
                    <w:rPr>
                      <w:rFonts w:hint="eastAsia"/>
                      <w:color w:val="auto"/>
                    </w:rPr>
                    <w:t>防渗膜</w:t>
                  </w:r>
                  <w:r>
                    <w:rPr>
                      <w:color w:val="auto"/>
                    </w:rPr>
                    <w:t>进行防腐防渗处理，渗透系数≤1.0×10</w:t>
                  </w:r>
                  <w:r>
                    <w:rPr>
                      <w:color w:val="auto"/>
                      <w:vertAlign w:val="superscript"/>
                    </w:rPr>
                    <w:t>-10</w:t>
                  </w:r>
                  <w:r>
                    <w:rPr>
                      <w:color w:val="auto"/>
                    </w:rPr>
                    <w:t>cm/s</w:t>
                  </w:r>
                  <w:r>
                    <w:rPr>
                      <w:rFonts w:hint="eastAsia"/>
                      <w:color w:val="auto"/>
                    </w:rPr>
                    <w:t>；</w:t>
                  </w:r>
                </w:p>
                <w:p>
                  <w:pPr>
                    <w:pStyle w:val="32"/>
                    <w:keepNext w:val="0"/>
                    <w:keepLines w:val="0"/>
                    <w:pageBreakBefore w:val="0"/>
                    <w:widowControl w:val="0"/>
                    <w:kinsoku/>
                    <w:wordWrap/>
                    <w:overflowPunct/>
                    <w:topLinePunct w:val="0"/>
                    <w:autoSpaceDE/>
                    <w:autoSpaceDN/>
                    <w:bidi w:val="0"/>
                    <w:adjustRightInd/>
                    <w:snapToGrid/>
                    <w:spacing w:before="0" w:after="0"/>
                    <w:ind w:firstLine="420" w:firstLineChars="200"/>
                    <w:jc w:val="left"/>
                    <w:textAlignment w:val="auto"/>
                    <w:rPr>
                      <w:color w:val="auto"/>
                    </w:rPr>
                  </w:pPr>
                  <w:r>
                    <w:rPr>
                      <w:rFonts w:hint="eastAsia"/>
                      <w:color w:val="auto"/>
                    </w:rPr>
                    <w:t>库房内镀膜液、电极银浆堆存区地面及围堰采用2mm</w:t>
                  </w:r>
                  <w:r>
                    <w:rPr>
                      <w:rFonts w:hint="eastAsia"/>
                      <w:color w:val="auto"/>
                      <w:lang w:val="en-US" w:eastAsia="zh-CN"/>
                    </w:rPr>
                    <w:t>厚</w:t>
                  </w:r>
                  <w:r>
                    <w:rPr>
                      <w:rFonts w:hint="eastAsia"/>
                      <w:color w:val="auto"/>
                    </w:rPr>
                    <w:t>高强度聚乙烯（HDPE）防渗膜进行防腐防渗处理，渗透系数</w:t>
                  </w:r>
                  <w:r>
                    <w:rPr>
                      <w:color w:val="auto"/>
                    </w:rPr>
                    <w:t>≤1.0×10</w:t>
                  </w:r>
                  <w:r>
                    <w:rPr>
                      <w:color w:val="auto"/>
                      <w:vertAlign w:val="superscript"/>
                    </w:rPr>
                    <w:t>-10</w:t>
                  </w:r>
                  <w:r>
                    <w:rPr>
                      <w:color w:val="auto"/>
                    </w:rPr>
                    <w:t>cm/s</w:t>
                  </w:r>
                  <w:r>
                    <w:rPr>
                      <w:rFonts w:hint="eastAsia"/>
                      <w:color w:val="auto"/>
                    </w:rPr>
                    <w:t>；</w:t>
                  </w:r>
                </w:p>
                <w:p>
                  <w:pPr>
                    <w:pStyle w:val="32"/>
                    <w:keepNext w:val="0"/>
                    <w:keepLines w:val="0"/>
                    <w:pageBreakBefore w:val="0"/>
                    <w:widowControl w:val="0"/>
                    <w:kinsoku/>
                    <w:wordWrap/>
                    <w:overflowPunct/>
                    <w:topLinePunct w:val="0"/>
                    <w:autoSpaceDE/>
                    <w:autoSpaceDN/>
                    <w:bidi w:val="0"/>
                    <w:adjustRightInd/>
                    <w:snapToGrid/>
                    <w:spacing w:before="0" w:after="0"/>
                    <w:ind w:firstLine="420" w:firstLineChars="200"/>
                    <w:jc w:val="left"/>
                    <w:textAlignment w:val="auto"/>
                    <w:rPr>
                      <w:color w:val="auto"/>
                    </w:rPr>
                  </w:pPr>
                  <w:r>
                    <w:rPr>
                      <w:rFonts w:hint="eastAsia"/>
                      <w:color w:val="auto"/>
                    </w:rPr>
                    <w:t>各污水管道均按照“冀建材[2015]5号”中的相关要求，排水各环节优先使用新型塑料管道；</w:t>
                  </w:r>
                </w:p>
                <w:p>
                  <w:pPr>
                    <w:pStyle w:val="32"/>
                    <w:keepNext w:val="0"/>
                    <w:keepLines w:val="0"/>
                    <w:pageBreakBefore w:val="0"/>
                    <w:widowControl w:val="0"/>
                    <w:kinsoku/>
                    <w:wordWrap/>
                    <w:overflowPunct/>
                    <w:topLinePunct w:val="0"/>
                    <w:autoSpaceDE/>
                    <w:autoSpaceDN/>
                    <w:bidi w:val="0"/>
                    <w:adjustRightInd/>
                    <w:snapToGrid/>
                    <w:spacing w:before="0" w:after="0"/>
                    <w:ind w:firstLine="420" w:firstLineChars="200"/>
                    <w:jc w:val="left"/>
                    <w:textAlignment w:val="auto"/>
                    <w:rPr>
                      <w:color w:val="auto"/>
                    </w:rPr>
                  </w:pPr>
                  <w:r>
                    <w:rPr>
                      <w:rFonts w:hint="eastAsia"/>
                      <w:color w:val="auto"/>
                    </w:rPr>
                    <w:t>碱液喷淋塔循环水箱采用封闭的碳钢结构，内部涂刷防腐材料；</w:t>
                  </w:r>
                </w:p>
                <w:p>
                  <w:pPr>
                    <w:pStyle w:val="32"/>
                    <w:keepNext w:val="0"/>
                    <w:keepLines w:val="0"/>
                    <w:pageBreakBefore w:val="0"/>
                    <w:widowControl w:val="0"/>
                    <w:kinsoku/>
                    <w:wordWrap/>
                    <w:overflowPunct/>
                    <w:topLinePunct w:val="0"/>
                    <w:autoSpaceDE/>
                    <w:autoSpaceDN/>
                    <w:bidi w:val="0"/>
                    <w:adjustRightInd/>
                    <w:snapToGrid/>
                    <w:spacing w:before="0" w:after="0"/>
                    <w:ind w:firstLine="420" w:firstLineChars="200"/>
                    <w:jc w:val="left"/>
                    <w:textAlignment w:val="auto"/>
                    <w:rPr>
                      <w:color w:val="auto"/>
                    </w:rPr>
                  </w:pPr>
                  <w:r>
                    <w:rPr>
                      <w:rFonts w:hint="eastAsia"/>
                      <w:color w:val="auto"/>
                    </w:rPr>
                    <w:t>基体镀膜冷却用水储存于塑料箱中，防止生产过程中发生泡、冒、滴、漏现象。</w:t>
                  </w:r>
                </w:p>
                <w:p>
                  <w:pPr>
                    <w:pStyle w:val="32"/>
                    <w:keepNext w:val="0"/>
                    <w:keepLines w:val="0"/>
                    <w:pageBreakBefore w:val="0"/>
                    <w:widowControl w:val="0"/>
                    <w:kinsoku/>
                    <w:wordWrap/>
                    <w:overflowPunct/>
                    <w:topLinePunct w:val="0"/>
                    <w:autoSpaceDE/>
                    <w:autoSpaceDN/>
                    <w:bidi w:val="0"/>
                    <w:adjustRightInd/>
                    <w:snapToGrid/>
                    <w:spacing w:before="0" w:after="0"/>
                    <w:ind w:firstLine="420" w:firstLineChars="200"/>
                    <w:jc w:val="left"/>
                    <w:textAlignment w:val="auto"/>
                    <w:rPr>
                      <w:color w:val="auto"/>
                    </w:rPr>
                  </w:pPr>
                  <w:r>
                    <w:rPr>
                      <w:rFonts w:hint="eastAsia"/>
                      <w:color w:val="auto"/>
                    </w:rPr>
                    <w:t>厂区地面</w:t>
                  </w:r>
                  <w:r>
                    <w:rPr>
                      <w:color w:val="auto"/>
                    </w:rPr>
                    <w:t>进行水泥硬化处理</w:t>
                  </w:r>
                  <w:r>
                    <w:rPr>
                      <w:rFonts w:hint="eastAsia"/>
                      <w:color w:val="auto"/>
                    </w:rPr>
                    <w:t>。</w:t>
                  </w:r>
                </w:p>
              </w:tc>
            </w:tr>
          </w:tbl>
          <w:p>
            <w:pPr>
              <w:bidi w:val="0"/>
              <w:rPr>
                <w:rFonts w:hint="default"/>
                <w:color w:val="auto"/>
                <w:sz w:val="24"/>
                <w:szCs w:val="24"/>
                <w:highlight w:val="none"/>
                <w:lang w:val="en-US"/>
              </w:rPr>
            </w:pPr>
            <w:r>
              <w:rPr>
                <w:rFonts w:hint="eastAsia"/>
                <w:color w:val="auto"/>
                <w:sz w:val="24"/>
                <w:szCs w:val="24"/>
                <w:highlight w:val="none"/>
                <w:lang w:val="en-US" w:eastAsia="zh-CN"/>
              </w:rPr>
              <w:t>4、主要产品及产能</w:t>
            </w:r>
            <w:r>
              <w:rPr>
                <w:rFonts w:hint="default"/>
                <w:color w:val="auto"/>
                <w:sz w:val="24"/>
                <w:szCs w:val="24"/>
                <w:highlight w:val="none"/>
              </w:rPr>
              <w:t>：</w:t>
            </w:r>
            <w:r>
              <w:rPr>
                <w:rFonts w:hint="eastAsia"/>
                <w:color w:val="auto"/>
                <w:sz w:val="24"/>
                <w:szCs w:val="24"/>
                <w:highlight w:val="none"/>
                <w:lang w:val="en-US" w:eastAsia="zh-CN"/>
              </w:rPr>
              <w:t>现有工程主要产品为石墨烯电发热元件（石墨烯电发热体），</w:t>
            </w:r>
            <w:r>
              <w:rPr>
                <w:color w:val="auto"/>
                <w:kern w:val="0"/>
                <w:sz w:val="24"/>
                <w:highlight w:val="none"/>
                <w:lang w:val="zh-CN"/>
              </w:rPr>
              <w:t>年产</w:t>
            </w:r>
            <w:r>
              <w:rPr>
                <w:rFonts w:hint="eastAsia"/>
                <w:color w:val="auto"/>
                <w:sz w:val="24"/>
                <w:szCs w:val="24"/>
                <w:highlight w:val="none"/>
                <w:lang w:val="en-US" w:eastAsia="zh-CN"/>
              </w:rPr>
              <w:t>石墨烯电发热元件8万套。</w:t>
            </w:r>
          </w:p>
          <w:p>
            <w:pPr>
              <w:bidi w:val="0"/>
              <w:rPr>
                <w:rFonts w:hint="default"/>
                <w:color w:val="auto"/>
                <w:sz w:val="24"/>
                <w:szCs w:val="24"/>
                <w:highlight w:val="none"/>
              </w:rPr>
            </w:pPr>
            <w:r>
              <w:rPr>
                <w:rFonts w:hint="eastAsia"/>
                <w:color w:val="auto"/>
                <w:sz w:val="24"/>
                <w:szCs w:val="24"/>
                <w:highlight w:val="none"/>
                <w:lang w:val="en-US" w:eastAsia="zh-CN"/>
              </w:rPr>
              <w:t>5、</w:t>
            </w:r>
            <w:r>
              <w:rPr>
                <w:rFonts w:hint="default"/>
                <w:color w:val="auto"/>
                <w:sz w:val="24"/>
                <w:szCs w:val="24"/>
                <w:highlight w:val="none"/>
              </w:rPr>
              <w:t>工作制度及</w:t>
            </w:r>
            <w:r>
              <w:rPr>
                <w:rFonts w:hint="eastAsia"/>
                <w:color w:val="auto"/>
                <w:sz w:val="24"/>
                <w:szCs w:val="24"/>
                <w:highlight w:val="none"/>
                <w:lang w:val="en-US" w:eastAsia="zh-CN"/>
              </w:rPr>
              <w:t>劳动</w:t>
            </w:r>
            <w:r>
              <w:rPr>
                <w:rFonts w:hint="default"/>
                <w:color w:val="auto"/>
                <w:sz w:val="24"/>
                <w:szCs w:val="24"/>
                <w:highlight w:val="none"/>
              </w:rPr>
              <w:t>定员：</w:t>
            </w:r>
            <w:r>
              <w:rPr>
                <w:rFonts w:hint="eastAsia"/>
                <w:color w:val="auto"/>
                <w:sz w:val="24"/>
                <w:szCs w:val="24"/>
                <w:highlight w:val="none"/>
                <w:lang w:val="en-US" w:eastAsia="zh-CN"/>
              </w:rPr>
              <w:t>现有工程</w:t>
            </w:r>
            <w:r>
              <w:rPr>
                <w:rFonts w:hint="default"/>
                <w:color w:val="auto"/>
                <w:sz w:val="24"/>
                <w:szCs w:val="24"/>
                <w:highlight w:val="none"/>
              </w:rPr>
              <w:t>年工作</w:t>
            </w:r>
            <w:r>
              <w:rPr>
                <w:rFonts w:hint="eastAsia"/>
                <w:color w:val="auto"/>
                <w:sz w:val="24"/>
                <w:szCs w:val="24"/>
                <w:highlight w:val="none"/>
                <w:lang w:val="en-US" w:eastAsia="zh-CN"/>
              </w:rPr>
              <w:t>300</w:t>
            </w:r>
            <w:r>
              <w:rPr>
                <w:rFonts w:hint="default"/>
                <w:color w:val="auto"/>
                <w:sz w:val="24"/>
                <w:szCs w:val="24"/>
                <w:highlight w:val="none"/>
              </w:rPr>
              <w:t>天，每天</w:t>
            </w:r>
            <w:r>
              <w:rPr>
                <w:rFonts w:hint="eastAsia"/>
                <w:color w:val="auto"/>
                <w:sz w:val="24"/>
                <w:szCs w:val="24"/>
                <w:highlight w:val="none"/>
                <w:lang w:val="en-US" w:eastAsia="zh-CN"/>
              </w:rPr>
              <w:t>3</w:t>
            </w:r>
            <w:r>
              <w:rPr>
                <w:rFonts w:hint="default"/>
                <w:color w:val="auto"/>
                <w:sz w:val="24"/>
                <w:szCs w:val="24"/>
                <w:highlight w:val="none"/>
              </w:rPr>
              <w:t>班，每班</w:t>
            </w:r>
            <w:r>
              <w:rPr>
                <w:rFonts w:hint="eastAsia"/>
                <w:color w:val="auto"/>
                <w:sz w:val="24"/>
                <w:szCs w:val="24"/>
                <w:highlight w:val="none"/>
                <w:lang w:val="en-US" w:eastAsia="zh-CN"/>
              </w:rPr>
              <w:t>8h，其中镀膜、烘干、烧结还原工序年运行2400h，</w:t>
            </w:r>
            <w:r>
              <w:rPr>
                <w:rFonts w:hint="default"/>
                <w:color w:val="auto"/>
                <w:sz w:val="24"/>
                <w:szCs w:val="24"/>
                <w:highlight w:val="none"/>
              </w:rPr>
              <w:t>劳动定员</w:t>
            </w:r>
            <w:r>
              <w:rPr>
                <w:rFonts w:hint="eastAsia"/>
                <w:color w:val="auto"/>
                <w:sz w:val="24"/>
                <w:szCs w:val="24"/>
                <w:highlight w:val="none"/>
                <w:lang w:val="en-US" w:eastAsia="zh-CN"/>
              </w:rPr>
              <w:t>30人</w:t>
            </w:r>
            <w:r>
              <w:rPr>
                <w:rFonts w:hint="default"/>
                <w:color w:val="auto"/>
                <w:sz w:val="24"/>
                <w:szCs w:val="24"/>
                <w:highlight w:val="none"/>
              </w:rPr>
              <w:t>。</w:t>
            </w:r>
          </w:p>
          <w:p>
            <w:pPr>
              <w:bidi w:val="0"/>
              <w:rPr>
                <w:rFonts w:hint="default"/>
                <w:color w:val="auto"/>
                <w:sz w:val="24"/>
                <w:szCs w:val="24"/>
                <w:highlight w:val="none"/>
              </w:rPr>
            </w:pPr>
            <w:r>
              <w:rPr>
                <w:rFonts w:hint="eastAsia"/>
                <w:color w:val="auto"/>
                <w:sz w:val="24"/>
                <w:szCs w:val="24"/>
                <w:highlight w:val="none"/>
                <w:lang w:val="en-US" w:eastAsia="zh-CN"/>
              </w:rPr>
              <w:t>6、</w:t>
            </w:r>
            <w:r>
              <w:rPr>
                <w:rFonts w:hint="default"/>
                <w:color w:val="auto"/>
                <w:sz w:val="24"/>
                <w:szCs w:val="24"/>
                <w:highlight w:val="none"/>
              </w:rPr>
              <w:t>主要原辅材料及能源消耗见下表。</w:t>
            </w:r>
          </w:p>
          <w:p>
            <w:pPr>
              <w:keepNext w:val="0"/>
              <w:keepLines w:val="0"/>
              <w:pageBreakBefore w:val="0"/>
              <w:widowControl w:val="0"/>
              <w:kinsoku/>
              <w:wordWrap/>
              <w:overflowPunct/>
              <w:topLinePunct w:val="0"/>
              <w:autoSpaceDE w:val="0"/>
              <w:autoSpaceDN w:val="0"/>
              <w:bidi w:val="0"/>
              <w:adjustRightInd w:val="0"/>
              <w:snapToGrid w:val="0"/>
              <w:ind w:firstLine="0" w:firstLineChars="0"/>
              <w:jc w:val="center"/>
              <w:textAlignment w:val="auto"/>
              <w:rPr>
                <w:rFonts w:ascii="宋体" w:hAnsi="宋体" w:cs="宋体"/>
                <w:b/>
                <w:color w:val="auto"/>
                <w:kern w:val="0"/>
                <w:sz w:val="21"/>
                <w:szCs w:val="21"/>
                <w:highlight w:val="none"/>
              </w:rPr>
            </w:pPr>
            <w:r>
              <w:rPr>
                <w:rFonts w:hint="eastAsia" w:ascii="宋体" w:hAnsi="宋体" w:cs="宋体"/>
                <w:b/>
                <w:color w:val="auto"/>
                <w:kern w:val="0"/>
                <w:sz w:val="21"/>
                <w:szCs w:val="21"/>
                <w:highlight w:val="none"/>
              </w:rPr>
              <w:t>表</w:t>
            </w:r>
            <w:r>
              <w:rPr>
                <w:rFonts w:hint="default" w:ascii="Times New Roman" w:hAnsi="Times New Roman" w:cs="Times New Roman"/>
                <w:b/>
                <w:color w:val="auto"/>
                <w:kern w:val="0"/>
                <w:sz w:val="21"/>
                <w:szCs w:val="21"/>
                <w:highlight w:val="none"/>
                <w:lang w:val="en-US" w:eastAsia="zh-CN"/>
              </w:rPr>
              <w:t>1</w:t>
            </w:r>
            <w:r>
              <w:rPr>
                <w:rFonts w:hint="eastAsia" w:cs="Times New Roman"/>
                <w:b/>
                <w:color w:val="auto"/>
                <w:kern w:val="0"/>
                <w:sz w:val="21"/>
                <w:szCs w:val="21"/>
                <w:highlight w:val="none"/>
                <w:lang w:val="en-US" w:eastAsia="zh-CN"/>
              </w:rPr>
              <w:t>0</w:t>
            </w:r>
            <w:r>
              <w:rPr>
                <w:rFonts w:hint="eastAsia" w:ascii="宋体" w:hAnsi="宋体" w:cs="宋体"/>
                <w:b/>
                <w:color w:val="auto"/>
                <w:kern w:val="0"/>
                <w:sz w:val="21"/>
                <w:szCs w:val="21"/>
                <w:highlight w:val="none"/>
                <w:lang w:val="en-US" w:eastAsia="zh-CN"/>
              </w:rPr>
              <w:t xml:space="preserve">  </w:t>
            </w:r>
            <w:r>
              <w:rPr>
                <w:rFonts w:hint="eastAsia" w:ascii="宋体" w:hAnsi="宋体" w:cs="宋体"/>
                <w:b/>
                <w:color w:val="auto"/>
                <w:kern w:val="0"/>
                <w:sz w:val="21"/>
                <w:szCs w:val="21"/>
                <w:highlight w:val="none"/>
              </w:rPr>
              <w:t>现有工程主要原辅材料消耗一览表</w:t>
            </w:r>
          </w:p>
          <w:tbl>
            <w:tblPr>
              <w:tblStyle w:val="25"/>
              <w:tblW w:w="827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15"/>
              <w:gridCol w:w="1553"/>
              <w:gridCol w:w="1682"/>
              <w:gridCol w:w="1064"/>
              <w:gridCol w:w="925"/>
              <w:gridCol w:w="243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5"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textAlignment w:val="auto"/>
                    <w:rPr>
                      <w:color w:val="auto"/>
                    </w:rPr>
                  </w:pPr>
                  <w:r>
                    <w:rPr>
                      <w:rFonts w:hint="eastAsia"/>
                      <w:color w:val="auto"/>
                    </w:rPr>
                    <w:t>序号</w:t>
                  </w:r>
                </w:p>
              </w:tc>
              <w:tc>
                <w:tcPr>
                  <w:tcW w:w="1553"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textAlignment w:val="auto"/>
                    <w:rPr>
                      <w:color w:val="auto"/>
                    </w:rPr>
                  </w:pPr>
                  <w:r>
                    <w:rPr>
                      <w:rFonts w:hint="eastAsia"/>
                      <w:color w:val="auto"/>
                    </w:rPr>
                    <w:t>名称</w:t>
                  </w:r>
                </w:p>
              </w:tc>
              <w:tc>
                <w:tcPr>
                  <w:tcW w:w="1682"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textAlignment w:val="auto"/>
                    <w:rPr>
                      <w:color w:val="auto"/>
                    </w:rPr>
                  </w:pPr>
                  <w:r>
                    <w:rPr>
                      <w:rFonts w:hint="eastAsia"/>
                      <w:color w:val="auto"/>
                    </w:rPr>
                    <w:t>规格型号</w:t>
                  </w:r>
                </w:p>
              </w:tc>
              <w:tc>
                <w:tcPr>
                  <w:tcW w:w="1064"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textAlignment w:val="auto"/>
                    <w:rPr>
                      <w:color w:val="auto"/>
                    </w:rPr>
                  </w:pPr>
                  <w:r>
                    <w:rPr>
                      <w:rFonts w:hint="eastAsia"/>
                      <w:color w:val="auto"/>
                    </w:rPr>
                    <w:t>单位</w:t>
                  </w:r>
                </w:p>
              </w:tc>
              <w:tc>
                <w:tcPr>
                  <w:tcW w:w="925"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textAlignment w:val="auto"/>
                    <w:rPr>
                      <w:color w:val="auto"/>
                    </w:rPr>
                  </w:pPr>
                  <w:r>
                    <w:rPr>
                      <w:rFonts w:hint="eastAsia"/>
                      <w:color w:val="auto"/>
                    </w:rPr>
                    <w:t>消耗量</w:t>
                  </w:r>
                </w:p>
              </w:tc>
              <w:tc>
                <w:tcPr>
                  <w:tcW w:w="2438"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textAlignment w:val="auto"/>
                    <w:rPr>
                      <w:color w:val="auto"/>
                    </w:rPr>
                  </w:pPr>
                  <w:r>
                    <w:rPr>
                      <w:rFonts w:hint="eastAsia"/>
                      <w:color w:val="auto"/>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5" w:type="dxa"/>
                  <w:tcBorders>
                    <w:tl2br w:val="nil"/>
                    <w:tr2bl w:val="nil"/>
                  </w:tcBorders>
                  <w:vAlign w:val="center"/>
                </w:tcPr>
                <w:p>
                  <w:pPr>
                    <w:pStyle w:val="32"/>
                    <w:keepNext w:val="0"/>
                    <w:keepLines w:val="0"/>
                    <w:pageBreakBefore w:val="0"/>
                    <w:widowControl w:val="0"/>
                    <w:numPr>
                      <w:ilvl w:val="0"/>
                      <w:numId w:val="10"/>
                    </w:numPr>
                    <w:kinsoku/>
                    <w:wordWrap/>
                    <w:overflowPunct/>
                    <w:topLinePunct w:val="0"/>
                    <w:autoSpaceDE/>
                    <w:autoSpaceDN/>
                    <w:bidi w:val="0"/>
                    <w:adjustRightInd/>
                    <w:snapToGrid/>
                    <w:spacing w:before="0" w:after="0"/>
                    <w:ind w:left="0" w:leftChars="0" w:right="-24" w:rightChars="-10" w:firstLine="0" w:firstLineChars="0"/>
                    <w:textAlignment w:val="auto"/>
                    <w:rPr>
                      <w:color w:val="auto"/>
                    </w:rPr>
                  </w:pPr>
                </w:p>
              </w:tc>
              <w:tc>
                <w:tcPr>
                  <w:tcW w:w="1553"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textAlignment w:val="auto"/>
                    <w:rPr>
                      <w:color w:val="auto"/>
                    </w:rPr>
                  </w:pPr>
                  <w:r>
                    <w:rPr>
                      <w:rFonts w:hint="eastAsia"/>
                      <w:color w:val="auto"/>
                    </w:rPr>
                    <w:t>石英管</w:t>
                  </w:r>
                </w:p>
              </w:tc>
              <w:tc>
                <w:tcPr>
                  <w:tcW w:w="1682"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textAlignment w:val="auto"/>
                    <w:rPr>
                      <w:color w:val="auto"/>
                    </w:rPr>
                  </w:pPr>
                  <w:r>
                    <w:rPr>
                      <w:rFonts w:hint="eastAsia"/>
                      <w:color w:val="auto"/>
                    </w:rPr>
                    <w:t>长度50cm</w:t>
                  </w:r>
                </w:p>
              </w:tc>
              <w:tc>
                <w:tcPr>
                  <w:tcW w:w="1064"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textAlignment w:val="auto"/>
                    <w:rPr>
                      <w:color w:val="auto"/>
                    </w:rPr>
                  </w:pPr>
                  <w:r>
                    <w:rPr>
                      <w:rFonts w:hint="eastAsia"/>
                      <w:color w:val="auto"/>
                    </w:rPr>
                    <w:t>万根</w:t>
                  </w:r>
                  <w:r>
                    <w:rPr>
                      <w:rFonts w:hint="eastAsia"/>
                      <w:color w:val="auto"/>
                      <w:lang w:val="en-US" w:eastAsia="zh-CN"/>
                    </w:rPr>
                    <w:t>/a</w:t>
                  </w:r>
                </w:p>
              </w:tc>
              <w:tc>
                <w:tcPr>
                  <w:tcW w:w="925"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textAlignment w:val="auto"/>
                    <w:rPr>
                      <w:color w:val="auto"/>
                    </w:rPr>
                  </w:pPr>
                  <w:r>
                    <w:rPr>
                      <w:rFonts w:hint="eastAsia"/>
                      <w:color w:val="auto"/>
                      <w:lang w:val="en-US" w:eastAsia="zh-CN"/>
                    </w:rPr>
                    <w:t>25</w:t>
                  </w:r>
                </w:p>
              </w:tc>
              <w:tc>
                <w:tcPr>
                  <w:tcW w:w="2438"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textAlignment w:val="auto"/>
                    <w:rPr>
                      <w:color w:val="auto"/>
                    </w:rPr>
                  </w:pPr>
                  <w:r>
                    <w:rPr>
                      <w:rFonts w:hint="eastAsia"/>
                      <w:color w:val="auto"/>
                      <w:lang w:val="en-US" w:eastAsia="zh-CN"/>
                    </w:rPr>
                    <w:t>外购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5" w:type="dxa"/>
                  <w:tcBorders>
                    <w:tl2br w:val="nil"/>
                    <w:tr2bl w:val="nil"/>
                  </w:tcBorders>
                  <w:vAlign w:val="center"/>
                </w:tcPr>
                <w:p>
                  <w:pPr>
                    <w:pStyle w:val="32"/>
                    <w:keepNext w:val="0"/>
                    <w:keepLines w:val="0"/>
                    <w:pageBreakBefore w:val="0"/>
                    <w:widowControl w:val="0"/>
                    <w:numPr>
                      <w:ilvl w:val="0"/>
                      <w:numId w:val="10"/>
                    </w:numPr>
                    <w:kinsoku/>
                    <w:wordWrap/>
                    <w:overflowPunct/>
                    <w:topLinePunct w:val="0"/>
                    <w:autoSpaceDE/>
                    <w:autoSpaceDN/>
                    <w:bidi w:val="0"/>
                    <w:adjustRightInd/>
                    <w:snapToGrid/>
                    <w:spacing w:before="0" w:after="0"/>
                    <w:ind w:left="0" w:leftChars="0" w:right="-24" w:rightChars="-10" w:firstLine="0" w:firstLineChars="0"/>
                    <w:textAlignment w:val="auto"/>
                    <w:rPr>
                      <w:color w:val="auto"/>
                    </w:rPr>
                  </w:pPr>
                </w:p>
              </w:tc>
              <w:tc>
                <w:tcPr>
                  <w:tcW w:w="1553"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textAlignment w:val="auto"/>
                    <w:rPr>
                      <w:color w:val="auto"/>
                    </w:rPr>
                  </w:pPr>
                  <w:r>
                    <w:rPr>
                      <w:rFonts w:hint="eastAsia"/>
                      <w:color w:val="auto"/>
                    </w:rPr>
                    <w:t>云母板</w:t>
                  </w:r>
                </w:p>
              </w:tc>
              <w:tc>
                <w:tcPr>
                  <w:tcW w:w="1682"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textAlignment w:val="auto"/>
                    <w:rPr>
                      <w:rFonts w:hint="eastAsia" w:eastAsia="宋体"/>
                      <w:color w:val="auto"/>
                      <w:lang w:val="en-US" w:eastAsia="zh-CN"/>
                    </w:rPr>
                  </w:pPr>
                  <w:r>
                    <w:rPr>
                      <w:rFonts w:hint="eastAsia" w:ascii="宋体" w:hAnsi="宋体" w:eastAsia="宋体" w:cs="宋体"/>
                      <w:color w:val="auto"/>
                    </w:rPr>
                    <w:t>－</w:t>
                  </w:r>
                </w:p>
              </w:tc>
              <w:tc>
                <w:tcPr>
                  <w:tcW w:w="1064"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textAlignment w:val="auto"/>
                    <w:rPr>
                      <w:color w:val="auto"/>
                    </w:rPr>
                  </w:pPr>
                  <w:r>
                    <w:rPr>
                      <w:rFonts w:hint="eastAsia"/>
                      <w:color w:val="auto"/>
                    </w:rPr>
                    <w:t>万片</w:t>
                  </w:r>
                  <w:r>
                    <w:rPr>
                      <w:rFonts w:hint="eastAsia"/>
                      <w:color w:val="auto"/>
                      <w:lang w:val="en-US" w:eastAsia="zh-CN"/>
                    </w:rPr>
                    <w:t>/a</w:t>
                  </w:r>
                </w:p>
              </w:tc>
              <w:tc>
                <w:tcPr>
                  <w:tcW w:w="925"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textAlignment w:val="auto"/>
                    <w:rPr>
                      <w:color w:val="auto"/>
                    </w:rPr>
                  </w:pPr>
                  <w:r>
                    <w:rPr>
                      <w:rFonts w:hint="eastAsia"/>
                      <w:color w:val="auto"/>
                    </w:rPr>
                    <w:t>5</w:t>
                  </w:r>
                </w:p>
              </w:tc>
              <w:tc>
                <w:tcPr>
                  <w:tcW w:w="2438"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firstLine="0" w:firstLineChars="0"/>
                    <w:textAlignment w:val="auto"/>
                    <w:rPr>
                      <w:color w:val="auto"/>
                    </w:rPr>
                  </w:pPr>
                  <w:r>
                    <w:rPr>
                      <w:rFonts w:hint="eastAsia"/>
                      <w:color w:val="auto"/>
                      <w:lang w:val="en-US" w:eastAsia="zh-CN"/>
                    </w:rPr>
                    <w:t>外购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5" w:type="dxa"/>
                  <w:tcBorders>
                    <w:tl2br w:val="nil"/>
                    <w:tr2bl w:val="nil"/>
                  </w:tcBorders>
                  <w:vAlign w:val="center"/>
                </w:tcPr>
                <w:p>
                  <w:pPr>
                    <w:pStyle w:val="32"/>
                    <w:keepNext w:val="0"/>
                    <w:keepLines w:val="0"/>
                    <w:pageBreakBefore w:val="0"/>
                    <w:widowControl w:val="0"/>
                    <w:numPr>
                      <w:ilvl w:val="0"/>
                      <w:numId w:val="10"/>
                    </w:numPr>
                    <w:kinsoku/>
                    <w:wordWrap/>
                    <w:overflowPunct/>
                    <w:topLinePunct w:val="0"/>
                    <w:autoSpaceDE/>
                    <w:autoSpaceDN/>
                    <w:bidi w:val="0"/>
                    <w:adjustRightInd/>
                    <w:snapToGrid/>
                    <w:spacing w:before="0" w:after="0"/>
                    <w:ind w:left="0" w:leftChars="0" w:right="-24" w:rightChars="-10" w:firstLine="0" w:firstLineChars="0"/>
                    <w:textAlignment w:val="auto"/>
                    <w:rPr>
                      <w:color w:val="auto"/>
                    </w:rPr>
                  </w:pPr>
                </w:p>
              </w:tc>
              <w:tc>
                <w:tcPr>
                  <w:tcW w:w="1553"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textAlignment w:val="auto"/>
                    <w:rPr>
                      <w:color w:val="auto"/>
                    </w:rPr>
                  </w:pPr>
                  <w:r>
                    <w:rPr>
                      <w:rFonts w:hint="eastAsia"/>
                      <w:color w:val="auto"/>
                    </w:rPr>
                    <w:t>硅胶套</w:t>
                  </w:r>
                </w:p>
              </w:tc>
              <w:tc>
                <w:tcPr>
                  <w:tcW w:w="1682"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textAlignment w:val="auto"/>
                    <w:rPr>
                      <w:color w:val="auto"/>
                    </w:rPr>
                  </w:pPr>
                  <w:r>
                    <w:rPr>
                      <w:rFonts w:hint="eastAsia"/>
                      <w:color w:val="auto"/>
                    </w:rPr>
                    <w:t>厚度60mm</w:t>
                  </w:r>
                </w:p>
              </w:tc>
              <w:tc>
                <w:tcPr>
                  <w:tcW w:w="1064"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textAlignment w:val="auto"/>
                    <w:rPr>
                      <w:color w:val="auto"/>
                    </w:rPr>
                  </w:pPr>
                  <w:r>
                    <w:rPr>
                      <w:rFonts w:hint="eastAsia"/>
                      <w:color w:val="auto"/>
                    </w:rPr>
                    <w:t>万个</w:t>
                  </w:r>
                  <w:r>
                    <w:rPr>
                      <w:rFonts w:hint="eastAsia"/>
                      <w:color w:val="auto"/>
                      <w:lang w:val="en-US" w:eastAsia="zh-CN"/>
                    </w:rPr>
                    <w:t>/a</w:t>
                  </w:r>
                </w:p>
              </w:tc>
              <w:tc>
                <w:tcPr>
                  <w:tcW w:w="925"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textAlignment w:val="auto"/>
                    <w:rPr>
                      <w:color w:val="auto"/>
                    </w:rPr>
                  </w:pPr>
                  <w:r>
                    <w:rPr>
                      <w:rFonts w:hint="eastAsia"/>
                      <w:color w:val="auto"/>
                    </w:rPr>
                    <w:t>30</w:t>
                  </w:r>
                </w:p>
              </w:tc>
              <w:tc>
                <w:tcPr>
                  <w:tcW w:w="2438"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firstLine="0" w:firstLineChars="0"/>
                    <w:textAlignment w:val="auto"/>
                    <w:rPr>
                      <w:color w:val="auto"/>
                    </w:rPr>
                  </w:pPr>
                  <w:r>
                    <w:rPr>
                      <w:rFonts w:hint="eastAsia"/>
                      <w:color w:val="auto"/>
                      <w:lang w:val="en-US" w:eastAsia="zh-CN"/>
                    </w:rPr>
                    <w:t>外购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5" w:type="dxa"/>
                  <w:tcBorders>
                    <w:tl2br w:val="nil"/>
                    <w:tr2bl w:val="nil"/>
                  </w:tcBorders>
                  <w:vAlign w:val="center"/>
                </w:tcPr>
                <w:p>
                  <w:pPr>
                    <w:pStyle w:val="32"/>
                    <w:keepNext w:val="0"/>
                    <w:keepLines w:val="0"/>
                    <w:pageBreakBefore w:val="0"/>
                    <w:widowControl w:val="0"/>
                    <w:numPr>
                      <w:ilvl w:val="0"/>
                      <w:numId w:val="10"/>
                    </w:numPr>
                    <w:kinsoku/>
                    <w:wordWrap/>
                    <w:overflowPunct/>
                    <w:topLinePunct w:val="0"/>
                    <w:autoSpaceDE/>
                    <w:autoSpaceDN/>
                    <w:bidi w:val="0"/>
                    <w:adjustRightInd/>
                    <w:snapToGrid/>
                    <w:spacing w:before="0" w:after="0"/>
                    <w:ind w:left="0" w:leftChars="0" w:right="-24" w:rightChars="-10" w:firstLine="0" w:firstLineChars="0"/>
                    <w:textAlignment w:val="auto"/>
                    <w:rPr>
                      <w:color w:val="auto"/>
                    </w:rPr>
                  </w:pPr>
                </w:p>
              </w:tc>
              <w:tc>
                <w:tcPr>
                  <w:tcW w:w="1553"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textAlignment w:val="auto"/>
                    <w:rPr>
                      <w:color w:val="auto"/>
                    </w:rPr>
                  </w:pPr>
                  <w:r>
                    <w:rPr>
                      <w:rFonts w:hint="eastAsia"/>
                      <w:color w:val="auto"/>
                    </w:rPr>
                    <w:t>尼龙座</w:t>
                  </w:r>
                </w:p>
              </w:tc>
              <w:tc>
                <w:tcPr>
                  <w:tcW w:w="1682"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textAlignment w:val="auto"/>
                    <w:rPr>
                      <w:rFonts w:hint="eastAsia" w:eastAsia="宋体"/>
                      <w:color w:val="auto"/>
                      <w:lang w:val="en-US" w:eastAsia="zh-CN"/>
                    </w:rPr>
                  </w:pPr>
                  <w:r>
                    <w:rPr>
                      <w:rFonts w:hint="eastAsia" w:ascii="宋体" w:hAnsi="宋体" w:eastAsia="宋体" w:cs="宋体"/>
                      <w:color w:val="auto"/>
                    </w:rPr>
                    <w:t>－</w:t>
                  </w:r>
                </w:p>
              </w:tc>
              <w:tc>
                <w:tcPr>
                  <w:tcW w:w="1064"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textAlignment w:val="auto"/>
                    <w:rPr>
                      <w:color w:val="auto"/>
                    </w:rPr>
                  </w:pPr>
                  <w:r>
                    <w:rPr>
                      <w:rFonts w:hint="eastAsia"/>
                      <w:color w:val="auto"/>
                    </w:rPr>
                    <w:t>万套</w:t>
                  </w:r>
                  <w:r>
                    <w:rPr>
                      <w:rFonts w:hint="eastAsia"/>
                      <w:color w:val="auto"/>
                      <w:lang w:val="en-US" w:eastAsia="zh-CN"/>
                    </w:rPr>
                    <w:t>/a</w:t>
                  </w:r>
                </w:p>
              </w:tc>
              <w:tc>
                <w:tcPr>
                  <w:tcW w:w="925"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textAlignment w:val="auto"/>
                    <w:rPr>
                      <w:color w:val="auto"/>
                    </w:rPr>
                  </w:pPr>
                  <w:r>
                    <w:rPr>
                      <w:rFonts w:hint="eastAsia"/>
                      <w:color w:val="auto"/>
                    </w:rPr>
                    <w:t>8</w:t>
                  </w:r>
                </w:p>
              </w:tc>
              <w:tc>
                <w:tcPr>
                  <w:tcW w:w="2438"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firstLine="0" w:firstLineChars="0"/>
                    <w:textAlignment w:val="auto"/>
                    <w:rPr>
                      <w:color w:val="auto"/>
                    </w:rPr>
                  </w:pPr>
                  <w:r>
                    <w:rPr>
                      <w:rFonts w:hint="eastAsia"/>
                      <w:color w:val="auto"/>
                      <w:lang w:val="en-US" w:eastAsia="zh-CN"/>
                    </w:rPr>
                    <w:t>外购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5" w:type="dxa"/>
                  <w:tcBorders>
                    <w:tl2br w:val="nil"/>
                    <w:tr2bl w:val="nil"/>
                  </w:tcBorders>
                  <w:vAlign w:val="center"/>
                </w:tcPr>
                <w:p>
                  <w:pPr>
                    <w:pStyle w:val="32"/>
                    <w:keepNext w:val="0"/>
                    <w:keepLines w:val="0"/>
                    <w:pageBreakBefore w:val="0"/>
                    <w:widowControl w:val="0"/>
                    <w:numPr>
                      <w:ilvl w:val="0"/>
                      <w:numId w:val="10"/>
                    </w:numPr>
                    <w:kinsoku/>
                    <w:wordWrap/>
                    <w:overflowPunct/>
                    <w:topLinePunct w:val="0"/>
                    <w:autoSpaceDE/>
                    <w:autoSpaceDN/>
                    <w:bidi w:val="0"/>
                    <w:adjustRightInd/>
                    <w:snapToGrid/>
                    <w:spacing w:before="0" w:after="0"/>
                    <w:ind w:left="0" w:leftChars="0" w:right="-24" w:rightChars="-10" w:firstLine="0" w:firstLineChars="0"/>
                    <w:textAlignment w:val="auto"/>
                    <w:rPr>
                      <w:color w:val="auto"/>
                    </w:rPr>
                  </w:pPr>
                </w:p>
              </w:tc>
              <w:tc>
                <w:tcPr>
                  <w:tcW w:w="1553"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textAlignment w:val="auto"/>
                    <w:rPr>
                      <w:color w:val="auto"/>
                    </w:rPr>
                  </w:pPr>
                  <w:r>
                    <w:rPr>
                      <w:rFonts w:hint="eastAsia"/>
                      <w:color w:val="auto"/>
                    </w:rPr>
                    <w:t>电极银浆</w:t>
                  </w:r>
                </w:p>
              </w:tc>
              <w:tc>
                <w:tcPr>
                  <w:tcW w:w="1682"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textAlignment w:val="auto"/>
                    <w:rPr>
                      <w:color w:val="auto"/>
                    </w:rPr>
                  </w:pPr>
                  <w:r>
                    <w:rPr>
                      <w:rFonts w:hint="eastAsia"/>
                      <w:color w:val="auto"/>
                    </w:rPr>
                    <w:t>1kg/罐</w:t>
                  </w:r>
                </w:p>
              </w:tc>
              <w:tc>
                <w:tcPr>
                  <w:tcW w:w="1064"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textAlignment w:val="auto"/>
                    <w:rPr>
                      <w:color w:val="auto"/>
                    </w:rPr>
                  </w:pPr>
                  <w:r>
                    <w:rPr>
                      <w:rFonts w:hint="eastAsia"/>
                      <w:color w:val="auto"/>
                      <w:lang w:val="en-US" w:eastAsia="zh-CN"/>
                    </w:rPr>
                    <w:t>kg/a</w:t>
                  </w:r>
                </w:p>
              </w:tc>
              <w:tc>
                <w:tcPr>
                  <w:tcW w:w="925"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textAlignment w:val="auto"/>
                    <w:rPr>
                      <w:color w:val="auto"/>
                    </w:rPr>
                  </w:pPr>
                  <w:r>
                    <w:rPr>
                      <w:rFonts w:hint="eastAsia"/>
                      <w:color w:val="auto"/>
                    </w:rPr>
                    <w:t>50</w:t>
                  </w:r>
                </w:p>
              </w:tc>
              <w:tc>
                <w:tcPr>
                  <w:tcW w:w="2438"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textAlignment w:val="auto"/>
                    <w:rPr>
                      <w:color w:val="auto"/>
                    </w:rPr>
                  </w:pPr>
                  <w:r>
                    <w:rPr>
                      <w:rFonts w:hint="eastAsia"/>
                      <w:color w:val="auto"/>
                    </w:rPr>
                    <w:t>液体，罐装，</w:t>
                  </w:r>
                  <w:r>
                    <w:rPr>
                      <w:rFonts w:hint="eastAsia"/>
                      <w:color w:val="auto"/>
                      <w:lang w:val="en-US" w:eastAsia="zh-CN"/>
                    </w:rPr>
                    <w:t>主要成分为</w:t>
                  </w:r>
                  <w:r>
                    <w:rPr>
                      <w:rFonts w:hint="eastAsia"/>
                      <w:color w:val="auto"/>
                    </w:rPr>
                    <w:t>银粉（导电填料）、双酚A型环氧树脂（树脂）、酸酐类固化剂、甲基咪唑（促进剂）、乙酸丁酯（稀释剂）、环氧丙烷苄基醚（稀释剂）、钛酸四乙酯（附着力促进剂）聚酰胺蜡（防沉降剂）储存在库房内，可直接用于生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5" w:type="dxa"/>
                  <w:tcBorders>
                    <w:tl2br w:val="nil"/>
                    <w:tr2bl w:val="nil"/>
                  </w:tcBorders>
                  <w:vAlign w:val="center"/>
                </w:tcPr>
                <w:p>
                  <w:pPr>
                    <w:pStyle w:val="32"/>
                    <w:keepNext w:val="0"/>
                    <w:keepLines w:val="0"/>
                    <w:pageBreakBefore w:val="0"/>
                    <w:widowControl w:val="0"/>
                    <w:numPr>
                      <w:ilvl w:val="0"/>
                      <w:numId w:val="10"/>
                    </w:numPr>
                    <w:kinsoku/>
                    <w:wordWrap/>
                    <w:overflowPunct/>
                    <w:topLinePunct w:val="0"/>
                    <w:autoSpaceDE/>
                    <w:autoSpaceDN/>
                    <w:bidi w:val="0"/>
                    <w:adjustRightInd/>
                    <w:snapToGrid/>
                    <w:spacing w:before="0" w:after="0"/>
                    <w:ind w:left="0" w:leftChars="0" w:right="-24" w:rightChars="-10" w:firstLine="0" w:firstLineChars="0"/>
                    <w:textAlignment w:val="auto"/>
                    <w:rPr>
                      <w:color w:val="auto"/>
                    </w:rPr>
                  </w:pPr>
                </w:p>
              </w:tc>
              <w:tc>
                <w:tcPr>
                  <w:tcW w:w="1553"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textAlignment w:val="auto"/>
                    <w:rPr>
                      <w:color w:val="auto"/>
                    </w:rPr>
                  </w:pPr>
                  <w:r>
                    <w:rPr>
                      <w:rFonts w:hint="eastAsia"/>
                      <w:color w:val="auto"/>
                    </w:rPr>
                    <w:t>镀膜液</w:t>
                  </w:r>
                </w:p>
              </w:tc>
              <w:tc>
                <w:tcPr>
                  <w:tcW w:w="1682"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textAlignment w:val="auto"/>
                    <w:rPr>
                      <w:color w:val="auto"/>
                    </w:rPr>
                  </w:pPr>
                  <w:r>
                    <w:rPr>
                      <w:rFonts w:hint="eastAsia"/>
                      <w:color w:val="auto"/>
                    </w:rPr>
                    <w:t>25kg/桶</w:t>
                  </w:r>
                </w:p>
              </w:tc>
              <w:tc>
                <w:tcPr>
                  <w:tcW w:w="1064"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textAlignment w:val="auto"/>
                    <w:rPr>
                      <w:color w:val="auto"/>
                    </w:rPr>
                  </w:pPr>
                  <w:r>
                    <w:rPr>
                      <w:rFonts w:hint="eastAsia"/>
                      <w:color w:val="auto"/>
                      <w:lang w:val="en-US" w:eastAsia="zh-CN"/>
                    </w:rPr>
                    <w:t>kg/a</w:t>
                  </w:r>
                </w:p>
              </w:tc>
              <w:tc>
                <w:tcPr>
                  <w:tcW w:w="925"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textAlignment w:val="auto"/>
                    <w:rPr>
                      <w:rFonts w:hint="default" w:eastAsia="宋体"/>
                      <w:color w:val="auto"/>
                      <w:lang w:val="en-US" w:eastAsia="zh-CN"/>
                    </w:rPr>
                  </w:pPr>
                  <w:r>
                    <w:rPr>
                      <w:rFonts w:hint="eastAsia"/>
                      <w:color w:val="auto"/>
                      <w:lang w:val="en-US" w:eastAsia="zh-CN"/>
                    </w:rPr>
                    <w:t>100</w:t>
                  </w:r>
                </w:p>
              </w:tc>
              <w:tc>
                <w:tcPr>
                  <w:tcW w:w="2438"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textAlignment w:val="auto"/>
                    <w:rPr>
                      <w:color w:val="auto"/>
                    </w:rPr>
                  </w:pPr>
                  <w:r>
                    <w:rPr>
                      <w:rFonts w:hint="eastAsia"/>
                      <w:color w:val="auto"/>
                    </w:rPr>
                    <w:t>液体，桶装，成分</w:t>
                  </w:r>
                  <w:r>
                    <w:rPr>
                      <w:color w:val="auto"/>
                    </w:rPr>
                    <w:t>为醋酸锌、醋酸铝、氯化镍、氯化钾、氢氟酸和酒精</w:t>
                  </w:r>
                  <w:r>
                    <w:rPr>
                      <w:rFonts w:hint="eastAsia"/>
                      <w:color w:val="auto"/>
                    </w:rPr>
                    <w:t>，购买已配制好的成品，储存在库房内，可直接用于生产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5" w:type="dxa"/>
                  <w:tcBorders>
                    <w:tl2br w:val="nil"/>
                    <w:tr2bl w:val="nil"/>
                  </w:tcBorders>
                  <w:vAlign w:val="center"/>
                </w:tcPr>
                <w:p>
                  <w:pPr>
                    <w:pStyle w:val="32"/>
                    <w:keepNext w:val="0"/>
                    <w:keepLines w:val="0"/>
                    <w:pageBreakBefore w:val="0"/>
                    <w:widowControl w:val="0"/>
                    <w:numPr>
                      <w:ilvl w:val="0"/>
                      <w:numId w:val="10"/>
                    </w:numPr>
                    <w:kinsoku/>
                    <w:wordWrap/>
                    <w:overflowPunct/>
                    <w:topLinePunct w:val="0"/>
                    <w:autoSpaceDE/>
                    <w:autoSpaceDN/>
                    <w:bidi w:val="0"/>
                    <w:adjustRightInd/>
                    <w:snapToGrid/>
                    <w:spacing w:before="0" w:after="0"/>
                    <w:ind w:left="0" w:leftChars="0" w:right="-24" w:rightChars="-10" w:firstLine="0" w:firstLineChars="0"/>
                    <w:textAlignment w:val="auto"/>
                    <w:rPr>
                      <w:color w:val="auto"/>
                    </w:rPr>
                  </w:pPr>
                </w:p>
              </w:tc>
              <w:tc>
                <w:tcPr>
                  <w:tcW w:w="1553"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textAlignment w:val="auto"/>
                    <w:rPr>
                      <w:color w:val="auto"/>
                    </w:rPr>
                  </w:pPr>
                  <w:r>
                    <w:rPr>
                      <w:rFonts w:hint="eastAsia"/>
                      <w:color w:val="auto"/>
                    </w:rPr>
                    <w:t>石墨烯</w:t>
                  </w:r>
                </w:p>
              </w:tc>
              <w:tc>
                <w:tcPr>
                  <w:tcW w:w="1682"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textAlignment w:val="auto"/>
                    <w:rPr>
                      <w:rFonts w:hint="eastAsia" w:eastAsia="宋体"/>
                      <w:color w:val="auto"/>
                      <w:lang w:val="en-US" w:eastAsia="zh-CN"/>
                    </w:rPr>
                  </w:pPr>
                  <w:r>
                    <w:rPr>
                      <w:rFonts w:hint="eastAsia" w:ascii="宋体" w:hAnsi="宋体" w:eastAsia="宋体" w:cs="宋体"/>
                      <w:color w:val="auto"/>
                    </w:rPr>
                    <w:t>－</w:t>
                  </w:r>
                </w:p>
              </w:tc>
              <w:tc>
                <w:tcPr>
                  <w:tcW w:w="1064"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textAlignment w:val="auto"/>
                    <w:rPr>
                      <w:color w:val="auto"/>
                    </w:rPr>
                  </w:pPr>
                  <w:r>
                    <w:rPr>
                      <w:rFonts w:hint="eastAsia"/>
                      <w:color w:val="auto"/>
                    </w:rPr>
                    <w:t>kg</w:t>
                  </w:r>
                  <w:r>
                    <w:rPr>
                      <w:rFonts w:hint="eastAsia"/>
                      <w:color w:val="auto"/>
                      <w:lang w:val="en-US" w:eastAsia="zh-CN"/>
                    </w:rPr>
                    <w:t>/a</w:t>
                  </w:r>
                </w:p>
              </w:tc>
              <w:tc>
                <w:tcPr>
                  <w:tcW w:w="925"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textAlignment w:val="auto"/>
                    <w:rPr>
                      <w:color w:val="auto"/>
                    </w:rPr>
                  </w:pPr>
                  <w:r>
                    <w:rPr>
                      <w:rFonts w:hint="eastAsia"/>
                      <w:color w:val="auto"/>
                    </w:rPr>
                    <w:t>100</w:t>
                  </w:r>
                </w:p>
              </w:tc>
              <w:tc>
                <w:tcPr>
                  <w:tcW w:w="2438"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textAlignment w:val="auto"/>
                    <w:rPr>
                      <w:rFonts w:hint="eastAsia" w:eastAsia="宋体"/>
                      <w:color w:val="auto"/>
                      <w:lang w:val="en-US" w:eastAsia="zh-CN"/>
                    </w:rPr>
                  </w:pPr>
                  <w:r>
                    <w:rPr>
                      <w:rFonts w:hint="eastAsia" w:ascii="宋体" w:hAnsi="宋体" w:eastAsia="宋体" w:cs="宋体"/>
                      <w:color w:val="auto"/>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5" w:type="dxa"/>
                  <w:tcBorders>
                    <w:tl2br w:val="nil"/>
                    <w:tr2bl w:val="nil"/>
                  </w:tcBorders>
                  <w:vAlign w:val="center"/>
                </w:tcPr>
                <w:p>
                  <w:pPr>
                    <w:pStyle w:val="32"/>
                    <w:keepNext w:val="0"/>
                    <w:keepLines w:val="0"/>
                    <w:pageBreakBefore w:val="0"/>
                    <w:widowControl w:val="0"/>
                    <w:numPr>
                      <w:ilvl w:val="0"/>
                      <w:numId w:val="10"/>
                    </w:numPr>
                    <w:kinsoku/>
                    <w:wordWrap/>
                    <w:overflowPunct/>
                    <w:topLinePunct w:val="0"/>
                    <w:autoSpaceDE/>
                    <w:autoSpaceDN/>
                    <w:bidi w:val="0"/>
                    <w:adjustRightInd/>
                    <w:snapToGrid/>
                    <w:spacing w:before="0" w:after="0"/>
                    <w:ind w:left="0" w:leftChars="0" w:right="-24" w:rightChars="-10" w:firstLine="0" w:firstLineChars="0"/>
                    <w:textAlignment w:val="auto"/>
                    <w:rPr>
                      <w:color w:val="auto"/>
                    </w:rPr>
                  </w:pPr>
                </w:p>
              </w:tc>
              <w:tc>
                <w:tcPr>
                  <w:tcW w:w="1553"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textAlignment w:val="auto"/>
                    <w:rPr>
                      <w:color w:val="auto"/>
                    </w:rPr>
                  </w:pPr>
                  <w:r>
                    <w:rPr>
                      <w:rFonts w:hint="eastAsia"/>
                      <w:color w:val="auto"/>
                    </w:rPr>
                    <w:t>塑料薄膜</w:t>
                  </w:r>
                </w:p>
              </w:tc>
              <w:tc>
                <w:tcPr>
                  <w:tcW w:w="1682"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textAlignment w:val="auto"/>
                    <w:rPr>
                      <w:color w:val="auto"/>
                    </w:rPr>
                  </w:pPr>
                  <w:r>
                    <w:rPr>
                      <w:rFonts w:hint="eastAsia"/>
                      <w:color w:val="auto"/>
                      <w:lang w:eastAsia="zh-CN"/>
                    </w:rPr>
                    <w:t>（</w:t>
                  </w:r>
                  <w:r>
                    <w:rPr>
                      <w:rFonts w:hint="eastAsia"/>
                      <w:color w:val="auto"/>
                    </w:rPr>
                    <w:t>520mm</w:t>
                  </w:r>
                  <w:r>
                    <w:rPr>
                      <w:rFonts w:hint="default" w:ascii="Times New Roman" w:hAnsi="Times New Roman" w:cs="Times New Roman"/>
                      <w:color w:val="auto"/>
                    </w:rPr>
                    <w:t>×</w:t>
                  </w:r>
                  <w:r>
                    <w:rPr>
                      <w:rFonts w:hint="eastAsia"/>
                      <w:color w:val="auto"/>
                    </w:rPr>
                    <w:t>33m</w:t>
                  </w:r>
                  <w:r>
                    <w:rPr>
                      <w:rFonts w:hint="default" w:ascii="Times New Roman" w:hAnsi="Times New Roman" w:cs="Times New Roman"/>
                      <w:color w:val="auto"/>
                    </w:rPr>
                    <w:t>×</w:t>
                  </w:r>
                  <w:r>
                    <w:rPr>
                      <w:rFonts w:hint="eastAsia"/>
                      <w:color w:val="auto"/>
                    </w:rPr>
                    <w:t>0.005mm</w:t>
                  </w:r>
                  <w:r>
                    <w:rPr>
                      <w:rFonts w:hint="eastAsia"/>
                      <w:color w:val="auto"/>
                      <w:lang w:eastAsia="zh-CN"/>
                    </w:rPr>
                    <w:t>）</w:t>
                  </w:r>
                  <w:r>
                    <w:rPr>
                      <w:rFonts w:hint="eastAsia"/>
                      <w:color w:val="auto"/>
                      <w:lang w:val="en-US" w:eastAsia="zh-CN"/>
                    </w:rPr>
                    <w:t>/</w:t>
                  </w:r>
                  <w:r>
                    <w:rPr>
                      <w:rFonts w:hint="eastAsia"/>
                      <w:color w:val="auto"/>
                    </w:rPr>
                    <w:t>卷</w:t>
                  </w:r>
                </w:p>
              </w:tc>
              <w:tc>
                <w:tcPr>
                  <w:tcW w:w="1064"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textAlignment w:val="auto"/>
                    <w:rPr>
                      <w:color w:val="auto"/>
                    </w:rPr>
                  </w:pPr>
                  <w:r>
                    <w:rPr>
                      <w:rFonts w:hint="eastAsia"/>
                      <w:color w:val="auto"/>
                    </w:rPr>
                    <w:t>卷</w:t>
                  </w:r>
                  <w:r>
                    <w:rPr>
                      <w:rFonts w:hint="eastAsia"/>
                      <w:color w:val="auto"/>
                      <w:lang w:val="en-US" w:eastAsia="zh-CN"/>
                    </w:rPr>
                    <w:t>/a</w:t>
                  </w:r>
                </w:p>
              </w:tc>
              <w:tc>
                <w:tcPr>
                  <w:tcW w:w="925"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textAlignment w:val="auto"/>
                    <w:rPr>
                      <w:color w:val="auto"/>
                    </w:rPr>
                  </w:pPr>
                  <w:r>
                    <w:rPr>
                      <w:rFonts w:hint="eastAsia"/>
                      <w:color w:val="auto"/>
                    </w:rPr>
                    <w:t>3</w:t>
                  </w:r>
                </w:p>
              </w:tc>
              <w:tc>
                <w:tcPr>
                  <w:tcW w:w="2438"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textAlignment w:val="auto"/>
                    <w:rPr>
                      <w:color w:val="auto"/>
                    </w:rPr>
                  </w:pPr>
                  <w:r>
                    <w:rPr>
                      <w:rFonts w:hint="eastAsia"/>
                      <w:color w:val="auto"/>
                    </w:rPr>
                    <w:t>卷装，用于云母板石墨烯电发热元件的保护膜</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5" w:type="dxa"/>
                  <w:tcBorders>
                    <w:tl2br w:val="nil"/>
                    <w:tr2bl w:val="nil"/>
                  </w:tcBorders>
                  <w:vAlign w:val="center"/>
                </w:tcPr>
                <w:p>
                  <w:pPr>
                    <w:pStyle w:val="32"/>
                    <w:keepNext w:val="0"/>
                    <w:keepLines w:val="0"/>
                    <w:pageBreakBefore w:val="0"/>
                    <w:widowControl w:val="0"/>
                    <w:numPr>
                      <w:ilvl w:val="0"/>
                      <w:numId w:val="10"/>
                    </w:numPr>
                    <w:kinsoku/>
                    <w:wordWrap/>
                    <w:overflowPunct/>
                    <w:topLinePunct w:val="0"/>
                    <w:autoSpaceDE/>
                    <w:autoSpaceDN/>
                    <w:bidi w:val="0"/>
                    <w:adjustRightInd/>
                    <w:snapToGrid/>
                    <w:spacing w:before="0" w:after="0"/>
                    <w:ind w:left="0" w:leftChars="0" w:right="-24" w:rightChars="-10" w:firstLine="0" w:firstLineChars="0"/>
                    <w:textAlignment w:val="auto"/>
                    <w:rPr>
                      <w:color w:val="auto"/>
                    </w:rPr>
                  </w:pPr>
                </w:p>
              </w:tc>
              <w:tc>
                <w:tcPr>
                  <w:tcW w:w="1553"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textAlignment w:val="auto"/>
                    <w:rPr>
                      <w:color w:val="auto"/>
                    </w:rPr>
                  </w:pPr>
                  <w:r>
                    <w:rPr>
                      <w:rFonts w:hint="eastAsia"/>
                      <w:color w:val="auto"/>
                    </w:rPr>
                    <w:t>零件（螺丝等）</w:t>
                  </w:r>
                </w:p>
              </w:tc>
              <w:tc>
                <w:tcPr>
                  <w:tcW w:w="1682"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textAlignment w:val="auto"/>
                    <w:rPr>
                      <w:color w:val="auto"/>
                    </w:rPr>
                  </w:pPr>
                  <w:r>
                    <w:rPr>
                      <w:rFonts w:hint="eastAsia" w:ascii="宋体" w:hAnsi="宋体" w:eastAsia="宋体" w:cs="宋体"/>
                      <w:color w:val="auto"/>
                    </w:rPr>
                    <w:t>－</w:t>
                  </w:r>
                </w:p>
              </w:tc>
              <w:tc>
                <w:tcPr>
                  <w:tcW w:w="1064"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textAlignment w:val="auto"/>
                    <w:rPr>
                      <w:rFonts w:hint="default" w:eastAsia="宋体"/>
                      <w:color w:val="auto"/>
                      <w:lang w:val="en-US" w:eastAsia="zh-CN"/>
                    </w:rPr>
                  </w:pPr>
                  <w:r>
                    <w:rPr>
                      <w:rFonts w:hint="eastAsia"/>
                      <w:color w:val="auto"/>
                      <w:lang w:val="en-US" w:eastAsia="zh-CN"/>
                    </w:rPr>
                    <w:t>万套/a</w:t>
                  </w:r>
                </w:p>
              </w:tc>
              <w:tc>
                <w:tcPr>
                  <w:tcW w:w="925"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textAlignment w:val="auto"/>
                    <w:rPr>
                      <w:rFonts w:hint="eastAsia" w:eastAsia="宋体"/>
                      <w:color w:val="auto"/>
                      <w:lang w:eastAsia="zh-CN"/>
                    </w:rPr>
                  </w:pPr>
                  <w:r>
                    <w:rPr>
                      <w:rFonts w:hint="eastAsia"/>
                      <w:color w:val="auto"/>
                      <w:lang w:val="en-US" w:eastAsia="zh-CN"/>
                    </w:rPr>
                    <w:t>8</w:t>
                  </w:r>
                </w:p>
              </w:tc>
              <w:tc>
                <w:tcPr>
                  <w:tcW w:w="2438"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textAlignment w:val="auto"/>
                    <w:rPr>
                      <w:rFonts w:hint="eastAsia" w:eastAsia="宋体"/>
                      <w:color w:val="auto"/>
                      <w:lang w:val="en-US" w:eastAsia="zh-CN"/>
                    </w:rPr>
                  </w:pPr>
                  <w:r>
                    <w:rPr>
                      <w:rFonts w:hint="eastAsia" w:ascii="宋体" w:hAnsi="宋体" w:eastAsia="宋体" w:cs="宋体"/>
                      <w:color w:val="auto"/>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615" w:type="dxa"/>
                  <w:tcBorders>
                    <w:tl2br w:val="nil"/>
                    <w:tr2bl w:val="nil"/>
                  </w:tcBorders>
                  <w:vAlign w:val="center"/>
                </w:tcPr>
                <w:p>
                  <w:pPr>
                    <w:pStyle w:val="32"/>
                    <w:keepNext w:val="0"/>
                    <w:keepLines w:val="0"/>
                    <w:pageBreakBefore w:val="0"/>
                    <w:widowControl w:val="0"/>
                    <w:numPr>
                      <w:ilvl w:val="0"/>
                      <w:numId w:val="10"/>
                    </w:numPr>
                    <w:kinsoku/>
                    <w:wordWrap/>
                    <w:overflowPunct/>
                    <w:topLinePunct w:val="0"/>
                    <w:autoSpaceDE/>
                    <w:autoSpaceDN/>
                    <w:bidi w:val="0"/>
                    <w:adjustRightInd/>
                    <w:snapToGrid/>
                    <w:spacing w:before="0" w:after="0"/>
                    <w:ind w:left="0" w:leftChars="0" w:right="-24" w:rightChars="-10" w:firstLine="0" w:firstLineChars="0"/>
                    <w:textAlignment w:val="auto"/>
                    <w:rPr>
                      <w:color w:val="auto"/>
                    </w:rPr>
                  </w:pPr>
                </w:p>
              </w:tc>
              <w:tc>
                <w:tcPr>
                  <w:tcW w:w="1553"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textAlignment w:val="auto"/>
                    <w:rPr>
                      <w:color w:val="auto"/>
                    </w:rPr>
                  </w:pPr>
                  <w:r>
                    <w:rPr>
                      <w:rFonts w:hint="eastAsia"/>
                      <w:color w:val="auto"/>
                    </w:rPr>
                    <w:t>氢氧化钠</w:t>
                  </w:r>
                </w:p>
              </w:tc>
              <w:tc>
                <w:tcPr>
                  <w:tcW w:w="1682"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textAlignment w:val="auto"/>
                    <w:rPr>
                      <w:color w:val="auto"/>
                    </w:rPr>
                  </w:pPr>
                  <w:r>
                    <w:rPr>
                      <w:rFonts w:hint="eastAsia"/>
                      <w:color w:val="auto"/>
                    </w:rPr>
                    <w:t>25kg/袋</w:t>
                  </w:r>
                </w:p>
              </w:tc>
              <w:tc>
                <w:tcPr>
                  <w:tcW w:w="1064"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textAlignment w:val="auto"/>
                    <w:rPr>
                      <w:color w:val="auto"/>
                    </w:rPr>
                  </w:pPr>
                  <w:r>
                    <w:rPr>
                      <w:rFonts w:hint="eastAsia"/>
                      <w:color w:val="auto"/>
                    </w:rPr>
                    <w:t>袋</w:t>
                  </w:r>
                  <w:r>
                    <w:rPr>
                      <w:rFonts w:hint="eastAsia"/>
                      <w:color w:val="auto"/>
                      <w:lang w:val="en-US" w:eastAsia="zh-CN"/>
                    </w:rPr>
                    <w:t>/a</w:t>
                  </w:r>
                </w:p>
              </w:tc>
              <w:tc>
                <w:tcPr>
                  <w:tcW w:w="925"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textAlignment w:val="auto"/>
                    <w:rPr>
                      <w:color w:val="auto"/>
                    </w:rPr>
                  </w:pPr>
                  <w:r>
                    <w:rPr>
                      <w:rFonts w:hint="eastAsia"/>
                      <w:color w:val="auto"/>
                    </w:rPr>
                    <w:t>4</w:t>
                  </w:r>
                </w:p>
              </w:tc>
              <w:tc>
                <w:tcPr>
                  <w:tcW w:w="2438"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textAlignment w:val="auto"/>
                    <w:rPr>
                      <w:color w:val="auto"/>
                    </w:rPr>
                  </w:pPr>
                  <w:r>
                    <w:rPr>
                      <w:rFonts w:hint="eastAsia"/>
                      <w:color w:val="auto"/>
                    </w:rPr>
                    <w:t>袋装，储存在库房内，用于镀膜废气治理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5" w:type="dxa"/>
                  <w:tcBorders>
                    <w:tl2br w:val="nil"/>
                    <w:tr2bl w:val="nil"/>
                  </w:tcBorders>
                  <w:vAlign w:val="center"/>
                </w:tcPr>
                <w:p>
                  <w:pPr>
                    <w:pStyle w:val="32"/>
                    <w:keepNext w:val="0"/>
                    <w:keepLines w:val="0"/>
                    <w:pageBreakBefore w:val="0"/>
                    <w:widowControl w:val="0"/>
                    <w:numPr>
                      <w:ilvl w:val="0"/>
                      <w:numId w:val="10"/>
                    </w:numPr>
                    <w:kinsoku/>
                    <w:wordWrap/>
                    <w:overflowPunct/>
                    <w:topLinePunct w:val="0"/>
                    <w:autoSpaceDE/>
                    <w:autoSpaceDN/>
                    <w:bidi w:val="0"/>
                    <w:adjustRightInd/>
                    <w:snapToGrid/>
                    <w:spacing w:before="0" w:after="0"/>
                    <w:ind w:left="0" w:leftChars="0" w:right="-24" w:rightChars="-10" w:firstLine="0" w:firstLineChars="0"/>
                    <w:textAlignment w:val="auto"/>
                    <w:rPr>
                      <w:color w:val="auto"/>
                    </w:rPr>
                  </w:pPr>
                </w:p>
              </w:tc>
              <w:tc>
                <w:tcPr>
                  <w:tcW w:w="1553"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textAlignment w:val="auto"/>
                    <w:rPr>
                      <w:color w:val="auto"/>
                    </w:rPr>
                  </w:pPr>
                  <w:r>
                    <w:rPr>
                      <w:rFonts w:hint="eastAsia"/>
                      <w:color w:val="auto"/>
                    </w:rPr>
                    <w:t>润滑油</w:t>
                  </w:r>
                </w:p>
              </w:tc>
              <w:tc>
                <w:tcPr>
                  <w:tcW w:w="1682"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textAlignment w:val="auto"/>
                    <w:rPr>
                      <w:color w:val="auto"/>
                    </w:rPr>
                  </w:pPr>
                  <w:r>
                    <w:rPr>
                      <w:rFonts w:hint="eastAsia"/>
                      <w:color w:val="auto"/>
                    </w:rPr>
                    <w:t>5kg/桶</w:t>
                  </w:r>
                </w:p>
              </w:tc>
              <w:tc>
                <w:tcPr>
                  <w:tcW w:w="1064"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textAlignment w:val="auto"/>
                    <w:rPr>
                      <w:rFonts w:hint="default" w:eastAsia="宋体"/>
                      <w:color w:val="auto"/>
                      <w:lang w:val="en-US" w:eastAsia="zh-CN"/>
                    </w:rPr>
                  </w:pPr>
                  <w:r>
                    <w:rPr>
                      <w:rFonts w:hint="eastAsia"/>
                      <w:color w:val="auto"/>
                      <w:lang w:val="en-US" w:eastAsia="zh-CN"/>
                    </w:rPr>
                    <w:t>kg/a</w:t>
                  </w:r>
                </w:p>
              </w:tc>
              <w:tc>
                <w:tcPr>
                  <w:tcW w:w="925"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textAlignment w:val="auto"/>
                    <w:rPr>
                      <w:rFonts w:hint="default" w:eastAsia="宋体"/>
                      <w:color w:val="auto"/>
                      <w:lang w:val="en-US" w:eastAsia="zh-CN"/>
                    </w:rPr>
                  </w:pPr>
                  <w:r>
                    <w:rPr>
                      <w:rFonts w:hint="eastAsia"/>
                      <w:color w:val="auto"/>
                      <w:lang w:val="en-US" w:eastAsia="zh-CN"/>
                    </w:rPr>
                    <w:t>10</w:t>
                  </w:r>
                </w:p>
              </w:tc>
              <w:tc>
                <w:tcPr>
                  <w:tcW w:w="2438"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textAlignment w:val="auto"/>
                    <w:rPr>
                      <w:color w:val="auto"/>
                    </w:rPr>
                  </w:pPr>
                  <w:r>
                    <w:rPr>
                      <w:rFonts w:hint="eastAsia"/>
                      <w:color w:val="auto"/>
                    </w:rPr>
                    <w:t>桶装，用于设备保养</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5" w:type="dxa"/>
                  <w:tcBorders>
                    <w:tl2br w:val="nil"/>
                    <w:tr2bl w:val="nil"/>
                  </w:tcBorders>
                  <w:vAlign w:val="center"/>
                </w:tcPr>
                <w:p>
                  <w:pPr>
                    <w:pStyle w:val="32"/>
                    <w:keepNext w:val="0"/>
                    <w:keepLines w:val="0"/>
                    <w:pageBreakBefore w:val="0"/>
                    <w:widowControl w:val="0"/>
                    <w:numPr>
                      <w:ilvl w:val="0"/>
                      <w:numId w:val="10"/>
                    </w:numPr>
                    <w:kinsoku/>
                    <w:wordWrap/>
                    <w:overflowPunct/>
                    <w:topLinePunct w:val="0"/>
                    <w:autoSpaceDE/>
                    <w:autoSpaceDN/>
                    <w:bidi w:val="0"/>
                    <w:adjustRightInd/>
                    <w:snapToGrid/>
                    <w:spacing w:before="0" w:after="0"/>
                    <w:ind w:left="0" w:leftChars="0" w:right="-24" w:rightChars="-10" w:firstLine="0" w:firstLineChars="0"/>
                    <w:textAlignment w:val="auto"/>
                    <w:rPr>
                      <w:color w:val="auto"/>
                    </w:rPr>
                  </w:pPr>
                </w:p>
              </w:tc>
              <w:tc>
                <w:tcPr>
                  <w:tcW w:w="1553"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textAlignment w:val="auto"/>
                    <w:rPr>
                      <w:rFonts w:hint="eastAsia" w:eastAsia="宋体"/>
                      <w:color w:val="auto"/>
                      <w:lang w:val="en-US" w:eastAsia="zh-CN"/>
                    </w:rPr>
                  </w:pPr>
                  <w:r>
                    <w:rPr>
                      <w:rFonts w:hint="eastAsia"/>
                      <w:color w:val="auto"/>
                      <w:lang w:val="en-US" w:eastAsia="zh-CN"/>
                    </w:rPr>
                    <w:t>活性炭</w:t>
                  </w:r>
                </w:p>
              </w:tc>
              <w:tc>
                <w:tcPr>
                  <w:tcW w:w="1682"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textAlignment w:val="auto"/>
                    <w:rPr>
                      <w:rFonts w:hint="eastAsia"/>
                      <w:color w:val="auto"/>
                    </w:rPr>
                  </w:pPr>
                  <w:r>
                    <w:rPr>
                      <w:rFonts w:hint="eastAsia" w:ascii="宋体" w:hAnsi="宋体" w:eastAsia="宋体" w:cs="宋体"/>
                      <w:color w:val="auto"/>
                    </w:rPr>
                    <w:t>－</w:t>
                  </w:r>
                </w:p>
              </w:tc>
              <w:tc>
                <w:tcPr>
                  <w:tcW w:w="1064"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textAlignment w:val="auto"/>
                    <w:rPr>
                      <w:rFonts w:hint="default"/>
                      <w:color w:val="auto"/>
                      <w:lang w:val="en-US" w:eastAsia="zh-CN"/>
                    </w:rPr>
                  </w:pPr>
                  <w:r>
                    <w:rPr>
                      <w:rFonts w:hint="eastAsia"/>
                      <w:color w:val="auto"/>
                      <w:lang w:val="en-US" w:eastAsia="zh-CN"/>
                    </w:rPr>
                    <w:t>t/a</w:t>
                  </w:r>
                </w:p>
              </w:tc>
              <w:tc>
                <w:tcPr>
                  <w:tcW w:w="925"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textAlignment w:val="auto"/>
                    <w:rPr>
                      <w:rFonts w:hint="default"/>
                      <w:color w:val="auto"/>
                      <w:lang w:val="en-US" w:eastAsia="zh-CN"/>
                    </w:rPr>
                  </w:pPr>
                  <w:r>
                    <w:rPr>
                      <w:rFonts w:hint="eastAsia"/>
                      <w:color w:val="auto"/>
                      <w:lang w:val="en-US" w:eastAsia="zh-CN"/>
                    </w:rPr>
                    <w:t>0.1</w:t>
                  </w:r>
                </w:p>
              </w:tc>
              <w:tc>
                <w:tcPr>
                  <w:tcW w:w="2438"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textAlignment w:val="auto"/>
                    <w:rPr>
                      <w:rFonts w:hint="default" w:eastAsia="宋体"/>
                      <w:color w:val="auto"/>
                      <w:lang w:val="en-US" w:eastAsia="zh-CN"/>
                    </w:rPr>
                  </w:pPr>
                  <w:r>
                    <w:rPr>
                      <w:rFonts w:hint="eastAsia"/>
                      <w:color w:val="auto"/>
                      <w:lang w:val="en-US" w:eastAsia="zh-CN"/>
                    </w:rPr>
                    <w:t>用于活性炭吸附装置更换活性炭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615" w:type="dxa"/>
                  <w:tcBorders>
                    <w:tl2br w:val="nil"/>
                    <w:tr2bl w:val="nil"/>
                  </w:tcBorders>
                  <w:vAlign w:val="center"/>
                </w:tcPr>
                <w:p>
                  <w:pPr>
                    <w:pStyle w:val="32"/>
                    <w:keepNext w:val="0"/>
                    <w:keepLines w:val="0"/>
                    <w:pageBreakBefore w:val="0"/>
                    <w:widowControl w:val="0"/>
                    <w:numPr>
                      <w:ilvl w:val="0"/>
                      <w:numId w:val="10"/>
                    </w:numPr>
                    <w:kinsoku/>
                    <w:wordWrap/>
                    <w:overflowPunct/>
                    <w:topLinePunct w:val="0"/>
                    <w:autoSpaceDE/>
                    <w:autoSpaceDN/>
                    <w:bidi w:val="0"/>
                    <w:adjustRightInd/>
                    <w:snapToGrid/>
                    <w:spacing w:before="0" w:after="0"/>
                    <w:ind w:left="0" w:leftChars="0" w:right="-24" w:rightChars="-10" w:firstLine="0" w:firstLineChars="0"/>
                    <w:textAlignment w:val="auto"/>
                    <w:rPr>
                      <w:color w:val="auto"/>
                    </w:rPr>
                  </w:pPr>
                </w:p>
              </w:tc>
              <w:tc>
                <w:tcPr>
                  <w:tcW w:w="1553"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textAlignment w:val="auto"/>
                    <w:rPr>
                      <w:color w:val="auto"/>
                    </w:rPr>
                  </w:pPr>
                  <w:r>
                    <w:rPr>
                      <w:rFonts w:hint="eastAsia"/>
                      <w:color w:val="auto"/>
                    </w:rPr>
                    <w:t>水</w:t>
                  </w:r>
                </w:p>
              </w:tc>
              <w:tc>
                <w:tcPr>
                  <w:tcW w:w="1682"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textAlignment w:val="auto"/>
                    <w:rPr>
                      <w:rFonts w:hint="eastAsia" w:eastAsia="宋体"/>
                      <w:color w:val="auto"/>
                      <w:lang w:val="en-US" w:eastAsia="zh-CN"/>
                    </w:rPr>
                  </w:pPr>
                  <w:r>
                    <w:rPr>
                      <w:rFonts w:hint="eastAsia" w:ascii="宋体" w:hAnsi="宋体" w:eastAsia="宋体" w:cs="宋体"/>
                      <w:color w:val="auto"/>
                    </w:rPr>
                    <w:t>－</w:t>
                  </w:r>
                </w:p>
              </w:tc>
              <w:tc>
                <w:tcPr>
                  <w:tcW w:w="1064"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textAlignment w:val="auto"/>
                    <w:rPr>
                      <w:color w:val="auto"/>
                    </w:rPr>
                  </w:pPr>
                  <w:r>
                    <w:rPr>
                      <w:rFonts w:hint="eastAsia"/>
                      <w:color w:val="auto"/>
                      <w:lang w:val="en-US" w:eastAsia="zh-CN"/>
                    </w:rPr>
                    <w:t>m</w:t>
                  </w:r>
                  <w:r>
                    <w:rPr>
                      <w:rFonts w:hint="eastAsia"/>
                      <w:color w:val="auto"/>
                      <w:vertAlign w:val="superscript"/>
                      <w:lang w:val="en-US" w:eastAsia="zh-CN"/>
                    </w:rPr>
                    <w:t>3</w:t>
                  </w:r>
                  <w:r>
                    <w:rPr>
                      <w:rFonts w:hint="eastAsia"/>
                      <w:color w:val="auto"/>
                      <w:lang w:val="en-US" w:eastAsia="zh-CN"/>
                    </w:rPr>
                    <w:t>/a</w:t>
                  </w:r>
                </w:p>
              </w:tc>
              <w:tc>
                <w:tcPr>
                  <w:tcW w:w="925"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textAlignment w:val="auto"/>
                    <w:rPr>
                      <w:color w:val="auto"/>
                    </w:rPr>
                  </w:pPr>
                  <w:r>
                    <w:rPr>
                      <w:color w:val="auto"/>
                    </w:rPr>
                    <w:t>2</w:t>
                  </w:r>
                  <w:r>
                    <w:rPr>
                      <w:rFonts w:hint="eastAsia"/>
                      <w:color w:val="auto"/>
                    </w:rPr>
                    <w:t>31</w:t>
                  </w:r>
                </w:p>
              </w:tc>
              <w:tc>
                <w:tcPr>
                  <w:tcW w:w="2438"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textAlignment w:val="auto"/>
                    <w:rPr>
                      <w:color w:val="auto"/>
                    </w:rPr>
                  </w:pPr>
                  <w:r>
                    <w:rPr>
                      <w:rFonts w:hint="eastAsia"/>
                      <w:color w:val="auto"/>
                    </w:rPr>
                    <w:t>市政管网供应</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615" w:type="dxa"/>
                  <w:tcBorders>
                    <w:tl2br w:val="nil"/>
                    <w:tr2bl w:val="nil"/>
                  </w:tcBorders>
                  <w:vAlign w:val="center"/>
                </w:tcPr>
                <w:p>
                  <w:pPr>
                    <w:pStyle w:val="32"/>
                    <w:keepNext w:val="0"/>
                    <w:keepLines w:val="0"/>
                    <w:pageBreakBefore w:val="0"/>
                    <w:widowControl w:val="0"/>
                    <w:numPr>
                      <w:ilvl w:val="0"/>
                      <w:numId w:val="10"/>
                    </w:numPr>
                    <w:kinsoku/>
                    <w:wordWrap/>
                    <w:overflowPunct/>
                    <w:topLinePunct w:val="0"/>
                    <w:autoSpaceDE/>
                    <w:autoSpaceDN/>
                    <w:bidi w:val="0"/>
                    <w:adjustRightInd/>
                    <w:snapToGrid/>
                    <w:spacing w:before="0" w:after="0"/>
                    <w:ind w:left="0" w:leftChars="0" w:right="-24" w:rightChars="-10" w:firstLine="0" w:firstLineChars="0"/>
                    <w:textAlignment w:val="auto"/>
                    <w:rPr>
                      <w:color w:val="auto"/>
                    </w:rPr>
                  </w:pPr>
                </w:p>
              </w:tc>
              <w:tc>
                <w:tcPr>
                  <w:tcW w:w="1553"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textAlignment w:val="auto"/>
                    <w:rPr>
                      <w:color w:val="auto"/>
                    </w:rPr>
                  </w:pPr>
                  <w:r>
                    <w:rPr>
                      <w:rFonts w:hint="eastAsia"/>
                      <w:color w:val="auto"/>
                    </w:rPr>
                    <w:t>电</w:t>
                  </w:r>
                </w:p>
              </w:tc>
              <w:tc>
                <w:tcPr>
                  <w:tcW w:w="1682"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textAlignment w:val="auto"/>
                    <w:rPr>
                      <w:rFonts w:hint="eastAsia" w:eastAsia="宋体"/>
                      <w:color w:val="auto"/>
                      <w:lang w:val="en-US" w:eastAsia="zh-CN"/>
                    </w:rPr>
                  </w:pPr>
                  <w:r>
                    <w:rPr>
                      <w:rFonts w:hint="eastAsia" w:ascii="宋体" w:hAnsi="宋体" w:eastAsia="宋体" w:cs="宋体"/>
                      <w:color w:val="auto"/>
                    </w:rPr>
                    <w:t>－</w:t>
                  </w:r>
                </w:p>
              </w:tc>
              <w:tc>
                <w:tcPr>
                  <w:tcW w:w="1064"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textAlignment w:val="auto"/>
                    <w:rPr>
                      <w:color w:val="auto"/>
                    </w:rPr>
                  </w:pPr>
                  <w:r>
                    <w:rPr>
                      <w:rFonts w:hint="eastAsia"/>
                      <w:color w:val="auto"/>
                    </w:rPr>
                    <w:t>万k</w:t>
                  </w:r>
                  <w:r>
                    <w:rPr>
                      <w:rFonts w:hint="eastAsia"/>
                      <w:color w:val="auto"/>
                      <w:lang w:val="en-US" w:eastAsia="zh-CN"/>
                    </w:rPr>
                    <w:t>W</w:t>
                  </w:r>
                  <w:r>
                    <w:rPr>
                      <w:rFonts w:hint="eastAsia"/>
                      <w:color w:val="auto"/>
                    </w:rPr>
                    <w:t>h</w:t>
                  </w:r>
                  <w:r>
                    <w:rPr>
                      <w:rFonts w:hint="eastAsia"/>
                      <w:color w:val="auto"/>
                      <w:lang w:val="en-US" w:eastAsia="zh-CN"/>
                    </w:rPr>
                    <w:t>/a</w:t>
                  </w:r>
                </w:p>
              </w:tc>
              <w:tc>
                <w:tcPr>
                  <w:tcW w:w="925"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textAlignment w:val="auto"/>
                    <w:rPr>
                      <w:color w:val="auto"/>
                    </w:rPr>
                  </w:pPr>
                  <w:r>
                    <w:rPr>
                      <w:rFonts w:hint="eastAsia"/>
                      <w:color w:val="auto"/>
                    </w:rPr>
                    <w:t>60</w:t>
                  </w:r>
                </w:p>
              </w:tc>
              <w:tc>
                <w:tcPr>
                  <w:tcW w:w="2438"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textAlignment w:val="auto"/>
                    <w:rPr>
                      <w:color w:val="auto"/>
                    </w:rPr>
                  </w:pPr>
                  <w:r>
                    <w:rPr>
                      <w:rFonts w:hint="eastAsia"/>
                      <w:color w:val="auto"/>
                    </w:rPr>
                    <w:t>当地电网供应</w:t>
                  </w:r>
                </w:p>
              </w:tc>
            </w:tr>
          </w:tbl>
          <w:p>
            <w:pPr>
              <w:bidi w:val="0"/>
              <w:rPr>
                <w:rFonts w:hint="default"/>
                <w:color w:val="auto"/>
                <w:sz w:val="24"/>
                <w:szCs w:val="24"/>
                <w:highlight w:val="none"/>
              </w:rPr>
            </w:pPr>
            <w:r>
              <w:rPr>
                <w:rFonts w:hint="eastAsia"/>
                <w:color w:val="auto"/>
                <w:sz w:val="24"/>
                <w:szCs w:val="24"/>
                <w:highlight w:val="none"/>
                <w:lang w:val="en-US" w:eastAsia="zh-CN"/>
              </w:rPr>
              <w:t>7、现有工程</w:t>
            </w:r>
            <w:r>
              <w:rPr>
                <w:rFonts w:hint="default"/>
                <w:color w:val="auto"/>
                <w:sz w:val="24"/>
                <w:szCs w:val="24"/>
                <w:highlight w:val="none"/>
              </w:rPr>
              <w:t>主要生产设备见下表。</w:t>
            </w:r>
          </w:p>
          <w:p>
            <w:pPr>
              <w:keepNext w:val="0"/>
              <w:keepLines w:val="0"/>
              <w:pageBreakBefore w:val="0"/>
              <w:widowControl w:val="0"/>
              <w:kinsoku/>
              <w:wordWrap/>
              <w:overflowPunct/>
              <w:topLinePunct w:val="0"/>
              <w:autoSpaceDE w:val="0"/>
              <w:autoSpaceDN w:val="0"/>
              <w:bidi w:val="0"/>
              <w:adjustRightInd w:val="0"/>
              <w:snapToGrid w:val="0"/>
              <w:ind w:firstLine="0" w:firstLineChars="0"/>
              <w:jc w:val="center"/>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表</w:t>
            </w:r>
            <w:r>
              <w:rPr>
                <w:rFonts w:hint="default" w:ascii="Times New Roman" w:hAnsi="Times New Roman" w:eastAsia="宋体" w:cs="Times New Roman"/>
                <w:b/>
                <w:color w:val="auto"/>
                <w:kern w:val="0"/>
                <w:sz w:val="21"/>
                <w:szCs w:val="21"/>
                <w:highlight w:val="none"/>
                <w:lang w:val="en-US" w:eastAsia="zh-CN"/>
              </w:rPr>
              <w:t>11</w:t>
            </w:r>
            <w:r>
              <w:rPr>
                <w:rFonts w:hint="default" w:ascii="Times New Roman" w:hAnsi="Times New Roman" w:eastAsia="宋体" w:cs="Times New Roman"/>
                <w:b/>
                <w:color w:val="auto"/>
                <w:kern w:val="0"/>
                <w:sz w:val="21"/>
                <w:szCs w:val="21"/>
                <w:highlight w:val="none"/>
              </w:rPr>
              <w:t xml:space="preserve"> </w:t>
            </w:r>
            <w:r>
              <w:rPr>
                <w:rFonts w:hint="eastAsia" w:ascii="宋体" w:hAnsi="宋体" w:eastAsia="宋体" w:cs="宋体"/>
                <w:b/>
                <w:color w:val="auto"/>
                <w:kern w:val="0"/>
                <w:sz w:val="21"/>
                <w:szCs w:val="21"/>
                <w:highlight w:val="none"/>
              </w:rPr>
              <w:t xml:space="preserve"> </w:t>
            </w:r>
            <w:r>
              <w:rPr>
                <w:rFonts w:hint="eastAsia" w:ascii="宋体" w:hAnsi="宋体" w:cs="宋体"/>
                <w:b/>
                <w:color w:val="auto"/>
                <w:kern w:val="0"/>
                <w:sz w:val="21"/>
                <w:szCs w:val="21"/>
                <w:highlight w:val="none"/>
                <w:lang w:val="en-US" w:eastAsia="zh-CN"/>
              </w:rPr>
              <w:t>现有工程</w:t>
            </w:r>
            <w:r>
              <w:rPr>
                <w:rFonts w:hint="eastAsia" w:ascii="宋体" w:hAnsi="宋体" w:eastAsia="宋体" w:cs="宋体"/>
                <w:b/>
                <w:color w:val="auto"/>
                <w:kern w:val="0"/>
                <w:sz w:val="21"/>
                <w:szCs w:val="21"/>
                <w:highlight w:val="none"/>
              </w:rPr>
              <w:t>主要生产设备及设施一览表</w:t>
            </w:r>
          </w:p>
          <w:tbl>
            <w:tblPr>
              <w:tblStyle w:val="25"/>
              <w:tblW w:w="827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2"/>
              <w:gridCol w:w="1845"/>
              <w:gridCol w:w="1715"/>
              <w:gridCol w:w="1063"/>
              <w:gridCol w:w="1063"/>
              <w:gridCol w:w="191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7"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rPr>
                  </w:pPr>
                  <w:r>
                    <w:rPr>
                      <w:rFonts w:hint="eastAsia"/>
                      <w:color w:val="auto"/>
                    </w:rPr>
                    <w:t>序号</w:t>
                  </w:r>
                </w:p>
              </w:tc>
              <w:tc>
                <w:tcPr>
                  <w:tcW w:w="1832"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rPr>
                  </w:pPr>
                  <w:r>
                    <w:rPr>
                      <w:rFonts w:hint="eastAsia"/>
                      <w:color w:val="auto"/>
                    </w:rPr>
                    <w:t>名称</w:t>
                  </w:r>
                </w:p>
              </w:tc>
              <w:tc>
                <w:tcPr>
                  <w:tcW w:w="1703"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rPr>
                  </w:pPr>
                  <w:r>
                    <w:rPr>
                      <w:rFonts w:hint="eastAsia"/>
                      <w:color w:val="auto"/>
                    </w:rPr>
                    <w:t>规格</w:t>
                  </w:r>
                  <w:r>
                    <w:rPr>
                      <w:color w:val="auto"/>
                    </w:rPr>
                    <w:t>型号</w:t>
                  </w:r>
                </w:p>
              </w:tc>
              <w:tc>
                <w:tcPr>
                  <w:tcW w:w="1056"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rPr>
                  </w:pPr>
                  <w:r>
                    <w:rPr>
                      <w:rFonts w:hint="eastAsia"/>
                      <w:color w:val="auto"/>
                    </w:rPr>
                    <w:t>单位</w:t>
                  </w:r>
                </w:p>
              </w:tc>
              <w:tc>
                <w:tcPr>
                  <w:tcW w:w="1056"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rPr>
                  </w:pPr>
                  <w:r>
                    <w:rPr>
                      <w:rFonts w:hint="eastAsia"/>
                      <w:color w:val="auto"/>
                    </w:rPr>
                    <w:t>数量</w:t>
                  </w:r>
                </w:p>
              </w:tc>
              <w:tc>
                <w:tcPr>
                  <w:tcW w:w="1906"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rPr>
                  </w:pPr>
                  <w:r>
                    <w:rPr>
                      <w:rFonts w:hint="eastAsia"/>
                      <w:color w:val="auto"/>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7" w:type="dxa"/>
                  <w:tcBorders>
                    <w:tl2br w:val="nil"/>
                    <w:tr2bl w:val="nil"/>
                  </w:tcBorders>
                  <w:vAlign w:val="center"/>
                </w:tcPr>
                <w:p>
                  <w:pPr>
                    <w:pStyle w:val="32"/>
                    <w:keepNext w:val="0"/>
                    <w:keepLines w:val="0"/>
                    <w:pageBreakBefore w:val="0"/>
                    <w:widowControl w:val="0"/>
                    <w:numPr>
                      <w:ilvl w:val="0"/>
                      <w:numId w:val="11"/>
                    </w:numPr>
                    <w:kinsoku/>
                    <w:wordWrap/>
                    <w:overflowPunct/>
                    <w:topLinePunct w:val="0"/>
                    <w:autoSpaceDE/>
                    <w:autoSpaceDN/>
                    <w:bidi w:val="0"/>
                    <w:adjustRightInd/>
                    <w:snapToGrid/>
                    <w:spacing w:before="0" w:after="0"/>
                    <w:ind w:left="0" w:leftChars="0" w:firstLine="0" w:firstLineChars="0"/>
                    <w:textAlignment w:val="auto"/>
                    <w:rPr>
                      <w:color w:val="auto"/>
                    </w:rPr>
                  </w:pPr>
                </w:p>
              </w:tc>
              <w:tc>
                <w:tcPr>
                  <w:tcW w:w="1832"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rPr>
                  </w:pPr>
                  <w:r>
                    <w:rPr>
                      <w:rFonts w:hint="eastAsia"/>
                      <w:color w:val="auto"/>
                    </w:rPr>
                    <w:t>喷镀炉</w:t>
                  </w:r>
                </w:p>
              </w:tc>
              <w:tc>
                <w:tcPr>
                  <w:tcW w:w="1703"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rPr>
                  </w:pPr>
                  <w:r>
                    <w:rPr>
                      <w:rFonts w:hint="eastAsia"/>
                      <w:color w:val="auto"/>
                    </w:rPr>
                    <w:t>MX-P</w:t>
                  </w:r>
                </w:p>
              </w:tc>
              <w:tc>
                <w:tcPr>
                  <w:tcW w:w="1056"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rPr>
                  </w:pPr>
                  <w:r>
                    <w:rPr>
                      <w:rFonts w:hint="eastAsia"/>
                      <w:color w:val="auto"/>
                    </w:rPr>
                    <w:t>台</w:t>
                  </w:r>
                </w:p>
              </w:tc>
              <w:tc>
                <w:tcPr>
                  <w:tcW w:w="1056"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rFonts w:hint="eastAsia" w:eastAsia="宋体"/>
                      <w:color w:val="auto"/>
                      <w:lang w:eastAsia="zh-CN"/>
                    </w:rPr>
                  </w:pPr>
                  <w:r>
                    <w:rPr>
                      <w:rFonts w:hint="eastAsia"/>
                      <w:color w:val="auto"/>
                      <w:lang w:val="en-US" w:eastAsia="zh-CN"/>
                    </w:rPr>
                    <w:t>4</w:t>
                  </w:r>
                </w:p>
              </w:tc>
              <w:tc>
                <w:tcPr>
                  <w:tcW w:w="1906" w:type="dxa"/>
                  <w:vMerge w:val="restart"/>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rPr>
                  </w:pPr>
                  <w:r>
                    <w:rPr>
                      <w:rFonts w:hint="eastAsia"/>
                      <w:color w:val="auto"/>
                    </w:rPr>
                    <w:t>电加热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7" w:type="dxa"/>
                  <w:tcBorders>
                    <w:tl2br w:val="nil"/>
                    <w:tr2bl w:val="nil"/>
                  </w:tcBorders>
                  <w:vAlign w:val="center"/>
                </w:tcPr>
                <w:p>
                  <w:pPr>
                    <w:pStyle w:val="32"/>
                    <w:keepNext w:val="0"/>
                    <w:keepLines w:val="0"/>
                    <w:pageBreakBefore w:val="0"/>
                    <w:widowControl w:val="0"/>
                    <w:numPr>
                      <w:ilvl w:val="0"/>
                      <w:numId w:val="11"/>
                    </w:numPr>
                    <w:kinsoku/>
                    <w:wordWrap/>
                    <w:overflowPunct/>
                    <w:topLinePunct w:val="0"/>
                    <w:autoSpaceDE/>
                    <w:autoSpaceDN/>
                    <w:bidi w:val="0"/>
                    <w:adjustRightInd/>
                    <w:snapToGrid/>
                    <w:spacing w:before="0" w:after="0"/>
                    <w:ind w:left="0" w:leftChars="0" w:firstLine="0" w:firstLineChars="0"/>
                    <w:textAlignment w:val="auto"/>
                    <w:rPr>
                      <w:color w:val="auto"/>
                    </w:rPr>
                  </w:pPr>
                </w:p>
              </w:tc>
              <w:tc>
                <w:tcPr>
                  <w:tcW w:w="1832"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rPr>
                  </w:pPr>
                  <w:r>
                    <w:rPr>
                      <w:rFonts w:hint="eastAsia"/>
                      <w:color w:val="auto"/>
                    </w:rPr>
                    <w:t>蒸镀炉</w:t>
                  </w:r>
                </w:p>
              </w:tc>
              <w:tc>
                <w:tcPr>
                  <w:tcW w:w="1703"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rPr>
                  </w:pPr>
                  <w:r>
                    <w:rPr>
                      <w:rFonts w:hint="eastAsia"/>
                      <w:color w:val="auto"/>
                    </w:rPr>
                    <w:t>MX-Z</w:t>
                  </w:r>
                </w:p>
              </w:tc>
              <w:tc>
                <w:tcPr>
                  <w:tcW w:w="1056"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rPr>
                  </w:pPr>
                  <w:r>
                    <w:rPr>
                      <w:rFonts w:hint="eastAsia"/>
                      <w:color w:val="auto"/>
                    </w:rPr>
                    <w:t>台</w:t>
                  </w:r>
                </w:p>
              </w:tc>
              <w:tc>
                <w:tcPr>
                  <w:tcW w:w="1056"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rFonts w:hint="eastAsia" w:eastAsia="宋体"/>
                      <w:color w:val="auto"/>
                      <w:lang w:eastAsia="zh-CN"/>
                    </w:rPr>
                  </w:pPr>
                  <w:r>
                    <w:rPr>
                      <w:rFonts w:hint="eastAsia"/>
                      <w:color w:val="auto"/>
                      <w:lang w:val="en-US" w:eastAsia="zh-CN"/>
                    </w:rPr>
                    <w:t>2</w:t>
                  </w:r>
                </w:p>
              </w:tc>
              <w:tc>
                <w:tcPr>
                  <w:tcW w:w="1906" w:type="dxa"/>
                  <w:vMerge w:val="continue"/>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7" w:type="dxa"/>
                  <w:tcBorders>
                    <w:tl2br w:val="nil"/>
                    <w:tr2bl w:val="nil"/>
                  </w:tcBorders>
                  <w:vAlign w:val="center"/>
                </w:tcPr>
                <w:p>
                  <w:pPr>
                    <w:pStyle w:val="32"/>
                    <w:keepNext w:val="0"/>
                    <w:keepLines w:val="0"/>
                    <w:pageBreakBefore w:val="0"/>
                    <w:widowControl w:val="0"/>
                    <w:numPr>
                      <w:ilvl w:val="0"/>
                      <w:numId w:val="11"/>
                    </w:numPr>
                    <w:kinsoku/>
                    <w:wordWrap/>
                    <w:overflowPunct/>
                    <w:topLinePunct w:val="0"/>
                    <w:autoSpaceDE/>
                    <w:autoSpaceDN/>
                    <w:bidi w:val="0"/>
                    <w:adjustRightInd/>
                    <w:snapToGrid/>
                    <w:spacing w:before="0" w:after="0"/>
                    <w:ind w:left="0" w:leftChars="0" w:firstLine="0" w:firstLineChars="0"/>
                    <w:textAlignment w:val="auto"/>
                    <w:rPr>
                      <w:color w:val="auto"/>
                    </w:rPr>
                  </w:pPr>
                </w:p>
              </w:tc>
              <w:tc>
                <w:tcPr>
                  <w:tcW w:w="1832"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rPr>
                  </w:pPr>
                  <w:r>
                    <w:rPr>
                      <w:rFonts w:hint="eastAsia"/>
                      <w:color w:val="auto"/>
                    </w:rPr>
                    <w:t>空压机</w:t>
                  </w:r>
                </w:p>
              </w:tc>
              <w:tc>
                <w:tcPr>
                  <w:tcW w:w="1703"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rPr>
                  </w:pPr>
                  <w:r>
                    <w:rPr>
                      <w:rFonts w:hint="eastAsia"/>
                      <w:color w:val="auto"/>
                    </w:rPr>
                    <w:t>BD-10A</w:t>
                  </w:r>
                </w:p>
              </w:tc>
              <w:tc>
                <w:tcPr>
                  <w:tcW w:w="1056"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rPr>
                  </w:pPr>
                  <w:r>
                    <w:rPr>
                      <w:rFonts w:hint="eastAsia"/>
                      <w:color w:val="auto"/>
                    </w:rPr>
                    <w:t>台</w:t>
                  </w:r>
                </w:p>
              </w:tc>
              <w:tc>
                <w:tcPr>
                  <w:tcW w:w="1056"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rPr>
                  </w:pPr>
                  <w:r>
                    <w:rPr>
                      <w:rFonts w:hint="eastAsia"/>
                      <w:color w:val="auto"/>
                    </w:rPr>
                    <w:t>1</w:t>
                  </w:r>
                </w:p>
              </w:tc>
              <w:tc>
                <w:tcPr>
                  <w:tcW w:w="1906"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rPr>
                  </w:pPr>
                  <w:r>
                    <w:rPr>
                      <w:rFonts w:hint="eastAsia"/>
                      <w:color w:val="auto"/>
                    </w:rPr>
                    <w:t>螺杆式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7" w:type="dxa"/>
                  <w:tcBorders>
                    <w:tl2br w:val="nil"/>
                    <w:tr2bl w:val="nil"/>
                  </w:tcBorders>
                  <w:vAlign w:val="center"/>
                </w:tcPr>
                <w:p>
                  <w:pPr>
                    <w:pStyle w:val="32"/>
                    <w:keepNext w:val="0"/>
                    <w:keepLines w:val="0"/>
                    <w:pageBreakBefore w:val="0"/>
                    <w:widowControl w:val="0"/>
                    <w:numPr>
                      <w:ilvl w:val="0"/>
                      <w:numId w:val="11"/>
                    </w:numPr>
                    <w:kinsoku/>
                    <w:wordWrap/>
                    <w:overflowPunct/>
                    <w:topLinePunct w:val="0"/>
                    <w:autoSpaceDE/>
                    <w:autoSpaceDN/>
                    <w:bidi w:val="0"/>
                    <w:adjustRightInd/>
                    <w:snapToGrid/>
                    <w:spacing w:before="0" w:after="0"/>
                    <w:ind w:left="0" w:leftChars="0" w:firstLine="0" w:firstLineChars="0"/>
                    <w:textAlignment w:val="auto"/>
                    <w:rPr>
                      <w:color w:val="auto"/>
                    </w:rPr>
                  </w:pPr>
                </w:p>
              </w:tc>
              <w:tc>
                <w:tcPr>
                  <w:tcW w:w="1832"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rPr>
                  </w:pPr>
                  <w:r>
                    <w:rPr>
                      <w:rFonts w:hint="eastAsia"/>
                      <w:color w:val="auto"/>
                    </w:rPr>
                    <w:t>丝印机</w:t>
                  </w:r>
                </w:p>
              </w:tc>
              <w:tc>
                <w:tcPr>
                  <w:tcW w:w="1703"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rPr>
                  </w:pPr>
                  <w:r>
                    <w:rPr>
                      <w:rFonts w:hint="eastAsia"/>
                      <w:color w:val="auto"/>
                    </w:rPr>
                    <w:t>非标定制</w:t>
                  </w:r>
                </w:p>
              </w:tc>
              <w:tc>
                <w:tcPr>
                  <w:tcW w:w="1056"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rPr>
                  </w:pPr>
                  <w:r>
                    <w:rPr>
                      <w:rFonts w:hint="eastAsia"/>
                      <w:color w:val="auto"/>
                    </w:rPr>
                    <w:t>台</w:t>
                  </w:r>
                </w:p>
              </w:tc>
              <w:tc>
                <w:tcPr>
                  <w:tcW w:w="1056"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rFonts w:hint="eastAsia" w:eastAsia="宋体"/>
                      <w:color w:val="auto"/>
                      <w:lang w:eastAsia="zh-CN"/>
                    </w:rPr>
                  </w:pPr>
                  <w:r>
                    <w:rPr>
                      <w:rFonts w:hint="eastAsia"/>
                      <w:color w:val="auto"/>
                      <w:lang w:val="en-US" w:eastAsia="zh-CN"/>
                    </w:rPr>
                    <w:t>3</w:t>
                  </w:r>
                </w:p>
              </w:tc>
              <w:tc>
                <w:tcPr>
                  <w:tcW w:w="1906"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rPr>
                  </w:pPr>
                  <w:r>
                    <w:rPr>
                      <w:rFonts w:hint="eastAsia"/>
                      <w:color w:val="auto"/>
                    </w:rPr>
                    <w:t>铝合金材质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7" w:type="dxa"/>
                  <w:tcBorders>
                    <w:tl2br w:val="nil"/>
                    <w:tr2bl w:val="nil"/>
                  </w:tcBorders>
                  <w:vAlign w:val="center"/>
                </w:tcPr>
                <w:p>
                  <w:pPr>
                    <w:pStyle w:val="32"/>
                    <w:keepNext w:val="0"/>
                    <w:keepLines w:val="0"/>
                    <w:pageBreakBefore w:val="0"/>
                    <w:widowControl w:val="0"/>
                    <w:numPr>
                      <w:ilvl w:val="0"/>
                      <w:numId w:val="11"/>
                    </w:numPr>
                    <w:kinsoku/>
                    <w:wordWrap/>
                    <w:overflowPunct/>
                    <w:topLinePunct w:val="0"/>
                    <w:autoSpaceDE/>
                    <w:autoSpaceDN/>
                    <w:bidi w:val="0"/>
                    <w:adjustRightInd/>
                    <w:snapToGrid/>
                    <w:spacing w:before="0" w:after="0"/>
                    <w:ind w:left="0" w:leftChars="0" w:firstLine="0" w:firstLineChars="0"/>
                    <w:textAlignment w:val="auto"/>
                    <w:rPr>
                      <w:color w:val="auto"/>
                    </w:rPr>
                  </w:pPr>
                </w:p>
              </w:tc>
              <w:tc>
                <w:tcPr>
                  <w:tcW w:w="1832"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rPr>
                  </w:pPr>
                  <w:r>
                    <w:rPr>
                      <w:rFonts w:hint="eastAsia"/>
                      <w:color w:val="auto"/>
                    </w:rPr>
                    <w:t>烘干炉</w:t>
                  </w:r>
                </w:p>
              </w:tc>
              <w:tc>
                <w:tcPr>
                  <w:tcW w:w="1703"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rPr>
                  </w:pPr>
                  <w:r>
                    <w:rPr>
                      <w:rFonts w:hint="eastAsia"/>
                      <w:color w:val="auto"/>
                    </w:rPr>
                    <w:t>MX-HGL</w:t>
                  </w:r>
                </w:p>
              </w:tc>
              <w:tc>
                <w:tcPr>
                  <w:tcW w:w="1056"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rPr>
                  </w:pPr>
                  <w:r>
                    <w:rPr>
                      <w:rFonts w:hint="eastAsia"/>
                      <w:color w:val="auto"/>
                    </w:rPr>
                    <w:t>台</w:t>
                  </w:r>
                </w:p>
              </w:tc>
              <w:tc>
                <w:tcPr>
                  <w:tcW w:w="1056"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rFonts w:hint="eastAsia" w:eastAsia="宋体"/>
                      <w:color w:val="auto"/>
                      <w:lang w:eastAsia="zh-CN"/>
                    </w:rPr>
                  </w:pPr>
                  <w:r>
                    <w:rPr>
                      <w:rFonts w:hint="eastAsia"/>
                      <w:color w:val="auto"/>
                      <w:lang w:val="en-US" w:eastAsia="zh-CN"/>
                    </w:rPr>
                    <w:t>2</w:t>
                  </w:r>
                </w:p>
              </w:tc>
              <w:tc>
                <w:tcPr>
                  <w:tcW w:w="1906" w:type="dxa"/>
                  <w:vMerge w:val="restart"/>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rPr>
                  </w:pPr>
                  <w:r>
                    <w:rPr>
                      <w:rFonts w:hint="eastAsia"/>
                      <w:color w:val="auto"/>
                    </w:rPr>
                    <w:t>电加热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7" w:type="dxa"/>
                  <w:tcBorders>
                    <w:tl2br w:val="nil"/>
                    <w:tr2bl w:val="nil"/>
                  </w:tcBorders>
                  <w:vAlign w:val="center"/>
                </w:tcPr>
                <w:p>
                  <w:pPr>
                    <w:pStyle w:val="32"/>
                    <w:keepNext w:val="0"/>
                    <w:keepLines w:val="0"/>
                    <w:pageBreakBefore w:val="0"/>
                    <w:widowControl w:val="0"/>
                    <w:numPr>
                      <w:ilvl w:val="0"/>
                      <w:numId w:val="11"/>
                    </w:numPr>
                    <w:kinsoku/>
                    <w:wordWrap/>
                    <w:overflowPunct/>
                    <w:topLinePunct w:val="0"/>
                    <w:autoSpaceDE/>
                    <w:autoSpaceDN/>
                    <w:bidi w:val="0"/>
                    <w:adjustRightInd/>
                    <w:snapToGrid/>
                    <w:spacing w:before="0" w:after="0"/>
                    <w:ind w:left="0" w:leftChars="0" w:firstLine="0" w:firstLineChars="0"/>
                    <w:textAlignment w:val="auto"/>
                    <w:rPr>
                      <w:color w:val="auto"/>
                    </w:rPr>
                  </w:pPr>
                </w:p>
              </w:tc>
              <w:tc>
                <w:tcPr>
                  <w:tcW w:w="1832"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rPr>
                  </w:pPr>
                  <w:r>
                    <w:rPr>
                      <w:rFonts w:hint="eastAsia"/>
                      <w:color w:val="auto"/>
                    </w:rPr>
                    <w:t>烧熔炉</w:t>
                  </w:r>
                </w:p>
              </w:tc>
              <w:tc>
                <w:tcPr>
                  <w:tcW w:w="1703"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rPr>
                  </w:pPr>
                  <w:r>
                    <w:rPr>
                      <w:rFonts w:hint="eastAsia"/>
                      <w:color w:val="auto"/>
                    </w:rPr>
                    <w:t>MX-HYL</w:t>
                  </w:r>
                </w:p>
              </w:tc>
              <w:tc>
                <w:tcPr>
                  <w:tcW w:w="1056"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rPr>
                  </w:pPr>
                  <w:r>
                    <w:rPr>
                      <w:rFonts w:hint="eastAsia"/>
                      <w:color w:val="auto"/>
                    </w:rPr>
                    <w:t>台</w:t>
                  </w:r>
                </w:p>
              </w:tc>
              <w:tc>
                <w:tcPr>
                  <w:tcW w:w="1056"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rFonts w:hint="default" w:eastAsia="宋体"/>
                      <w:color w:val="auto"/>
                      <w:lang w:val="en-US" w:eastAsia="zh-CN"/>
                    </w:rPr>
                  </w:pPr>
                  <w:r>
                    <w:rPr>
                      <w:rFonts w:hint="eastAsia"/>
                      <w:color w:val="auto"/>
                      <w:lang w:val="en-US" w:eastAsia="zh-CN"/>
                    </w:rPr>
                    <w:t>4</w:t>
                  </w:r>
                </w:p>
              </w:tc>
              <w:tc>
                <w:tcPr>
                  <w:tcW w:w="1906" w:type="dxa"/>
                  <w:vMerge w:val="continue"/>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7" w:type="dxa"/>
                  <w:tcBorders>
                    <w:tl2br w:val="nil"/>
                    <w:tr2bl w:val="nil"/>
                  </w:tcBorders>
                  <w:vAlign w:val="center"/>
                </w:tcPr>
                <w:p>
                  <w:pPr>
                    <w:pStyle w:val="32"/>
                    <w:keepNext w:val="0"/>
                    <w:keepLines w:val="0"/>
                    <w:pageBreakBefore w:val="0"/>
                    <w:widowControl w:val="0"/>
                    <w:numPr>
                      <w:ilvl w:val="0"/>
                      <w:numId w:val="11"/>
                    </w:numPr>
                    <w:kinsoku/>
                    <w:wordWrap/>
                    <w:overflowPunct/>
                    <w:topLinePunct w:val="0"/>
                    <w:autoSpaceDE/>
                    <w:autoSpaceDN/>
                    <w:bidi w:val="0"/>
                    <w:adjustRightInd/>
                    <w:snapToGrid/>
                    <w:spacing w:before="0" w:after="0"/>
                    <w:ind w:left="0" w:leftChars="0" w:firstLine="0" w:firstLineChars="0"/>
                    <w:textAlignment w:val="auto"/>
                    <w:rPr>
                      <w:color w:val="auto"/>
                    </w:rPr>
                  </w:pPr>
                </w:p>
              </w:tc>
              <w:tc>
                <w:tcPr>
                  <w:tcW w:w="1832"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rPr>
                  </w:pPr>
                  <w:r>
                    <w:rPr>
                      <w:rFonts w:hint="eastAsia"/>
                      <w:color w:val="auto"/>
                      <w:lang w:val="en-US" w:eastAsia="zh-CN"/>
                    </w:rPr>
                    <w:t>自动</w:t>
                  </w:r>
                  <w:r>
                    <w:rPr>
                      <w:rFonts w:hint="eastAsia"/>
                      <w:color w:val="auto"/>
                    </w:rPr>
                    <w:t>覆膜机</w:t>
                  </w:r>
                </w:p>
              </w:tc>
              <w:tc>
                <w:tcPr>
                  <w:tcW w:w="1703"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rPr>
                  </w:pPr>
                  <w:r>
                    <w:rPr>
                      <w:rFonts w:hint="eastAsia"/>
                      <w:color w:val="auto"/>
                      <w:lang w:val="en-US" w:eastAsia="zh-CN"/>
                    </w:rPr>
                    <w:t>FM-C900300YCR</w:t>
                  </w:r>
                </w:p>
              </w:tc>
              <w:tc>
                <w:tcPr>
                  <w:tcW w:w="1056"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rPr>
                  </w:pPr>
                  <w:r>
                    <w:rPr>
                      <w:rFonts w:hint="eastAsia"/>
                      <w:color w:val="auto"/>
                    </w:rPr>
                    <w:t>台</w:t>
                  </w:r>
                </w:p>
              </w:tc>
              <w:tc>
                <w:tcPr>
                  <w:tcW w:w="1056"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rFonts w:hint="eastAsia" w:eastAsia="宋体"/>
                      <w:color w:val="auto"/>
                      <w:lang w:eastAsia="zh-CN"/>
                    </w:rPr>
                  </w:pPr>
                  <w:r>
                    <w:rPr>
                      <w:rFonts w:hint="eastAsia"/>
                      <w:color w:val="auto"/>
                      <w:lang w:val="en-US" w:eastAsia="zh-CN"/>
                    </w:rPr>
                    <w:t>1</w:t>
                  </w:r>
                </w:p>
              </w:tc>
              <w:tc>
                <w:tcPr>
                  <w:tcW w:w="1906"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rPr>
                  </w:pPr>
                  <w:r>
                    <w:rPr>
                      <w:rFonts w:hint="eastAsia"/>
                      <w:color w:val="auto"/>
                    </w:rPr>
                    <w:t>全自动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7" w:type="dxa"/>
                  <w:tcBorders>
                    <w:tl2br w:val="nil"/>
                    <w:tr2bl w:val="nil"/>
                  </w:tcBorders>
                  <w:vAlign w:val="center"/>
                </w:tcPr>
                <w:p>
                  <w:pPr>
                    <w:pStyle w:val="32"/>
                    <w:keepNext w:val="0"/>
                    <w:keepLines w:val="0"/>
                    <w:pageBreakBefore w:val="0"/>
                    <w:widowControl w:val="0"/>
                    <w:numPr>
                      <w:ilvl w:val="0"/>
                      <w:numId w:val="11"/>
                    </w:numPr>
                    <w:kinsoku/>
                    <w:wordWrap/>
                    <w:overflowPunct/>
                    <w:topLinePunct w:val="0"/>
                    <w:autoSpaceDE/>
                    <w:autoSpaceDN/>
                    <w:bidi w:val="0"/>
                    <w:adjustRightInd/>
                    <w:snapToGrid/>
                    <w:spacing w:before="0" w:after="0"/>
                    <w:ind w:left="0" w:leftChars="0" w:firstLine="0" w:firstLineChars="0"/>
                    <w:textAlignment w:val="auto"/>
                    <w:rPr>
                      <w:color w:val="auto"/>
                    </w:rPr>
                  </w:pPr>
                </w:p>
              </w:tc>
              <w:tc>
                <w:tcPr>
                  <w:tcW w:w="1832"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rPr>
                  </w:pPr>
                  <w:r>
                    <w:rPr>
                      <w:rFonts w:hint="eastAsia"/>
                      <w:color w:val="auto"/>
                    </w:rPr>
                    <w:t>研磨机</w:t>
                  </w:r>
                </w:p>
              </w:tc>
              <w:tc>
                <w:tcPr>
                  <w:tcW w:w="1703"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rPr>
                  </w:pPr>
                  <w:r>
                    <w:rPr>
                      <w:rFonts w:hint="eastAsia"/>
                      <w:color w:val="auto"/>
                    </w:rPr>
                    <w:t>LSN05</w:t>
                  </w:r>
                </w:p>
              </w:tc>
              <w:tc>
                <w:tcPr>
                  <w:tcW w:w="1056"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rPr>
                  </w:pPr>
                  <w:r>
                    <w:rPr>
                      <w:rFonts w:hint="eastAsia"/>
                      <w:color w:val="auto"/>
                    </w:rPr>
                    <w:t>台</w:t>
                  </w:r>
                </w:p>
              </w:tc>
              <w:tc>
                <w:tcPr>
                  <w:tcW w:w="1056"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rPr>
                  </w:pPr>
                  <w:r>
                    <w:rPr>
                      <w:rFonts w:hint="eastAsia"/>
                      <w:color w:val="auto"/>
                    </w:rPr>
                    <w:t>2</w:t>
                  </w:r>
                </w:p>
              </w:tc>
              <w:tc>
                <w:tcPr>
                  <w:tcW w:w="1906"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rPr>
                  </w:pPr>
                  <w:r>
                    <w:rPr>
                      <w:rFonts w:hint="eastAsia"/>
                      <w:color w:val="auto"/>
                    </w:rPr>
                    <w:t>不锈钢材质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7" w:type="dxa"/>
                  <w:tcBorders>
                    <w:tl2br w:val="nil"/>
                    <w:tr2bl w:val="nil"/>
                  </w:tcBorders>
                  <w:vAlign w:val="center"/>
                </w:tcPr>
                <w:p>
                  <w:pPr>
                    <w:pStyle w:val="32"/>
                    <w:keepNext w:val="0"/>
                    <w:keepLines w:val="0"/>
                    <w:pageBreakBefore w:val="0"/>
                    <w:widowControl w:val="0"/>
                    <w:numPr>
                      <w:ilvl w:val="0"/>
                      <w:numId w:val="11"/>
                    </w:numPr>
                    <w:kinsoku/>
                    <w:wordWrap/>
                    <w:overflowPunct/>
                    <w:topLinePunct w:val="0"/>
                    <w:autoSpaceDE/>
                    <w:autoSpaceDN/>
                    <w:bidi w:val="0"/>
                    <w:adjustRightInd/>
                    <w:snapToGrid/>
                    <w:spacing w:before="0" w:after="0"/>
                    <w:ind w:left="0" w:leftChars="0" w:firstLine="0" w:firstLineChars="0"/>
                    <w:textAlignment w:val="auto"/>
                    <w:rPr>
                      <w:color w:val="auto"/>
                    </w:rPr>
                  </w:pPr>
                </w:p>
              </w:tc>
              <w:tc>
                <w:tcPr>
                  <w:tcW w:w="1832"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rPr>
                  </w:pPr>
                  <w:r>
                    <w:rPr>
                      <w:rFonts w:hint="eastAsia"/>
                      <w:color w:val="auto"/>
                      <w:lang w:val="en-US" w:eastAsia="zh-CN"/>
                    </w:rPr>
                    <w:t>功率测试</w:t>
                  </w:r>
                  <w:r>
                    <w:rPr>
                      <w:rFonts w:hint="eastAsia"/>
                      <w:color w:val="auto"/>
                    </w:rPr>
                    <w:t>台</w:t>
                  </w:r>
                </w:p>
              </w:tc>
              <w:tc>
                <w:tcPr>
                  <w:tcW w:w="1703"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rPr>
                  </w:pPr>
                  <w:r>
                    <w:rPr>
                      <w:rFonts w:hint="eastAsia"/>
                      <w:color w:val="auto"/>
                    </w:rPr>
                    <w:t>非标定制</w:t>
                  </w:r>
                </w:p>
              </w:tc>
              <w:tc>
                <w:tcPr>
                  <w:tcW w:w="1056"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rPr>
                  </w:pPr>
                  <w:r>
                    <w:rPr>
                      <w:rFonts w:hint="eastAsia"/>
                      <w:color w:val="auto"/>
                    </w:rPr>
                    <w:t>套</w:t>
                  </w:r>
                </w:p>
              </w:tc>
              <w:tc>
                <w:tcPr>
                  <w:tcW w:w="1056"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rFonts w:hint="eastAsia" w:eastAsia="宋体"/>
                      <w:color w:val="auto"/>
                      <w:lang w:eastAsia="zh-CN"/>
                    </w:rPr>
                  </w:pPr>
                  <w:r>
                    <w:rPr>
                      <w:rFonts w:hint="eastAsia"/>
                      <w:color w:val="auto"/>
                      <w:lang w:val="en-US" w:eastAsia="zh-CN"/>
                    </w:rPr>
                    <w:t>4</w:t>
                  </w:r>
                </w:p>
              </w:tc>
              <w:tc>
                <w:tcPr>
                  <w:tcW w:w="1906"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rPr>
                  </w:pPr>
                  <w:r>
                    <w:rPr>
                      <w:rFonts w:hint="eastAsia"/>
                      <w:color w:val="auto"/>
                      <w:sz w:val="21"/>
                      <w:szCs w:val="21"/>
                      <w:lang w:val="en-US" w:eastAsia="zh-CN"/>
                    </w:rPr>
                    <w:t>测试发热管功率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7" w:type="dxa"/>
                  <w:tcBorders>
                    <w:tl2br w:val="nil"/>
                    <w:tr2bl w:val="nil"/>
                  </w:tcBorders>
                  <w:vAlign w:val="center"/>
                </w:tcPr>
                <w:p>
                  <w:pPr>
                    <w:pStyle w:val="32"/>
                    <w:keepNext w:val="0"/>
                    <w:keepLines w:val="0"/>
                    <w:pageBreakBefore w:val="0"/>
                    <w:widowControl w:val="0"/>
                    <w:numPr>
                      <w:ilvl w:val="0"/>
                      <w:numId w:val="11"/>
                    </w:numPr>
                    <w:kinsoku/>
                    <w:wordWrap/>
                    <w:overflowPunct/>
                    <w:topLinePunct w:val="0"/>
                    <w:autoSpaceDE/>
                    <w:autoSpaceDN/>
                    <w:bidi w:val="0"/>
                    <w:adjustRightInd/>
                    <w:snapToGrid/>
                    <w:spacing w:before="0" w:after="0"/>
                    <w:ind w:left="0" w:leftChars="0" w:firstLine="0" w:firstLineChars="0"/>
                    <w:textAlignment w:val="auto"/>
                    <w:rPr>
                      <w:color w:val="auto"/>
                    </w:rPr>
                  </w:pPr>
                </w:p>
              </w:tc>
              <w:tc>
                <w:tcPr>
                  <w:tcW w:w="1832"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rPr>
                  </w:pPr>
                  <w:r>
                    <w:rPr>
                      <w:rFonts w:hint="eastAsia"/>
                      <w:color w:val="auto"/>
                    </w:rPr>
                    <w:t>多功能检测台</w:t>
                  </w:r>
                </w:p>
              </w:tc>
              <w:tc>
                <w:tcPr>
                  <w:tcW w:w="1703"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rPr>
                  </w:pPr>
                  <w:r>
                    <w:rPr>
                      <w:rFonts w:hint="eastAsia"/>
                      <w:color w:val="auto"/>
                    </w:rPr>
                    <w:t>MX-CST</w:t>
                  </w:r>
                </w:p>
              </w:tc>
              <w:tc>
                <w:tcPr>
                  <w:tcW w:w="1056"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rPr>
                  </w:pPr>
                  <w:r>
                    <w:rPr>
                      <w:rFonts w:hint="eastAsia"/>
                      <w:color w:val="auto"/>
                    </w:rPr>
                    <w:t>套</w:t>
                  </w:r>
                </w:p>
              </w:tc>
              <w:tc>
                <w:tcPr>
                  <w:tcW w:w="1056"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rFonts w:hint="eastAsia" w:eastAsia="宋体"/>
                      <w:color w:val="auto"/>
                      <w:lang w:eastAsia="zh-CN"/>
                    </w:rPr>
                  </w:pPr>
                  <w:r>
                    <w:rPr>
                      <w:rFonts w:hint="eastAsia"/>
                      <w:color w:val="auto"/>
                      <w:lang w:val="en-US" w:eastAsia="zh-CN"/>
                    </w:rPr>
                    <w:t>3</w:t>
                  </w:r>
                </w:p>
              </w:tc>
              <w:tc>
                <w:tcPr>
                  <w:tcW w:w="1906"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rPr>
                  </w:pPr>
                  <w:r>
                    <w:rPr>
                      <w:rFonts w:hint="eastAsia"/>
                      <w:color w:val="auto"/>
                    </w:rPr>
                    <w:t>电气性能检测</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7" w:type="dxa"/>
                  <w:tcBorders>
                    <w:tl2br w:val="nil"/>
                    <w:tr2bl w:val="nil"/>
                  </w:tcBorders>
                  <w:vAlign w:val="center"/>
                </w:tcPr>
                <w:p>
                  <w:pPr>
                    <w:pStyle w:val="32"/>
                    <w:keepNext w:val="0"/>
                    <w:keepLines w:val="0"/>
                    <w:pageBreakBefore w:val="0"/>
                    <w:widowControl w:val="0"/>
                    <w:numPr>
                      <w:ilvl w:val="0"/>
                      <w:numId w:val="11"/>
                    </w:numPr>
                    <w:kinsoku/>
                    <w:wordWrap/>
                    <w:overflowPunct/>
                    <w:topLinePunct w:val="0"/>
                    <w:autoSpaceDE/>
                    <w:autoSpaceDN/>
                    <w:bidi w:val="0"/>
                    <w:adjustRightInd/>
                    <w:snapToGrid/>
                    <w:spacing w:before="0" w:after="0"/>
                    <w:ind w:left="0" w:leftChars="0" w:firstLine="0" w:firstLineChars="0"/>
                    <w:textAlignment w:val="auto"/>
                    <w:rPr>
                      <w:color w:val="auto"/>
                    </w:rPr>
                  </w:pPr>
                </w:p>
              </w:tc>
              <w:tc>
                <w:tcPr>
                  <w:tcW w:w="1832"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rPr>
                  </w:pPr>
                  <w:r>
                    <w:rPr>
                      <w:rFonts w:hint="eastAsia"/>
                      <w:color w:val="auto"/>
                    </w:rPr>
                    <w:t>3级喷淋塔</w:t>
                  </w:r>
                </w:p>
              </w:tc>
              <w:tc>
                <w:tcPr>
                  <w:tcW w:w="1703"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rPr>
                  </w:pPr>
                  <w:r>
                    <w:rPr>
                      <w:rFonts w:hint="eastAsia"/>
                      <w:color w:val="auto"/>
                    </w:rPr>
                    <w:t>非标定制</w:t>
                  </w:r>
                </w:p>
              </w:tc>
              <w:tc>
                <w:tcPr>
                  <w:tcW w:w="1056"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rPr>
                  </w:pPr>
                  <w:r>
                    <w:rPr>
                      <w:rFonts w:hint="eastAsia"/>
                      <w:color w:val="auto"/>
                    </w:rPr>
                    <w:t>套</w:t>
                  </w:r>
                </w:p>
              </w:tc>
              <w:tc>
                <w:tcPr>
                  <w:tcW w:w="1056"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rPr>
                  </w:pPr>
                  <w:r>
                    <w:rPr>
                      <w:rFonts w:hint="eastAsia"/>
                      <w:color w:val="auto"/>
                    </w:rPr>
                    <w:t>1</w:t>
                  </w:r>
                </w:p>
              </w:tc>
              <w:tc>
                <w:tcPr>
                  <w:tcW w:w="1906"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rPr>
                  </w:pPr>
                  <w:r>
                    <w:rPr>
                      <w:rFonts w:hint="eastAsia"/>
                      <w:color w:val="auto"/>
                    </w:rPr>
                    <w:t>PP材质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7" w:type="dxa"/>
                  <w:tcBorders>
                    <w:tl2br w:val="nil"/>
                    <w:tr2bl w:val="nil"/>
                  </w:tcBorders>
                  <w:vAlign w:val="center"/>
                </w:tcPr>
                <w:p>
                  <w:pPr>
                    <w:pStyle w:val="32"/>
                    <w:keepNext w:val="0"/>
                    <w:keepLines w:val="0"/>
                    <w:pageBreakBefore w:val="0"/>
                    <w:widowControl w:val="0"/>
                    <w:numPr>
                      <w:ilvl w:val="0"/>
                      <w:numId w:val="11"/>
                    </w:numPr>
                    <w:kinsoku/>
                    <w:wordWrap/>
                    <w:overflowPunct/>
                    <w:topLinePunct w:val="0"/>
                    <w:autoSpaceDE/>
                    <w:autoSpaceDN/>
                    <w:bidi w:val="0"/>
                    <w:adjustRightInd/>
                    <w:snapToGrid/>
                    <w:spacing w:before="0" w:after="0"/>
                    <w:ind w:left="0" w:leftChars="0" w:firstLine="0" w:firstLineChars="0"/>
                    <w:textAlignment w:val="auto"/>
                    <w:rPr>
                      <w:color w:val="auto"/>
                    </w:rPr>
                  </w:pPr>
                </w:p>
              </w:tc>
              <w:tc>
                <w:tcPr>
                  <w:tcW w:w="1832"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rPr>
                  </w:pPr>
                  <w:r>
                    <w:rPr>
                      <w:rFonts w:hint="eastAsia"/>
                      <w:color w:val="auto"/>
                    </w:rPr>
                    <w:t>活性炭吸附装置</w:t>
                  </w:r>
                </w:p>
              </w:tc>
              <w:tc>
                <w:tcPr>
                  <w:tcW w:w="1703"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rPr>
                  </w:pPr>
                  <w:r>
                    <w:rPr>
                      <w:rFonts w:hint="eastAsia"/>
                      <w:color w:val="auto"/>
                    </w:rPr>
                    <w:t>非标定制</w:t>
                  </w:r>
                </w:p>
              </w:tc>
              <w:tc>
                <w:tcPr>
                  <w:tcW w:w="1056"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rPr>
                  </w:pPr>
                  <w:r>
                    <w:rPr>
                      <w:rFonts w:hint="eastAsia"/>
                      <w:color w:val="auto"/>
                    </w:rPr>
                    <w:t>套</w:t>
                  </w:r>
                </w:p>
              </w:tc>
              <w:tc>
                <w:tcPr>
                  <w:tcW w:w="1056"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rPr>
                  </w:pPr>
                  <w:r>
                    <w:rPr>
                      <w:rFonts w:hint="eastAsia"/>
                      <w:color w:val="auto"/>
                    </w:rPr>
                    <w:t>1</w:t>
                  </w:r>
                </w:p>
              </w:tc>
              <w:tc>
                <w:tcPr>
                  <w:tcW w:w="1906"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rPr>
                  </w:pPr>
                  <w:r>
                    <w:rPr>
                      <w:rFonts w:hint="eastAsia"/>
                      <w:color w:val="auto"/>
                    </w:rPr>
                    <w:t>蜂窝吸附</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7" w:type="dxa"/>
                  <w:tcBorders>
                    <w:tl2br w:val="nil"/>
                    <w:tr2bl w:val="nil"/>
                  </w:tcBorders>
                  <w:vAlign w:val="center"/>
                </w:tcPr>
                <w:p>
                  <w:pPr>
                    <w:pStyle w:val="32"/>
                    <w:keepNext w:val="0"/>
                    <w:keepLines w:val="0"/>
                    <w:pageBreakBefore w:val="0"/>
                    <w:widowControl w:val="0"/>
                    <w:numPr>
                      <w:ilvl w:val="0"/>
                      <w:numId w:val="11"/>
                    </w:numPr>
                    <w:kinsoku/>
                    <w:wordWrap/>
                    <w:overflowPunct/>
                    <w:topLinePunct w:val="0"/>
                    <w:autoSpaceDE/>
                    <w:autoSpaceDN/>
                    <w:bidi w:val="0"/>
                    <w:adjustRightInd/>
                    <w:snapToGrid/>
                    <w:spacing w:before="0" w:after="0"/>
                    <w:ind w:left="0" w:leftChars="0" w:firstLine="0" w:firstLineChars="0"/>
                    <w:textAlignment w:val="auto"/>
                    <w:rPr>
                      <w:color w:val="auto"/>
                    </w:rPr>
                  </w:pPr>
                </w:p>
              </w:tc>
              <w:tc>
                <w:tcPr>
                  <w:tcW w:w="1832"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highlight w:val="none"/>
                    </w:rPr>
                  </w:pPr>
                  <w:r>
                    <w:rPr>
                      <w:rFonts w:hint="eastAsia"/>
                      <w:color w:val="auto"/>
                      <w:highlight w:val="none"/>
                    </w:rPr>
                    <w:t>风机</w:t>
                  </w:r>
                </w:p>
              </w:tc>
              <w:tc>
                <w:tcPr>
                  <w:tcW w:w="1703"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highlight w:val="none"/>
                    </w:rPr>
                  </w:pPr>
                  <w:r>
                    <w:rPr>
                      <w:rFonts w:hint="eastAsia"/>
                      <w:color w:val="auto"/>
                      <w:highlight w:val="none"/>
                    </w:rPr>
                    <w:t>风量1800</w:t>
                  </w:r>
                  <w:r>
                    <w:rPr>
                      <w:color w:val="auto"/>
                      <w:highlight w:val="none"/>
                    </w:rPr>
                    <w:t>m</w:t>
                  </w:r>
                  <w:r>
                    <w:rPr>
                      <w:color w:val="auto"/>
                      <w:highlight w:val="none"/>
                      <w:vertAlign w:val="superscript"/>
                    </w:rPr>
                    <w:t>3</w:t>
                  </w:r>
                  <w:r>
                    <w:rPr>
                      <w:color w:val="auto"/>
                      <w:highlight w:val="none"/>
                    </w:rPr>
                    <w:t>/h</w:t>
                  </w:r>
                </w:p>
              </w:tc>
              <w:tc>
                <w:tcPr>
                  <w:tcW w:w="1056"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rPr>
                  </w:pPr>
                  <w:r>
                    <w:rPr>
                      <w:rFonts w:hint="eastAsia"/>
                      <w:color w:val="auto"/>
                    </w:rPr>
                    <w:t>台</w:t>
                  </w:r>
                </w:p>
              </w:tc>
              <w:tc>
                <w:tcPr>
                  <w:tcW w:w="1056"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rPr>
                  </w:pPr>
                  <w:r>
                    <w:rPr>
                      <w:rFonts w:hint="eastAsia"/>
                      <w:color w:val="auto"/>
                    </w:rPr>
                    <w:t>2</w:t>
                  </w:r>
                </w:p>
              </w:tc>
              <w:tc>
                <w:tcPr>
                  <w:tcW w:w="1906"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rFonts w:hint="eastAsia" w:eastAsia="宋体"/>
                      <w:color w:val="auto"/>
                      <w:lang w:val="en-US" w:eastAsia="zh-CN"/>
                    </w:rPr>
                  </w:pPr>
                  <w:r>
                    <w:rPr>
                      <w:rFonts w:hint="eastAsia" w:ascii="宋体" w:hAnsi="宋体" w:eastAsia="宋体" w:cs="宋体"/>
                      <w:color w:val="auto"/>
                      <w:lang w:val="en-US" w:eastAsia="zh-CN"/>
                    </w:rPr>
                    <w:t>－</w:t>
                  </w:r>
                </w:p>
              </w:tc>
            </w:tr>
          </w:tbl>
          <w:p>
            <w:pPr>
              <w:bidi w:val="0"/>
              <w:rPr>
                <w:rFonts w:hint="default"/>
                <w:color w:val="auto"/>
                <w:sz w:val="24"/>
                <w:szCs w:val="24"/>
                <w:highlight w:val="none"/>
              </w:rPr>
            </w:pPr>
            <w:r>
              <w:rPr>
                <w:rFonts w:hint="eastAsia"/>
                <w:color w:val="auto"/>
                <w:sz w:val="24"/>
                <w:szCs w:val="24"/>
                <w:highlight w:val="none"/>
                <w:lang w:val="en-US" w:eastAsia="zh-CN"/>
              </w:rPr>
              <w:t>8、</w:t>
            </w:r>
            <w:r>
              <w:rPr>
                <w:rFonts w:hint="default"/>
                <w:color w:val="auto"/>
                <w:sz w:val="24"/>
                <w:szCs w:val="24"/>
                <w:highlight w:val="none"/>
              </w:rPr>
              <w:t xml:space="preserve">给排水及采暖 </w:t>
            </w:r>
          </w:p>
          <w:p>
            <w:pPr>
              <w:bidi w:val="0"/>
              <w:rPr>
                <w:rFonts w:hint="default"/>
                <w:color w:val="auto"/>
                <w:spacing w:val="0"/>
                <w:sz w:val="24"/>
                <w:highlight w:val="none"/>
                <w:vertAlign w:val="baseline"/>
                <w:lang w:val="en-US" w:eastAsia="zh-CN"/>
              </w:rPr>
            </w:pPr>
            <w:r>
              <w:rPr>
                <w:rFonts w:hint="eastAsia"/>
                <w:color w:val="auto"/>
                <w:spacing w:val="0"/>
                <w:sz w:val="24"/>
                <w:highlight w:val="none"/>
                <w:vertAlign w:val="baseline"/>
                <w:lang w:val="en-US" w:eastAsia="zh-CN"/>
              </w:rPr>
              <w:t>（1）给排水</w:t>
            </w:r>
          </w:p>
          <w:p>
            <w:pPr>
              <w:spacing w:line="480" w:lineRule="exact"/>
              <w:ind w:firstLine="480" w:firstLineChars="200"/>
              <w:rPr>
                <w:rFonts w:ascii="Times New Roman" w:hAnsi="Times New Roman" w:eastAsia="宋体"/>
                <w:color w:val="auto"/>
                <w:sz w:val="24"/>
                <w:szCs w:val="30"/>
              </w:rPr>
            </w:pPr>
            <w:r>
              <w:rPr>
                <w:rFonts w:hint="eastAsia" w:ascii="Times New Roman" w:hAnsi="Times New Roman" w:eastAsia="宋体"/>
                <w:color w:val="auto"/>
                <w:sz w:val="24"/>
                <w:szCs w:val="30"/>
                <w:lang w:val="en-US" w:eastAsia="zh-CN"/>
              </w:rPr>
              <w:t>现有工程</w:t>
            </w:r>
            <w:r>
              <w:rPr>
                <w:rFonts w:hint="eastAsia" w:ascii="Times New Roman" w:hAnsi="Times New Roman" w:eastAsia="宋体"/>
                <w:color w:val="auto"/>
                <w:sz w:val="24"/>
                <w:szCs w:val="30"/>
              </w:rPr>
              <w:t>用水</w:t>
            </w:r>
            <w:r>
              <w:rPr>
                <w:rFonts w:ascii="Times New Roman" w:hAnsi="Times New Roman" w:eastAsia="宋体"/>
                <w:color w:val="auto"/>
                <w:sz w:val="24"/>
                <w:szCs w:val="30"/>
              </w:rPr>
              <w:t>主要包括生产用水和生活用水，新水总用量为</w:t>
            </w:r>
            <w:r>
              <w:rPr>
                <w:rFonts w:hint="eastAsia" w:ascii="Times New Roman" w:hAnsi="Times New Roman" w:eastAsia="宋体"/>
                <w:color w:val="auto"/>
                <w:sz w:val="24"/>
                <w:szCs w:val="30"/>
              </w:rPr>
              <w:t>0.77003</w:t>
            </w:r>
            <w:r>
              <w:rPr>
                <w:rFonts w:ascii="Times New Roman" w:hAnsi="Times New Roman" w:eastAsia="宋体"/>
                <w:color w:val="auto"/>
                <w:sz w:val="24"/>
                <w:szCs w:val="30"/>
              </w:rPr>
              <w:t>m</w:t>
            </w:r>
            <w:r>
              <w:rPr>
                <w:rFonts w:ascii="Times New Roman" w:hAnsi="Times New Roman" w:eastAsia="宋体"/>
                <w:color w:val="auto"/>
                <w:sz w:val="24"/>
                <w:szCs w:val="30"/>
                <w:vertAlign w:val="superscript"/>
              </w:rPr>
              <w:t>3</w:t>
            </w:r>
            <w:r>
              <w:rPr>
                <w:rFonts w:ascii="Times New Roman" w:hAnsi="Times New Roman" w:eastAsia="宋体"/>
                <w:color w:val="auto"/>
                <w:sz w:val="24"/>
                <w:szCs w:val="30"/>
              </w:rPr>
              <w:t>/d（2</w:t>
            </w:r>
            <w:r>
              <w:rPr>
                <w:rFonts w:hint="eastAsia" w:ascii="Times New Roman" w:hAnsi="Times New Roman" w:eastAsia="宋体"/>
                <w:color w:val="auto"/>
                <w:sz w:val="24"/>
                <w:szCs w:val="30"/>
              </w:rPr>
              <w:t>31.009</w:t>
            </w:r>
            <w:r>
              <w:rPr>
                <w:rFonts w:ascii="Times New Roman" w:hAnsi="Times New Roman" w:eastAsia="宋体"/>
                <w:color w:val="auto"/>
                <w:sz w:val="24"/>
                <w:szCs w:val="30"/>
              </w:rPr>
              <w:t>m</w:t>
            </w:r>
            <w:r>
              <w:rPr>
                <w:rFonts w:ascii="Times New Roman" w:hAnsi="Times New Roman" w:eastAsia="宋体"/>
                <w:color w:val="auto"/>
                <w:sz w:val="24"/>
                <w:szCs w:val="30"/>
                <w:vertAlign w:val="superscript"/>
              </w:rPr>
              <w:t>3</w:t>
            </w:r>
            <w:r>
              <w:rPr>
                <w:rFonts w:ascii="Times New Roman" w:hAnsi="Times New Roman" w:eastAsia="宋体"/>
                <w:color w:val="auto"/>
                <w:sz w:val="24"/>
                <w:szCs w:val="30"/>
              </w:rPr>
              <w:t>/a）</w:t>
            </w:r>
            <w:r>
              <w:rPr>
                <w:rFonts w:hint="eastAsia" w:ascii="Times New Roman" w:hAnsi="Times New Roman" w:eastAsia="宋体"/>
                <w:color w:val="auto"/>
                <w:sz w:val="24"/>
                <w:szCs w:val="30"/>
              </w:rPr>
              <w:t>，用水</w:t>
            </w:r>
            <w:r>
              <w:rPr>
                <w:rFonts w:ascii="Times New Roman" w:hAnsi="Times New Roman" w:eastAsia="宋体"/>
                <w:color w:val="auto"/>
                <w:sz w:val="24"/>
                <w:szCs w:val="30"/>
              </w:rPr>
              <w:t>由市政供水管网提供，可满足全厂用水需求。</w:t>
            </w:r>
          </w:p>
          <w:p>
            <w:pPr>
              <w:spacing w:line="480" w:lineRule="exact"/>
              <w:ind w:firstLine="480" w:firstLineChars="200"/>
              <w:rPr>
                <w:rFonts w:ascii="Times New Roman" w:hAnsi="Times New Roman" w:eastAsia="宋体"/>
                <w:color w:val="auto"/>
                <w:sz w:val="24"/>
                <w:szCs w:val="30"/>
              </w:rPr>
            </w:pPr>
            <w:r>
              <w:rPr>
                <w:rFonts w:hint="eastAsia" w:ascii="Times New Roman" w:hAnsi="Times New Roman" w:eastAsia="宋体"/>
                <w:color w:val="auto"/>
                <w:sz w:val="24"/>
                <w:szCs w:val="30"/>
                <w:lang w:val="en-US" w:eastAsia="zh-CN"/>
              </w:rPr>
              <w:t>现有工程</w:t>
            </w:r>
            <w:r>
              <w:rPr>
                <w:rFonts w:ascii="Times New Roman" w:hAnsi="Times New Roman" w:eastAsia="宋体"/>
                <w:color w:val="auto"/>
                <w:sz w:val="24"/>
                <w:szCs w:val="30"/>
              </w:rPr>
              <w:t>生产用水主要为镀膜</w:t>
            </w:r>
            <w:r>
              <w:rPr>
                <w:rFonts w:hint="eastAsia" w:ascii="Times New Roman" w:hAnsi="Times New Roman" w:eastAsia="宋体"/>
                <w:color w:val="auto"/>
                <w:sz w:val="24"/>
                <w:szCs w:val="30"/>
              </w:rPr>
              <w:t>废气处理</w:t>
            </w:r>
            <w:r>
              <w:rPr>
                <w:rFonts w:ascii="Times New Roman" w:hAnsi="Times New Roman" w:eastAsia="宋体"/>
                <w:color w:val="auto"/>
                <w:sz w:val="24"/>
                <w:szCs w:val="30"/>
              </w:rPr>
              <w:t>过程碱液喷淋塔用水</w:t>
            </w:r>
            <w:r>
              <w:rPr>
                <w:rFonts w:hint="eastAsia" w:ascii="Times New Roman" w:hAnsi="Times New Roman" w:eastAsia="宋体"/>
                <w:color w:val="auto"/>
                <w:sz w:val="24"/>
                <w:szCs w:val="30"/>
              </w:rPr>
              <w:t>和基体镀膜后冷却用水。其中，镀膜废气处理过程碱液喷淋塔</w:t>
            </w:r>
            <w:r>
              <w:rPr>
                <w:rFonts w:ascii="Times New Roman" w:hAnsi="Times New Roman" w:eastAsia="宋体"/>
                <w:color w:val="auto"/>
                <w:sz w:val="24"/>
                <w:szCs w:val="30"/>
              </w:rPr>
              <w:t>用水量为3</w:t>
            </w:r>
            <w:r>
              <w:rPr>
                <w:rFonts w:hint="eastAsia" w:ascii="Times New Roman" w:hAnsi="Times New Roman" w:eastAsia="宋体"/>
                <w:color w:val="auto"/>
                <w:sz w:val="24"/>
                <w:szCs w:val="30"/>
              </w:rPr>
              <w:t>.0</w:t>
            </w:r>
            <w:r>
              <w:rPr>
                <w:rFonts w:ascii="Times New Roman" w:hAnsi="Times New Roman" w:eastAsia="宋体"/>
                <w:color w:val="auto"/>
                <w:sz w:val="24"/>
                <w:szCs w:val="30"/>
              </w:rPr>
              <w:t>m</w:t>
            </w:r>
            <w:r>
              <w:rPr>
                <w:rFonts w:ascii="Times New Roman" w:hAnsi="Times New Roman" w:eastAsia="宋体"/>
                <w:color w:val="auto"/>
                <w:sz w:val="24"/>
                <w:szCs w:val="30"/>
                <w:vertAlign w:val="superscript"/>
              </w:rPr>
              <w:t>3</w:t>
            </w:r>
            <w:r>
              <w:rPr>
                <w:rFonts w:ascii="Times New Roman" w:hAnsi="Times New Roman" w:eastAsia="宋体"/>
                <w:color w:val="auto"/>
                <w:sz w:val="24"/>
                <w:szCs w:val="30"/>
              </w:rPr>
              <w:t>/d</w:t>
            </w:r>
            <w:r>
              <w:rPr>
                <w:rFonts w:hint="eastAsia" w:ascii="Times New Roman" w:hAnsi="Times New Roman" w:eastAsia="宋体"/>
                <w:color w:val="auto"/>
                <w:sz w:val="24"/>
                <w:szCs w:val="30"/>
                <w:lang w:eastAsia="zh-CN"/>
              </w:rPr>
              <w:t>（</w:t>
            </w:r>
            <w:r>
              <w:rPr>
                <w:rFonts w:hint="eastAsia" w:ascii="Times New Roman" w:hAnsi="Times New Roman" w:eastAsia="宋体"/>
                <w:color w:val="auto"/>
                <w:sz w:val="24"/>
                <w:szCs w:val="30"/>
                <w:lang w:val="en-US" w:eastAsia="zh-CN"/>
              </w:rPr>
              <w:t>900</w:t>
            </w:r>
            <w:r>
              <w:rPr>
                <w:rFonts w:ascii="Times New Roman" w:hAnsi="Times New Roman" w:eastAsia="宋体"/>
                <w:color w:val="auto"/>
                <w:sz w:val="24"/>
                <w:szCs w:val="30"/>
              </w:rPr>
              <w:t>m</w:t>
            </w:r>
            <w:r>
              <w:rPr>
                <w:rFonts w:ascii="Times New Roman" w:hAnsi="Times New Roman" w:eastAsia="宋体"/>
                <w:color w:val="auto"/>
                <w:sz w:val="24"/>
                <w:szCs w:val="30"/>
                <w:vertAlign w:val="superscript"/>
              </w:rPr>
              <w:t>3</w:t>
            </w:r>
            <w:r>
              <w:rPr>
                <w:rFonts w:ascii="Times New Roman" w:hAnsi="Times New Roman" w:eastAsia="宋体"/>
                <w:color w:val="auto"/>
                <w:sz w:val="24"/>
                <w:szCs w:val="30"/>
              </w:rPr>
              <w:t>/a</w:t>
            </w:r>
            <w:r>
              <w:rPr>
                <w:rFonts w:hint="eastAsia" w:ascii="Times New Roman" w:hAnsi="Times New Roman" w:eastAsia="宋体"/>
                <w:color w:val="auto"/>
                <w:sz w:val="24"/>
                <w:szCs w:val="30"/>
                <w:lang w:eastAsia="zh-CN"/>
              </w:rPr>
              <w:t>）</w:t>
            </w:r>
            <w:r>
              <w:rPr>
                <w:rFonts w:ascii="Times New Roman" w:hAnsi="Times New Roman" w:eastAsia="宋体"/>
                <w:color w:val="auto"/>
                <w:sz w:val="24"/>
                <w:szCs w:val="30"/>
              </w:rPr>
              <w:t>，循环使用，</w:t>
            </w:r>
            <w:r>
              <w:rPr>
                <w:rFonts w:hint="eastAsia" w:ascii="Times New Roman" w:hAnsi="Times New Roman" w:eastAsia="宋体"/>
                <w:color w:val="auto"/>
                <w:sz w:val="24"/>
                <w:szCs w:val="30"/>
              </w:rPr>
              <w:t>使用</w:t>
            </w:r>
            <w:r>
              <w:rPr>
                <w:rFonts w:ascii="Times New Roman" w:hAnsi="Times New Roman" w:eastAsia="宋体"/>
                <w:color w:val="auto"/>
                <w:sz w:val="24"/>
                <w:szCs w:val="30"/>
              </w:rPr>
              <w:t>过程</w:t>
            </w:r>
            <w:r>
              <w:rPr>
                <w:rFonts w:hint="eastAsia" w:ascii="Times New Roman" w:hAnsi="Times New Roman" w:eastAsia="宋体"/>
                <w:color w:val="auto"/>
                <w:sz w:val="24"/>
                <w:szCs w:val="30"/>
              </w:rPr>
              <w:t>会</w:t>
            </w:r>
            <w:r>
              <w:rPr>
                <w:rFonts w:ascii="Times New Roman" w:hAnsi="Times New Roman" w:eastAsia="宋体"/>
                <w:color w:val="auto"/>
                <w:sz w:val="24"/>
                <w:szCs w:val="30"/>
              </w:rPr>
              <w:t>损失一部分，损失量为</w:t>
            </w:r>
            <w:r>
              <w:rPr>
                <w:rFonts w:hint="eastAsia" w:ascii="Times New Roman" w:hAnsi="Times New Roman" w:eastAsia="宋体"/>
                <w:color w:val="auto"/>
                <w:sz w:val="24"/>
                <w:szCs w:val="30"/>
              </w:rPr>
              <w:t>0.1</w:t>
            </w:r>
            <w:r>
              <w:rPr>
                <w:rFonts w:ascii="Times New Roman" w:hAnsi="Times New Roman" w:eastAsia="宋体"/>
                <w:color w:val="auto"/>
                <w:sz w:val="24"/>
                <w:szCs w:val="30"/>
              </w:rPr>
              <w:t>5m</w:t>
            </w:r>
            <w:r>
              <w:rPr>
                <w:rFonts w:ascii="Times New Roman" w:hAnsi="Times New Roman" w:eastAsia="宋体"/>
                <w:color w:val="auto"/>
                <w:sz w:val="24"/>
                <w:szCs w:val="30"/>
                <w:vertAlign w:val="superscript"/>
              </w:rPr>
              <w:t>3</w:t>
            </w:r>
            <w:r>
              <w:rPr>
                <w:rFonts w:ascii="Times New Roman" w:hAnsi="Times New Roman" w:eastAsia="宋体"/>
                <w:color w:val="auto"/>
                <w:sz w:val="24"/>
                <w:szCs w:val="30"/>
              </w:rPr>
              <w:t>/d</w:t>
            </w:r>
            <w:r>
              <w:rPr>
                <w:rFonts w:hint="eastAsia" w:ascii="Times New Roman" w:hAnsi="Times New Roman" w:eastAsia="宋体"/>
                <w:color w:val="auto"/>
                <w:sz w:val="24"/>
                <w:szCs w:val="30"/>
                <w:lang w:eastAsia="zh-CN"/>
              </w:rPr>
              <w:t>（</w:t>
            </w:r>
            <w:r>
              <w:rPr>
                <w:rFonts w:hint="eastAsia" w:ascii="Times New Roman" w:hAnsi="Times New Roman" w:eastAsia="宋体"/>
                <w:color w:val="auto"/>
                <w:sz w:val="24"/>
                <w:szCs w:val="30"/>
                <w:lang w:val="en-US" w:eastAsia="zh-CN"/>
              </w:rPr>
              <w:t>45</w:t>
            </w:r>
            <w:r>
              <w:rPr>
                <w:rFonts w:ascii="Times New Roman" w:hAnsi="Times New Roman" w:eastAsia="宋体"/>
                <w:color w:val="auto"/>
                <w:sz w:val="24"/>
                <w:szCs w:val="30"/>
              </w:rPr>
              <w:t>m</w:t>
            </w:r>
            <w:r>
              <w:rPr>
                <w:rFonts w:ascii="Times New Roman" w:hAnsi="Times New Roman" w:eastAsia="宋体"/>
                <w:color w:val="auto"/>
                <w:sz w:val="24"/>
                <w:szCs w:val="30"/>
                <w:vertAlign w:val="superscript"/>
              </w:rPr>
              <w:t>3</w:t>
            </w:r>
            <w:r>
              <w:rPr>
                <w:rFonts w:ascii="Times New Roman" w:hAnsi="Times New Roman" w:eastAsia="宋体"/>
                <w:color w:val="auto"/>
                <w:sz w:val="24"/>
                <w:szCs w:val="30"/>
              </w:rPr>
              <w:t>/a</w:t>
            </w:r>
            <w:r>
              <w:rPr>
                <w:rFonts w:hint="eastAsia" w:ascii="Times New Roman" w:hAnsi="Times New Roman" w:eastAsia="宋体"/>
                <w:color w:val="auto"/>
                <w:sz w:val="24"/>
                <w:szCs w:val="30"/>
                <w:lang w:eastAsia="zh-CN"/>
              </w:rPr>
              <w:t>）</w:t>
            </w:r>
            <w:r>
              <w:rPr>
                <w:rFonts w:ascii="Times New Roman" w:hAnsi="Times New Roman" w:eastAsia="宋体"/>
                <w:color w:val="auto"/>
                <w:sz w:val="24"/>
                <w:szCs w:val="30"/>
              </w:rPr>
              <w:t>，因此，需定期补充新水</w:t>
            </w:r>
            <w:r>
              <w:rPr>
                <w:rFonts w:hint="eastAsia" w:ascii="Times New Roman" w:hAnsi="Times New Roman" w:eastAsia="宋体"/>
                <w:color w:val="auto"/>
                <w:sz w:val="24"/>
                <w:szCs w:val="30"/>
              </w:rPr>
              <w:t>0.1</w:t>
            </w:r>
            <w:r>
              <w:rPr>
                <w:rFonts w:ascii="Times New Roman" w:hAnsi="Times New Roman" w:eastAsia="宋体"/>
                <w:color w:val="auto"/>
                <w:sz w:val="24"/>
                <w:szCs w:val="30"/>
              </w:rPr>
              <w:t>5m</w:t>
            </w:r>
            <w:r>
              <w:rPr>
                <w:rFonts w:ascii="Times New Roman" w:hAnsi="Times New Roman" w:eastAsia="宋体"/>
                <w:color w:val="auto"/>
                <w:sz w:val="24"/>
                <w:szCs w:val="30"/>
                <w:vertAlign w:val="superscript"/>
              </w:rPr>
              <w:t>3</w:t>
            </w:r>
            <w:r>
              <w:rPr>
                <w:rFonts w:ascii="Times New Roman" w:hAnsi="Times New Roman" w:eastAsia="宋体"/>
                <w:color w:val="auto"/>
                <w:sz w:val="24"/>
                <w:szCs w:val="30"/>
              </w:rPr>
              <w:t>/d</w:t>
            </w:r>
            <w:r>
              <w:rPr>
                <w:rFonts w:hint="eastAsia" w:ascii="Times New Roman" w:hAnsi="Times New Roman" w:eastAsia="宋体"/>
                <w:color w:val="auto"/>
                <w:sz w:val="24"/>
                <w:szCs w:val="30"/>
              </w:rPr>
              <w:t>（</w:t>
            </w:r>
            <w:r>
              <w:rPr>
                <w:rFonts w:ascii="Times New Roman" w:hAnsi="Times New Roman" w:eastAsia="宋体"/>
                <w:color w:val="auto"/>
                <w:sz w:val="24"/>
                <w:szCs w:val="30"/>
              </w:rPr>
              <w:t>45m</w:t>
            </w:r>
            <w:r>
              <w:rPr>
                <w:rFonts w:ascii="Times New Roman" w:hAnsi="Times New Roman" w:eastAsia="宋体"/>
                <w:color w:val="auto"/>
                <w:sz w:val="24"/>
                <w:szCs w:val="30"/>
                <w:vertAlign w:val="superscript"/>
              </w:rPr>
              <w:t>3</w:t>
            </w:r>
            <w:r>
              <w:rPr>
                <w:rFonts w:ascii="Times New Roman" w:hAnsi="Times New Roman" w:eastAsia="宋体"/>
                <w:color w:val="auto"/>
                <w:sz w:val="24"/>
                <w:szCs w:val="30"/>
              </w:rPr>
              <w:t>/a</w:t>
            </w:r>
            <w:r>
              <w:rPr>
                <w:rFonts w:hint="eastAsia" w:ascii="Times New Roman" w:hAnsi="Times New Roman" w:eastAsia="宋体"/>
                <w:color w:val="auto"/>
                <w:sz w:val="24"/>
                <w:szCs w:val="30"/>
              </w:rPr>
              <w:t>），碱液</w:t>
            </w:r>
            <w:r>
              <w:rPr>
                <w:rFonts w:ascii="Times New Roman" w:hAnsi="Times New Roman" w:eastAsia="宋体"/>
                <w:color w:val="auto"/>
                <w:sz w:val="24"/>
                <w:szCs w:val="30"/>
              </w:rPr>
              <w:t>喷淋塔用水需定期更换，</w:t>
            </w:r>
            <w:r>
              <w:rPr>
                <w:rFonts w:hint="eastAsia" w:ascii="Times New Roman" w:hAnsi="Times New Roman" w:eastAsia="宋体"/>
                <w:color w:val="auto"/>
                <w:sz w:val="24"/>
                <w:szCs w:val="30"/>
              </w:rPr>
              <w:t>每</w:t>
            </w:r>
            <w:r>
              <w:rPr>
                <w:rFonts w:ascii="Times New Roman" w:hAnsi="Times New Roman" w:eastAsia="宋体"/>
                <w:color w:val="auto"/>
                <w:sz w:val="24"/>
                <w:szCs w:val="30"/>
              </w:rPr>
              <w:t>半年更换一次，每次更换量为3</w:t>
            </w:r>
            <w:r>
              <w:rPr>
                <w:rFonts w:hint="eastAsia" w:ascii="Times New Roman" w:hAnsi="Times New Roman" w:eastAsia="宋体"/>
                <w:color w:val="auto"/>
                <w:sz w:val="24"/>
                <w:szCs w:val="30"/>
              </w:rPr>
              <w:t>.0</w:t>
            </w:r>
            <w:r>
              <w:rPr>
                <w:rFonts w:ascii="Times New Roman" w:hAnsi="Times New Roman" w:eastAsia="宋体"/>
                <w:color w:val="auto"/>
                <w:sz w:val="24"/>
                <w:szCs w:val="30"/>
              </w:rPr>
              <w:t>m</w:t>
            </w:r>
            <w:r>
              <w:rPr>
                <w:rFonts w:ascii="Times New Roman" w:hAnsi="Times New Roman" w:eastAsia="宋体"/>
                <w:color w:val="auto"/>
                <w:sz w:val="24"/>
                <w:szCs w:val="30"/>
                <w:vertAlign w:val="superscript"/>
              </w:rPr>
              <w:t>3</w:t>
            </w:r>
            <w:r>
              <w:rPr>
                <w:rFonts w:ascii="Times New Roman" w:hAnsi="Times New Roman" w:eastAsia="宋体"/>
                <w:color w:val="auto"/>
                <w:sz w:val="24"/>
                <w:szCs w:val="30"/>
              </w:rPr>
              <w:t>（</w:t>
            </w:r>
            <w:r>
              <w:rPr>
                <w:rFonts w:hint="eastAsia" w:ascii="Times New Roman" w:hAnsi="Times New Roman" w:eastAsia="宋体"/>
                <w:color w:val="auto"/>
                <w:sz w:val="24"/>
                <w:szCs w:val="30"/>
              </w:rPr>
              <w:t>折合0.0</w:t>
            </w:r>
            <w:r>
              <w:rPr>
                <w:rFonts w:ascii="Times New Roman" w:hAnsi="Times New Roman" w:eastAsia="宋体"/>
                <w:color w:val="auto"/>
                <w:sz w:val="24"/>
                <w:szCs w:val="30"/>
              </w:rPr>
              <w:t>2m</w:t>
            </w:r>
            <w:r>
              <w:rPr>
                <w:rFonts w:ascii="Times New Roman" w:hAnsi="Times New Roman" w:eastAsia="宋体"/>
                <w:color w:val="auto"/>
                <w:sz w:val="24"/>
                <w:szCs w:val="30"/>
                <w:vertAlign w:val="superscript"/>
              </w:rPr>
              <w:t>3</w:t>
            </w:r>
            <w:r>
              <w:rPr>
                <w:rFonts w:ascii="Times New Roman" w:hAnsi="Times New Roman" w:eastAsia="宋体"/>
                <w:color w:val="auto"/>
                <w:sz w:val="24"/>
                <w:szCs w:val="30"/>
              </w:rPr>
              <w:t>/d）</w:t>
            </w:r>
            <w:r>
              <w:rPr>
                <w:rFonts w:hint="eastAsia" w:ascii="Times New Roman" w:hAnsi="Times New Roman" w:eastAsia="宋体"/>
                <w:color w:val="auto"/>
                <w:sz w:val="24"/>
                <w:szCs w:val="30"/>
              </w:rPr>
              <w:t>，因此</w:t>
            </w:r>
            <w:r>
              <w:rPr>
                <w:rFonts w:ascii="Times New Roman" w:hAnsi="Times New Roman" w:eastAsia="宋体"/>
                <w:color w:val="auto"/>
                <w:sz w:val="24"/>
                <w:szCs w:val="30"/>
              </w:rPr>
              <w:t>该过程废水量为6m</w:t>
            </w:r>
            <w:r>
              <w:rPr>
                <w:rFonts w:ascii="Times New Roman" w:hAnsi="Times New Roman" w:eastAsia="宋体"/>
                <w:color w:val="auto"/>
                <w:sz w:val="24"/>
                <w:szCs w:val="30"/>
                <w:vertAlign w:val="superscript"/>
              </w:rPr>
              <w:t>3</w:t>
            </w:r>
            <w:r>
              <w:rPr>
                <w:rFonts w:ascii="Times New Roman" w:hAnsi="Times New Roman" w:eastAsia="宋体"/>
                <w:color w:val="auto"/>
                <w:sz w:val="24"/>
                <w:szCs w:val="30"/>
              </w:rPr>
              <w:t>/a，</w:t>
            </w:r>
            <w:r>
              <w:rPr>
                <w:rFonts w:hint="eastAsia" w:ascii="Times New Roman" w:hAnsi="Times New Roman" w:eastAsia="宋体"/>
                <w:color w:val="auto"/>
                <w:sz w:val="24"/>
                <w:szCs w:val="30"/>
              </w:rPr>
              <w:t>更换</w:t>
            </w:r>
            <w:r>
              <w:rPr>
                <w:rFonts w:ascii="Times New Roman" w:hAnsi="Times New Roman" w:eastAsia="宋体"/>
                <w:color w:val="auto"/>
                <w:sz w:val="24"/>
                <w:szCs w:val="30"/>
              </w:rPr>
              <w:t>的废水作为</w:t>
            </w:r>
            <w:r>
              <w:rPr>
                <w:rFonts w:hint="eastAsia" w:ascii="Times New Roman" w:hAnsi="Times New Roman" w:eastAsia="宋体"/>
                <w:color w:val="auto"/>
                <w:sz w:val="24"/>
                <w:szCs w:val="30"/>
              </w:rPr>
              <w:t>危险</w:t>
            </w:r>
            <w:r>
              <w:rPr>
                <w:rFonts w:ascii="Times New Roman" w:hAnsi="Times New Roman" w:eastAsia="宋体"/>
                <w:color w:val="auto"/>
                <w:sz w:val="24"/>
                <w:szCs w:val="30"/>
              </w:rPr>
              <w:t>废物，委托有资质单位处理</w:t>
            </w:r>
            <w:r>
              <w:rPr>
                <w:rFonts w:hint="eastAsia" w:ascii="Times New Roman" w:hAnsi="Times New Roman" w:eastAsia="宋体"/>
                <w:color w:val="auto"/>
                <w:sz w:val="24"/>
                <w:szCs w:val="30"/>
              </w:rPr>
              <w:t>。</w:t>
            </w:r>
          </w:p>
          <w:p>
            <w:pPr>
              <w:spacing w:line="480" w:lineRule="exact"/>
              <w:ind w:firstLine="480" w:firstLineChars="200"/>
              <w:rPr>
                <w:rFonts w:ascii="Times New Roman" w:hAnsi="Times New Roman" w:eastAsia="宋体"/>
                <w:color w:val="auto"/>
                <w:sz w:val="24"/>
                <w:szCs w:val="30"/>
              </w:rPr>
            </w:pPr>
            <w:r>
              <w:rPr>
                <w:rFonts w:hint="eastAsia" w:ascii="Times New Roman" w:hAnsi="Times New Roman" w:eastAsia="宋体"/>
                <w:color w:val="auto"/>
                <w:sz w:val="24"/>
                <w:szCs w:val="30"/>
                <w:lang w:val="en-US" w:eastAsia="zh-CN"/>
              </w:rPr>
              <w:t>现有工程</w:t>
            </w:r>
            <w:r>
              <w:rPr>
                <w:rFonts w:hint="eastAsia" w:ascii="Times New Roman" w:hAnsi="Times New Roman" w:eastAsia="宋体"/>
                <w:color w:val="auto"/>
                <w:sz w:val="24"/>
                <w:szCs w:val="30"/>
              </w:rPr>
              <w:t>基体镀膜后一般采用风冷方式进行冷却，当产量较大时，一部分基体采用水冷方式进行冷却，水冷过程用水量为0.05m</w:t>
            </w:r>
            <w:r>
              <w:rPr>
                <w:rFonts w:hint="eastAsia" w:ascii="Times New Roman" w:hAnsi="Times New Roman" w:eastAsia="宋体"/>
                <w:color w:val="auto"/>
                <w:sz w:val="24"/>
                <w:szCs w:val="30"/>
                <w:vertAlign w:val="superscript"/>
              </w:rPr>
              <w:t>3</w:t>
            </w:r>
            <w:r>
              <w:rPr>
                <w:rFonts w:hint="eastAsia" w:ascii="Times New Roman" w:hAnsi="Times New Roman" w:eastAsia="宋体"/>
                <w:color w:val="auto"/>
                <w:sz w:val="24"/>
                <w:szCs w:val="30"/>
              </w:rPr>
              <w:t>/a，折合0.0002m</w:t>
            </w:r>
            <w:r>
              <w:rPr>
                <w:rFonts w:hint="eastAsia" w:ascii="Times New Roman" w:hAnsi="Times New Roman" w:eastAsia="宋体"/>
                <w:color w:val="auto"/>
                <w:sz w:val="24"/>
                <w:szCs w:val="30"/>
                <w:vertAlign w:val="superscript"/>
              </w:rPr>
              <w:t>3</w:t>
            </w:r>
            <w:r>
              <w:rPr>
                <w:rFonts w:hint="eastAsia" w:ascii="Times New Roman" w:hAnsi="Times New Roman" w:eastAsia="宋体"/>
                <w:color w:val="auto"/>
                <w:sz w:val="24"/>
                <w:szCs w:val="30"/>
              </w:rPr>
              <w:t>/d，该水循环使用，使用过程会蒸发损失一部分，损失量为0.00003m</w:t>
            </w:r>
            <w:r>
              <w:rPr>
                <w:rFonts w:hint="eastAsia" w:ascii="Times New Roman" w:hAnsi="Times New Roman" w:eastAsia="宋体"/>
                <w:color w:val="auto"/>
                <w:sz w:val="24"/>
                <w:szCs w:val="30"/>
                <w:vertAlign w:val="superscript"/>
              </w:rPr>
              <w:t>3</w:t>
            </w:r>
            <w:r>
              <w:rPr>
                <w:rFonts w:hint="eastAsia" w:ascii="Times New Roman" w:hAnsi="Times New Roman" w:eastAsia="宋体"/>
                <w:color w:val="auto"/>
                <w:sz w:val="24"/>
                <w:szCs w:val="30"/>
              </w:rPr>
              <w:t>/d（0.009m</w:t>
            </w:r>
            <w:r>
              <w:rPr>
                <w:rFonts w:hint="eastAsia" w:ascii="Times New Roman" w:hAnsi="Times New Roman" w:eastAsia="宋体"/>
                <w:color w:val="auto"/>
                <w:sz w:val="24"/>
                <w:szCs w:val="30"/>
                <w:vertAlign w:val="superscript"/>
              </w:rPr>
              <w:t>3</w:t>
            </w:r>
            <w:r>
              <w:rPr>
                <w:rFonts w:hint="eastAsia" w:ascii="Times New Roman" w:hAnsi="Times New Roman" w:eastAsia="宋体"/>
                <w:color w:val="auto"/>
                <w:sz w:val="24"/>
                <w:szCs w:val="30"/>
              </w:rPr>
              <w:t>/a），因此需定期补充新水0.00003m</w:t>
            </w:r>
            <w:r>
              <w:rPr>
                <w:rFonts w:hint="eastAsia" w:ascii="Times New Roman" w:hAnsi="Times New Roman" w:eastAsia="宋体"/>
                <w:color w:val="auto"/>
                <w:sz w:val="24"/>
                <w:szCs w:val="30"/>
                <w:vertAlign w:val="superscript"/>
              </w:rPr>
              <w:t>3</w:t>
            </w:r>
            <w:r>
              <w:rPr>
                <w:rFonts w:hint="eastAsia" w:ascii="Times New Roman" w:hAnsi="Times New Roman" w:eastAsia="宋体"/>
                <w:color w:val="auto"/>
                <w:sz w:val="24"/>
                <w:szCs w:val="30"/>
              </w:rPr>
              <w:t>/d（0.009m</w:t>
            </w:r>
            <w:r>
              <w:rPr>
                <w:rFonts w:hint="eastAsia" w:ascii="Times New Roman" w:hAnsi="Times New Roman" w:eastAsia="宋体"/>
                <w:color w:val="auto"/>
                <w:sz w:val="24"/>
                <w:szCs w:val="30"/>
                <w:vertAlign w:val="superscript"/>
              </w:rPr>
              <w:t>3</w:t>
            </w:r>
            <w:r>
              <w:rPr>
                <w:rFonts w:hint="eastAsia" w:ascii="Times New Roman" w:hAnsi="Times New Roman" w:eastAsia="宋体"/>
                <w:color w:val="auto"/>
                <w:sz w:val="24"/>
                <w:szCs w:val="30"/>
              </w:rPr>
              <w:t>/a），无废水排放。</w:t>
            </w:r>
          </w:p>
          <w:p>
            <w:pPr>
              <w:bidi w:val="0"/>
              <w:rPr>
                <w:b/>
                <w:bCs/>
                <w:color w:val="auto"/>
                <w:sz w:val="21"/>
                <w:szCs w:val="21"/>
                <w:highlight w:val="none"/>
              </w:rPr>
            </w:pPr>
            <w:r>
              <w:rPr>
                <w:rFonts w:hint="eastAsia" w:ascii="Times New Roman" w:hAnsi="Times New Roman" w:eastAsia="宋体"/>
                <w:color w:val="auto"/>
                <w:sz w:val="24"/>
                <w:szCs w:val="30"/>
                <w:lang w:val="en-US" w:eastAsia="zh-CN"/>
              </w:rPr>
              <w:t>厂区</w:t>
            </w:r>
            <w:r>
              <w:rPr>
                <w:rFonts w:ascii="Times New Roman" w:hAnsi="Times New Roman" w:eastAsia="宋体"/>
                <w:color w:val="auto"/>
                <w:sz w:val="24"/>
                <w:szCs w:val="30"/>
              </w:rPr>
              <w:t>不设食堂、宿舍和洗浴设施，厕所为</w:t>
            </w:r>
            <w:r>
              <w:rPr>
                <w:rFonts w:hint="eastAsia" w:ascii="Times New Roman" w:hAnsi="Times New Roman" w:eastAsia="宋体"/>
                <w:color w:val="auto"/>
                <w:sz w:val="24"/>
                <w:szCs w:val="30"/>
              </w:rPr>
              <w:t>水冲厕</w:t>
            </w:r>
            <w:r>
              <w:rPr>
                <w:rFonts w:ascii="Times New Roman" w:hAnsi="Times New Roman" w:eastAsia="宋体"/>
                <w:color w:val="auto"/>
                <w:sz w:val="24"/>
                <w:szCs w:val="30"/>
              </w:rPr>
              <w:t>。</w:t>
            </w:r>
            <w:r>
              <w:rPr>
                <w:rFonts w:hint="eastAsia" w:ascii="Times New Roman" w:hAnsi="Times New Roman" w:eastAsia="宋体"/>
                <w:color w:val="auto"/>
                <w:sz w:val="24"/>
                <w:szCs w:val="30"/>
              </w:rPr>
              <w:t>生活</w:t>
            </w:r>
            <w:r>
              <w:rPr>
                <w:rFonts w:ascii="Times New Roman" w:hAnsi="Times New Roman" w:eastAsia="宋体"/>
                <w:color w:val="auto"/>
                <w:sz w:val="24"/>
                <w:szCs w:val="30"/>
              </w:rPr>
              <w:t>用水主要为职工</w:t>
            </w:r>
            <w:r>
              <w:rPr>
                <w:rFonts w:hint="eastAsia" w:ascii="Times New Roman" w:hAnsi="Times New Roman" w:eastAsia="宋体"/>
                <w:color w:val="auto"/>
                <w:sz w:val="24"/>
                <w:szCs w:val="30"/>
              </w:rPr>
              <w:t>日常</w:t>
            </w:r>
            <w:r>
              <w:rPr>
                <w:rFonts w:ascii="Times New Roman" w:hAnsi="Times New Roman" w:eastAsia="宋体"/>
                <w:color w:val="auto"/>
                <w:sz w:val="24"/>
                <w:szCs w:val="30"/>
              </w:rPr>
              <w:t>饮用、盥洗及冲厕用水，用水量为</w:t>
            </w:r>
            <w:r>
              <w:rPr>
                <w:rFonts w:hint="eastAsia" w:ascii="Times New Roman" w:hAnsi="Times New Roman" w:eastAsia="宋体"/>
                <w:color w:val="auto"/>
                <w:sz w:val="24"/>
                <w:szCs w:val="30"/>
              </w:rPr>
              <w:t>0.</w:t>
            </w:r>
            <w:r>
              <w:rPr>
                <w:rFonts w:ascii="Times New Roman" w:hAnsi="Times New Roman" w:eastAsia="宋体"/>
                <w:color w:val="auto"/>
                <w:sz w:val="24"/>
                <w:szCs w:val="30"/>
              </w:rPr>
              <w:t>6m</w:t>
            </w:r>
            <w:r>
              <w:rPr>
                <w:rFonts w:ascii="Times New Roman" w:hAnsi="Times New Roman" w:eastAsia="宋体"/>
                <w:color w:val="auto"/>
                <w:sz w:val="24"/>
                <w:szCs w:val="30"/>
                <w:vertAlign w:val="superscript"/>
              </w:rPr>
              <w:t>3</w:t>
            </w:r>
            <w:r>
              <w:rPr>
                <w:rFonts w:ascii="Times New Roman" w:hAnsi="Times New Roman" w:eastAsia="宋体"/>
                <w:color w:val="auto"/>
                <w:sz w:val="24"/>
                <w:szCs w:val="30"/>
              </w:rPr>
              <w:t>/d（18</w:t>
            </w:r>
            <w:r>
              <w:rPr>
                <w:rFonts w:hint="eastAsia" w:ascii="Times New Roman" w:hAnsi="Times New Roman" w:eastAsia="宋体"/>
                <w:color w:val="auto"/>
                <w:sz w:val="24"/>
                <w:szCs w:val="30"/>
              </w:rPr>
              <w:t>0</w:t>
            </w:r>
            <w:r>
              <w:rPr>
                <w:rFonts w:ascii="Times New Roman" w:hAnsi="Times New Roman" w:eastAsia="宋体"/>
                <w:color w:val="auto"/>
                <w:sz w:val="24"/>
                <w:szCs w:val="30"/>
              </w:rPr>
              <w:t>m</w:t>
            </w:r>
            <w:r>
              <w:rPr>
                <w:rFonts w:ascii="Times New Roman" w:hAnsi="Times New Roman" w:eastAsia="宋体"/>
                <w:color w:val="auto"/>
                <w:sz w:val="24"/>
                <w:szCs w:val="30"/>
                <w:vertAlign w:val="superscript"/>
              </w:rPr>
              <w:t>3</w:t>
            </w:r>
            <w:r>
              <w:rPr>
                <w:rFonts w:ascii="Times New Roman" w:hAnsi="Times New Roman" w:eastAsia="宋体"/>
                <w:color w:val="auto"/>
                <w:sz w:val="24"/>
                <w:szCs w:val="30"/>
              </w:rPr>
              <w:t>/a）</w:t>
            </w:r>
            <w:r>
              <w:rPr>
                <w:rFonts w:hint="eastAsia" w:ascii="Times New Roman" w:hAnsi="Times New Roman" w:eastAsia="宋体"/>
                <w:color w:val="auto"/>
                <w:sz w:val="24"/>
                <w:szCs w:val="30"/>
                <w:lang w:eastAsia="zh-CN"/>
              </w:rPr>
              <w:t>，</w:t>
            </w:r>
            <w:r>
              <w:rPr>
                <w:rFonts w:hint="eastAsia" w:ascii="Times New Roman" w:hAnsi="Times New Roman" w:eastAsia="宋体"/>
                <w:snapToGrid w:val="0"/>
                <w:color w:val="auto"/>
                <w:kern w:val="0"/>
                <w:sz w:val="24"/>
              </w:rPr>
              <w:t>生活废水主要为职工日常盥洗和冲厕废水，废水</w:t>
            </w:r>
            <w:r>
              <w:rPr>
                <w:rFonts w:ascii="Times New Roman" w:hAnsi="Times New Roman" w:eastAsia="宋体"/>
                <w:snapToGrid w:val="0"/>
                <w:color w:val="auto"/>
                <w:kern w:val="0"/>
                <w:sz w:val="24"/>
              </w:rPr>
              <w:t>产生量为</w:t>
            </w:r>
            <w:r>
              <w:rPr>
                <w:rFonts w:hint="eastAsia" w:ascii="Times New Roman" w:hAnsi="Times New Roman" w:eastAsia="宋体"/>
                <w:snapToGrid w:val="0"/>
                <w:color w:val="auto"/>
                <w:kern w:val="0"/>
                <w:sz w:val="24"/>
              </w:rPr>
              <w:t>0.</w:t>
            </w:r>
            <w:r>
              <w:rPr>
                <w:rFonts w:ascii="Times New Roman" w:hAnsi="Times New Roman" w:eastAsia="宋体"/>
                <w:snapToGrid w:val="0"/>
                <w:color w:val="auto"/>
                <w:kern w:val="0"/>
                <w:sz w:val="24"/>
              </w:rPr>
              <w:t>48</w:t>
            </w:r>
            <w:r>
              <w:rPr>
                <w:rFonts w:hint="eastAsia" w:ascii="Times New Roman" w:hAnsi="Times New Roman" w:eastAsia="宋体"/>
                <w:snapToGrid w:val="0"/>
                <w:color w:val="auto"/>
                <w:kern w:val="0"/>
                <w:sz w:val="24"/>
              </w:rPr>
              <w:t>m</w:t>
            </w:r>
            <w:r>
              <w:rPr>
                <w:rFonts w:hint="eastAsia" w:ascii="Times New Roman" w:hAnsi="Times New Roman" w:eastAsia="宋体"/>
                <w:snapToGrid w:val="0"/>
                <w:color w:val="auto"/>
                <w:kern w:val="0"/>
                <w:sz w:val="24"/>
                <w:vertAlign w:val="superscript"/>
              </w:rPr>
              <w:t>3</w:t>
            </w:r>
            <w:r>
              <w:rPr>
                <w:rFonts w:ascii="Times New Roman" w:hAnsi="Times New Roman" w:eastAsia="宋体"/>
                <w:snapToGrid w:val="0"/>
                <w:color w:val="auto"/>
                <w:kern w:val="0"/>
                <w:sz w:val="24"/>
              </w:rPr>
              <w:t>/d（144</w:t>
            </w:r>
            <w:r>
              <w:rPr>
                <w:rFonts w:hint="eastAsia" w:ascii="Times New Roman" w:hAnsi="Times New Roman" w:eastAsia="宋体"/>
                <w:snapToGrid w:val="0"/>
                <w:color w:val="auto"/>
                <w:kern w:val="0"/>
                <w:sz w:val="24"/>
              </w:rPr>
              <w:t>m</w:t>
            </w:r>
            <w:r>
              <w:rPr>
                <w:rFonts w:hint="eastAsia" w:ascii="Times New Roman" w:hAnsi="Times New Roman" w:eastAsia="宋体"/>
                <w:snapToGrid w:val="0"/>
                <w:color w:val="auto"/>
                <w:kern w:val="0"/>
                <w:sz w:val="24"/>
                <w:vertAlign w:val="superscript"/>
              </w:rPr>
              <w:t>3</w:t>
            </w:r>
            <w:r>
              <w:rPr>
                <w:rFonts w:ascii="Times New Roman" w:hAnsi="Times New Roman" w:eastAsia="宋体"/>
                <w:snapToGrid w:val="0"/>
                <w:color w:val="auto"/>
                <w:kern w:val="0"/>
                <w:sz w:val="24"/>
              </w:rPr>
              <w:t>/a），排入</w:t>
            </w:r>
            <w:r>
              <w:rPr>
                <w:rFonts w:hint="eastAsia" w:ascii="Times New Roman" w:hAnsi="Times New Roman" w:eastAsia="宋体"/>
                <w:snapToGrid w:val="0"/>
                <w:color w:val="auto"/>
                <w:kern w:val="0"/>
                <w:sz w:val="24"/>
              </w:rPr>
              <w:t>市政污水管网</w:t>
            </w:r>
            <w:r>
              <w:rPr>
                <w:rFonts w:ascii="Times New Roman" w:hAnsi="Times New Roman" w:eastAsia="宋体"/>
                <w:snapToGrid w:val="0"/>
                <w:color w:val="auto"/>
                <w:kern w:val="0"/>
                <w:sz w:val="24"/>
              </w:rPr>
              <w:t>，最终</w:t>
            </w:r>
            <w:r>
              <w:rPr>
                <w:rFonts w:hint="eastAsia" w:ascii="Times New Roman" w:hAnsi="Times New Roman" w:eastAsia="宋体"/>
                <w:snapToGrid w:val="0"/>
                <w:color w:val="auto"/>
                <w:kern w:val="0"/>
                <w:sz w:val="24"/>
              </w:rPr>
              <w:t>排</w:t>
            </w:r>
            <w:r>
              <w:rPr>
                <w:rFonts w:ascii="Times New Roman" w:hAnsi="Times New Roman" w:eastAsia="宋体"/>
                <w:snapToGrid w:val="0"/>
                <w:color w:val="auto"/>
                <w:kern w:val="0"/>
                <w:sz w:val="24"/>
              </w:rPr>
              <w:t>入</w:t>
            </w:r>
            <w:r>
              <w:rPr>
                <w:rFonts w:hint="eastAsia"/>
                <w:snapToGrid w:val="0"/>
                <w:color w:val="auto"/>
                <w:kern w:val="0"/>
                <w:sz w:val="24"/>
                <w:lang w:val="en-US" w:eastAsia="zh-CN"/>
              </w:rPr>
              <w:t>西</w:t>
            </w:r>
            <w:r>
              <w:rPr>
                <w:rFonts w:hint="eastAsia" w:ascii="Times New Roman" w:hAnsi="Times New Roman" w:eastAsia="宋体"/>
                <w:snapToGrid w:val="0"/>
                <w:color w:val="auto"/>
                <w:kern w:val="0"/>
                <w:sz w:val="24"/>
              </w:rPr>
              <w:t>郊</w:t>
            </w:r>
            <w:r>
              <w:rPr>
                <w:rFonts w:ascii="Times New Roman" w:hAnsi="Times New Roman" w:eastAsia="宋体"/>
                <w:snapToGrid w:val="0"/>
                <w:color w:val="auto"/>
                <w:kern w:val="0"/>
                <w:sz w:val="24"/>
              </w:rPr>
              <w:t>污水处理厂统一处理。</w:t>
            </w:r>
          </w:p>
          <w:p>
            <w:pPr>
              <w:keepNext w:val="0"/>
              <w:keepLines w:val="0"/>
              <w:pageBreakBefore w:val="0"/>
              <w:widowControl w:val="0"/>
              <w:tabs>
                <w:tab w:val="left" w:pos="3061"/>
                <w:tab w:val="left" w:pos="7180"/>
              </w:tabs>
              <w:kinsoku/>
              <w:wordWrap/>
              <w:overflowPunct/>
              <w:topLinePunct w:val="0"/>
              <w:autoSpaceDE/>
              <w:autoSpaceDN/>
              <w:bidi w:val="0"/>
              <w:adjustRightInd/>
              <w:snapToGrid/>
              <w:spacing w:line="240" w:lineRule="auto"/>
              <w:ind w:left="0" w:firstLine="0" w:firstLineChars="0"/>
              <w:jc w:val="center"/>
              <w:textAlignment w:val="auto"/>
              <w:rPr>
                <w:b/>
                <w:bCs/>
                <w:color w:val="auto"/>
                <w:sz w:val="21"/>
                <w:szCs w:val="21"/>
                <w:highlight w:val="none"/>
              </w:rPr>
            </w:pPr>
            <w:r>
              <w:rPr>
                <w:color w:val="auto"/>
              </w:rPr>
              <w:drawing>
                <wp:inline distT="0" distB="0" distL="114300" distR="114300">
                  <wp:extent cx="4466590" cy="3060065"/>
                  <wp:effectExtent l="0" t="0" r="10160" b="6985"/>
                  <wp:docPr id="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7"/>
                          <pic:cNvPicPr>
                            <a:picLocks noChangeAspect="1"/>
                          </pic:cNvPicPr>
                        </pic:nvPicPr>
                        <pic:blipFill>
                          <a:blip r:embed="rId12"/>
                          <a:stretch>
                            <a:fillRect/>
                          </a:stretch>
                        </pic:blipFill>
                        <pic:spPr>
                          <a:xfrm>
                            <a:off x="0" y="0"/>
                            <a:ext cx="4466590" cy="3060065"/>
                          </a:xfrm>
                          <a:prstGeom prst="rect">
                            <a:avLst/>
                          </a:prstGeom>
                          <a:noFill/>
                          <a:ln>
                            <a:noFill/>
                          </a:ln>
                        </pic:spPr>
                      </pic:pic>
                    </a:graphicData>
                  </a:graphic>
                </wp:inline>
              </w:drawing>
            </w:r>
          </w:p>
          <w:p>
            <w:pPr>
              <w:keepNext w:val="0"/>
              <w:keepLines w:val="0"/>
              <w:pageBreakBefore w:val="0"/>
              <w:widowControl w:val="0"/>
              <w:tabs>
                <w:tab w:val="left" w:pos="3061"/>
                <w:tab w:val="left" w:pos="7180"/>
              </w:tabs>
              <w:kinsoku/>
              <w:wordWrap/>
              <w:overflowPunct/>
              <w:topLinePunct w:val="0"/>
              <w:autoSpaceDE/>
              <w:autoSpaceDN/>
              <w:bidi w:val="0"/>
              <w:adjustRightInd/>
              <w:snapToGrid/>
              <w:ind w:left="0" w:firstLine="0" w:firstLineChars="0"/>
              <w:jc w:val="center"/>
              <w:textAlignment w:val="auto"/>
              <w:rPr>
                <w:b/>
                <w:bCs/>
                <w:color w:val="auto"/>
                <w:sz w:val="21"/>
                <w:szCs w:val="21"/>
                <w:highlight w:val="none"/>
              </w:rPr>
            </w:pPr>
            <w:r>
              <w:rPr>
                <w:rFonts w:hint="eastAsia"/>
                <w:b/>
                <w:bCs/>
                <w:color w:val="auto"/>
                <w:sz w:val="21"/>
                <w:szCs w:val="21"/>
                <w:highlight w:val="none"/>
                <w:lang w:val="en-US" w:eastAsia="zh-CN"/>
              </w:rPr>
              <w:t xml:space="preserve">图1  现有工程水量平衡图  </w:t>
            </w:r>
            <w:r>
              <w:rPr>
                <w:b/>
                <w:bCs/>
                <w:color w:val="auto"/>
                <w:sz w:val="21"/>
                <w:szCs w:val="21"/>
                <w:highlight w:val="none"/>
              </w:rPr>
              <w:t>单位：m</w:t>
            </w:r>
            <w:r>
              <w:rPr>
                <w:b/>
                <w:bCs/>
                <w:color w:val="auto"/>
                <w:sz w:val="21"/>
                <w:szCs w:val="21"/>
                <w:highlight w:val="none"/>
                <w:vertAlign w:val="superscript"/>
              </w:rPr>
              <w:t>3</w:t>
            </w:r>
            <w:r>
              <w:rPr>
                <w:b/>
                <w:bCs/>
                <w:color w:val="auto"/>
                <w:sz w:val="21"/>
                <w:szCs w:val="21"/>
                <w:highlight w:val="none"/>
              </w:rPr>
              <w:t>/d</w:t>
            </w:r>
          </w:p>
          <w:p>
            <w:pPr>
              <w:bidi w:val="0"/>
              <w:rPr>
                <w:rFonts w:hint="default"/>
                <w:color w:val="auto"/>
                <w:sz w:val="24"/>
                <w:szCs w:val="24"/>
                <w:highlight w:val="none"/>
                <w:lang w:val="en-US"/>
              </w:rPr>
            </w:pPr>
            <w:r>
              <w:rPr>
                <w:rFonts w:hint="default"/>
                <w:color w:val="auto"/>
                <w:sz w:val="24"/>
                <w:szCs w:val="24"/>
                <w:highlight w:val="none"/>
              </w:rPr>
              <w:t>取暖：</w:t>
            </w:r>
            <w:r>
              <w:rPr>
                <w:rFonts w:hint="eastAsia"/>
                <w:color w:val="auto"/>
                <w:highlight w:val="none"/>
                <w:lang w:val="en-US" w:eastAsia="zh-CN"/>
              </w:rPr>
              <w:t>现有工程生产区域不设取暖设施，办公取暖采用单体空调，以电为能源。</w:t>
            </w:r>
          </w:p>
          <w:p>
            <w:pPr>
              <w:bidi w:val="0"/>
              <w:rPr>
                <w:rFonts w:hint="default"/>
                <w:color w:val="auto"/>
                <w:sz w:val="24"/>
                <w:szCs w:val="24"/>
                <w:highlight w:val="none"/>
                <w:lang w:val="en-US" w:eastAsia="zh-CN"/>
              </w:rPr>
            </w:pPr>
            <w:r>
              <w:rPr>
                <w:rFonts w:hint="eastAsia"/>
                <w:color w:val="auto"/>
                <w:sz w:val="24"/>
                <w:szCs w:val="24"/>
                <w:highlight w:val="none"/>
                <w:lang w:val="en-US" w:eastAsia="zh-CN"/>
              </w:rPr>
              <w:t>9、生产工艺流程</w:t>
            </w:r>
          </w:p>
          <w:p>
            <w:pPr>
              <w:spacing w:line="480" w:lineRule="exact"/>
              <w:ind w:firstLine="480" w:firstLineChars="200"/>
              <w:rPr>
                <w:rFonts w:ascii="Times New Roman" w:hAnsi="Times New Roman" w:eastAsia="宋体"/>
                <w:color w:val="auto"/>
                <w:sz w:val="24"/>
                <w:szCs w:val="30"/>
              </w:rPr>
            </w:pPr>
            <w:r>
              <w:rPr>
                <w:rFonts w:hint="eastAsia"/>
                <w:color w:val="auto"/>
                <w:highlight w:val="none"/>
                <w:lang w:val="en-US" w:eastAsia="zh-CN"/>
              </w:rPr>
              <w:t>现有工程主要生产</w:t>
            </w:r>
            <w:r>
              <w:rPr>
                <w:rFonts w:ascii="Times New Roman" w:hAnsi="Times New Roman" w:eastAsia="宋体"/>
                <w:color w:val="auto"/>
                <w:sz w:val="24"/>
                <w:szCs w:val="30"/>
              </w:rPr>
              <w:t>石墨烯</w:t>
            </w:r>
            <w:r>
              <w:rPr>
                <w:rFonts w:hint="eastAsia" w:ascii="Times New Roman" w:hAnsi="Times New Roman" w:eastAsia="宋体"/>
                <w:color w:val="auto"/>
                <w:sz w:val="24"/>
                <w:szCs w:val="30"/>
              </w:rPr>
              <w:t>电发热</w:t>
            </w:r>
            <w:r>
              <w:rPr>
                <w:rFonts w:ascii="Times New Roman" w:hAnsi="Times New Roman" w:eastAsia="宋体"/>
                <w:color w:val="auto"/>
                <w:sz w:val="24"/>
                <w:szCs w:val="30"/>
              </w:rPr>
              <w:t>元件</w:t>
            </w:r>
            <w:r>
              <w:rPr>
                <w:rFonts w:hint="eastAsia"/>
                <w:color w:val="auto"/>
                <w:sz w:val="24"/>
                <w:szCs w:val="30"/>
                <w:lang w:eastAsia="zh-CN"/>
              </w:rPr>
              <w:t>（</w:t>
            </w:r>
            <w:r>
              <w:rPr>
                <w:rFonts w:hint="eastAsia"/>
                <w:color w:val="auto"/>
                <w:sz w:val="24"/>
                <w:szCs w:val="30"/>
                <w:lang w:val="en-US" w:eastAsia="zh-CN"/>
              </w:rPr>
              <w:t>石墨烯电发热体</w:t>
            </w:r>
            <w:r>
              <w:rPr>
                <w:rFonts w:hint="eastAsia"/>
                <w:color w:val="auto"/>
                <w:sz w:val="24"/>
                <w:szCs w:val="30"/>
                <w:lang w:eastAsia="zh-CN"/>
              </w:rPr>
              <w:t>）</w:t>
            </w:r>
            <w:r>
              <w:rPr>
                <w:rFonts w:ascii="Times New Roman" w:hAnsi="Times New Roman" w:eastAsia="宋体"/>
                <w:color w:val="auto"/>
                <w:sz w:val="24"/>
                <w:szCs w:val="30"/>
              </w:rPr>
              <w:t>，生产工艺流程如下：</w:t>
            </w:r>
          </w:p>
          <w:p>
            <w:pPr>
              <w:spacing w:line="480" w:lineRule="exact"/>
              <w:ind w:firstLine="480" w:firstLineChars="200"/>
              <w:rPr>
                <w:rFonts w:ascii="Times New Roman" w:hAnsi="Times New Roman" w:eastAsia="宋体" w:cstheme="minorEastAsia"/>
                <w:color w:val="auto"/>
                <w:sz w:val="24"/>
              </w:rPr>
            </w:pPr>
            <w:r>
              <w:rPr>
                <w:rFonts w:hint="eastAsia" w:ascii="Times New Roman" w:hAnsi="Times New Roman" w:eastAsia="宋体" w:cstheme="minorEastAsia"/>
                <w:color w:val="auto"/>
                <w:sz w:val="24"/>
              </w:rPr>
              <w:t>本项目石墨烯电发热</w:t>
            </w:r>
            <w:r>
              <w:rPr>
                <w:rFonts w:ascii="Times New Roman" w:hAnsi="Times New Roman" w:eastAsia="宋体" w:cstheme="minorEastAsia"/>
                <w:color w:val="auto"/>
                <w:sz w:val="24"/>
              </w:rPr>
              <w:t>元件</w:t>
            </w:r>
            <w:r>
              <w:rPr>
                <w:rFonts w:hint="eastAsia" w:ascii="Times New Roman" w:hAnsi="Times New Roman" w:eastAsia="宋体" w:cstheme="minorEastAsia"/>
                <w:color w:val="auto"/>
                <w:sz w:val="24"/>
              </w:rPr>
              <w:t>主要以石英管、云母板、镀膜液、电极银浆等为原料，经过镀膜、冷却、印电极、烘干、烧结还原、冷却、组装等工艺进行生产，其中镀膜液、电极银浆采购已配制好的成品，不在厂内调配，可以直接用于生产。具体生产工艺如下：</w:t>
            </w:r>
          </w:p>
          <w:p>
            <w:pPr>
              <w:spacing w:line="480" w:lineRule="exact"/>
              <w:ind w:firstLine="480" w:firstLineChars="200"/>
              <w:rPr>
                <w:rFonts w:ascii="Times New Roman" w:hAnsi="Times New Roman" w:eastAsia="宋体" w:cstheme="minorEastAsia"/>
                <w:color w:val="auto"/>
                <w:sz w:val="24"/>
              </w:rPr>
            </w:pPr>
            <w:r>
              <w:rPr>
                <w:rFonts w:hint="eastAsia" w:ascii="Times New Roman" w:hAnsi="Times New Roman" w:eastAsia="宋体" w:cstheme="minorEastAsia"/>
                <w:color w:val="auto"/>
                <w:sz w:val="24"/>
              </w:rPr>
              <w:t>①购置原料：将购置的原料（石英管、云母板、镀膜液、电极银浆等）由汽车运输至厂内，存入生产车间内原料区。</w:t>
            </w:r>
          </w:p>
          <w:p>
            <w:pPr>
              <w:spacing w:line="480" w:lineRule="exact"/>
              <w:ind w:firstLine="480" w:firstLineChars="200"/>
              <w:rPr>
                <w:rFonts w:ascii="Times New Roman" w:hAnsi="Times New Roman" w:eastAsia="宋体" w:cstheme="minorEastAsia"/>
                <w:color w:val="auto"/>
                <w:sz w:val="24"/>
              </w:rPr>
            </w:pPr>
            <w:r>
              <w:rPr>
                <w:rFonts w:hint="eastAsia" w:ascii="Times New Roman" w:hAnsi="Times New Roman" w:eastAsia="宋体" w:cstheme="minorEastAsia"/>
                <w:color w:val="auto"/>
                <w:sz w:val="24"/>
              </w:rPr>
              <w:t>②镀膜：本项目使用的镀膜液为桶装包装液体，成分为醋酸锌、醋酸铝、氯化镍、氯化钾、氢氟酸以及酒精。</w:t>
            </w:r>
          </w:p>
          <w:p>
            <w:pPr>
              <w:spacing w:line="480" w:lineRule="exact"/>
              <w:ind w:firstLine="480" w:firstLineChars="200"/>
              <w:rPr>
                <w:rFonts w:ascii="Times New Roman" w:hAnsi="Times New Roman" w:eastAsia="宋体" w:cstheme="minorEastAsia"/>
                <w:color w:val="auto"/>
                <w:sz w:val="24"/>
              </w:rPr>
            </w:pPr>
            <w:r>
              <w:rPr>
                <w:rFonts w:hint="eastAsia" w:ascii="Times New Roman" w:hAnsi="Times New Roman" w:eastAsia="宋体" w:cstheme="minorEastAsia"/>
                <w:color w:val="auto"/>
                <w:sz w:val="24"/>
              </w:rPr>
              <w:t>生产时，石墨烯由研磨机研磨成纳米级，研磨过程为真空加湿研磨，研磨后由人工将镀膜液与石墨烯一起倒入容积约为200m</w:t>
            </w:r>
            <w:r>
              <w:rPr>
                <w:rFonts w:hint="eastAsia" w:ascii="Times New Roman" w:hAnsi="Times New Roman" w:eastAsia="宋体" w:cstheme="minorEastAsia"/>
                <w:color w:val="auto"/>
                <w:sz w:val="24"/>
                <w:lang w:val="en-US" w:eastAsia="zh-CN"/>
              </w:rPr>
              <w:t>L</w:t>
            </w:r>
            <w:r>
              <w:rPr>
                <w:rFonts w:hint="eastAsia" w:ascii="Times New Roman" w:hAnsi="Times New Roman" w:eastAsia="宋体" w:cstheme="minorEastAsia"/>
                <w:color w:val="auto"/>
                <w:sz w:val="24"/>
              </w:rPr>
              <w:t>的玻璃容器内，</w:t>
            </w:r>
            <w:r>
              <w:rPr>
                <w:rFonts w:hint="eastAsia"/>
                <w:color w:val="auto"/>
                <w:lang w:val="en-US" w:eastAsia="zh-CN"/>
              </w:rPr>
              <w:t>调配成使用的镀膜液。</w:t>
            </w:r>
            <w:r>
              <w:rPr>
                <w:rFonts w:hint="eastAsia" w:ascii="Times New Roman" w:hAnsi="Times New Roman" w:eastAsia="宋体" w:cstheme="minorEastAsia"/>
                <w:color w:val="auto"/>
                <w:sz w:val="24"/>
                <w:highlight w:val="none"/>
              </w:rPr>
              <w:t>将石英管或云母板人工放置在封闭镀膜机（蒸镀炉或喷镀炉）</w:t>
            </w:r>
            <w:r>
              <w:rPr>
                <w:rFonts w:hint="eastAsia" w:ascii="Times New Roman" w:hAnsi="Times New Roman" w:eastAsia="宋体" w:cstheme="minorEastAsia"/>
                <w:color w:val="auto"/>
                <w:sz w:val="24"/>
              </w:rPr>
              <w:t>内。待石英管或云母板置于镀膜机内后，设备通过电加热方式开始预热升温，当设备内温度达到600℃时，开始镀膜。</w:t>
            </w:r>
          </w:p>
          <w:p>
            <w:pPr>
              <w:spacing w:line="480" w:lineRule="exact"/>
              <w:ind w:firstLine="480" w:firstLineChars="200"/>
              <w:rPr>
                <w:rFonts w:ascii="Times New Roman" w:hAnsi="Times New Roman" w:eastAsia="宋体" w:cstheme="minorEastAsia"/>
                <w:color w:val="auto"/>
                <w:sz w:val="24"/>
              </w:rPr>
            </w:pPr>
            <w:r>
              <w:rPr>
                <w:rFonts w:hint="eastAsia" w:ascii="Times New Roman" w:hAnsi="Times New Roman" w:eastAsia="宋体" w:cstheme="minorEastAsia"/>
                <w:color w:val="auto"/>
                <w:sz w:val="24"/>
              </w:rPr>
              <w:t>蒸镀过程：当蒸镀炉内温度达到600</w:t>
            </w:r>
            <w:r>
              <w:rPr>
                <w:rFonts w:hint="default" w:ascii="Times New Roman" w:hAnsi="Times New Roman" w:eastAsia="宋体" w:cs="Times New Roman"/>
                <w:color w:val="auto"/>
                <w:sz w:val="24"/>
              </w:rPr>
              <w:t>℃</w:t>
            </w:r>
            <w:r>
              <w:rPr>
                <w:rFonts w:hint="eastAsia" w:ascii="Times New Roman" w:hAnsi="Times New Roman" w:eastAsia="宋体" w:cstheme="minorEastAsia"/>
                <w:color w:val="auto"/>
                <w:sz w:val="24"/>
              </w:rPr>
              <w:t>时，通过中低温将托盘中的镀膜液蒸发，从而吸附到石英管表面，形成导电薄膜。</w:t>
            </w:r>
          </w:p>
          <w:p>
            <w:pPr>
              <w:spacing w:line="480" w:lineRule="exact"/>
              <w:ind w:firstLine="480" w:firstLineChars="200"/>
              <w:rPr>
                <w:rFonts w:ascii="Times New Roman" w:hAnsi="Times New Roman" w:eastAsia="宋体" w:cstheme="minorEastAsia"/>
                <w:color w:val="auto"/>
                <w:sz w:val="24"/>
              </w:rPr>
            </w:pPr>
            <w:r>
              <w:rPr>
                <w:rFonts w:hint="eastAsia" w:ascii="Times New Roman" w:hAnsi="Times New Roman" w:eastAsia="宋体" w:cstheme="minorEastAsia"/>
                <w:color w:val="auto"/>
                <w:sz w:val="24"/>
              </w:rPr>
              <w:t>喷镀过程：当喷镀炉内温度达到600</w:t>
            </w:r>
            <w:r>
              <w:rPr>
                <w:rFonts w:hint="default" w:ascii="Times New Roman" w:hAnsi="Times New Roman" w:eastAsia="宋体" w:cs="Times New Roman"/>
                <w:color w:val="auto"/>
                <w:sz w:val="24"/>
              </w:rPr>
              <w:t>℃</w:t>
            </w:r>
            <w:r>
              <w:rPr>
                <w:rFonts w:hint="eastAsia" w:ascii="Times New Roman" w:hAnsi="Times New Roman" w:eastAsia="宋体" w:cstheme="minorEastAsia"/>
                <w:color w:val="auto"/>
                <w:sz w:val="24"/>
              </w:rPr>
              <w:t>时，通过喷射装置自下而上将镀膜液均匀的喷涂到石英管上。</w:t>
            </w:r>
          </w:p>
          <w:p>
            <w:pPr>
              <w:spacing w:line="480" w:lineRule="exact"/>
              <w:ind w:firstLine="480" w:firstLineChars="200"/>
              <w:rPr>
                <w:rFonts w:ascii="Times New Roman" w:hAnsi="Times New Roman" w:eastAsia="宋体" w:cstheme="minorEastAsia"/>
                <w:color w:val="auto"/>
                <w:sz w:val="24"/>
              </w:rPr>
            </w:pPr>
            <w:r>
              <w:rPr>
                <w:rFonts w:hint="eastAsia" w:ascii="Times New Roman" w:hAnsi="Times New Roman" w:eastAsia="宋体" w:cstheme="minorEastAsia"/>
                <w:color w:val="auto"/>
                <w:sz w:val="24"/>
              </w:rPr>
              <w:t>镀膜时，玻璃容器内的镀膜液利用空气压缩机提供的空气动力，通过气动软管在0.7MPa压力下由设置在镀膜机内部的可移动式喷头喷出，并落至石英管或云母板基体外表面（喷头固定在可移动轨道上，可实现喷头在基体表面的移动）。镀膜过程是在高温条件下进行的，镀膜液喷出后气化形成烟雾，当蒸汽接触加热的基体（石英管或云母板）时，在其表面发生水解反应，在基体的表面形成石墨烯——锌铝镍钾多元复合金属薄膜。</w:t>
            </w:r>
          </w:p>
          <w:p>
            <w:pPr>
              <w:spacing w:line="480" w:lineRule="exact"/>
              <w:ind w:firstLine="480" w:firstLineChars="200"/>
              <w:rPr>
                <w:rFonts w:ascii="Times New Roman" w:hAnsi="Times New Roman" w:eastAsia="宋体" w:cstheme="minorEastAsia"/>
                <w:color w:val="auto"/>
                <w:sz w:val="24"/>
              </w:rPr>
            </w:pPr>
            <w:r>
              <w:rPr>
                <w:rFonts w:hint="eastAsia" w:ascii="Times New Roman" w:hAnsi="Times New Roman" w:eastAsia="宋体" w:cstheme="minorEastAsia"/>
                <w:color w:val="auto"/>
                <w:sz w:val="24"/>
              </w:rPr>
              <w:t>其镀膜原理为：</w:t>
            </w:r>
            <w:r>
              <w:rPr>
                <w:rFonts w:hint="eastAsia" w:ascii="Times New Roman" w:hAnsi="Times New Roman" w:eastAsia="宋体" w:cstheme="minorEastAsia"/>
                <w:color w:val="auto"/>
                <w:sz w:val="24"/>
                <w:lang w:val="en-US" w:eastAsia="zh-CN"/>
              </w:rPr>
              <w:t>(</w:t>
            </w:r>
            <w:r>
              <w:rPr>
                <w:rFonts w:hint="eastAsia" w:ascii="Times New Roman" w:hAnsi="Times New Roman" w:eastAsia="宋体" w:cstheme="minorEastAsia"/>
                <w:color w:val="auto"/>
                <w:sz w:val="24"/>
              </w:rPr>
              <w:t>CH</w:t>
            </w:r>
            <w:r>
              <w:rPr>
                <w:rFonts w:hint="eastAsia" w:ascii="Times New Roman" w:hAnsi="Times New Roman" w:eastAsia="宋体" w:cstheme="minorEastAsia"/>
                <w:color w:val="auto"/>
                <w:sz w:val="24"/>
                <w:vertAlign w:val="subscript"/>
              </w:rPr>
              <w:t>3</w:t>
            </w:r>
            <w:r>
              <w:rPr>
                <w:rFonts w:hint="eastAsia" w:ascii="Times New Roman" w:hAnsi="Times New Roman" w:eastAsia="宋体" w:cstheme="minorEastAsia"/>
                <w:color w:val="auto"/>
                <w:sz w:val="24"/>
              </w:rPr>
              <w:t>COO</w:t>
            </w:r>
            <w:r>
              <w:rPr>
                <w:rFonts w:hint="eastAsia" w:ascii="Times New Roman" w:hAnsi="Times New Roman" w:eastAsia="宋体" w:cstheme="minorEastAsia"/>
                <w:color w:val="auto"/>
                <w:sz w:val="24"/>
                <w:lang w:val="en-US" w:eastAsia="zh-CN"/>
              </w:rPr>
              <w:t>)</w:t>
            </w:r>
            <w:r>
              <w:rPr>
                <w:rFonts w:hint="eastAsia" w:ascii="Times New Roman" w:hAnsi="Times New Roman" w:eastAsia="宋体" w:cstheme="minorEastAsia"/>
                <w:color w:val="auto"/>
                <w:sz w:val="24"/>
                <w:vertAlign w:val="subscript"/>
              </w:rPr>
              <w:t>2</w:t>
            </w:r>
            <w:r>
              <w:rPr>
                <w:rFonts w:hint="eastAsia" w:ascii="Times New Roman" w:hAnsi="Times New Roman" w:eastAsia="宋体" w:cstheme="minorEastAsia"/>
                <w:color w:val="auto"/>
                <w:sz w:val="24"/>
              </w:rPr>
              <w:t>Zn、C</w:t>
            </w:r>
            <w:r>
              <w:rPr>
                <w:rFonts w:hint="eastAsia" w:ascii="Times New Roman" w:hAnsi="Times New Roman" w:eastAsia="宋体" w:cstheme="minorEastAsia"/>
                <w:color w:val="auto"/>
                <w:sz w:val="24"/>
                <w:vertAlign w:val="subscript"/>
              </w:rPr>
              <w:t>6</w:t>
            </w:r>
            <w:r>
              <w:rPr>
                <w:rFonts w:hint="eastAsia" w:ascii="Times New Roman" w:hAnsi="Times New Roman" w:eastAsia="宋体" w:cstheme="minorEastAsia"/>
                <w:color w:val="auto"/>
                <w:sz w:val="24"/>
              </w:rPr>
              <w:t>H</w:t>
            </w:r>
            <w:r>
              <w:rPr>
                <w:rFonts w:hint="eastAsia" w:ascii="Times New Roman" w:hAnsi="Times New Roman" w:eastAsia="宋体" w:cstheme="minorEastAsia"/>
                <w:color w:val="auto"/>
                <w:sz w:val="24"/>
                <w:vertAlign w:val="subscript"/>
              </w:rPr>
              <w:t>9</w:t>
            </w:r>
            <w:r>
              <w:rPr>
                <w:rFonts w:hint="eastAsia" w:ascii="Times New Roman" w:hAnsi="Times New Roman" w:eastAsia="宋体" w:cstheme="minorEastAsia"/>
                <w:color w:val="auto"/>
                <w:sz w:val="24"/>
              </w:rPr>
              <w:t>A1O</w:t>
            </w:r>
            <w:r>
              <w:rPr>
                <w:rFonts w:hint="eastAsia" w:ascii="Times New Roman" w:hAnsi="Times New Roman" w:eastAsia="宋体" w:cstheme="minorEastAsia"/>
                <w:color w:val="auto"/>
                <w:sz w:val="24"/>
                <w:vertAlign w:val="subscript"/>
              </w:rPr>
              <w:t>6</w:t>
            </w:r>
            <w:r>
              <w:rPr>
                <w:rFonts w:hint="eastAsia" w:ascii="Times New Roman" w:hAnsi="Times New Roman" w:eastAsia="宋体" w:cstheme="minorEastAsia"/>
                <w:color w:val="auto"/>
                <w:sz w:val="24"/>
              </w:rPr>
              <w:t>、NiC1</w:t>
            </w:r>
            <w:r>
              <w:rPr>
                <w:rFonts w:hint="eastAsia" w:ascii="Times New Roman" w:hAnsi="Times New Roman" w:eastAsia="宋体" w:cstheme="minorEastAsia"/>
                <w:color w:val="auto"/>
                <w:sz w:val="24"/>
                <w:vertAlign w:val="subscript"/>
              </w:rPr>
              <w:t>2</w:t>
            </w:r>
            <w:r>
              <w:rPr>
                <w:rFonts w:hint="eastAsia" w:ascii="Times New Roman" w:hAnsi="Times New Roman" w:eastAsia="宋体" w:cstheme="minorEastAsia"/>
                <w:color w:val="auto"/>
                <w:sz w:val="24"/>
              </w:rPr>
              <w:t>、KC1的酸溶液在600</w:t>
            </w:r>
            <w:r>
              <w:rPr>
                <w:rFonts w:hint="default" w:ascii="Times New Roman" w:hAnsi="Times New Roman" w:eastAsia="宋体" w:cs="Times New Roman"/>
                <w:color w:val="auto"/>
                <w:sz w:val="24"/>
              </w:rPr>
              <w:t>℃</w:t>
            </w:r>
            <w:r>
              <w:rPr>
                <w:rFonts w:hint="eastAsia" w:ascii="Times New Roman" w:hAnsi="Times New Roman" w:eastAsia="宋体" w:cstheme="minorEastAsia"/>
                <w:color w:val="auto"/>
                <w:sz w:val="24"/>
              </w:rPr>
              <w:t>条件下，气化形成烟雾，在加热的基体表面发生水解反应：</w:t>
            </w:r>
          </w:p>
          <w:p>
            <w:pPr>
              <w:spacing w:line="480" w:lineRule="exact"/>
              <w:jc w:val="center"/>
              <w:rPr>
                <w:rFonts w:ascii="Times New Roman" w:hAnsi="Times New Roman" w:eastAsia="宋体" w:cstheme="minorEastAsia"/>
                <w:color w:val="auto"/>
                <w:sz w:val="24"/>
              </w:rPr>
            </w:pPr>
            <w:r>
              <w:rPr>
                <w:rFonts w:hint="eastAsia" w:ascii="Times New Roman" w:hAnsi="Times New Roman" w:eastAsia="宋体" w:cstheme="minorEastAsia"/>
                <w:color w:val="auto"/>
                <w:sz w:val="24"/>
              </w:rPr>
              <w:t>(CH</w:t>
            </w:r>
            <w:r>
              <w:rPr>
                <w:rFonts w:hint="eastAsia" w:ascii="Times New Roman" w:hAnsi="Times New Roman" w:eastAsia="宋体" w:cstheme="minorEastAsia"/>
                <w:color w:val="auto"/>
                <w:sz w:val="24"/>
                <w:vertAlign w:val="subscript"/>
              </w:rPr>
              <w:t>3</w:t>
            </w:r>
            <w:r>
              <w:rPr>
                <w:rFonts w:hint="eastAsia" w:ascii="Times New Roman" w:hAnsi="Times New Roman" w:eastAsia="宋体" w:cstheme="minorEastAsia"/>
                <w:color w:val="auto"/>
                <w:sz w:val="24"/>
              </w:rPr>
              <w:t>COO)</w:t>
            </w:r>
            <w:r>
              <w:rPr>
                <w:rFonts w:hint="eastAsia" w:ascii="Times New Roman" w:hAnsi="Times New Roman" w:eastAsia="宋体" w:cstheme="minorEastAsia"/>
                <w:color w:val="auto"/>
                <w:sz w:val="24"/>
                <w:vertAlign w:val="subscript"/>
              </w:rPr>
              <w:t>2</w:t>
            </w:r>
            <w:r>
              <w:rPr>
                <w:rFonts w:hint="eastAsia" w:ascii="Times New Roman" w:hAnsi="Times New Roman" w:eastAsia="宋体" w:cstheme="minorEastAsia"/>
                <w:color w:val="auto"/>
                <w:sz w:val="24"/>
              </w:rPr>
              <w:t>Zn</w:t>
            </w:r>
            <w:r>
              <w:rPr>
                <w:rFonts w:ascii="Times New Roman" w:hAnsi="Times New Roman" w:eastAsia="宋体" w:cstheme="minorEastAsia"/>
                <w:color w:val="auto"/>
                <w:sz w:val="24"/>
              </w:rPr>
              <w:t>+H</w:t>
            </w:r>
            <w:r>
              <w:rPr>
                <w:rFonts w:ascii="Times New Roman" w:hAnsi="Times New Roman" w:eastAsia="宋体" w:cstheme="minorEastAsia"/>
                <w:color w:val="auto"/>
                <w:sz w:val="24"/>
                <w:vertAlign w:val="subscript"/>
              </w:rPr>
              <w:t>2</w:t>
            </w:r>
            <w:r>
              <w:rPr>
                <w:rFonts w:ascii="Times New Roman" w:hAnsi="Times New Roman" w:eastAsia="宋体" w:cstheme="minorEastAsia"/>
                <w:color w:val="auto"/>
                <w:sz w:val="24"/>
              </w:rPr>
              <w:t>O→ZnO+2CH</w:t>
            </w:r>
            <w:r>
              <w:rPr>
                <w:rFonts w:ascii="Times New Roman" w:hAnsi="Times New Roman" w:eastAsia="宋体" w:cstheme="minorEastAsia"/>
                <w:color w:val="auto"/>
                <w:sz w:val="24"/>
                <w:vertAlign w:val="subscript"/>
              </w:rPr>
              <w:t>3</w:t>
            </w:r>
            <w:r>
              <w:rPr>
                <w:rFonts w:ascii="Times New Roman" w:hAnsi="Times New Roman" w:eastAsia="宋体" w:cstheme="minorEastAsia"/>
                <w:color w:val="auto"/>
                <w:sz w:val="24"/>
              </w:rPr>
              <w:t>COOH</w:t>
            </w:r>
          </w:p>
          <w:p>
            <w:pPr>
              <w:spacing w:line="480" w:lineRule="exact"/>
              <w:jc w:val="center"/>
              <w:rPr>
                <w:rFonts w:ascii="Times New Roman" w:hAnsi="Times New Roman" w:eastAsia="宋体" w:cstheme="minorEastAsia"/>
                <w:color w:val="auto"/>
                <w:sz w:val="24"/>
              </w:rPr>
            </w:pPr>
            <w:r>
              <w:rPr>
                <w:rFonts w:ascii="Times New Roman" w:hAnsi="Times New Roman" w:eastAsia="宋体" w:cstheme="minorEastAsia"/>
                <w:color w:val="auto"/>
                <w:sz w:val="24"/>
              </w:rPr>
              <w:t>2</w:t>
            </w:r>
            <w:r>
              <w:rPr>
                <w:rFonts w:hint="eastAsia" w:ascii="Times New Roman" w:hAnsi="Times New Roman" w:eastAsia="宋体" w:cstheme="minorEastAsia"/>
                <w:color w:val="auto"/>
                <w:sz w:val="24"/>
              </w:rPr>
              <w:t>C</w:t>
            </w:r>
            <w:r>
              <w:rPr>
                <w:rFonts w:hint="eastAsia" w:ascii="Times New Roman" w:hAnsi="Times New Roman" w:eastAsia="宋体" w:cstheme="minorEastAsia"/>
                <w:color w:val="auto"/>
                <w:sz w:val="24"/>
                <w:vertAlign w:val="subscript"/>
              </w:rPr>
              <w:t>6</w:t>
            </w:r>
            <w:r>
              <w:rPr>
                <w:rFonts w:hint="eastAsia" w:ascii="Times New Roman" w:hAnsi="Times New Roman" w:eastAsia="宋体" w:cstheme="minorEastAsia"/>
                <w:color w:val="auto"/>
                <w:sz w:val="24"/>
              </w:rPr>
              <w:t>H</w:t>
            </w:r>
            <w:r>
              <w:rPr>
                <w:rFonts w:hint="eastAsia" w:ascii="Times New Roman" w:hAnsi="Times New Roman" w:eastAsia="宋体" w:cstheme="minorEastAsia"/>
                <w:color w:val="auto"/>
                <w:sz w:val="24"/>
                <w:vertAlign w:val="subscript"/>
              </w:rPr>
              <w:t>9</w:t>
            </w:r>
            <w:r>
              <w:rPr>
                <w:rFonts w:hint="eastAsia" w:ascii="Times New Roman" w:hAnsi="Times New Roman" w:eastAsia="宋体" w:cstheme="minorEastAsia"/>
                <w:color w:val="auto"/>
                <w:sz w:val="24"/>
              </w:rPr>
              <w:t>A1O</w:t>
            </w:r>
            <w:r>
              <w:rPr>
                <w:rFonts w:hint="eastAsia" w:ascii="Times New Roman" w:hAnsi="Times New Roman" w:eastAsia="宋体" w:cstheme="minorEastAsia"/>
                <w:color w:val="auto"/>
                <w:sz w:val="24"/>
                <w:vertAlign w:val="subscript"/>
              </w:rPr>
              <w:t>6</w:t>
            </w:r>
            <w:r>
              <w:rPr>
                <w:rFonts w:ascii="Times New Roman" w:hAnsi="Times New Roman" w:eastAsia="宋体" w:cstheme="minorEastAsia"/>
                <w:color w:val="auto"/>
                <w:sz w:val="24"/>
              </w:rPr>
              <w:t>+3H</w:t>
            </w:r>
            <w:r>
              <w:rPr>
                <w:rFonts w:ascii="Times New Roman" w:hAnsi="Times New Roman" w:eastAsia="宋体" w:cstheme="minorEastAsia"/>
                <w:color w:val="auto"/>
                <w:sz w:val="24"/>
                <w:vertAlign w:val="subscript"/>
              </w:rPr>
              <w:t>2</w:t>
            </w:r>
            <w:r>
              <w:rPr>
                <w:rFonts w:ascii="Times New Roman" w:hAnsi="Times New Roman" w:eastAsia="宋体" w:cstheme="minorEastAsia"/>
                <w:color w:val="auto"/>
                <w:sz w:val="24"/>
              </w:rPr>
              <w:t>O→Al</w:t>
            </w:r>
            <w:r>
              <w:rPr>
                <w:rFonts w:ascii="Times New Roman" w:hAnsi="Times New Roman" w:eastAsia="宋体" w:cstheme="minorEastAsia"/>
                <w:color w:val="auto"/>
                <w:sz w:val="24"/>
                <w:vertAlign w:val="subscript"/>
              </w:rPr>
              <w:t>2</w:t>
            </w:r>
            <w:r>
              <w:rPr>
                <w:rFonts w:ascii="Times New Roman" w:hAnsi="Times New Roman" w:eastAsia="宋体" w:cstheme="minorEastAsia"/>
                <w:color w:val="auto"/>
                <w:sz w:val="24"/>
              </w:rPr>
              <w:t>O</w:t>
            </w:r>
            <w:r>
              <w:rPr>
                <w:rFonts w:ascii="Times New Roman" w:hAnsi="Times New Roman" w:eastAsia="宋体" w:cstheme="minorEastAsia"/>
                <w:color w:val="auto"/>
                <w:sz w:val="24"/>
                <w:vertAlign w:val="subscript"/>
              </w:rPr>
              <w:t>3</w:t>
            </w:r>
            <w:r>
              <w:rPr>
                <w:rFonts w:ascii="Times New Roman" w:hAnsi="Times New Roman" w:eastAsia="宋体" w:cstheme="minorEastAsia"/>
                <w:color w:val="auto"/>
                <w:sz w:val="24"/>
              </w:rPr>
              <w:t>+6CH</w:t>
            </w:r>
            <w:r>
              <w:rPr>
                <w:rFonts w:ascii="Times New Roman" w:hAnsi="Times New Roman" w:eastAsia="宋体" w:cstheme="minorEastAsia"/>
                <w:color w:val="auto"/>
                <w:sz w:val="24"/>
                <w:vertAlign w:val="subscript"/>
              </w:rPr>
              <w:t>3</w:t>
            </w:r>
            <w:r>
              <w:rPr>
                <w:rFonts w:ascii="Times New Roman" w:hAnsi="Times New Roman" w:eastAsia="宋体" w:cstheme="minorEastAsia"/>
                <w:color w:val="auto"/>
                <w:sz w:val="24"/>
              </w:rPr>
              <w:t>COOH</w:t>
            </w:r>
          </w:p>
          <w:p>
            <w:pPr>
              <w:spacing w:line="480" w:lineRule="exact"/>
              <w:jc w:val="center"/>
              <w:rPr>
                <w:rFonts w:ascii="Times New Roman" w:hAnsi="Times New Roman" w:eastAsia="宋体" w:cstheme="minorEastAsia"/>
                <w:color w:val="auto"/>
                <w:sz w:val="24"/>
              </w:rPr>
            </w:pPr>
            <w:r>
              <w:rPr>
                <w:rFonts w:hint="eastAsia" w:ascii="Times New Roman" w:hAnsi="Times New Roman" w:eastAsia="宋体" w:cstheme="minorEastAsia"/>
                <w:color w:val="auto"/>
                <w:sz w:val="24"/>
              </w:rPr>
              <w:t>NiC1</w:t>
            </w:r>
            <w:r>
              <w:rPr>
                <w:rFonts w:hint="eastAsia" w:ascii="Times New Roman" w:hAnsi="Times New Roman" w:eastAsia="宋体" w:cstheme="minorEastAsia"/>
                <w:color w:val="auto"/>
                <w:sz w:val="24"/>
                <w:vertAlign w:val="subscript"/>
              </w:rPr>
              <w:t>2</w:t>
            </w:r>
            <w:r>
              <w:rPr>
                <w:rFonts w:ascii="Times New Roman" w:hAnsi="Times New Roman" w:eastAsia="宋体" w:cstheme="minorEastAsia"/>
                <w:color w:val="auto"/>
                <w:sz w:val="24"/>
              </w:rPr>
              <w:t>+H</w:t>
            </w:r>
            <w:r>
              <w:rPr>
                <w:rFonts w:ascii="Times New Roman" w:hAnsi="Times New Roman" w:eastAsia="宋体" w:cstheme="minorEastAsia"/>
                <w:color w:val="auto"/>
                <w:sz w:val="24"/>
                <w:vertAlign w:val="subscript"/>
              </w:rPr>
              <w:t>2</w:t>
            </w:r>
            <w:r>
              <w:rPr>
                <w:rFonts w:ascii="Times New Roman" w:hAnsi="Times New Roman" w:eastAsia="宋体" w:cstheme="minorEastAsia"/>
                <w:color w:val="auto"/>
                <w:sz w:val="24"/>
              </w:rPr>
              <w:t>O→NiO+2HCl</w:t>
            </w:r>
          </w:p>
          <w:p>
            <w:pPr>
              <w:spacing w:line="480" w:lineRule="exact"/>
              <w:jc w:val="center"/>
              <w:rPr>
                <w:rFonts w:ascii="Times New Roman" w:hAnsi="Times New Roman" w:eastAsia="宋体" w:cstheme="minorEastAsia"/>
                <w:color w:val="auto"/>
                <w:sz w:val="24"/>
              </w:rPr>
            </w:pPr>
            <w:r>
              <w:rPr>
                <w:rFonts w:ascii="Times New Roman" w:hAnsi="Times New Roman" w:eastAsia="宋体" w:cstheme="minorEastAsia"/>
                <w:color w:val="auto"/>
                <w:sz w:val="24"/>
              </w:rPr>
              <w:t>2KC</w:t>
            </w:r>
            <w:r>
              <w:rPr>
                <w:rFonts w:hint="eastAsia" w:ascii="Times New Roman" w:hAnsi="Times New Roman" w:eastAsia="宋体" w:cstheme="minorEastAsia"/>
                <w:color w:val="auto"/>
                <w:sz w:val="24"/>
              </w:rPr>
              <w:t>l</w:t>
            </w:r>
            <w:r>
              <w:rPr>
                <w:rFonts w:ascii="Times New Roman" w:hAnsi="Times New Roman" w:eastAsia="宋体" w:cstheme="minorEastAsia"/>
                <w:color w:val="auto"/>
                <w:sz w:val="24"/>
              </w:rPr>
              <w:t>+H</w:t>
            </w:r>
            <w:r>
              <w:rPr>
                <w:rFonts w:ascii="Times New Roman" w:hAnsi="Times New Roman" w:eastAsia="宋体" w:cstheme="minorEastAsia"/>
                <w:color w:val="auto"/>
                <w:sz w:val="24"/>
                <w:vertAlign w:val="subscript"/>
              </w:rPr>
              <w:t>2</w:t>
            </w:r>
            <w:r>
              <w:rPr>
                <w:rFonts w:ascii="Times New Roman" w:hAnsi="Times New Roman" w:eastAsia="宋体" w:cstheme="minorEastAsia"/>
                <w:color w:val="auto"/>
                <w:sz w:val="24"/>
              </w:rPr>
              <w:t>O→K</w:t>
            </w:r>
            <w:r>
              <w:rPr>
                <w:rFonts w:ascii="Times New Roman" w:hAnsi="Times New Roman" w:eastAsia="宋体" w:cstheme="minorEastAsia"/>
                <w:color w:val="auto"/>
                <w:sz w:val="24"/>
                <w:vertAlign w:val="subscript"/>
              </w:rPr>
              <w:t>2</w:t>
            </w:r>
            <w:r>
              <w:rPr>
                <w:rFonts w:ascii="Times New Roman" w:hAnsi="Times New Roman" w:eastAsia="宋体" w:cstheme="minorEastAsia"/>
                <w:color w:val="auto"/>
                <w:sz w:val="24"/>
              </w:rPr>
              <w:t>O+2HCl</w:t>
            </w:r>
          </w:p>
          <w:p>
            <w:pPr>
              <w:spacing w:line="480" w:lineRule="exact"/>
              <w:ind w:firstLine="480" w:firstLineChars="200"/>
              <w:rPr>
                <w:rFonts w:ascii="Times New Roman" w:hAnsi="Times New Roman" w:eastAsia="宋体"/>
                <w:color w:val="auto"/>
                <w:sz w:val="24"/>
                <w:szCs w:val="30"/>
              </w:rPr>
            </w:pPr>
            <w:r>
              <w:rPr>
                <w:rFonts w:hint="eastAsia" w:ascii="Times New Roman" w:hAnsi="Times New Roman" w:eastAsia="宋体"/>
                <w:color w:val="auto"/>
                <w:sz w:val="24"/>
                <w:szCs w:val="30"/>
              </w:rPr>
              <w:t>镀膜液</w:t>
            </w:r>
            <w:r>
              <w:rPr>
                <w:rFonts w:ascii="Times New Roman" w:hAnsi="Times New Roman" w:eastAsia="宋体"/>
                <w:color w:val="auto"/>
                <w:sz w:val="24"/>
                <w:szCs w:val="30"/>
              </w:rPr>
              <w:t>中添加氢氟酸和酒精，可以防止</w:t>
            </w:r>
            <w:r>
              <w:rPr>
                <w:rFonts w:hint="eastAsia" w:ascii="Times New Roman" w:hAnsi="Times New Roman" w:eastAsia="宋体"/>
                <w:color w:val="auto"/>
                <w:sz w:val="24"/>
                <w:szCs w:val="30"/>
              </w:rPr>
              <w:t>溶液</w:t>
            </w:r>
            <w:r>
              <w:rPr>
                <w:rFonts w:ascii="Times New Roman" w:hAnsi="Times New Roman" w:eastAsia="宋体"/>
                <w:color w:val="auto"/>
                <w:sz w:val="24"/>
                <w:szCs w:val="30"/>
              </w:rPr>
              <w:t>发生水解反应生成金属氧化物沉淀，同时，醋酸和酒精可以进行酯化反应：</w:t>
            </w:r>
          </w:p>
          <w:p>
            <w:pPr>
              <w:spacing w:line="480" w:lineRule="exact"/>
              <w:jc w:val="center"/>
              <w:rPr>
                <w:rFonts w:ascii="Times New Roman" w:hAnsi="Times New Roman" w:eastAsia="宋体" w:cstheme="minorEastAsia"/>
                <w:color w:val="auto"/>
                <w:sz w:val="24"/>
              </w:rPr>
            </w:pPr>
            <w:r>
              <w:rPr>
                <w:rFonts w:ascii="Times New Roman" w:hAnsi="Times New Roman" w:eastAsia="宋体" w:cstheme="minorEastAsia"/>
                <w:color w:val="auto"/>
                <w:sz w:val="24"/>
              </w:rPr>
              <w:t>CH</w:t>
            </w:r>
            <w:r>
              <w:rPr>
                <w:rFonts w:ascii="Times New Roman" w:hAnsi="Times New Roman" w:eastAsia="宋体" w:cstheme="minorEastAsia"/>
                <w:color w:val="auto"/>
                <w:sz w:val="24"/>
                <w:vertAlign w:val="subscript"/>
              </w:rPr>
              <w:t>3</w:t>
            </w:r>
            <w:r>
              <w:rPr>
                <w:rFonts w:ascii="Times New Roman" w:hAnsi="Times New Roman" w:eastAsia="宋体" w:cstheme="minorEastAsia"/>
                <w:color w:val="auto"/>
                <w:sz w:val="24"/>
              </w:rPr>
              <w:t>COOH+C</w:t>
            </w:r>
            <w:r>
              <w:rPr>
                <w:rFonts w:ascii="Times New Roman" w:hAnsi="Times New Roman" w:eastAsia="宋体" w:cstheme="minorEastAsia"/>
                <w:color w:val="auto"/>
                <w:sz w:val="24"/>
                <w:vertAlign w:val="subscript"/>
              </w:rPr>
              <w:t>2</w:t>
            </w:r>
            <w:r>
              <w:rPr>
                <w:rFonts w:ascii="Times New Roman" w:hAnsi="Times New Roman" w:eastAsia="宋体" w:cstheme="minorEastAsia"/>
                <w:color w:val="auto"/>
                <w:sz w:val="24"/>
              </w:rPr>
              <w:t>H</w:t>
            </w:r>
            <w:r>
              <w:rPr>
                <w:rFonts w:ascii="Times New Roman" w:hAnsi="Times New Roman" w:eastAsia="宋体" w:cstheme="minorEastAsia"/>
                <w:color w:val="auto"/>
                <w:sz w:val="24"/>
                <w:vertAlign w:val="subscript"/>
              </w:rPr>
              <w:t>6</w:t>
            </w:r>
            <w:r>
              <w:rPr>
                <w:rFonts w:ascii="Times New Roman" w:hAnsi="Times New Roman" w:eastAsia="宋体" w:cstheme="minorEastAsia"/>
                <w:color w:val="auto"/>
                <w:sz w:val="24"/>
              </w:rPr>
              <w:t>O→CH</w:t>
            </w:r>
            <w:r>
              <w:rPr>
                <w:rFonts w:ascii="Times New Roman" w:hAnsi="Times New Roman" w:eastAsia="宋体" w:cstheme="minorEastAsia"/>
                <w:color w:val="auto"/>
                <w:sz w:val="24"/>
                <w:vertAlign w:val="subscript"/>
              </w:rPr>
              <w:t>3</w:t>
            </w:r>
            <w:r>
              <w:rPr>
                <w:rFonts w:ascii="Times New Roman" w:hAnsi="Times New Roman" w:eastAsia="宋体" w:cstheme="minorEastAsia"/>
                <w:color w:val="auto"/>
                <w:sz w:val="24"/>
              </w:rPr>
              <w:t>COOC</w:t>
            </w:r>
            <w:r>
              <w:rPr>
                <w:rFonts w:ascii="Times New Roman" w:hAnsi="Times New Roman" w:eastAsia="宋体" w:cstheme="minorEastAsia"/>
                <w:color w:val="auto"/>
                <w:sz w:val="24"/>
                <w:vertAlign w:val="subscript"/>
              </w:rPr>
              <w:t>2</w:t>
            </w:r>
            <w:r>
              <w:rPr>
                <w:rFonts w:ascii="Times New Roman" w:hAnsi="Times New Roman" w:eastAsia="宋体" w:cstheme="minorEastAsia"/>
                <w:color w:val="auto"/>
                <w:sz w:val="24"/>
              </w:rPr>
              <w:t>H</w:t>
            </w:r>
            <w:r>
              <w:rPr>
                <w:rFonts w:ascii="Times New Roman" w:hAnsi="Times New Roman" w:eastAsia="宋体" w:cstheme="minorEastAsia"/>
                <w:color w:val="auto"/>
                <w:sz w:val="24"/>
                <w:vertAlign w:val="subscript"/>
              </w:rPr>
              <w:t>5</w:t>
            </w:r>
            <w:r>
              <w:rPr>
                <w:rFonts w:ascii="Times New Roman" w:hAnsi="Times New Roman" w:eastAsia="宋体" w:cstheme="minorEastAsia"/>
                <w:color w:val="auto"/>
                <w:sz w:val="24"/>
              </w:rPr>
              <w:t>+H</w:t>
            </w:r>
            <w:r>
              <w:rPr>
                <w:rFonts w:ascii="Times New Roman" w:hAnsi="Times New Roman" w:eastAsia="宋体" w:cstheme="minorEastAsia"/>
                <w:color w:val="auto"/>
                <w:sz w:val="24"/>
                <w:vertAlign w:val="subscript"/>
              </w:rPr>
              <w:t>2</w:t>
            </w:r>
            <w:r>
              <w:rPr>
                <w:rFonts w:ascii="Times New Roman" w:hAnsi="Times New Roman" w:eastAsia="宋体" w:cstheme="minorEastAsia"/>
                <w:color w:val="auto"/>
                <w:sz w:val="24"/>
              </w:rPr>
              <w:t>O</w:t>
            </w:r>
          </w:p>
          <w:p>
            <w:pPr>
              <w:spacing w:line="480" w:lineRule="exact"/>
              <w:rPr>
                <w:rFonts w:ascii="Times New Roman" w:hAnsi="Times New Roman" w:eastAsia="宋体"/>
                <w:color w:val="auto"/>
                <w:sz w:val="24"/>
                <w:szCs w:val="30"/>
              </w:rPr>
            </w:pPr>
            <w:r>
              <w:rPr>
                <w:rFonts w:hint="eastAsia" w:ascii="Times New Roman" w:hAnsi="Times New Roman" w:eastAsia="宋体"/>
                <w:color w:val="auto"/>
                <w:sz w:val="24"/>
                <w:szCs w:val="30"/>
              </w:rPr>
              <w:t>反应</w:t>
            </w:r>
            <w:r>
              <w:rPr>
                <w:rFonts w:ascii="Times New Roman" w:hAnsi="Times New Roman" w:eastAsia="宋体"/>
                <w:color w:val="auto"/>
                <w:sz w:val="24"/>
                <w:szCs w:val="30"/>
              </w:rPr>
              <w:t>生成的水可以调节水解</w:t>
            </w:r>
            <w:r>
              <w:rPr>
                <w:rFonts w:hint="eastAsia" w:ascii="Times New Roman" w:hAnsi="Times New Roman" w:eastAsia="宋体"/>
                <w:color w:val="auto"/>
                <w:sz w:val="24"/>
                <w:szCs w:val="30"/>
              </w:rPr>
              <w:t>反应</w:t>
            </w:r>
            <w:r>
              <w:rPr>
                <w:rFonts w:ascii="Times New Roman" w:hAnsi="Times New Roman" w:eastAsia="宋体"/>
                <w:color w:val="auto"/>
                <w:sz w:val="24"/>
                <w:szCs w:val="30"/>
              </w:rPr>
              <w:t>的速度。</w:t>
            </w:r>
          </w:p>
          <w:p>
            <w:pPr>
              <w:spacing w:line="480" w:lineRule="exact"/>
              <w:ind w:firstLine="482" w:firstLineChars="200"/>
              <w:rPr>
                <w:rFonts w:ascii="Times New Roman" w:hAnsi="Times New Roman" w:eastAsia="宋体"/>
                <w:b/>
                <w:color w:val="auto"/>
                <w:sz w:val="24"/>
                <w:szCs w:val="30"/>
              </w:rPr>
            </w:pPr>
            <w:r>
              <w:rPr>
                <w:rFonts w:hint="eastAsia" w:ascii="Times New Roman" w:hAnsi="Times New Roman" w:eastAsia="宋体"/>
                <w:b/>
                <w:color w:val="auto"/>
                <w:sz w:val="24"/>
                <w:szCs w:val="30"/>
                <w:lang w:val="en-US" w:eastAsia="zh-CN"/>
              </w:rPr>
              <w:t>本工序产污节点主要为</w:t>
            </w:r>
            <w:r>
              <w:rPr>
                <w:rFonts w:ascii="Times New Roman" w:hAnsi="Times New Roman" w:eastAsia="宋体"/>
                <w:b/>
                <w:color w:val="auto"/>
                <w:sz w:val="24"/>
                <w:szCs w:val="30"/>
              </w:rPr>
              <w:t>：</w:t>
            </w:r>
            <w:r>
              <w:rPr>
                <w:rFonts w:hint="eastAsia" w:ascii="Times New Roman" w:hAnsi="Times New Roman" w:eastAsia="宋体"/>
                <w:b/>
                <w:color w:val="auto"/>
                <w:sz w:val="24"/>
                <w:szCs w:val="30"/>
              </w:rPr>
              <w:t>镀膜</w:t>
            </w:r>
            <w:r>
              <w:rPr>
                <w:rFonts w:ascii="Times New Roman" w:hAnsi="Times New Roman" w:eastAsia="宋体"/>
                <w:b/>
                <w:color w:val="auto"/>
                <w:sz w:val="24"/>
                <w:szCs w:val="30"/>
              </w:rPr>
              <w:t>过程产生的废气，设备运行噪声，镀膜液包装桶。</w:t>
            </w:r>
          </w:p>
          <w:p>
            <w:pPr>
              <w:spacing w:line="480" w:lineRule="exact"/>
              <w:ind w:firstLine="480" w:firstLineChars="200"/>
              <w:rPr>
                <w:rFonts w:ascii="Times New Roman" w:hAnsi="Times New Roman" w:eastAsia="宋体"/>
                <w:color w:val="auto"/>
                <w:sz w:val="24"/>
                <w:szCs w:val="30"/>
              </w:rPr>
            </w:pPr>
            <w:r>
              <w:rPr>
                <w:rFonts w:hint="eastAsia" w:ascii="Times New Roman" w:hAnsi="Times New Roman" w:eastAsia="宋体"/>
                <w:color w:val="auto"/>
                <w:sz w:val="24"/>
                <w:szCs w:val="30"/>
              </w:rPr>
              <w:t>③冷却：</w:t>
            </w:r>
            <w:r>
              <w:rPr>
                <w:rFonts w:ascii="Times New Roman" w:hAnsi="Times New Roman" w:eastAsia="宋体"/>
                <w:color w:val="auto"/>
                <w:sz w:val="24"/>
                <w:szCs w:val="30"/>
              </w:rPr>
              <w:t>镀膜完成后，打开镀膜机，</w:t>
            </w:r>
            <w:r>
              <w:rPr>
                <w:rFonts w:hint="eastAsia" w:ascii="Times New Roman" w:hAnsi="Times New Roman" w:eastAsia="宋体"/>
                <w:color w:val="auto"/>
                <w:sz w:val="24"/>
                <w:szCs w:val="30"/>
              </w:rPr>
              <w:t>使用</w:t>
            </w:r>
            <w:r>
              <w:rPr>
                <w:rFonts w:ascii="Times New Roman" w:hAnsi="Times New Roman" w:eastAsia="宋体"/>
                <w:color w:val="auto"/>
                <w:sz w:val="24"/>
                <w:szCs w:val="30"/>
              </w:rPr>
              <w:t>夹子将</w:t>
            </w:r>
            <w:r>
              <w:rPr>
                <w:rFonts w:hint="eastAsia" w:ascii="Times New Roman" w:hAnsi="Times New Roman" w:eastAsia="宋体"/>
                <w:color w:val="auto"/>
                <w:sz w:val="24"/>
                <w:szCs w:val="30"/>
              </w:rPr>
              <w:t>基体取出</w:t>
            </w:r>
            <w:r>
              <w:rPr>
                <w:rFonts w:ascii="Times New Roman" w:hAnsi="Times New Roman" w:eastAsia="宋体"/>
                <w:color w:val="auto"/>
                <w:sz w:val="24"/>
                <w:szCs w:val="30"/>
              </w:rPr>
              <w:t>，</w:t>
            </w:r>
            <w:r>
              <w:rPr>
                <w:rFonts w:hint="eastAsia" w:ascii="Times New Roman" w:hAnsi="Times New Roman" w:eastAsia="宋体"/>
                <w:color w:val="auto"/>
                <w:sz w:val="24"/>
                <w:szCs w:val="30"/>
              </w:rPr>
              <w:t>放置在托盘内通过风扇进行冷却；当产量较大时，一部分基体放置在冷却水箱内进行冷却</w:t>
            </w:r>
            <w:r>
              <w:rPr>
                <w:rFonts w:ascii="Times New Roman" w:hAnsi="Times New Roman" w:eastAsia="宋体"/>
                <w:color w:val="auto"/>
                <w:sz w:val="24"/>
                <w:szCs w:val="30"/>
              </w:rPr>
              <w:t>。</w:t>
            </w:r>
          </w:p>
          <w:p>
            <w:pPr>
              <w:spacing w:line="480" w:lineRule="exact"/>
              <w:ind w:firstLine="482" w:firstLineChars="200"/>
              <w:rPr>
                <w:rFonts w:ascii="Times New Roman" w:hAnsi="Times New Roman" w:eastAsia="宋体"/>
                <w:b/>
                <w:color w:val="auto"/>
                <w:sz w:val="24"/>
                <w:szCs w:val="30"/>
              </w:rPr>
            </w:pPr>
            <w:r>
              <w:rPr>
                <w:rFonts w:hint="eastAsia" w:ascii="Times New Roman" w:hAnsi="Times New Roman" w:eastAsia="宋体"/>
                <w:b/>
                <w:color w:val="auto"/>
                <w:sz w:val="24"/>
                <w:szCs w:val="30"/>
                <w:lang w:val="en-US" w:eastAsia="zh-CN"/>
              </w:rPr>
              <w:t>本工序产污节点主要为</w:t>
            </w:r>
            <w:r>
              <w:rPr>
                <w:rFonts w:ascii="Times New Roman" w:hAnsi="Times New Roman" w:eastAsia="宋体"/>
                <w:b/>
                <w:color w:val="auto"/>
                <w:sz w:val="24"/>
                <w:szCs w:val="30"/>
              </w:rPr>
              <w:t>：</w:t>
            </w:r>
            <w:r>
              <w:rPr>
                <w:rFonts w:hint="eastAsia" w:ascii="Times New Roman" w:hAnsi="Times New Roman" w:eastAsia="宋体"/>
                <w:b/>
                <w:color w:val="auto"/>
                <w:sz w:val="24"/>
                <w:szCs w:val="30"/>
              </w:rPr>
              <w:t>冷却过程废水。</w:t>
            </w:r>
          </w:p>
          <w:p>
            <w:pPr>
              <w:spacing w:line="480" w:lineRule="exact"/>
              <w:ind w:firstLine="480" w:firstLineChars="200"/>
              <w:rPr>
                <w:rFonts w:ascii="Times New Roman" w:hAnsi="Times New Roman" w:eastAsia="宋体"/>
                <w:color w:val="auto"/>
                <w:sz w:val="24"/>
                <w:szCs w:val="30"/>
              </w:rPr>
            </w:pPr>
            <w:r>
              <w:rPr>
                <w:rFonts w:hint="eastAsia" w:ascii="Times New Roman" w:hAnsi="Times New Roman" w:eastAsia="宋体"/>
                <w:color w:val="auto"/>
                <w:sz w:val="24"/>
                <w:szCs w:val="30"/>
              </w:rPr>
              <w:t>④测试</w:t>
            </w:r>
            <w:r>
              <w:rPr>
                <w:rFonts w:ascii="Times New Roman" w:hAnsi="Times New Roman" w:eastAsia="宋体"/>
                <w:color w:val="auto"/>
                <w:sz w:val="24"/>
                <w:szCs w:val="30"/>
              </w:rPr>
              <w:t>：</w:t>
            </w:r>
            <w:r>
              <w:rPr>
                <w:rFonts w:hint="eastAsia" w:ascii="Times New Roman" w:hAnsi="Times New Roman" w:eastAsia="宋体"/>
                <w:color w:val="auto"/>
                <w:sz w:val="24"/>
                <w:szCs w:val="30"/>
              </w:rPr>
              <w:t>待</w:t>
            </w:r>
            <w:r>
              <w:rPr>
                <w:rFonts w:ascii="Times New Roman" w:hAnsi="Times New Roman" w:eastAsia="宋体"/>
                <w:color w:val="auto"/>
                <w:sz w:val="24"/>
                <w:szCs w:val="30"/>
              </w:rPr>
              <w:t>基体温度降至</w:t>
            </w:r>
            <w:r>
              <w:rPr>
                <w:rFonts w:hint="eastAsia" w:ascii="Times New Roman" w:hAnsi="Times New Roman" w:eastAsia="宋体"/>
                <w:color w:val="auto"/>
                <w:sz w:val="24"/>
                <w:szCs w:val="30"/>
              </w:rPr>
              <w:t>室温</w:t>
            </w:r>
            <w:r>
              <w:rPr>
                <w:rFonts w:ascii="Times New Roman" w:hAnsi="Times New Roman" w:eastAsia="宋体"/>
                <w:color w:val="auto"/>
                <w:sz w:val="24"/>
                <w:szCs w:val="30"/>
              </w:rPr>
              <w:t>后，</w:t>
            </w:r>
            <w:r>
              <w:rPr>
                <w:rFonts w:hint="eastAsia" w:ascii="Times New Roman" w:hAnsi="Times New Roman" w:eastAsia="宋体"/>
                <w:color w:val="auto"/>
                <w:sz w:val="24"/>
                <w:szCs w:val="30"/>
              </w:rPr>
              <w:t>取出</w:t>
            </w:r>
            <w:r>
              <w:rPr>
                <w:rFonts w:ascii="Times New Roman" w:hAnsi="Times New Roman" w:eastAsia="宋体"/>
                <w:color w:val="auto"/>
                <w:sz w:val="24"/>
                <w:szCs w:val="30"/>
              </w:rPr>
              <w:t>，人工采用万能电表测试电阻，判定功率大小。</w:t>
            </w:r>
          </w:p>
          <w:p>
            <w:pPr>
              <w:spacing w:line="480" w:lineRule="exact"/>
              <w:ind w:firstLine="480" w:firstLineChars="200"/>
              <w:rPr>
                <w:rFonts w:ascii="Times New Roman" w:hAnsi="Times New Roman" w:eastAsia="宋体"/>
                <w:color w:val="auto"/>
                <w:sz w:val="24"/>
                <w:szCs w:val="30"/>
              </w:rPr>
            </w:pPr>
            <w:r>
              <w:rPr>
                <w:rFonts w:hint="eastAsia" w:ascii="Times New Roman" w:hAnsi="Times New Roman" w:eastAsia="宋体"/>
                <w:color w:val="auto"/>
                <w:sz w:val="24"/>
                <w:szCs w:val="30"/>
              </w:rPr>
              <w:t>⑤</w:t>
            </w:r>
            <w:r>
              <w:rPr>
                <w:rFonts w:ascii="Times New Roman" w:hAnsi="Times New Roman" w:eastAsia="宋体"/>
                <w:color w:val="auto"/>
                <w:sz w:val="24"/>
                <w:szCs w:val="30"/>
              </w:rPr>
              <w:t>印电极：采用丝印机在镀膜后的基体上印刷电极银浆</w:t>
            </w:r>
            <w:r>
              <w:rPr>
                <w:rFonts w:hint="eastAsia" w:ascii="Times New Roman" w:hAnsi="Times New Roman" w:eastAsia="宋体"/>
                <w:color w:val="auto"/>
                <w:sz w:val="24"/>
                <w:szCs w:val="30"/>
              </w:rPr>
              <w:t>。</w:t>
            </w:r>
            <w:r>
              <w:rPr>
                <w:rFonts w:ascii="Times New Roman" w:hAnsi="Times New Roman" w:eastAsia="宋体"/>
                <w:color w:val="auto"/>
                <w:sz w:val="24"/>
                <w:szCs w:val="30"/>
              </w:rPr>
              <w:t>对于</w:t>
            </w:r>
            <w:r>
              <w:rPr>
                <w:rFonts w:hint="eastAsia" w:ascii="Times New Roman" w:hAnsi="Times New Roman" w:eastAsia="宋体"/>
                <w:color w:val="auto"/>
                <w:sz w:val="24"/>
                <w:szCs w:val="30"/>
              </w:rPr>
              <w:t>石英管</w:t>
            </w:r>
            <w:r>
              <w:rPr>
                <w:rFonts w:ascii="Times New Roman" w:hAnsi="Times New Roman" w:eastAsia="宋体"/>
                <w:color w:val="auto"/>
                <w:sz w:val="24"/>
                <w:szCs w:val="30"/>
              </w:rPr>
              <w:t>，管体较短的</w:t>
            </w:r>
            <w:r>
              <w:rPr>
                <w:rFonts w:hint="eastAsia" w:ascii="Times New Roman" w:hAnsi="Times New Roman" w:eastAsia="宋体"/>
                <w:color w:val="auto"/>
                <w:sz w:val="24"/>
                <w:szCs w:val="30"/>
              </w:rPr>
              <w:t>在</w:t>
            </w:r>
            <w:r>
              <w:rPr>
                <w:rFonts w:ascii="Times New Roman" w:hAnsi="Times New Roman" w:eastAsia="宋体"/>
                <w:color w:val="auto"/>
                <w:sz w:val="24"/>
                <w:szCs w:val="30"/>
              </w:rPr>
              <w:t>两端印刷两个约</w:t>
            </w:r>
            <w:r>
              <w:rPr>
                <w:rFonts w:hint="eastAsia" w:ascii="Times New Roman" w:hAnsi="Times New Roman" w:eastAsia="宋体"/>
                <w:color w:val="auto"/>
                <w:sz w:val="24"/>
                <w:szCs w:val="30"/>
              </w:rPr>
              <w:t>1.5</w:t>
            </w:r>
            <w:r>
              <w:rPr>
                <w:rFonts w:ascii="Times New Roman" w:hAnsi="Times New Roman" w:eastAsia="宋体"/>
                <w:color w:val="auto"/>
                <w:sz w:val="24"/>
                <w:szCs w:val="30"/>
              </w:rPr>
              <w:t>cm宽的</w:t>
            </w:r>
            <w:r>
              <w:rPr>
                <w:rFonts w:hint="eastAsia" w:ascii="Times New Roman" w:hAnsi="Times New Roman" w:eastAsia="宋体"/>
                <w:color w:val="auto"/>
                <w:sz w:val="24"/>
                <w:szCs w:val="30"/>
              </w:rPr>
              <w:t>环状</w:t>
            </w:r>
            <w:r>
              <w:rPr>
                <w:rFonts w:ascii="Times New Roman" w:hAnsi="Times New Roman" w:eastAsia="宋体"/>
                <w:color w:val="auto"/>
                <w:sz w:val="24"/>
                <w:szCs w:val="30"/>
              </w:rPr>
              <w:t>电极，管体较长的</w:t>
            </w:r>
            <w:r>
              <w:rPr>
                <w:rFonts w:hint="eastAsia" w:ascii="Times New Roman" w:hAnsi="Times New Roman" w:eastAsia="宋体"/>
                <w:color w:val="auto"/>
                <w:sz w:val="24"/>
                <w:szCs w:val="30"/>
              </w:rPr>
              <w:t>在</w:t>
            </w:r>
            <w:r>
              <w:rPr>
                <w:rFonts w:ascii="Times New Roman" w:hAnsi="Times New Roman" w:eastAsia="宋体"/>
                <w:color w:val="auto"/>
                <w:sz w:val="24"/>
                <w:szCs w:val="30"/>
              </w:rPr>
              <w:t>两端和中间印刷三个</w:t>
            </w:r>
            <w:r>
              <w:rPr>
                <w:rFonts w:hint="eastAsia" w:ascii="Times New Roman" w:hAnsi="Times New Roman" w:eastAsia="宋体"/>
                <w:color w:val="auto"/>
                <w:sz w:val="24"/>
                <w:szCs w:val="30"/>
              </w:rPr>
              <w:t>约1.5</w:t>
            </w:r>
            <w:r>
              <w:rPr>
                <w:rFonts w:ascii="Times New Roman" w:hAnsi="Times New Roman" w:eastAsia="宋体"/>
                <w:color w:val="auto"/>
                <w:sz w:val="24"/>
                <w:szCs w:val="30"/>
              </w:rPr>
              <w:t>cm宽的环状电极；云母板在</w:t>
            </w:r>
            <w:r>
              <w:rPr>
                <w:rFonts w:hint="eastAsia" w:ascii="Times New Roman" w:hAnsi="Times New Roman" w:eastAsia="宋体"/>
                <w:color w:val="auto"/>
                <w:sz w:val="24"/>
                <w:szCs w:val="30"/>
              </w:rPr>
              <w:t>板</w:t>
            </w:r>
            <w:r>
              <w:rPr>
                <w:rFonts w:ascii="Times New Roman" w:hAnsi="Times New Roman" w:eastAsia="宋体"/>
                <w:color w:val="auto"/>
                <w:sz w:val="24"/>
                <w:szCs w:val="30"/>
              </w:rPr>
              <w:t>面的两侧印刷两条约</w:t>
            </w:r>
            <w:r>
              <w:rPr>
                <w:rFonts w:hint="eastAsia" w:ascii="Times New Roman" w:hAnsi="Times New Roman" w:eastAsia="宋体"/>
                <w:color w:val="auto"/>
                <w:sz w:val="24"/>
                <w:szCs w:val="30"/>
              </w:rPr>
              <w:t>1.5</w:t>
            </w:r>
            <w:r>
              <w:rPr>
                <w:rFonts w:ascii="Times New Roman" w:hAnsi="Times New Roman" w:eastAsia="宋体"/>
                <w:color w:val="auto"/>
                <w:sz w:val="24"/>
                <w:szCs w:val="30"/>
              </w:rPr>
              <w:t>cm宽的条状电极。</w:t>
            </w:r>
          </w:p>
          <w:p>
            <w:pPr>
              <w:spacing w:line="480" w:lineRule="exact"/>
              <w:ind w:firstLine="482" w:firstLineChars="200"/>
              <w:rPr>
                <w:rFonts w:ascii="Times New Roman" w:hAnsi="Times New Roman" w:eastAsia="宋体"/>
                <w:b/>
                <w:color w:val="auto"/>
                <w:sz w:val="24"/>
                <w:szCs w:val="30"/>
              </w:rPr>
            </w:pPr>
            <w:r>
              <w:rPr>
                <w:rFonts w:hint="eastAsia" w:ascii="Times New Roman" w:hAnsi="Times New Roman" w:eastAsia="宋体"/>
                <w:b/>
                <w:color w:val="auto"/>
                <w:sz w:val="24"/>
                <w:szCs w:val="30"/>
                <w:lang w:val="en-US" w:eastAsia="zh-CN"/>
              </w:rPr>
              <w:t>本工序产污节点主要为</w:t>
            </w:r>
            <w:r>
              <w:rPr>
                <w:rFonts w:ascii="Times New Roman" w:hAnsi="Times New Roman" w:eastAsia="宋体"/>
                <w:b/>
                <w:color w:val="auto"/>
                <w:sz w:val="24"/>
                <w:szCs w:val="30"/>
              </w:rPr>
              <w:t>：设备运行噪声</w:t>
            </w:r>
            <w:r>
              <w:rPr>
                <w:rFonts w:hint="eastAsia" w:ascii="Times New Roman" w:hAnsi="Times New Roman" w:eastAsia="宋体"/>
                <w:b/>
                <w:color w:val="auto"/>
                <w:sz w:val="24"/>
                <w:szCs w:val="30"/>
              </w:rPr>
              <w:t>，</w:t>
            </w:r>
            <w:r>
              <w:rPr>
                <w:rFonts w:ascii="Times New Roman" w:hAnsi="Times New Roman" w:eastAsia="宋体"/>
                <w:b/>
                <w:color w:val="auto"/>
                <w:sz w:val="24"/>
                <w:szCs w:val="30"/>
              </w:rPr>
              <w:t>电极银浆包装罐。</w:t>
            </w:r>
          </w:p>
          <w:p>
            <w:pPr>
              <w:spacing w:line="480" w:lineRule="exact"/>
              <w:ind w:firstLine="480" w:firstLineChars="200"/>
              <w:rPr>
                <w:rFonts w:ascii="Times New Roman" w:hAnsi="Times New Roman" w:eastAsia="宋体"/>
                <w:color w:val="auto"/>
                <w:sz w:val="24"/>
                <w:szCs w:val="30"/>
              </w:rPr>
            </w:pPr>
            <w:r>
              <w:rPr>
                <w:rFonts w:hint="eastAsia" w:ascii="Times New Roman" w:hAnsi="Times New Roman" w:eastAsia="宋体"/>
                <w:color w:val="auto"/>
                <w:sz w:val="24"/>
                <w:szCs w:val="30"/>
              </w:rPr>
              <w:t>⑥</w:t>
            </w:r>
            <w:r>
              <w:rPr>
                <w:rFonts w:ascii="Times New Roman" w:hAnsi="Times New Roman" w:eastAsia="宋体"/>
                <w:color w:val="auto"/>
                <w:sz w:val="24"/>
                <w:szCs w:val="30"/>
              </w:rPr>
              <w:t>烘干</w:t>
            </w:r>
            <w:r>
              <w:rPr>
                <w:rFonts w:hint="eastAsia" w:ascii="Times New Roman" w:hAnsi="Times New Roman" w:eastAsia="宋体"/>
                <w:color w:val="auto"/>
                <w:sz w:val="24"/>
                <w:szCs w:val="30"/>
              </w:rPr>
              <w:t>：电极</w:t>
            </w:r>
            <w:r>
              <w:rPr>
                <w:rFonts w:ascii="Times New Roman" w:hAnsi="Times New Roman" w:eastAsia="宋体"/>
                <w:color w:val="auto"/>
                <w:sz w:val="24"/>
                <w:szCs w:val="30"/>
              </w:rPr>
              <w:t>印刷完成后</w:t>
            </w:r>
            <w:r>
              <w:rPr>
                <w:rFonts w:hint="eastAsia" w:ascii="Times New Roman" w:hAnsi="Times New Roman" w:eastAsia="宋体"/>
                <w:color w:val="auto"/>
                <w:sz w:val="24"/>
                <w:szCs w:val="30"/>
              </w:rPr>
              <w:t>，</w:t>
            </w:r>
            <w:r>
              <w:rPr>
                <w:rFonts w:ascii="Times New Roman" w:hAnsi="Times New Roman" w:eastAsia="宋体"/>
                <w:color w:val="auto"/>
                <w:sz w:val="24"/>
                <w:szCs w:val="30"/>
              </w:rPr>
              <w:t>将基体置于置物架上，推入银浆烘干</w:t>
            </w:r>
            <w:r>
              <w:rPr>
                <w:rFonts w:hint="eastAsia"/>
                <w:color w:val="auto"/>
                <w:sz w:val="24"/>
                <w:szCs w:val="30"/>
                <w:lang w:val="en-US" w:eastAsia="zh-CN"/>
              </w:rPr>
              <w:t>炉</w:t>
            </w:r>
            <w:r>
              <w:rPr>
                <w:rFonts w:ascii="Times New Roman" w:hAnsi="Times New Roman" w:eastAsia="宋体"/>
                <w:color w:val="auto"/>
                <w:sz w:val="24"/>
                <w:szCs w:val="30"/>
              </w:rPr>
              <w:t>内进行烘干（</w:t>
            </w:r>
            <w:r>
              <w:rPr>
                <w:rFonts w:hint="eastAsia" w:ascii="Times New Roman" w:hAnsi="Times New Roman" w:eastAsia="宋体"/>
                <w:color w:val="auto"/>
                <w:sz w:val="24"/>
                <w:szCs w:val="30"/>
              </w:rPr>
              <w:t>电加热</w:t>
            </w:r>
            <w:r>
              <w:rPr>
                <w:rFonts w:ascii="Times New Roman" w:hAnsi="Times New Roman" w:eastAsia="宋体"/>
                <w:color w:val="auto"/>
                <w:sz w:val="24"/>
                <w:szCs w:val="30"/>
              </w:rPr>
              <w:t>）</w:t>
            </w:r>
            <w:r>
              <w:rPr>
                <w:rFonts w:hint="eastAsia" w:ascii="Times New Roman" w:hAnsi="Times New Roman" w:eastAsia="宋体"/>
                <w:color w:val="auto"/>
                <w:sz w:val="24"/>
                <w:szCs w:val="30"/>
              </w:rPr>
              <w:t>，使</w:t>
            </w:r>
            <w:r>
              <w:rPr>
                <w:rFonts w:ascii="Times New Roman" w:hAnsi="Times New Roman" w:eastAsia="宋体"/>
                <w:color w:val="auto"/>
                <w:sz w:val="24"/>
                <w:szCs w:val="30"/>
              </w:rPr>
              <w:t>银浆固化，烘干温度为</w:t>
            </w:r>
            <w:r>
              <w:rPr>
                <w:rFonts w:hint="eastAsia" w:ascii="Times New Roman" w:hAnsi="Times New Roman" w:eastAsia="宋体"/>
                <w:color w:val="auto"/>
                <w:sz w:val="24"/>
                <w:szCs w:val="30"/>
              </w:rPr>
              <w:t>200</w:t>
            </w:r>
            <w:r>
              <w:rPr>
                <w:rFonts w:hint="default" w:ascii="Times New Roman" w:hAnsi="Times New Roman" w:eastAsia="宋体" w:cs="Times New Roman"/>
                <w:color w:val="auto"/>
                <w:sz w:val="24"/>
                <w:szCs w:val="30"/>
              </w:rPr>
              <w:t>℃</w:t>
            </w:r>
            <w:r>
              <w:rPr>
                <w:rFonts w:ascii="Times New Roman" w:hAnsi="Times New Roman" w:eastAsia="宋体"/>
                <w:color w:val="auto"/>
                <w:sz w:val="24"/>
                <w:szCs w:val="30"/>
              </w:rPr>
              <w:t>，烘干时间为</w:t>
            </w:r>
            <w:r>
              <w:rPr>
                <w:rFonts w:hint="eastAsia" w:ascii="Times New Roman" w:hAnsi="Times New Roman" w:eastAsia="宋体"/>
                <w:color w:val="auto"/>
                <w:sz w:val="24"/>
                <w:szCs w:val="30"/>
              </w:rPr>
              <w:t>15分钟</w:t>
            </w:r>
            <w:r>
              <w:rPr>
                <w:rFonts w:ascii="Times New Roman" w:hAnsi="Times New Roman" w:eastAsia="宋体"/>
                <w:color w:val="auto"/>
                <w:sz w:val="24"/>
                <w:szCs w:val="30"/>
              </w:rPr>
              <w:t>，烘干完成后将置物架拉出。</w:t>
            </w:r>
          </w:p>
          <w:p>
            <w:pPr>
              <w:spacing w:line="480" w:lineRule="exact"/>
              <w:ind w:firstLine="482" w:firstLineChars="200"/>
              <w:rPr>
                <w:rFonts w:ascii="Times New Roman" w:hAnsi="Times New Roman" w:eastAsia="宋体"/>
                <w:b/>
                <w:color w:val="auto"/>
                <w:sz w:val="24"/>
                <w:szCs w:val="30"/>
              </w:rPr>
            </w:pPr>
            <w:r>
              <w:rPr>
                <w:rFonts w:hint="eastAsia" w:ascii="Times New Roman" w:hAnsi="Times New Roman" w:eastAsia="宋体"/>
                <w:b/>
                <w:color w:val="auto"/>
                <w:sz w:val="24"/>
                <w:szCs w:val="30"/>
                <w:lang w:val="en-US" w:eastAsia="zh-CN"/>
              </w:rPr>
              <w:t>本工序产污节点主要为</w:t>
            </w:r>
            <w:r>
              <w:rPr>
                <w:rFonts w:ascii="Times New Roman" w:hAnsi="Times New Roman" w:eastAsia="宋体"/>
                <w:b/>
                <w:color w:val="auto"/>
                <w:sz w:val="24"/>
                <w:szCs w:val="30"/>
              </w:rPr>
              <w:t>：烘干过程</w:t>
            </w:r>
            <w:r>
              <w:rPr>
                <w:rFonts w:hint="eastAsia" w:ascii="Times New Roman" w:hAnsi="Times New Roman" w:eastAsia="宋体"/>
                <w:b/>
                <w:color w:val="auto"/>
                <w:sz w:val="24"/>
                <w:szCs w:val="30"/>
              </w:rPr>
              <w:t>产生</w:t>
            </w:r>
            <w:r>
              <w:rPr>
                <w:rFonts w:ascii="Times New Roman" w:hAnsi="Times New Roman" w:eastAsia="宋体"/>
                <w:b/>
                <w:color w:val="auto"/>
                <w:sz w:val="24"/>
                <w:szCs w:val="30"/>
              </w:rPr>
              <w:t>的废气，设备运行噪声。</w:t>
            </w:r>
          </w:p>
          <w:p>
            <w:pPr>
              <w:spacing w:line="480" w:lineRule="exact"/>
              <w:ind w:firstLine="480" w:firstLineChars="200"/>
              <w:rPr>
                <w:rFonts w:ascii="Times New Roman" w:hAnsi="Times New Roman" w:eastAsia="宋体"/>
                <w:color w:val="auto"/>
                <w:sz w:val="24"/>
                <w:szCs w:val="30"/>
              </w:rPr>
            </w:pPr>
            <w:r>
              <w:rPr>
                <w:rFonts w:hint="eastAsia" w:ascii="Times New Roman" w:hAnsi="Times New Roman" w:eastAsia="宋体"/>
                <w:color w:val="auto"/>
                <w:sz w:val="24"/>
                <w:szCs w:val="30"/>
              </w:rPr>
              <w:t>⑦</w:t>
            </w:r>
            <w:r>
              <w:rPr>
                <w:rFonts w:ascii="Times New Roman" w:hAnsi="Times New Roman" w:eastAsia="宋体"/>
                <w:color w:val="auto"/>
                <w:sz w:val="24"/>
                <w:szCs w:val="30"/>
              </w:rPr>
              <w:t>烧结还原：烘干完成后，基体</w:t>
            </w:r>
            <w:r>
              <w:rPr>
                <w:rFonts w:hint="eastAsia" w:ascii="Times New Roman" w:hAnsi="Times New Roman" w:eastAsia="宋体"/>
                <w:color w:val="auto"/>
                <w:sz w:val="24"/>
                <w:szCs w:val="30"/>
              </w:rPr>
              <w:t>再</w:t>
            </w:r>
            <w:r>
              <w:rPr>
                <w:rFonts w:ascii="Times New Roman" w:hAnsi="Times New Roman" w:eastAsia="宋体"/>
                <w:color w:val="auto"/>
                <w:sz w:val="24"/>
                <w:szCs w:val="30"/>
              </w:rPr>
              <w:t>进入半导体元件</w:t>
            </w:r>
            <w:r>
              <w:rPr>
                <w:rFonts w:hint="eastAsia"/>
                <w:color w:val="auto"/>
                <w:sz w:val="24"/>
                <w:szCs w:val="30"/>
                <w:lang w:val="en-US" w:eastAsia="zh-CN"/>
              </w:rPr>
              <w:t>烧</w:t>
            </w:r>
            <w:r>
              <w:rPr>
                <w:rFonts w:ascii="Times New Roman" w:hAnsi="Times New Roman" w:eastAsia="宋体"/>
                <w:color w:val="auto"/>
                <w:sz w:val="24"/>
                <w:szCs w:val="30"/>
              </w:rPr>
              <w:t>熔炉内进行烧结还原处理（</w:t>
            </w:r>
            <w:r>
              <w:rPr>
                <w:rFonts w:hint="eastAsia" w:ascii="Times New Roman" w:hAnsi="Times New Roman" w:eastAsia="宋体"/>
                <w:color w:val="auto"/>
                <w:sz w:val="24"/>
                <w:szCs w:val="30"/>
              </w:rPr>
              <w:t>电加热</w:t>
            </w:r>
            <w:r>
              <w:rPr>
                <w:rFonts w:ascii="Times New Roman" w:hAnsi="Times New Roman" w:eastAsia="宋体"/>
                <w:color w:val="auto"/>
                <w:sz w:val="24"/>
                <w:szCs w:val="30"/>
              </w:rPr>
              <w:t>）</w:t>
            </w:r>
            <w:r>
              <w:rPr>
                <w:rFonts w:hint="eastAsia" w:ascii="Times New Roman" w:hAnsi="Times New Roman" w:eastAsia="宋体"/>
                <w:color w:val="auto"/>
                <w:sz w:val="24"/>
                <w:szCs w:val="30"/>
              </w:rPr>
              <w:t>，</w:t>
            </w:r>
            <w:r>
              <w:rPr>
                <w:rFonts w:ascii="Times New Roman" w:hAnsi="Times New Roman" w:eastAsia="宋体"/>
                <w:color w:val="auto"/>
                <w:sz w:val="24"/>
                <w:szCs w:val="30"/>
              </w:rPr>
              <w:t>使银浆电极完全附着在基体表面，烧结温度为</w:t>
            </w:r>
            <w:r>
              <w:rPr>
                <w:rFonts w:hint="eastAsia" w:ascii="Times New Roman" w:hAnsi="Times New Roman" w:eastAsia="宋体"/>
                <w:color w:val="auto"/>
                <w:sz w:val="24"/>
                <w:szCs w:val="30"/>
              </w:rPr>
              <w:t>500</w:t>
            </w:r>
            <w:r>
              <w:rPr>
                <w:rFonts w:hint="default" w:ascii="Times New Roman" w:hAnsi="Times New Roman" w:eastAsia="宋体" w:cs="Times New Roman"/>
                <w:color w:val="auto"/>
                <w:sz w:val="24"/>
                <w:szCs w:val="30"/>
              </w:rPr>
              <w:t>℃</w:t>
            </w:r>
            <w:r>
              <w:rPr>
                <w:rFonts w:ascii="Times New Roman" w:hAnsi="Times New Roman" w:eastAsia="宋体"/>
                <w:color w:val="auto"/>
                <w:sz w:val="24"/>
                <w:szCs w:val="30"/>
              </w:rPr>
              <w:t>，时间为</w:t>
            </w:r>
            <w:r>
              <w:rPr>
                <w:rFonts w:hint="eastAsia" w:ascii="Times New Roman" w:hAnsi="Times New Roman" w:eastAsia="宋体"/>
                <w:color w:val="auto"/>
                <w:sz w:val="24"/>
                <w:szCs w:val="30"/>
              </w:rPr>
              <w:t>10分钟</w:t>
            </w:r>
            <w:r>
              <w:rPr>
                <w:rFonts w:ascii="Times New Roman" w:hAnsi="Times New Roman" w:eastAsia="宋体"/>
                <w:color w:val="auto"/>
                <w:sz w:val="24"/>
                <w:szCs w:val="30"/>
              </w:rPr>
              <w:t>，烧结完成后将基体</w:t>
            </w:r>
            <w:r>
              <w:rPr>
                <w:rFonts w:hint="eastAsia" w:ascii="Times New Roman" w:hAnsi="Times New Roman" w:eastAsia="宋体"/>
                <w:color w:val="auto"/>
                <w:sz w:val="24"/>
                <w:szCs w:val="30"/>
              </w:rPr>
              <w:t>取出</w:t>
            </w:r>
            <w:r>
              <w:rPr>
                <w:rFonts w:ascii="Times New Roman" w:hAnsi="Times New Roman" w:eastAsia="宋体"/>
                <w:color w:val="auto"/>
                <w:sz w:val="24"/>
                <w:szCs w:val="30"/>
              </w:rPr>
              <w:t>，自然冷却至室温。</w:t>
            </w:r>
          </w:p>
          <w:p>
            <w:pPr>
              <w:spacing w:line="480" w:lineRule="exact"/>
              <w:ind w:firstLine="482" w:firstLineChars="200"/>
              <w:rPr>
                <w:rFonts w:ascii="Times New Roman" w:hAnsi="Times New Roman" w:eastAsia="宋体"/>
                <w:b/>
                <w:color w:val="auto"/>
                <w:sz w:val="24"/>
                <w:szCs w:val="30"/>
              </w:rPr>
            </w:pPr>
            <w:r>
              <w:rPr>
                <w:rFonts w:hint="eastAsia" w:ascii="Times New Roman" w:hAnsi="Times New Roman" w:eastAsia="宋体"/>
                <w:b/>
                <w:color w:val="auto"/>
                <w:sz w:val="24"/>
                <w:szCs w:val="30"/>
                <w:lang w:val="en-US" w:eastAsia="zh-CN"/>
              </w:rPr>
              <w:t>本工序产污节点主要为</w:t>
            </w:r>
            <w:r>
              <w:rPr>
                <w:rFonts w:ascii="Times New Roman" w:hAnsi="Times New Roman" w:eastAsia="宋体"/>
                <w:b/>
                <w:color w:val="auto"/>
                <w:sz w:val="24"/>
                <w:szCs w:val="30"/>
              </w:rPr>
              <w:t>：</w:t>
            </w:r>
            <w:r>
              <w:rPr>
                <w:rFonts w:hint="eastAsia" w:ascii="Times New Roman" w:hAnsi="Times New Roman" w:eastAsia="宋体"/>
                <w:b/>
                <w:color w:val="auto"/>
                <w:sz w:val="24"/>
                <w:szCs w:val="30"/>
              </w:rPr>
              <w:t>烧结</w:t>
            </w:r>
            <w:r>
              <w:rPr>
                <w:rFonts w:ascii="Times New Roman" w:hAnsi="Times New Roman" w:eastAsia="宋体"/>
                <w:b/>
                <w:color w:val="auto"/>
                <w:sz w:val="24"/>
                <w:szCs w:val="30"/>
              </w:rPr>
              <w:t>还原过程产生的废气，设备运行噪声。</w:t>
            </w:r>
          </w:p>
          <w:p>
            <w:pPr>
              <w:spacing w:line="480" w:lineRule="exact"/>
              <w:ind w:firstLine="480" w:firstLineChars="200"/>
              <w:rPr>
                <w:rFonts w:ascii="Times New Roman" w:hAnsi="Times New Roman" w:eastAsia="宋体"/>
                <w:color w:val="auto"/>
                <w:sz w:val="24"/>
                <w:szCs w:val="30"/>
              </w:rPr>
            </w:pPr>
            <w:r>
              <w:rPr>
                <w:rFonts w:hint="eastAsia" w:ascii="Times New Roman" w:hAnsi="Times New Roman" w:eastAsia="宋体"/>
                <w:color w:val="auto"/>
                <w:sz w:val="24"/>
                <w:szCs w:val="30"/>
              </w:rPr>
              <w:t>⑧覆膜、</w:t>
            </w:r>
            <w:r>
              <w:rPr>
                <w:rFonts w:ascii="Times New Roman" w:hAnsi="Times New Roman" w:eastAsia="宋体"/>
                <w:color w:val="auto"/>
                <w:sz w:val="24"/>
                <w:szCs w:val="30"/>
              </w:rPr>
              <w:t>组装：</w:t>
            </w:r>
            <w:r>
              <w:rPr>
                <w:rFonts w:hint="eastAsia" w:ascii="Times New Roman" w:hAnsi="Times New Roman" w:eastAsia="宋体"/>
                <w:color w:val="auto"/>
                <w:sz w:val="24"/>
                <w:szCs w:val="30"/>
              </w:rPr>
              <w:t>烧结还原完成后，由石英管制成的电发热元件基体由</w:t>
            </w:r>
            <w:r>
              <w:rPr>
                <w:rFonts w:ascii="Times New Roman" w:hAnsi="Times New Roman" w:eastAsia="宋体"/>
                <w:color w:val="auto"/>
                <w:sz w:val="24"/>
                <w:szCs w:val="30"/>
              </w:rPr>
              <w:t>人工采用螺丝等零件</w:t>
            </w:r>
            <w:r>
              <w:rPr>
                <w:rFonts w:hint="eastAsia" w:ascii="Times New Roman" w:hAnsi="Times New Roman" w:eastAsia="宋体"/>
                <w:color w:val="auto"/>
                <w:sz w:val="24"/>
                <w:szCs w:val="30"/>
              </w:rPr>
              <w:t>与</w:t>
            </w:r>
            <w:r>
              <w:rPr>
                <w:rFonts w:ascii="Times New Roman" w:hAnsi="Times New Roman" w:eastAsia="宋体"/>
                <w:color w:val="auto"/>
                <w:sz w:val="24"/>
                <w:szCs w:val="30"/>
              </w:rPr>
              <w:t>硅胶套、尼龙座等组装在一起</w:t>
            </w:r>
            <w:r>
              <w:rPr>
                <w:rFonts w:hint="eastAsia" w:ascii="Times New Roman" w:hAnsi="Times New Roman" w:eastAsia="宋体"/>
                <w:color w:val="auto"/>
                <w:sz w:val="24"/>
                <w:szCs w:val="30"/>
              </w:rPr>
              <w:t>即</w:t>
            </w:r>
            <w:r>
              <w:rPr>
                <w:rFonts w:ascii="Times New Roman" w:hAnsi="Times New Roman" w:eastAsia="宋体"/>
                <w:color w:val="auto"/>
                <w:sz w:val="24"/>
                <w:szCs w:val="30"/>
              </w:rPr>
              <w:t>得到石墨烯电发热元件</w:t>
            </w:r>
            <w:r>
              <w:rPr>
                <w:rFonts w:hint="eastAsia"/>
                <w:color w:val="auto"/>
                <w:sz w:val="24"/>
                <w:szCs w:val="30"/>
                <w:lang w:eastAsia="zh-CN"/>
              </w:rPr>
              <w:t>；</w:t>
            </w:r>
            <w:r>
              <w:rPr>
                <w:rFonts w:hint="eastAsia" w:ascii="Times New Roman" w:hAnsi="Times New Roman" w:eastAsia="宋体"/>
                <w:color w:val="auto"/>
                <w:sz w:val="24"/>
                <w:szCs w:val="30"/>
              </w:rPr>
              <w:t>由云母板制成的电发热元件基体送入覆膜机进行覆膜，覆膜时将基体与塑料薄膜对齐放入覆膜机入口处，随着覆膜机的滚动，逐渐将塑料薄膜覆盖到基体表面，形成一层防护膜。云母板制成的电发热元件基体覆膜完成后，由人工采用螺丝等零件将基体与硅胶套、尼龙座等组装在一起即得到石墨烯电发热元件，进入下一道工序。</w:t>
            </w:r>
          </w:p>
          <w:p>
            <w:pPr>
              <w:spacing w:line="480" w:lineRule="exact"/>
              <w:ind w:firstLine="482" w:firstLineChars="200"/>
              <w:rPr>
                <w:rFonts w:hint="eastAsia" w:ascii="Times New Roman" w:hAnsi="Times New Roman" w:eastAsia="宋体"/>
                <w:color w:val="auto"/>
                <w:sz w:val="24"/>
                <w:szCs w:val="30"/>
              </w:rPr>
            </w:pPr>
            <w:r>
              <w:rPr>
                <w:rFonts w:hint="eastAsia" w:ascii="Times New Roman" w:hAnsi="Times New Roman" w:eastAsia="宋体"/>
                <w:b/>
                <w:color w:val="auto"/>
                <w:sz w:val="24"/>
                <w:szCs w:val="30"/>
                <w:lang w:val="en-US" w:eastAsia="zh-CN"/>
              </w:rPr>
              <w:t>本工序产污节点主要为</w:t>
            </w:r>
            <w:r>
              <w:rPr>
                <w:rFonts w:ascii="Times New Roman" w:hAnsi="Times New Roman" w:eastAsia="宋体"/>
                <w:b/>
                <w:color w:val="auto"/>
                <w:sz w:val="24"/>
                <w:szCs w:val="30"/>
              </w:rPr>
              <w:t>：</w:t>
            </w:r>
            <w:r>
              <w:rPr>
                <w:rFonts w:hint="eastAsia" w:ascii="Times New Roman" w:hAnsi="Times New Roman"/>
                <w:b/>
                <w:color w:val="auto"/>
                <w:sz w:val="24"/>
                <w:szCs w:val="30"/>
                <w:lang w:val="en-US" w:eastAsia="zh-CN"/>
              </w:rPr>
              <w:t>生产过程产生的废包装物</w:t>
            </w:r>
            <w:r>
              <w:rPr>
                <w:rFonts w:ascii="Times New Roman" w:hAnsi="Times New Roman" w:eastAsia="宋体"/>
                <w:b/>
                <w:color w:val="auto"/>
                <w:sz w:val="24"/>
                <w:szCs w:val="30"/>
              </w:rPr>
              <w:t>。</w:t>
            </w:r>
          </w:p>
          <w:p>
            <w:pPr>
              <w:spacing w:line="480" w:lineRule="exact"/>
              <w:ind w:firstLine="480" w:firstLineChars="200"/>
              <w:rPr>
                <w:rFonts w:ascii="Times New Roman" w:hAnsi="Times New Roman" w:eastAsia="宋体"/>
                <w:color w:val="auto"/>
                <w:sz w:val="24"/>
                <w:szCs w:val="30"/>
              </w:rPr>
            </w:pPr>
            <w:r>
              <w:rPr>
                <w:rFonts w:hint="eastAsia" w:ascii="Times New Roman" w:hAnsi="Times New Roman" w:eastAsia="宋体"/>
                <w:color w:val="auto"/>
                <w:sz w:val="24"/>
                <w:szCs w:val="30"/>
              </w:rPr>
              <w:t>⑨</w:t>
            </w:r>
            <w:r>
              <w:rPr>
                <w:rFonts w:ascii="Times New Roman" w:hAnsi="Times New Roman" w:eastAsia="宋体"/>
                <w:color w:val="auto"/>
                <w:sz w:val="24"/>
                <w:szCs w:val="30"/>
              </w:rPr>
              <w:t>测试：</w:t>
            </w:r>
            <w:r>
              <w:rPr>
                <w:rFonts w:hint="eastAsia" w:ascii="Times New Roman" w:hAnsi="Times New Roman" w:eastAsia="宋体"/>
                <w:color w:val="auto"/>
                <w:sz w:val="24"/>
                <w:szCs w:val="30"/>
              </w:rPr>
              <w:t>采用</w:t>
            </w:r>
            <w:r>
              <w:rPr>
                <w:rFonts w:hint="eastAsia"/>
                <w:color w:val="auto"/>
                <w:sz w:val="24"/>
                <w:szCs w:val="30"/>
                <w:lang w:val="en-US" w:eastAsia="zh-CN"/>
              </w:rPr>
              <w:t>功率</w:t>
            </w:r>
            <w:r>
              <w:rPr>
                <w:rFonts w:ascii="Times New Roman" w:hAnsi="Times New Roman" w:eastAsia="宋体"/>
                <w:color w:val="auto"/>
                <w:sz w:val="24"/>
                <w:szCs w:val="30"/>
              </w:rPr>
              <w:t>测试台</w:t>
            </w:r>
            <w:r>
              <w:rPr>
                <w:rFonts w:hint="eastAsia" w:ascii="Times New Roman" w:hAnsi="Times New Roman" w:eastAsia="宋体"/>
                <w:color w:val="auto"/>
                <w:sz w:val="24"/>
                <w:szCs w:val="30"/>
              </w:rPr>
              <w:t>对</w:t>
            </w:r>
            <w:r>
              <w:rPr>
                <w:rFonts w:ascii="Times New Roman" w:hAnsi="Times New Roman" w:eastAsia="宋体"/>
                <w:color w:val="auto"/>
                <w:sz w:val="24"/>
                <w:szCs w:val="30"/>
              </w:rPr>
              <w:t>组装后的电发热元件进行</w:t>
            </w:r>
            <w:r>
              <w:rPr>
                <w:rFonts w:hint="eastAsia" w:ascii="Times New Roman" w:hAnsi="Times New Roman" w:eastAsia="宋体"/>
                <w:color w:val="auto"/>
                <w:sz w:val="24"/>
                <w:szCs w:val="30"/>
              </w:rPr>
              <w:t>功率</w:t>
            </w:r>
            <w:r>
              <w:rPr>
                <w:rFonts w:ascii="Times New Roman" w:hAnsi="Times New Roman" w:eastAsia="宋体"/>
                <w:color w:val="auto"/>
                <w:sz w:val="24"/>
                <w:szCs w:val="30"/>
              </w:rPr>
              <w:t>测试，并标记，即为成品，包装入库</w:t>
            </w:r>
            <w:r>
              <w:rPr>
                <w:rFonts w:hint="eastAsia" w:ascii="Times New Roman" w:hAnsi="Times New Roman" w:eastAsia="宋体"/>
                <w:color w:val="auto"/>
                <w:sz w:val="24"/>
                <w:szCs w:val="30"/>
              </w:rPr>
              <w:t>待售</w:t>
            </w:r>
            <w:r>
              <w:rPr>
                <w:rFonts w:ascii="Times New Roman" w:hAnsi="Times New Roman" w:eastAsia="宋体"/>
                <w:color w:val="auto"/>
                <w:sz w:val="24"/>
                <w:szCs w:val="30"/>
              </w:rPr>
              <w:t>。</w:t>
            </w:r>
          </w:p>
          <w:p>
            <w:pPr>
              <w:spacing w:line="480" w:lineRule="exact"/>
              <w:ind w:firstLine="480" w:firstLineChars="200"/>
              <w:rPr>
                <w:rFonts w:ascii="Times New Roman" w:hAnsi="Times New Roman" w:eastAsia="宋体"/>
                <w:color w:val="auto"/>
                <w:sz w:val="24"/>
                <w:szCs w:val="30"/>
              </w:rPr>
            </w:pP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olor w:val="auto"/>
                <w:sz w:val="24"/>
                <w:szCs w:val="30"/>
              </w:rPr>
            </w:pPr>
            <w:r>
              <w:rPr>
                <w:color w:val="auto"/>
              </w:rPr>
              <w:drawing>
                <wp:inline distT="0" distB="0" distL="114300" distR="114300">
                  <wp:extent cx="3291840" cy="5507990"/>
                  <wp:effectExtent l="0" t="0" r="3810" b="16510"/>
                  <wp:docPr id="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pic:cNvPicPr>
                            <a:picLocks noChangeAspect="1"/>
                          </pic:cNvPicPr>
                        </pic:nvPicPr>
                        <pic:blipFill>
                          <a:blip r:embed="rId13"/>
                          <a:stretch>
                            <a:fillRect/>
                          </a:stretch>
                        </pic:blipFill>
                        <pic:spPr>
                          <a:xfrm>
                            <a:off x="0" y="0"/>
                            <a:ext cx="3291840" cy="5507990"/>
                          </a:xfrm>
                          <a:prstGeom prst="rect">
                            <a:avLst/>
                          </a:prstGeom>
                          <a:noFill/>
                          <a:ln>
                            <a:noFill/>
                          </a:ln>
                        </pic:spPr>
                      </pic:pic>
                    </a:graphicData>
                  </a:graphic>
                </wp:inline>
              </w:drawing>
            </w:r>
          </w:p>
          <w:p>
            <w:pPr>
              <w:pStyle w:val="12"/>
              <w:keepNext w:val="0"/>
              <w:keepLines w:val="0"/>
              <w:pageBreakBefore w:val="0"/>
              <w:widowControl w:val="0"/>
              <w:numPr>
                <w:ilvl w:val="0"/>
                <w:numId w:val="0"/>
              </w:numPr>
              <w:kinsoku/>
              <w:wordWrap/>
              <w:overflowPunct/>
              <w:topLinePunct w:val="0"/>
              <w:autoSpaceDE/>
              <w:autoSpaceDN/>
              <w:bidi w:val="0"/>
              <w:adjustRightInd/>
              <w:snapToGrid/>
              <w:spacing w:after="0"/>
              <w:ind w:right="0" w:rightChars="0"/>
              <w:jc w:val="center"/>
              <w:textAlignment w:val="auto"/>
              <w:rPr>
                <w:rFonts w:hint="default"/>
                <w:color w:val="auto"/>
                <w:highlight w:val="none"/>
                <w:lang w:val="en-US" w:eastAsia="zh-CN"/>
              </w:rPr>
            </w:pPr>
            <w:r>
              <w:rPr>
                <w:rFonts w:hint="eastAsia" w:ascii="Times New Roman" w:hAnsi="Times New Roman" w:cs="Times New Roman"/>
                <w:b/>
                <w:bCs/>
                <w:color w:val="auto"/>
                <w:sz w:val="21"/>
                <w:szCs w:val="21"/>
                <w:highlight w:val="none"/>
                <w:lang w:val="en-US" w:eastAsia="zh-CN"/>
              </w:rPr>
              <w:t>图</w:t>
            </w:r>
            <w:r>
              <w:rPr>
                <w:rFonts w:hint="eastAsia" w:cs="Times New Roman"/>
                <w:b/>
                <w:bCs/>
                <w:color w:val="auto"/>
                <w:sz w:val="21"/>
                <w:szCs w:val="21"/>
                <w:highlight w:val="none"/>
                <w:lang w:val="en-US" w:eastAsia="zh-CN"/>
              </w:rPr>
              <w:t xml:space="preserve">2 </w:t>
            </w:r>
            <w:r>
              <w:rPr>
                <w:rFonts w:hint="eastAsia" w:ascii="Times New Roman" w:hAnsi="Times New Roman" w:cs="Times New Roman"/>
                <w:b/>
                <w:bCs/>
                <w:color w:val="auto"/>
                <w:sz w:val="21"/>
                <w:szCs w:val="21"/>
                <w:highlight w:val="none"/>
                <w:lang w:val="en-US" w:eastAsia="zh-CN"/>
              </w:rPr>
              <w:t xml:space="preserve"> 石墨烯电发热元件生产</w:t>
            </w:r>
            <w:r>
              <w:rPr>
                <w:rFonts w:hint="default" w:ascii="Times New Roman" w:hAnsi="Times New Roman" w:cs="Times New Roman"/>
                <w:b/>
                <w:bCs/>
                <w:color w:val="auto"/>
                <w:sz w:val="21"/>
                <w:szCs w:val="21"/>
                <w:highlight w:val="none"/>
                <w:lang w:val="en-US" w:eastAsia="zh-CN"/>
              </w:rPr>
              <w:t>工艺流程及排污节点图</w:t>
            </w:r>
          </w:p>
          <w:p>
            <w:pPr>
              <w:bidi w:val="0"/>
              <w:rPr>
                <w:rFonts w:hint="default"/>
                <w:color w:val="auto"/>
                <w:sz w:val="24"/>
                <w:szCs w:val="24"/>
                <w:highlight w:val="none"/>
              </w:rPr>
            </w:pPr>
            <w:r>
              <w:rPr>
                <w:rFonts w:hint="eastAsia"/>
                <w:color w:val="auto"/>
                <w:sz w:val="24"/>
                <w:szCs w:val="24"/>
                <w:highlight w:val="none"/>
                <w:lang w:val="en-US" w:eastAsia="zh-CN"/>
              </w:rPr>
              <w:t>11、</w:t>
            </w:r>
            <w:r>
              <w:rPr>
                <w:rFonts w:hint="default"/>
                <w:color w:val="auto"/>
                <w:sz w:val="24"/>
                <w:szCs w:val="24"/>
                <w:highlight w:val="none"/>
              </w:rPr>
              <w:t>项目的地理位置、平面布置与周边关系：</w:t>
            </w:r>
          </w:p>
          <w:p>
            <w:pPr>
              <w:bidi w:val="0"/>
              <w:rPr>
                <w:rFonts w:hint="default"/>
                <w:color w:val="auto"/>
                <w:sz w:val="24"/>
                <w:szCs w:val="24"/>
                <w:highlight w:val="none"/>
              </w:rPr>
            </w:pPr>
            <w:r>
              <w:rPr>
                <w:rFonts w:hint="default"/>
                <w:color w:val="auto"/>
                <w:sz w:val="24"/>
                <w:szCs w:val="24"/>
                <w:highlight w:val="none"/>
              </w:rPr>
              <w:t>地理位置：</w:t>
            </w:r>
            <w:r>
              <w:rPr>
                <w:rFonts w:hint="eastAsia"/>
                <w:color w:val="auto"/>
                <w:sz w:val="24"/>
                <w:szCs w:val="24"/>
                <w:highlight w:val="none"/>
                <w:lang w:val="en-US" w:eastAsia="zh-CN"/>
              </w:rPr>
              <w:t>唐山烯彤科技有限公司位于唐山市高新区学院北路1718-1号</w:t>
            </w:r>
            <w:r>
              <w:rPr>
                <w:rFonts w:hint="default"/>
                <w:color w:val="auto"/>
                <w:sz w:val="24"/>
                <w:szCs w:val="24"/>
                <w:highlight w:val="none"/>
              </w:rPr>
              <w:t>（用地中心坐标为</w:t>
            </w:r>
            <w:r>
              <w:rPr>
                <w:rFonts w:hint="default" w:ascii="Times New Roman" w:hAnsi="Times New Roman" w:cs="Times New Roman"/>
                <w:color w:val="auto"/>
                <w:sz w:val="24"/>
                <w:szCs w:val="24"/>
                <w:highlight w:val="none"/>
                <w:lang w:val="en-US" w:eastAsia="zh-CN"/>
              </w:rPr>
              <w:t>东经：118°08'52.641"</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lang w:val="en-US" w:eastAsia="zh-CN"/>
              </w:rPr>
              <w:t>北纬：</w:t>
            </w:r>
            <w:r>
              <w:rPr>
                <w:rFonts w:hint="default" w:ascii="Times New Roman" w:hAnsi="Times New Roman" w:cs="Times New Roman"/>
                <w:color w:val="auto"/>
                <w:sz w:val="24"/>
                <w:szCs w:val="24"/>
                <w:highlight w:val="none"/>
                <w:lang w:eastAsia="zh-CN"/>
              </w:rPr>
              <w:t>39°42'19.603"</w:t>
            </w:r>
            <w:r>
              <w:rPr>
                <w:rFonts w:hint="default"/>
                <w:color w:val="auto"/>
                <w:sz w:val="24"/>
                <w:szCs w:val="24"/>
                <w:highlight w:val="none"/>
              </w:rPr>
              <w:t>），地理位置图详见附图1。</w:t>
            </w:r>
          </w:p>
          <w:p>
            <w:pPr>
              <w:bidi w:val="0"/>
              <w:rPr>
                <w:rFonts w:hint="eastAsia" w:eastAsia="宋体"/>
                <w:color w:val="auto"/>
                <w:sz w:val="24"/>
                <w:szCs w:val="24"/>
                <w:highlight w:val="none"/>
                <w:shd w:val="clear" w:color="auto" w:fill="auto"/>
                <w:lang w:val="en-US" w:eastAsia="zh-CN"/>
              </w:rPr>
            </w:pPr>
            <w:r>
              <w:rPr>
                <w:rFonts w:hint="default"/>
                <w:color w:val="auto"/>
                <w:sz w:val="24"/>
                <w:szCs w:val="24"/>
                <w:highlight w:val="none"/>
                <w:shd w:val="clear" w:color="auto" w:fill="auto"/>
              </w:rPr>
              <w:t>平面布置：</w:t>
            </w:r>
            <w:r>
              <w:rPr>
                <w:rFonts w:hint="eastAsia"/>
                <w:color w:val="auto"/>
                <w:sz w:val="24"/>
                <w:szCs w:val="24"/>
                <w:highlight w:val="none"/>
                <w:shd w:val="clear" w:color="auto" w:fill="auto"/>
                <w:lang w:val="en-US" w:eastAsia="zh-CN"/>
              </w:rPr>
              <w:t>生产车间位于厂区中部，生产车间南侧为办公区，北侧为生产区，生产区一层主要用于生产，二层主要用于原料、成品储存，危废间位于生产区一层西北侧，生产车间北侧为停车场，厂区大门口位于南侧</w:t>
            </w:r>
            <w:r>
              <w:rPr>
                <w:rFonts w:hint="eastAsia"/>
                <w:color w:val="auto"/>
                <w:kern w:val="0"/>
                <w:sz w:val="24"/>
                <w:highlight w:val="none"/>
                <w:shd w:val="clear" w:color="auto" w:fill="FFFFFF"/>
                <w:lang w:eastAsia="zh-CN" w:bidi="ar"/>
              </w:rPr>
              <w:t>。</w:t>
            </w:r>
          </w:p>
          <w:p>
            <w:pPr>
              <w:bidi w:val="0"/>
              <w:rPr>
                <w:rFonts w:hint="default"/>
                <w:color w:val="auto"/>
                <w:sz w:val="24"/>
                <w:szCs w:val="24"/>
                <w:highlight w:val="none"/>
              </w:rPr>
            </w:pPr>
            <w:r>
              <w:rPr>
                <w:rFonts w:hint="default"/>
                <w:color w:val="auto"/>
                <w:sz w:val="24"/>
                <w:szCs w:val="24"/>
                <w:highlight w:val="none"/>
              </w:rPr>
              <w:t>周边关系：</w:t>
            </w:r>
            <w:r>
              <w:rPr>
                <w:rFonts w:hint="eastAsia"/>
                <w:color w:val="auto"/>
                <w:sz w:val="24"/>
                <w:szCs w:val="24"/>
                <w:highlight w:val="none"/>
                <w:lang w:val="en-US" w:eastAsia="zh-CN"/>
              </w:rPr>
              <w:t>唐山烯彤科技有限公司厂区东侧为在建企业和河北北上节能科技有限公司，南侧为创新大道，西侧为垃圾转运站，北侧为唐山德筑医药有限公司</w:t>
            </w:r>
            <w:r>
              <w:rPr>
                <w:rFonts w:hint="default"/>
                <w:color w:val="auto"/>
                <w:sz w:val="24"/>
                <w:szCs w:val="24"/>
                <w:highlight w:val="none"/>
              </w:rPr>
              <w:t>。</w:t>
            </w:r>
          </w:p>
          <w:p>
            <w:pPr>
              <w:keepNext w:val="0"/>
              <w:keepLines w:val="0"/>
              <w:pageBreakBefore w:val="0"/>
              <w:widowControl w:val="0"/>
              <w:numPr>
                <w:ilvl w:val="0"/>
                <w:numId w:val="0"/>
              </w:numPr>
              <w:kinsoku/>
              <w:wordWrap/>
              <w:overflowPunct/>
              <w:topLinePunct w:val="0"/>
              <w:autoSpaceDE/>
              <w:autoSpaceDN/>
              <w:bidi w:val="0"/>
              <w:adjustRightInd/>
              <w:snapToGrid/>
              <w:ind w:leftChars="0"/>
              <w:jc w:val="left"/>
              <w:textAlignment w:val="auto"/>
              <w:rPr>
                <w:rFonts w:hint="eastAsia"/>
                <w:b/>
                <w:bCs/>
                <w:color w:val="auto"/>
                <w:sz w:val="24"/>
                <w:szCs w:val="24"/>
                <w:highlight w:val="none"/>
                <w:lang w:val="en-US" w:eastAsia="zh-CN"/>
              </w:rPr>
            </w:pPr>
            <w:r>
              <w:rPr>
                <w:rFonts w:hint="eastAsia"/>
                <w:b/>
                <w:bCs/>
                <w:color w:val="auto"/>
                <w:sz w:val="24"/>
                <w:szCs w:val="24"/>
                <w:highlight w:val="none"/>
                <w:lang w:val="en-US" w:eastAsia="zh-CN"/>
              </w:rPr>
              <w:t>三、本项目工程概况</w:t>
            </w:r>
          </w:p>
          <w:p>
            <w:pPr>
              <w:bidi w:val="0"/>
              <w:rPr>
                <w:rFonts w:hint="default"/>
                <w:color w:val="auto"/>
                <w:highlight w:val="none"/>
              </w:rPr>
            </w:pPr>
            <w:r>
              <w:rPr>
                <w:rFonts w:hint="eastAsia"/>
                <w:color w:val="auto"/>
                <w:sz w:val="24"/>
                <w:szCs w:val="24"/>
                <w:highlight w:val="none"/>
                <w:lang w:val="en-US" w:eastAsia="zh-CN"/>
              </w:rPr>
              <w:t>1、</w:t>
            </w:r>
            <w:r>
              <w:rPr>
                <w:rFonts w:hint="default"/>
                <w:color w:val="auto"/>
                <w:highlight w:val="none"/>
              </w:rPr>
              <w:t>项目名称：</w:t>
            </w:r>
            <w:r>
              <w:rPr>
                <w:rFonts w:hint="eastAsia"/>
                <w:color w:val="auto"/>
                <w:sz w:val="24"/>
                <w:szCs w:val="24"/>
                <w:highlight w:val="none"/>
                <w:lang w:val="en-US" w:eastAsia="zh-CN"/>
              </w:rPr>
              <w:t>年产八万套石墨烯电发热元件技改及年产五万台节能速热电锅炉建设项目</w:t>
            </w:r>
            <w:r>
              <w:rPr>
                <w:rFonts w:hint="default"/>
                <w:color w:val="auto"/>
                <w:highlight w:val="none"/>
              </w:rPr>
              <w:t>。</w:t>
            </w:r>
          </w:p>
          <w:p>
            <w:pPr>
              <w:bidi w:val="0"/>
              <w:rPr>
                <w:rFonts w:hint="default"/>
                <w:color w:val="auto"/>
                <w:highlight w:val="none"/>
              </w:rPr>
            </w:pPr>
            <w:r>
              <w:rPr>
                <w:rFonts w:hint="eastAsia"/>
                <w:color w:val="auto"/>
                <w:highlight w:val="none"/>
                <w:lang w:val="en-US" w:eastAsia="zh-CN"/>
              </w:rPr>
              <w:t>2、</w:t>
            </w:r>
            <w:r>
              <w:rPr>
                <w:rFonts w:hint="default"/>
                <w:color w:val="auto"/>
                <w:highlight w:val="none"/>
              </w:rPr>
              <w:t>建设单位：</w:t>
            </w:r>
            <w:r>
              <w:rPr>
                <w:rFonts w:hint="eastAsia"/>
                <w:color w:val="auto"/>
                <w:sz w:val="24"/>
                <w:szCs w:val="24"/>
                <w:highlight w:val="none"/>
                <w:lang w:val="en-US" w:eastAsia="zh-CN"/>
              </w:rPr>
              <w:t>唐山烯彤科技有限公司</w:t>
            </w:r>
            <w:r>
              <w:rPr>
                <w:rFonts w:hint="default"/>
                <w:color w:val="auto"/>
                <w:highlight w:val="none"/>
              </w:rPr>
              <w:t>。</w:t>
            </w:r>
          </w:p>
          <w:p>
            <w:pPr>
              <w:bidi w:val="0"/>
              <w:rPr>
                <w:rFonts w:hint="default"/>
                <w:color w:val="auto"/>
                <w:highlight w:val="none"/>
              </w:rPr>
            </w:pPr>
            <w:r>
              <w:rPr>
                <w:rFonts w:hint="eastAsia"/>
                <w:color w:val="auto"/>
                <w:highlight w:val="none"/>
                <w:lang w:val="en-US" w:eastAsia="zh-CN"/>
              </w:rPr>
              <w:t>3、</w:t>
            </w:r>
            <w:r>
              <w:rPr>
                <w:rFonts w:hint="default"/>
                <w:color w:val="auto"/>
                <w:highlight w:val="none"/>
              </w:rPr>
              <w:t>建设性质：</w:t>
            </w:r>
            <w:r>
              <w:rPr>
                <w:rFonts w:hint="eastAsia"/>
                <w:color w:val="auto"/>
                <w:highlight w:val="none"/>
                <w:lang w:val="en-US" w:eastAsia="zh-CN"/>
              </w:rPr>
              <w:t>改扩建</w:t>
            </w:r>
            <w:r>
              <w:rPr>
                <w:rFonts w:hint="default"/>
                <w:color w:val="auto"/>
                <w:highlight w:val="none"/>
              </w:rPr>
              <w:t>。</w:t>
            </w:r>
          </w:p>
          <w:p>
            <w:pPr>
              <w:bidi w:val="0"/>
              <w:rPr>
                <w:rFonts w:hint="eastAsia" w:eastAsia="宋体"/>
                <w:color w:val="auto"/>
                <w:highlight w:val="none"/>
                <w:lang w:val="en-US" w:eastAsia="zh-CN"/>
              </w:rPr>
            </w:pPr>
            <w:r>
              <w:rPr>
                <w:rFonts w:hint="eastAsia"/>
                <w:color w:val="auto"/>
                <w:highlight w:val="none"/>
                <w:lang w:val="en-US" w:eastAsia="zh-CN"/>
              </w:rPr>
              <w:t>4、</w:t>
            </w:r>
            <w:r>
              <w:rPr>
                <w:rFonts w:hint="default"/>
                <w:color w:val="auto"/>
                <w:highlight w:val="none"/>
              </w:rPr>
              <w:t>建设地点：</w:t>
            </w:r>
            <w:r>
              <w:rPr>
                <w:rFonts w:hint="eastAsia"/>
                <w:color w:val="auto"/>
                <w:sz w:val="24"/>
                <w:szCs w:val="24"/>
                <w:highlight w:val="none"/>
                <w:lang w:val="en-US" w:eastAsia="zh-CN"/>
              </w:rPr>
              <w:t>唐山市高新区学院北路1718-1号，唐山烯彤科技有限公司院内</w:t>
            </w:r>
            <w:r>
              <w:rPr>
                <w:rFonts w:hint="default"/>
                <w:color w:val="auto"/>
                <w:highlight w:val="none"/>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jc w:val="left"/>
              <w:textAlignment w:val="auto"/>
              <w:rPr>
                <w:rFonts w:hint="default"/>
                <w:color w:val="auto"/>
                <w:sz w:val="24"/>
                <w:szCs w:val="24"/>
                <w:highlight w:val="yellow"/>
                <w:lang w:val="en-US" w:eastAsia="zh-CN"/>
              </w:rPr>
            </w:pPr>
            <w:r>
              <w:rPr>
                <w:rFonts w:hint="eastAsia"/>
                <w:color w:val="auto"/>
                <w:sz w:val="24"/>
                <w:szCs w:val="24"/>
                <w:highlight w:val="none"/>
                <w:lang w:val="en-US" w:eastAsia="zh-CN"/>
              </w:rPr>
              <w:t>5、</w:t>
            </w:r>
            <w:r>
              <w:rPr>
                <w:rFonts w:hint="default"/>
                <w:color w:val="auto"/>
                <w:sz w:val="24"/>
                <w:szCs w:val="24"/>
                <w:highlight w:val="none"/>
              </w:rPr>
              <w:t>项目组成：</w:t>
            </w:r>
            <w:r>
              <w:rPr>
                <w:rFonts w:hint="eastAsia"/>
                <w:color w:val="auto"/>
                <w:sz w:val="24"/>
                <w:szCs w:val="24"/>
                <w:highlight w:val="none"/>
                <w:lang w:val="en-US" w:eastAsia="zh-CN"/>
              </w:rPr>
              <w:t>本项目主要</w:t>
            </w:r>
            <w:r>
              <w:rPr>
                <w:rFonts w:hint="eastAsia"/>
                <w:color w:val="auto"/>
                <w:highlight w:val="none"/>
                <w:lang w:val="en-US" w:eastAsia="zh-CN"/>
              </w:rPr>
              <w:t>对现有石墨烯电发热元件生产线进行改造，调整产品方案，购置石墨烯电发热膜相关设备，石墨烯电发热元件产能不发生变化，仍为年产石墨烯电发热元件8万套（石墨烯电发热体7万套/a，石墨烯电发热膜1万套/a），同时，新建节能速热电锅炉组装生产线，将石墨烯电发热体生产线生产的石墨烯电发热体与进购的机箱外壳、触摸控制板、耐高温线等零配件采用手工和螺丝进行组装</w:t>
            </w:r>
            <w:r>
              <w:rPr>
                <w:rFonts w:hint="eastAsia" w:ascii="Times New Roman" w:hAnsi="Times New Roman" w:eastAsia="宋体" w:cs="Times New Roman"/>
                <w:i w:val="0"/>
                <w:color w:val="auto"/>
                <w:kern w:val="0"/>
                <w:sz w:val="24"/>
                <w:szCs w:val="24"/>
                <w:u w:val="none"/>
                <w:lang w:val="en-US" w:eastAsia="zh-CN" w:bidi="ar"/>
              </w:rPr>
              <w:t>，生产节能速热电锅炉</w:t>
            </w:r>
            <w:r>
              <w:rPr>
                <w:rFonts w:hint="eastAsia" w:cs="Times New Roman"/>
                <w:i w:val="0"/>
                <w:color w:val="auto"/>
                <w:kern w:val="0"/>
                <w:sz w:val="24"/>
                <w:szCs w:val="24"/>
                <w:u w:val="none"/>
                <w:lang w:val="en-US" w:eastAsia="zh-CN" w:bidi="ar"/>
              </w:rPr>
              <w:t>，年产节能速热电锅炉5万台</w:t>
            </w:r>
            <w:r>
              <w:rPr>
                <w:rFonts w:hint="eastAsia"/>
                <w:color w:val="auto"/>
                <w:sz w:val="24"/>
                <w:szCs w:val="24"/>
                <w:highlight w:val="none"/>
                <w:lang w:val="en-US" w:eastAsia="zh-CN"/>
              </w:rPr>
              <w:t>。本项目主要建构筑物情况见表12，主要建筑内容见表13。</w:t>
            </w:r>
          </w:p>
          <w:p>
            <w:pPr>
              <w:pStyle w:val="31"/>
              <w:bidi w:val="0"/>
              <w:rPr>
                <w:rFonts w:hint="default"/>
                <w:color w:val="auto"/>
                <w:sz w:val="21"/>
                <w:szCs w:val="21"/>
                <w:highlight w:val="none"/>
              </w:rPr>
            </w:pPr>
            <w:r>
              <w:rPr>
                <w:rFonts w:hint="default"/>
                <w:color w:val="auto"/>
                <w:sz w:val="21"/>
                <w:szCs w:val="21"/>
                <w:highlight w:val="none"/>
              </w:rPr>
              <w:t>表</w:t>
            </w:r>
            <w:r>
              <w:rPr>
                <w:rFonts w:hint="eastAsia"/>
                <w:color w:val="auto"/>
                <w:sz w:val="21"/>
                <w:szCs w:val="21"/>
                <w:highlight w:val="none"/>
                <w:lang w:val="en-US" w:eastAsia="zh-CN"/>
              </w:rPr>
              <w:t>12  本项目</w:t>
            </w:r>
            <w:r>
              <w:rPr>
                <w:rFonts w:hint="default"/>
                <w:color w:val="auto"/>
                <w:sz w:val="21"/>
                <w:szCs w:val="21"/>
                <w:highlight w:val="none"/>
              </w:rPr>
              <w:t>主要建构筑物一览表</w:t>
            </w:r>
          </w:p>
          <w:tbl>
            <w:tblPr>
              <w:tblStyle w:val="25"/>
              <w:tblW w:w="827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32"/>
              <w:gridCol w:w="1095"/>
              <w:gridCol w:w="1500"/>
              <w:gridCol w:w="495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0" w:hRule="atLeast"/>
                <w:tblHeader/>
                <w:jc w:val="center"/>
              </w:trPr>
              <w:tc>
                <w:tcPr>
                  <w:tcW w:w="732"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default"/>
                      <w:color w:val="auto"/>
                      <w:sz w:val="21"/>
                      <w:szCs w:val="21"/>
                      <w:highlight w:val="none"/>
                    </w:rPr>
                    <w:t>序号</w:t>
                  </w:r>
                </w:p>
              </w:tc>
              <w:tc>
                <w:tcPr>
                  <w:tcW w:w="1095"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default"/>
                      <w:color w:val="auto"/>
                      <w:sz w:val="21"/>
                      <w:szCs w:val="21"/>
                      <w:highlight w:val="none"/>
                    </w:rPr>
                    <w:t>名称</w:t>
                  </w:r>
                </w:p>
              </w:tc>
              <w:tc>
                <w:tcPr>
                  <w:tcW w:w="1500"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eastAsia"/>
                      <w:color w:val="auto"/>
                      <w:sz w:val="21"/>
                      <w:szCs w:val="21"/>
                      <w:highlight w:val="none"/>
                      <w:lang w:val="en-US" w:eastAsia="zh-CN"/>
                    </w:rPr>
                    <w:t>占地</w:t>
                  </w:r>
                  <w:r>
                    <w:rPr>
                      <w:rFonts w:hint="default"/>
                      <w:color w:val="auto"/>
                      <w:sz w:val="21"/>
                      <w:szCs w:val="21"/>
                      <w:highlight w:val="none"/>
                    </w:rPr>
                    <w:t>面积（m</w:t>
                  </w:r>
                  <w:r>
                    <w:rPr>
                      <w:rFonts w:hint="default"/>
                      <w:color w:val="auto"/>
                      <w:sz w:val="21"/>
                      <w:szCs w:val="21"/>
                      <w:highlight w:val="none"/>
                      <w:vertAlign w:val="superscript"/>
                    </w:rPr>
                    <w:t>2</w:t>
                  </w:r>
                  <w:r>
                    <w:rPr>
                      <w:rFonts w:hint="default"/>
                      <w:color w:val="auto"/>
                      <w:sz w:val="21"/>
                      <w:szCs w:val="21"/>
                      <w:highlight w:val="none"/>
                    </w:rPr>
                    <w:t>）</w:t>
                  </w:r>
                </w:p>
              </w:tc>
              <w:tc>
                <w:tcPr>
                  <w:tcW w:w="4950"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default"/>
                      <w:color w:val="auto"/>
                      <w:sz w:val="21"/>
                      <w:szCs w:val="21"/>
                      <w:highlight w:val="none"/>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732" w:type="dxa"/>
                  <w:tcBorders>
                    <w:tl2br w:val="nil"/>
                    <w:tr2bl w:val="nil"/>
                  </w:tcBorders>
                  <w:noWrap w:val="0"/>
                  <w:vAlign w:val="center"/>
                </w:tcPr>
                <w:p>
                  <w:pPr>
                    <w:pStyle w:val="32"/>
                    <w:keepNext w:val="0"/>
                    <w:keepLines w:val="0"/>
                    <w:pageBreakBefore w:val="0"/>
                    <w:widowControl w:val="0"/>
                    <w:numPr>
                      <w:ilvl w:val="0"/>
                      <w:numId w:val="12"/>
                    </w:numPr>
                    <w:kinsoku/>
                    <w:wordWrap/>
                    <w:overflowPunct/>
                    <w:topLinePunct w:val="0"/>
                    <w:autoSpaceDE/>
                    <w:autoSpaceDN/>
                    <w:bidi w:val="0"/>
                    <w:adjustRightInd/>
                    <w:snapToGrid/>
                    <w:spacing w:before="0" w:after="0"/>
                    <w:ind w:left="0" w:leftChars="0" w:firstLine="0" w:firstLineChars="0"/>
                    <w:textAlignment w:val="auto"/>
                    <w:rPr>
                      <w:rFonts w:hint="default"/>
                      <w:color w:val="auto"/>
                      <w:sz w:val="21"/>
                      <w:szCs w:val="21"/>
                      <w:highlight w:val="none"/>
                    </w:rPr>
                  </w:pPr>
                </w:p>
              </w:tc>
              <w:tc>
                <w:tcPr>
                  <w:tcW w:w="1095" w:type="dxa"/>
                  <w:tcBorders>
                    <w:tl2br w:val="nil"/>
                    <w:tr2bl w:val="nil"/>
                  </w:tcBorders>
                  <w:noWrap w:val="0"/>
                  <w:vAlign w:val="center"/>
                </w:tcPr>
                <w:p>
                  <w:pPr>
                    <w:pStyle w:val="32"/>
                    <w:ind w:firstLine="0" w:firstLineChars="0"/>
                    <w:rPr>
                      <w:rFonts w:hint="eastAsia" w:eastAsia="宋体"/>
                      <w:color w:val="auto"/>
                      <w:sz w:val="21"/>
                      <w:szCs w:val="21"/>
                      <w:highlight w:val="none"/>
                      <w:lang w:val="en-US" w:eastAsia="zh-CN"/>
                    </w:rPr>
                  </w:pPr>
                  <w:r>
                    <w:rPr>
                      <w:rFonts w:hint="eastAsia"/>
                      <w:color w:val="auto"/>
                      <w:sz w:val="21"/>
                      <w:highlight w:val="none"/>
                      <w:lang w:val="en-US" w:eastAsia="zh-CN"/>
                    </w:rPr>
                    <w:t>生产车间</w:t>
                  </w:r>
                </w:p>
              </w:tc>
              <w:tc>
                <w:tcPr>
                  <w:tcW w:w="1500" w:type="dxa"/>
                  <w:tcBorders>
                    <w:tl2br w:val="nil"/>
                    <w:tr2bl w:val="nil"/>
                  </w:tcBorders>
                  <w:noWrap w:val="0"/>
                  <w:vAlign w:val="center"/>
                </w:tcPr>
                <w:p>
                  <w:pPr>
                    <w:pStyle w:val="32"/>
                    <w:ind w:firstLine="0" w:firstLineChars="0"/>
                    <w:rPr>
                      <w:rFonts w:hint="default"/>
                      <w:color w:val="auto"/>
                      <w:sz w:val="21"/>
                      <w:highlight w:val="none"/>
                      <w:lang w:val="en-US" w:eastAsia="zh-CN"/>
                    </w:rPr>
                  </w:pPr>
                  <w:r>
                    <w:rPr>
                      <w:rFonts w:hint="eastAsia"/>
                      <w:color w:val="auto"/>
                      <w:sz w:val="21"/>
                      <w:highlight w:val="none"/>
                      <w:lang w:val="en-US" w:eastAsia="zh-CN"/>
                    </w:rPr>
                    <w:t>7600</w:t>
                  </w:r>
                </w:p>
              </w:tc>
              <w:tc>
                <w:tcPr>
                  <w:tcW w:w="4950"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依托现有，</w:t>
                  </w:r>
                  <w:r>
                    <w:rPr>
                      <w:rFonts w:hint="eastAsia" w:eastAsia="宋体"/>
                      <w:color w:val="auto"/>
                      <w:sz w:val="21"/>
                      <w:szCs w:val="21"/>
                      <w:highlight w:val="none"/>
                      <w:lang w:val="en-US" w:eastAsia="zh-CN"/>
                    </w:rPr>
                    <w:t>生产车间南部主要为办公区，四层，高14m，占地面积1600m</w:t>
                  </w:r>
                  <w:r>
                    <w:rPr>
                      <w:rFonts w:hint="eastAsia" w:eastAsia="宋体"/>
                      <w:color w:val="auto"/>
                      <w:sz w:val="21"/>
                      <w:szCs w:val="21"/>
                      <w:highlight w:val="none"/>
                      <w:vertAlign w:val="superscript"/>
                      <w:lang w:val="en-US" w:eastAsia="zh-CN"/>
                    </w:rPr>
                    <w:t>2</w:t>
                  </w:r>
                  <w:r>
                    <w:rPr>
                      <w:rFonts w:hint="eastAsia" w:eastAsia="宋体"/>
                      <w:color w:val="auto"/>
                      <w:sz w:val="21"/>
                      <w:szCs w:val="21"/>
                      <w:highlight w:val="none"/>
                      <w:vertAlign w:val="baseline"/>
                      <w:lang w:val="en-US" w:eastAsia="zh-CN"/>
                    </w:rPr>
                    <w:t>（东侧</w:t>
                  </w:r>
                  <w:r>
                    <w:rPr>
                      <w:rFonts w:hint="eastAsia"/>
                      <w:color w:val="auto"/>
                      <w:sz w:val="21"/>
                      <w:szCs w:val="21"/>
                      <w:highlight w:val="none"/>
                      <w:vertAlign w:val="baseline"/>
                      <w:lang w:val="en-US" w:eastAsia="zh-CN"/>
                    </w:rPr>
                    <w:t>约</w:t>
                  </w:r>
                  <w:r>
                    <w:rPr>
                      <w:rFonts w:hint="eastAsia" w:eastAsia="宋体"/>
                      <w:color w:val="auto"/>
                      <w:sz w:val="21"/>
                      <w:szCs w:val="21"/>
                      <w:highlight w:val="none"/>
                      <w:vertAlign w:val="baseline"/>
                      <w:lang w:val="en-US" w:eastAsia="zh-CN"/>
                    </w:rPr>
                    <w:t>800m</w:t>
                  </w:r>
                  <w:r>
                    <w:rPr>
                      <w:rFonts w:hint="eastAsia" w:eastAsia="宋体"/>
                      <w:color w:val="auto"/>
                      <w:sz w:val="21"/>
                      <w:szCs w:val="21"/>
                      <w:highlight w:val="none"/>
                      <w:vertAlign w:val="superscript"/>
                      <w:lang w:val="en-US" w:eastAsia="zh-CN"/>
                    </w:rPr>
                    <w:t>2</w:t>
                  </w:r>
                  <w:r>
                    <w:rPr>
                      <w:rFonts w:hint="eastAsia" w:eastAsia="宋体"/>
                      <w:color w:val="auto"/>
                      <w:sz w:val="21"/>
                      <w:szCs w:val="21"/>
                      <w:highlight w:val="none"/>
                      <w:vertAlign w:val="baseline"/>
                      <w:lang w:val="en-US" w:eastAsia="zh-CN"/>
                    </w:rPr>
                    <w:t>租赁给中节能（唐山）环保装备有限公司）</w:t>
                  </w:r>
                  <w:r>
                    <w:rPr>
                      <w:rFonts w:hint="eastAsia" w:eastAsia="宋体"/>
                      <w:color w:val="auto"/>
                      <w:sz w:val="21"/>
                      <w:szCs w:val="21"/>
                      <w:highlight w:val="none"/>
                      <w:lang w:val="en-US" w:eastAsia="zh-CN"/>
                    </w:rPr>
                    <w:t>；生产车间北部主要为生产区，两层，高16m，占地面积6000m</w:t>
                  </w:r>
                  <w:r>
                    <w:rPr>
                      <w:rFonts w:hint="eastAsia" w:eastAsia="宋体"/>
                      <w:color w:val="auto"/>
                      <w:sz w:val="21"/>
                      <w:szCs w:val="21"/>
                      <w:highlight w:val="none"/>
                      <w:vertAlign w:val="superscript"/>
                      <w:lang w:val="en-US" w:eastAsia="zh-CN"/>
                    </w:rPr>
                    <w:t>2</w:t>
                  </w:r>
                  <w:r>
                    <w:rPr>
                      <w:rFonts w:hint="eastAsia" w:eastAsia="宋体"/>
                      <w:color w:val="auto"/>
                      <w:sz w:val="21"/>
                      <w:szCs w:val="21"/>
                      <w:highlight w:val="none"/>
                      <w:vertAlign w:val="baseline"/>
                      <w:lang w:val="en-US" w:eastAsia="zh-CN"/>
                    </w:rPr>
                    <w:t>（</w:t>
                  </w:r>
                  <w:r>
                    <w:rPr>
                      <w:rFonts w:hint="eastAsia"/>
                      <w:color w:val="auto"/>
                      <w:sz w:val="21"/>
                      <w:szCs w:val="21"/>
                      <w:highlight w:val="none"/>
                      <w:vertAlign w:val="baseline"/>
                      <w:lang w:val="en-US" w:eastAsia="zh-CN"/>
                    </w:rPr>
                    <w:t>一层</w:t>
                  </w:r>
                  <w:r>
                    <w:rPr>
                      <w:rFonts w:hint="eastAsia" w:eastAsia="宋体"/>
                      <w:color w:val="auto"/>
                      <w:sz w:val="21"/>
                      <w:szCs w:val="21"/>
                      <w:highlight w:val="none"/>
                      <w:vertAlign w:val="baseline"/>
                      <w:lang w:val="en-US" w:eastAsia="zh-CN"/>
                    </w:rPr>
                    <w:t>东侧</w:t>
                  </w:r>
                  <w:r>
                    <w:rPr>
                      <w:rFonts w:hint="eastAsia"/>
                      <w:color w:val="auto"/>
                      <w:sz w:val="21"/>
                      <w:szCs w:val="21"/>
                      <w:highlight w:val="none"/>
                      <w:vertAlign w:val="baseline"/>
                      <w:lang w:val="en-US" w:eastAsia="zh-CN"/>
                    </w:rPr>
                    <w:t>约40</w:t>
                  </w:r>
                  <w:r>
                    <w:rPr>
                      <w:rFonts w:hint="eastAsia" w:eastAsia="宋体"/>
                      <w:color w:val="auto"/>
                      <w:sz w:val="21"/>
                      <w:szCs w:val="21"/>
                      <w:highlight w:val="none"/>
                      <w:vertAlign w:val="baseline"/>
                      <w:lang w:val="en-US" w:eastAsia="zh-CN"/>
                    </w:rPr>
                    <w:t>00m</w:t>
                  </w:r>
                  <w:r>
                    <w:rPr>
                      <w:rFonts w:hint="eastAsia" w:eastAsia="宋体"/>
                      <w:color w:val="auto"/>
                      <w:sz w:val="21"/>
                      <w:szCs w:val="21"/>
                      <w:highlight w:val="none"/>
                      <w:vertAlign w:val="superscript"/>
                      <w:lang w:val="en-US" w:eastAsia="zh-CN"/>
                    </w:rPr>
                    <w:t>2</w:t>
                  </w:r>
                  <w:r>
                    <w:rPr>
                      <w:rFonts w:hint="eastAsia" w:eastAsia="宋体"/>
                      <w:color w:val="auto"/>
                      <w:sz w:val="21"/>
                      <w:szCs w:val="21"/>
                      <w:highlight w:val="none"/>
                      <w:vertAlign w:val="baseline"/>
                      <w:lang w:val="en-US" w:eastAsia="zh-CN"/>
                    </w:rPr>
                    <w:t>租赁给中节能（唐山）环保装备有限公司</w:t>
                  </w:r>
                  <w:r>
                    <w:rPr>
                      <w:rFonts w:hint="eastAsia"/>
                      <w:color w:val="auto"/>
                      <w:sz w:val="21"/>
                      <w:szCs w:val="21"/>
                      <w:highlight w:val="none"/>
                      <w:vertAlign w:val="baseline"/>
                      <w:lang w:val="en-US" w:eastAsia="zh-CN"/>
                    </w:rPr>
                    <w:t>和唐山墨希新材料科技有限公司，二层东侧约40</w:t>
                  </w:r>
                  <w:r>
                    <w:rPr>
                      <w:rFonts w:hint="eastAsia" w:eastAsia="宋体"/>
                      <w:color w:val="auto"/>
                      <w:sz w:val="21"/>
                      <w:szCs w:val="21"/>
                      <w:highlight w:val="none"/>
                      <w:vertAlign w:val="baseline"/>
                      <w:lang w:val="en-US" w:eastAsia="zh-CN"/>
                    </w:rPr>
                    <w:t>00m</w:t>
                  </w:r>
                  <w:r>
                    <w:rPr>
                      <w:rFonts w:hint="eastAsia" w:eastAsia="宋体"/>
                      <w:color w:val="auto"/>
                      <w:sz w:val="21"/>
                      <w:szCs w:val="21"/>
                      <w:highlight w:val="none"/>
                      <w:vertAlign w:val="superscript"/>
                      <w:lang w:val="en-US" w:eastAsia="zh-CN"/>
                    </w:rPr>
                    <w:t>2</w:t>
                  </w:r>
                  <w:r>
                    <w:rPr>
                      <w:rFonts w:hint="eastAsia" w:eastAsia="宋体"/>
                      <w:color w:val="auto"/>
                      <w:sz w:val="21"/>
                      <w:szCs w:val="21"/>
                      <w:highlight w:val="none"/>
                      <w:vertAlign w:val="baseline"/>
                      <w:lang w:val="en-US" w:eastAsia="zh-CN"/>
                    </w:rPr>
                    <w:t>租赁给中节能（唐山）环保装备有限公司）</w:t>
                  </w:r>
                  <w:r>
                    <w:rPr>
                      <w:rFonts w:hint="eastAsia" w:eastAsia="宋体"/>
                      <w:color w:val="auto"/>
                      <w:sz w:val="21"/>
                      <w:szCs w:val="21"/>
                      <w:highlight w:val="none"/>
                      <w:lang w:val="en-US" w:eastAsia="zh-CN"/>
                    </w:rPr>
                    <w:t>，一层</w:t>
                  </w:r>
                  <w:r>
                    <w:rPr>
                      <w:rFonts w:hint="eastAsia"/>
                      <w:color w:val="auto"/>
                      <w:sz w:val="21"/>
                      <w:szCs w:val="21"/>
                      <w:highlight w:val="none"/>
                      <w:lang w:val="en-US" w:eastAsia="zh-CN"/>
                    </w:rPr>
                    <w:t>主要用于生产</w:t>
                  </w:r>
                  <w:r>
                    <w:rPr>
                      <w:rFonts w:hint="eastAsia" w:eastAsia="宋体"/>
                      <w:color w:val="auto"/>
                      <w:sz w:val="21"/>
                      <w:szCs w:val="21"/>
                      <w:highlight w:val="none"/>
                      <w:lang w:val="en-US" w:eastAsia="zh-CN"/>
                    </w:rPr>
                    <w:t>，二层主要</w:t>
                  </w:r>
                  <w:r>
                    <w:rPr>
                      <w:rFonts w:hint="eastAsia"/>
                      <w:color w:val="auto"/>
                      <w:sz w:val="21"/>
                      <w:szCs w:val="21"/>
                      <w:highlight w:val="none"/>
                      <w:lang w:val="en-US" w:eastAsia="zh-CN"/>
                    </w:rPr>
                    <w:t>用于包装和原料、成品储存</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732" w:type="dxa"/>
                  <w:tcBorders>
                    <w:tl2br w:val="nil"/>
                    <w:tr2bl w:val="nil"/>
                  </w:tcBorders>
                  <w:noWrap w:val="0"/>
                  <w:vAlign w:val="center"/>
                </w:tcPr>
                <w:p>
                  <w:pPr>
                    <w:pStyle w:val="32"/>
                    <w:keepNext w:val="0"/>
                    <w:keepLines w:val="0"/>
                    <w:pageBreakBefore w:val="0"/>
                    <w:widowControl w:val="0"/>
                    <w:numPr>
                      <w:ilvl w:val="0"/>
                      <w:numId w:val="12"/>
                    </w:numPr>
                    <w:kinsoku/>
                    <w:wordWrap/>
                    <w:overflowPunct/>
                    <w:topLinePunct w:val="0"/>
                    <w:autoSpaceDE/>
                    <w:autoSpaceDN/>
                    <w:bidi w:val="0"/>
                    <w:adjustRightInd/>
                    <w:snapToGrid/>
                    <w:spacing w:before="0" w:after="0"/>
                    <w:ind w:left="0" w:leftChars="0" w:firstLine="0" w:firstLineChars="0"/>
                    <w:textAlignment w:val="auto"/>
                    <w:rPr>
                      <w:rFonts w:hint="default"/>
                      <w:color w:val="auto"/>
                      <w:sz w:val="21"/>
                      <w:szCs w:val="21"/>
                      <w:highlight w:val="none"/>
                    </w:rPr>
                  </w:pPr>
                </w:p>
              </w:tc>
              <w:tc>
                <w:tcPr>
                  <w:tcW w:w="1095" w:type="dxa"/>
                  <w:tcBorders>
                    <w:tl2br w:val="nil"/>
                    <w:tr2bl w:val="nil"/>
                  </w:tcBorders>
                  <w:noWrap w:val="0"/>
                  <w:vAlign w:val="center"/>
                </w:tcPr>
                <w:p>
                  <w:pPr>
                    <w:pStyle w:val="32"/>
                    <w:ind w:firstLine="0" w:firstLineChars="0"/>
                    <w:rPr>
                      <w:rFonts w:hint="default"/>
                      <w:color w:val="auto"/>
                      <w:sz w:val="21"/>
                      <w:highlight w:val="none"/>
                      <w:lang w:val="en-US" w:eastAsia="zh-CN"/>
                    </w:rPr>
                  </w:pPr>
                  <w:r>
                    <w:rPr>
                      <w:rFonts w:hint="eastAsia"/>
                      <w:color w:val="auto"/>
                      <w:sz w:val="21"/>
                      <w:highlight w:val="none"/>
                      <w:lang w:val="en-US" w:eastAsia="zh-CN"/>
                    </w:rPr>
                    <w:t>危废间</w:t>
                  </w:r>
                </w:p>
              </w:tc>
              <w:tc>
                <w:tcPr>
                  <w:tcW w:w="1500" w:type="dxa"/>
                  <w:tcBorders>
                    <w:tl2br w:val="nil"/>
                    <w:tr2bl w:val="nil"/>
                  </w:tcBorders>
                  <w:noWrap w:val="0"/>
                  <w:vAlign w:val="center"/>
                </w:tcPr>
                <w:p>
                  <w:pPr>
                    <w:pStyle w:val="32"/>
                    <w:ind w:firstLine="0" w:firstLineChars="0"/>
                    <w:rPr>
                      <w:rFonts w:hint="default"/>
                      <w:color w:val="auto"/>
                      <w:sz w:val="21"/>
                      <w:highlight w:val="none"/>
                      <w:lang w:val="en-US" w:eastAsia="zh-CN"/>
                    </w:rPr>
                  </w:pPr>
                  <w:r>
                    <w:rPr>
                      <w:rFonts w:hint="eastAsia"/>
                      <w:color w:val="auto"/>
                      <w:sz w:val="21"/>
                      <w:highlight w:val="none"/>
                      <w:lang w:val="en-US" w:eastAsia="zh-CN"/>
                    </w:rPr>
                    <w:t>15</w:t>
                  </w:r>
                </w:p>
              </w:tc>
              <w:tc>
                <w:tcPr>
                  <w:tcW w:w="4950"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依托现有，位于生产车间内西北侧</w:t>
                  </w:r>
                </w:p>
              </w:tc>
            </w:tr>
          </w:tbl>
          <w:p>
            <w:pPr>
              <w:pStyle w:val="31"/>
              <w:bidi w:val="0"/>
              <w:rPr>
                <w:rFonts w:ascii="宋体" w:hAnsi="宋体" w:cs="宋体"/>
                <w:b/>
                <w:color w:val="auto"/>
                <w:kern w:val="0"/>
                <w:szCs w:val="21"/>
                <w:highlight w:val="none"/>
              </w:rPr>
            </w:pPr>
            <w:r>
              <w:rPr>
                <w:rFonts w:hint="default"/>
                <w:color w:val="auto"/>
                <w:sz w:val="21"/>
                <w:szCs w:val="21"/>
                <w:highlight w:val="none"/>
              </w:rPr>
              <w:t>表</w:t>
            </w:r>
            <w:r>
              <w:rPr>
                <w:rFonts w:hint="eastAsia"/>
                <w:color w:val="auto"/>
                <w:sz w:val="21"/>
                <w:szCs w:val="21"/>
                <w:highlight w:val="none"/>
                <w:lang w:val="en-US" w:eastAsia="zh-CN"/>
              </w:rPr>
              <w:t>13  本项目主要</w:t>
            </w:r>
            <w:r>
              <w:rPr>
                <w:rFonts w:hint="default"/>
                <w:color w:val="auto"/>
                <w:sz w:val="21"/>
                <w:szCs w:val="21"/>
                <w:highlight w:val="none"/>
              </w:rPr>
              <w:t>建设内容一览表</w:t>
            </w:r>
          </w:p>
          <w:tbl>
            <w:tblPr>
              <w:tblStyle w:val="24"/>
              <w:tblW w:w="827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63"/>
              <w:gridCol w:w="1402"/>
              <w:gridCol w:w="1143"/>
              <w:gridCol w:w="3496"/>
              <w:gridCol w:w="107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163" w:type="dxa"/>
                  <w:vAlign w:val="center"/>
                </w:tcPr>
                <w:p>
                  <w:pPr>
                    <w:keepNext w:val="0"/>
                    <w:keepLines w:val="0"/>
                    <w:pageBreakBefore w:val="0"/>
                    <w:widowControl/>
                    <w:kinsoku/>
                    <w:wordWrap/>
                    <w:overflowPunct/>
                    <w:topLinePunct w:val="0"/>
                    <w:autoSpaceDN w:val="0"/>
                    <w:bidi w:val="0"/>
                    <w:snapToGrid/>
                    <w:spacing w:line="240" w:lineRule="auto"/>
                    <w:ind w:firstLine="0" w:firstLineChars="0"/>
                    <w:jc w:val="center"/>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工程类别</w:t>
                  </w:r>
                </w:p>
              </w:tc>
              <w:tc>
                <w:tcPr>
                  <w:tcW w:w="1402" w:type="dxa"/>
                  <w:vAlign w:val="center"/>
                </w:tcPr>
                <w:p>
                  <w:pPr>
                    <w:keepNext w:val="0"/>
                    <w:keepLines w:val="0"/>
                    <w:pageBreakBefore w:val="0"/>
                    <w:widowControl/>
                    <w:kinsoku/>
                    <w:wordWrap/>
                    <w:overflowPunct/>
                    <w:topLinePunct w:val="0"/>
                    <w:autoSpaceDN w:val="0"/>
                    <w:bidi w:val="0"/>
                    <w:snapToGrid/>
                    <w:spacing w:line="240" w:lineRule="auto"/>
                    <w:ind w:firstLine="0" w:firstLineChars="0"/>
                    <w:jc w:val="center"/>
                    <w:textAlignment w:val="auto"/>
                    <w:rPr>
                      <w:rFonts w:ascii="宋体" w:hAnsi="宋体" w:cs="宋体"/>
                      <w:color w:val="auto"/>
                      <w:sz w:val="21"/>
                      <w:szCs w:val="21"/>
                      <w:highlight w:val="none"/>
                    </w:rPr>
                  </w:pPr>
                  <w:r>
                    <w:rPr>
                      <w:rFonts w:hint="eastAsia" w:ascii="宋体" w:hAnsi="宋体" w:cs="宋体"/>
                      <w:color w:val="auto"/>
                      <w:sz w:val="21"/>
                      <w:szCs w:val="21"/>
                      <w:highlight w:val="none"/>
                      <w:lang w:val="en-US" w:eastAsia="zh-CN"/>
                    </w:rPr>
                    <w:t>项目</w:t>
                  </w:r>
                  <w:r>
                    <w:rPr>
                      <w:rFonts w:hint="eastAsia" w:ascii="宋体" w:hAnsi="宋体" w:cs="宋体"/>
                      <w:color w:val="auto"/>
                      <w:sz w:val="21"/>
                      <w:szCs w:val="21"/>
                      <w:highlight w:val="none"/>
                    </w:rPr>
                    <w:t>名称</w:t>
                  </w:r>
                </w:p>
              </w:tc>
              <w:tc>
                <w:tcPr>
                  <w:tcW w:w="5712" w:type="dxa"/>
                  <w:gridSpan w:val="3"/>
                  <w:vAlign w:val="center"/>
                </w:tcPr>
                <w:p>
                  <w:pPr>
                    <w:keepNext w:val="0"/>
                    <w:keepLines w:val="0"/>
                    <w:pageBreakBefore w:val="0"/>
                    <w:widowControl/>
                    <w:kinsoku/>
                    <w:wordWrap/>
                    <w:overflowPunct/>
                    <w:topLinePunct w:val="0"/>
                    <w:autoSpaceDN w:val="0"/>
                    <w:bidi w:val="0"/>
                    <w:snapToGrid/>
                    <w:spacing w:line="240" w:lineRule="auto"/>
                    <w:ind w:firstLine="0" w:firstLineChars="0"/>
                    <w:jc w:val="center"/>
                    <w:textAlignment w:val="auto"/>
                    <w:rPr>
                      <w:rFonts w:ascii="宋体" w:hAnsi="宋体" w:cs="宋体"/>
                      <w:color w:val="auto"/>
                      <w:sz w:val="21"/>
                      <w:szCs w:val="21"/>
                      <w:highlight w:val="none"/>
                    </w:rPr>
                  </w:pPr>
                  <w:r>
                    <w:rPr>
                      <w:rFonts w:hint="eastAsia" w:ascii="宋体" w:hAnsi="宋体" w:cs="宋体"/>
                      <w:color w:val="auto"/>
                      <w:sz w:val="21"/>
                      <w:szCs w:val="21"/>
                      <w:highlight w:val="none"/>
                    </w:rPr>
                    <w:t>主要内容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1163" w:type="dxa"/>
                  <w:vAlign w:val="center"/>
                </w:tcPr>
                <w:p>
                  <w:pPr>
                    <w:keepNext w:val="0"/>
                    <w:keepLines w:val="0"/>
                    <w:pageBreakBefore w:val="0"/>
                    <w:widowControl/>
                    <w:kinsoku/>
                    <w:wordWrap/>
                    <w:overflowPunct/>
                    <w:topLinePunct w:val="0"/>
                    <w:autoSpaceDN w:val="0"/>
                    <w:bidi w:val="0"/>
                    <w:snapToGrid/>
                    <w:spacing w:line="240" w:lineRule="auto"/>
                    <w:ind w:firstLine="0" w:firstLineChars="0"/>
                    <w:jc w:val="center"/>
                    <w:textAlignment w:val="auto"/>
                    <w:rPr>
                      <w:rFonts w:ascii="宋体" w:hAnsi="宋体" w:cs="宋体"/>
                      <w:color w:val="auto"/>
                      <w:sz w:val="21"/>
                      <w:szCs w:val="21"/>
                      <w:highlight w:val="none"/>
                    </w:rPr>
                  </w:pPr>
                  <w:r>
                    <w:rPr>
                      <w:rFonts w:hint="eastAsia" w:ascii="宋体" w:hAnsi="宋体" w:cs="宋体"/>
                      <w:color w:val="auto"/>
                      <w:sz w:val="21"/>
                      <w:szCs w:val="21"/>
                      <w:highlight w:val="none"/>
                    </w:rPr>
                    <w:t>主体工程</w:t>
                  </w:r>
                </w:p>
              </w:tc>
              <w:tc>
                <w:tcPr>
                  <w:tcW w:w="1402" w:type="dxa"/>
                  <w:vAlign w:val="center"/>
                </w:tcPr>
                <w:p>
                  <w:pPr>
                    <w:keepNext w:val="0"/>
                    <w:keepLines w:val="0"/>
                    <w:pageBreakBefore w:val="0"/>
                    <w:widowControl/>
                    <w:kinsoku/>
                    <w:wordWrap/>
                    <w:overflowPunct/>
                    <w:topLinePunct w:val="0"/>
                    <w:autoSpaceDN w:val="0"/>
                    <w:bidi w:val="0"/>
                    <w:snapToGrid/>
                    <w:spacing w:line="240" w:lineRule="auto"/>
                    <w:ind w:firstLine="0" w:firstLine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生产区</w:t>
                  </w:r>
                </w:p>
              </w:tc>
              <w:tc>
                <w:tcPr>
                  <w:tcW w:w="5712" w:type="dxa"/>
                  <w:gridSpan w:val="3"/>
                  <w:vAlign w:val="center"/>
                </w:tcPr>
                <w:p>
                  <w:pPr>
                    <w:pStyle w:val="35"/>
                    <w:keepNext w:val="0"/>
                    <w:keepLines w:val="0"/>
                    <w:pageBreakBefore w:val="0"/>
                    <w:kinsoku/>
                    <w:wordWrap/>
                    <w:overflowPunct/>
                    <w:topLinePunct w:val="0"/>
                    <w:autoSpaceDN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依托现有</w:t>
                  </w:r>
                  <w:r>
                    <w:rPr>
                      <w:rFonts w:hint="eastAsia" w:cs="Times New Roman"/>
                      <w:color w:val="auto"/>
                      <w:sz w:val="21"/>
                      <w:szCs w:val="21"/>
                      <w:highlight w:val="none"/>
                      <w:lang w:val="en-US" w:eastAsia="zh-CN"/>
                    </w:rPr>
                    <w:t>生产车间生产区，主要新增覆膜印刷机、覆膜烘干机、自动高周波塑胶熔接机、半自动高周波塑胶熔接机、数显高速分散机等设备，用于生产石墨烯电发热膜</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1163" w:type="dxa"/>
                  <w:vAlign w:val="center"/>
                </w:tcPr>
                <w:p>
                  <w:pPr>
                    <w:keepNext w:val="0"/>
                    <w:keepLines w:val="0"/>
                    <w:pageBreakBefore w:val="0"/>
                    <w:widowControl/>
                    <w:kinsoku/>
                    <w:wordWrap/>
                    <w:overflowPunct/>
                    <w:topLinePunct w:val="0"/>
                    <w:autoSpaceDN w:val="0"/>
                    <w:bidi w:val="0"/>
                    <w:snapToGrid/>
                    <w:spacing w:line="240" w:lineRule="auto"/>
                    <w:ind w:firstLine="0" w:firstLineChars="0"/>
                    <w:jc w:val="center"/>
                    <w:textAlignment w:val="auto"/>
                    <w:rPr>
                      <w:rFonts w:ascii="宋体" w:hAnsi="宋体" w:cs="宋体"/>
                      <w:color w:val="auto"/>
                      <w:sz w:val="21"/>
                      <w:szCs w:val="21"/>
                      <w:highlight w:val="none"/>
                    </w:rPr>
                  </w:pPr>
                  <w:r>
                    <w:rPr>
                      <w:rFonts w:hint="eastAsia" w:ascii="宋体" w:hAnsi="宋体" w:cs="宋体"/>
                      <w:color w:val="auto"/>
                      <w:sz w:val="21"/>
                      <w:szCs w:val="21"/>
                      <w:highlight w:val="none"/>
                    </w:rPr>
                    <w:t>辅助工程</w:t>
                  </w:r>
                </w:p>
              </w:tc>
              <w:tc>
                <w:tcPr>
                  <w:tcW w:w="1402" w:type="dxa"/>
                  <w:vAlign w:val="center"/>
                </w:tcPr>
                <w:p>
                  <w:pPr>
                    <w:keepNext w:val="0"/>
                    <w:keepLines w:val="0"/>
                    <w:pageBreakBefore w:val="0"/>
                    <w:widowControl/>
                    <w:kinsoku/>
                    <w:wordWrap/>
                    <w:overflowPunct/>
                    <w:topLinePunct w:val="0"/>
                    <w:autoSpaceDN w:val="0"/>
                    <w:bidi w:val="0"/>
                    <w:snapToGrid/>
                    <w:spacing w:line="240" w:lineRule="auto"/>
                    <w:ind w:firstLine="0" w:firstLineChars="0"/>
                    <w:jc w:val="center"/>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办公区</w:t>
                  </w:r>
                </w:p>
              </w:tc>
              <w:tc>
                <w:tcPr>
                  <w:tcW w:w="5712" w:type="dxa"/>
                  <w:gridSpan w:val="3"/>
                  <w:vAlign w:val="center"/>
                </w:tcPr>
                <w:p>
                  <w:pPr>
                    <w:keepNext w:val="0"/>
                    <w:keepLines w:val="0"/>
                    <w:pageBreakBefore w:val="0"/>
                    <w:widowControl/>
                    <w:kinsoku/>
                    <w:wordWrap/>
                    <w:overflowPunct/>
                    <w:topLinePunct w:val="0"/>
                    <w:autoSpaceDN w:val="0"/>
                    <w:bidi w:val="0"/>
                    <w:snapToGrid/>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依托现有</w:t>
                  </w:r>
                  <w:r>
                    <w:rPr>
                      <w:rFonts w:hint="eastAsia" w:cs="Times New Roman"/>
                      <w:color w:val="auto"/>
                      <w:sz w:val="21"/>
                      <w:szCs w:val="21"/>
                      <w:highlight w:val="none"/>
                      <w:lang w:val="en-US" w:eastAsia="zh-CN"/>
                    </w:rPr>
                    <w:t>生产车间办公区，主要用于办公</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163" w:type="dxa"/>
                  <w:vMerge w:val="restart"/>
                  <w:vAlign w:val="center"/>
                </w:tcPr>
                <w:p>
                  <w:pPr>
                    <w:keepNext w:val="0"/>
                    <w:keepLines w:val="0"/>
                    <w:pageBreakBefore w:val="0"/>
                    <w:widowControl/>
                    <w:kinsoku/>
                    <w:wordWrap/>
                    <w:overflowPunct/>
                    <w:topLinePunct w:val="0"/>
                    <w:autoSpaceDN w:val="0"/>
                    <w:bidi w:val="0"/>
                    <w:snapToGrid/>
                    <w:spacing w:line="240" w:lineRule="auto"/>
                    <w:ind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储运工程</w:t>
                  </w:r>
                </w:p>
              </w:tc>
              <w:tc>
                <w:tcPr>
                  <w:tcW w:w="1402" w:type="dxa"/>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default" w:ascii="Times New Roman" w:hAnsi="Times New Roman" w:cs="Times New Roman"/>
                      <w:color w:val="auto"/>
                      <w:sz w:val="21"/>
                      <w:szCs w:val="21"/>
                      <w:highlight w:val="none"/>
                      <w:lang w:val="en-US" w:eastAsia="zh-CN"/>
                    </w:rPr>
                  </w:pPr>
                  <w:r>
                    <w:rPr>
                      <w:rFonts w:hint="eastAsia"/>
                      <w:color w:val="auto"/>
                    </w:rPr>
                    <w:t>库房</w:t>
                  </w:r>
                </w:p>
              </w:tc>
              <w:tc>
                <w:tcPr>
                  <w:tcW w:w="5712" w:type="dxa"/>
                  <w:gridSpan w:val="3"/>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default" w:ascii="Times New Roman" w:hAnsi="Times New Roman" w:cs="Times New Roman"/>
                      <w:color w:val="auto"/>
                      <w:sz w:val="21"/>
                      <w:szCs w:val="21"/>
                      <w:highlight w:val="none"/>
                      <w:lang w:val="en-US" w:eastAsia="zh-CN"/>
                    </w:rPr>
                  </w:pPr>
                  <w:r>
                    <w:rPr>
                      <w:rFonts w:hint="eastAsia"/>
                      <w:color w:val="auto"/>
                      <w:lang w:val="en-US" w:eastAsia="zh-CN"/>
                    </w:rPr>
                    <w:t>位于生产车间生产区一层，主要</w:t>
                  </w:r>
                  <w:r>
                    <w:rPr>
                      <w:rFonts w:hint="eastAsia"/>
                      <w:color w:val="auto"/>
                    </w:rPr>
                    <w:t>用于</w:t>
                  </w:r>
                  <w:r>
                    <w:rPr>
                      <w:rFonts w:hint="eastAsia"/>
                      <w:color w:val="auto"/>
                      <w:lang w:val="en-US" w:eastAsia="zh-CN"/>
                    </w:rPr>
                    <w:t>临时存放原料及成品</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6" w:hRule="atLeast"/>
                <w:jc w:val="center"/>
              </w:trPr>
              <w:tc>
                <w:tcPr>
                  <w:tcW w:w="1163" w:type="dxa"/>
                  <w:vMerge w:val="continue"/>
                  <w:vAlign w:val="center"/>
                </w:tcPr>
                <w:p>
                  <w:pPr>
                    <w:keepNext w:val="0"/>
                    <w:keepLines w:val="0"/>
                    <w:pageBreakBefore w:val="0"/>
                    <w:widowControl/>
                    <w:kinsoku/>
                    <w:wordWrap/>
                    <w:overflowPunct/>
                    <w:topLinePunct w:val="0"/>
                    <w:autoSpaceDN w:val="0"/>
                    <w:bidi w:val="0"/>
                    <w:snapToGrid/>
                    <w:spacing w:line="240" w:lineRule="auto"/>
                    <w:ind w:firstLine="0" w:firstLineChars="0"/>
                    <w:jc w:val="center"/>
                    <w:textAlignment w:val="auto"/>
                    <w:rPr>
                      <w:color w:val="auto"/>
                    </w:rPr>
                  </w:pPr>
                </w:p>
              </w:tc>
              <w:tc>
                <w:tcPr>
                  <w:tcW w:w="1402" w:type="dxa"/>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default" w:ascii="Times New Roman" w:hAnsi="Times New Roman" w:cs="Times New Roman"/>
                      <w:color w:val="auto"/>
                      <w:sz w:val="21"/>
                      <w:szCs w:val="21"/>
                      <w:highlight w:val="none"/>
                      <w:lang w:val="en-US" w:eastAsia="zh-CN"/>
                    </w:rPr>
                  </w:pPr>
                  <w:r>
                    <w:rPr>
                      <w:rFonts w:hint="eastAsia"/>
                      <w:color w:val="auto"/>
                    </w:rPr>
                    <w:t>危废间</w:t>
                  </w:r>
                </w:p>
              </w:tc>
              <w:tc>
                <w:tcPr>
                  <w:tcW w:w="5712" w:type="dxa"/>
                  <w:gridSpan w:val="3"/>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default" w:ascii="Times New Roman" w:hAnsi="Times New Roman" w:cs="Times New Roman"/>
                      <w:color w:val="auto"/>
                      <w:sz w:val="21"/>
                      <w:szCs w:val="21"/>
                      <w:highlight w:val="none"/>
                      <w:lang w:val="en-US" w:eastAsia="zh-CN"/>
                    </w:rPr>
                  </w:pPr>
                  <w:r>
                    <w:rPr>
                      <w:rFonts w:hint="eastAsia"/>
                      <w:color w:val="auto"/>
                      <w:lang w:val="en-US" w:eastAsia="zh-CN"/>
                    </w:rPr>
                    <w:t>位于生产车间生产区一层，</w:t>
                  </w:r>
                  <w:r>
                    <w:rPr>
                      <w:rFonts w:hint="eastAsia"/>
                      <w:color w:val="auto"/>
                    </w:rPr>
                    <w:t>用于</w:t>
                  </w:r>
                  <w:r>
                    <w:rPr>
                      <w:color w:val="auto"/>
                    </w:rPr>
                    <w:t>储存</w:t>
                  </w:r>
                  <w:r>
                    <w:rPr>
                      <w:rFonts w:hint="eastAsia"/>
                      <w:color w:val="auto"/>
                      <w:lang w:val="en-US" w:eastAsia="zh-CN"/>
                    </w:rPr>
                    <w:t>生产过程产生的</w:t>
                  </w:r>
                  <w:r>
                    <w:rPr>
                      <w:color w:val="auto"/>
                    </w:rPr>
                    <w:t>危险废物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6" w:hRule="atLeast"/>
                <w:jc w:val="center"/>
              </w:trPr>
              <w:tc>
                <w:tcPr>
                  <w:tcW w:w="1163" w:type="dxa"/>
                  <w:vMerge w:val="continue"/>
                  <w:vAlign w:val="center"/>
                </w:tcPr>
                <w:p>
                  <w:pPr>
                    <w:keepNext w:val="0"/>
                    <w:keepLines w:val="0"/>
                    <w:pageBreakBefore w:val="0"/>
                    <w:widowControl/>
                    <w:kinsoku/>
                    <w:wordWrap/>
                    <w:overflowPunct/>
                    <w:topLinePunct w:val="0"/>
                    <w:autoSpaceDN w:val="0"/>
                    <w:bidi w:val="0"/>
                    <w:snapToGrid/>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p>
              </w:tc>
              <w:tc>
                <w:tcPr>
                  <w:tcW w:w="1402" w:type="dxa"/>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default" w:ascii="Times New Roman" w:hAnsi="Times New Roman" w:cs="Times New Roman"/>
                      <w:color w:val="auto"/>
                      <w:sz w:val="21"/>
                      <w:szCs w:val="21"/>
                      <w:highlight w:val="none"/>
                      <w:lang w:val="en-US" w:eastAsia="zh-CN"/>
                    </w:rPr>
                  </w:pPr>
                  <w:r>
                    <w:rPr>
                      <w:rFonts w:hint="eastAsia"/>
                      <w:color w:val="auto"/>
                      <w:lang w:val="en-US" w:eastAsia="zh-CN"/>
                    </w:rPr>
                    <w:t>原料、成品储存区</w:t>
                  </w:r>
                </w:p>
              </w:tc>
              <w:tc>
                <w:tcPr>
                  <w:tcW w:w="5712" w:type="dxa"/>
                  <w:gridSpan w:val="3"/>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default" w:ascii="Times New Roman" w:hAnsi="Times New Roman" w:cs="Times New Roman"/>
                      <w:color w:val="auto"/>
                      <w:sz w:val="21"/>
                      <w:szCs w:val="21"/>
                      <w:highlight w:val="none"/>
                      <w:lang w:val="en-US" w:eastAsia="zh-CN"/>
                    </w:rPr>
                  </w:pPr>
                  <w:r>
                    <w:rPr>
                      <w:rFonts w:hint="eastAsia"/>
                      <w:color w:val="auto"/>
                      <w:lang w:val="en-US" w:eastAsia="zh-CN"/>
                    </w:rPr>
                    <w:t>位于生产车间生产区二层，用于原料及成品储存，并在东北侧设置危险品储存区，用于储存</w:t>
                  </w:r>
                  <w:r>
                    <w:rPr>
                      <w:rFonts w:hint="eastAsia"/>
                      <w:color w:val="auto"/>
                      <w:highlight w:val="none"/>
                      <w:lang w:val="en-US" w:eastAsia="zh-CN"/>
                    </w:rPr>
                    <w:t>电极银浆、镀膜液、润滑油、氢氧化钠以及制备导电浆料所需原料等，</w:t>
                  </w:r>
                  <w:r>
                    <w:rPr>
                      <w:rFonts w:hint="eastAsia"/>
                      <w:color w:val="auto"/>
                      <w:lang w:val="en-US" w:eastAsia="zh-CN"/>
                    </w:rPr>
                    <w:t>在西北侧设置一般固废储存区，用于储存生产过程产生的一般工业固体废物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163" w:type="dxa"/>
                  <w:vMerge w:val="restart"/>
                  <w:vAlign w:val="center"/>
                </w:tcPr>
                <w:p>
                  <w:pPr>
                    <w:keepNext w:val="0"/>
                    <w:keepLines w:val="0"/>
                    <w:pageBreakBefore w:val="0"/>
                    <w:widowControl/>
                    <w:kinsoku/>
                    <w:wordWrap/>
                    <w:overflowPunct/>
                    <w:topLinePunct w:val="0"/>
                    <w:autoSpaceDN w:val="0"/>
                    <w:bidi w:val="0"/>
                    <w:snapToGrid/>
                    <w:spacing w:line="240" w:lineRule="auto"/>
                    <w:ind w:firstLine="0" w:firstLineChars="0"/>
                    <w:jc w:val="center"/>
                    <w:textAlignment w:val="auto"/>
                    <w:rPr>
                      <w:rFonts w:ascii="宋体" w:hAnsi="宋体" w:cs="宋体"/>
                      <w:color w:val="auto"/>
                      <w:sz w:val="21"/>
                      <w:szCs w:val="21"/>
                      <w:highlight w:val="none"/>
                    </w:rPr>
                  </w:pPr>
                  <w:r>
                    <w:rPr>
                      <w:rFonts w:hint="eastAsia" w:ascii="宋体" w:hAnsi="宋体" w:cs="宋体"/>
                      <w:color w:val="auto"/>
                      <w:sz w:val="21"/>
                      <w:szCs w:val="21"/>
                      <w:highlight w:val="none"/>
                    </w:rPr>
                    <w:t>公用工程</w:t>
                  </w:r>
                </w:p>
              </w:tc>
              <w:tc>
                <w:tcPr>
                  <w:tcW w:w="1402" w:type="dxa"/>
                  <w:vAlign w:val="center"/>
                </w:tcPr>
                <w:p>
                  <w:pPr>
                    <w:keepNext w:val="0"/>
                    <w:keepLines w:val="0"/>
                    <w:pageBreakBefore w:val="0"/>
                    <w:widowControl/>
                    <w:kinsoku/>
                    <w:wordWrap/>
                    <w:overflowPunct/>
                    <w:topLinePunct w:val="0"/>
                    <w:autoSpaceDN w:val="0"/>
                    <w:bidi w:val="0"/>
                    <w:snapToGrid/>
                    <w:spacing w:line="240" w:lineRule="auto"/>
                    <w:ind w:firstLine="0" w:firstLineChars="0"/>
                    <w:jc w:val="center"/>
                    <w:textAlignment w:val="auto"/>
                    <w:rPr>
                      <w:rFonts w:ascii="宋体" w:hAnsi="宋体" w:cs="宋体"/>
                      <w:color w:val="auto"/>
                      <w:sz w:val="21"/>
                      <w:szCs w:val="21"/>
                      <w:highlight w:val="none"/>
                    </w:rPr>
                  </w:pPr>
                  <w:r>
                    <w:rPr>
                      <w:rFonts w:hint="eastAsia" w:ascii="宋体" w:hAnsi="宋体" w:cs="宋体"/>
                      <w:color w:val="auto"/>
                      <w:sz w:val="21"/>
                      <w:szCs w:val="21"/>
                      <w:highlight w:val="none"/>
                    </w:rPr>
                    <w:t>供水</w:t>
                  </w:r>
                </w:p>
              </w:tc>
              <w:tc>
                <w:tcPr>
                  <w:tcW w:w="5712" w:type="dxa"/>
                  <w:gridSpan w:val="3"/>
                  <w:vAlign w:val="center"/>
                </w:tcPr>
                <w:p>
                  <w:pPr>
                    <w:keepNext w:val="0"/>
                    <w:keepLines w:val="0"/>
                    <w:pageBreakBefore w:val="0"/>
                    <w:widowControl/>
                    <w:kinsoku/>
                    <w:wordWrap/>
                    <w:overflowPunct/>
                    <w:topLinePunct w:val="0"/>
                    <w:autoSpaceDN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本项目不新增新水用量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63" w:type="dxa"/>
                  <w:vMerge w:val="continue"/>
                  <w:vAlign w:val="center"/>
                </w:tcPr>
                <w:p>
                  <w:pPr>
                    <w:keepNext w:val="0"/>
                    <w:keepLines w:val="0"/>
                    <w:pageBreakBefore w:val="0"/>
                    <w:widowControl/>
                    <w:kinsoku/>
                    <w:wordWrap/>
                    <w:overflowPunct/>
                    <w:topLinePunct w:val="0"/>
                    <w:autoSpaceDN w:val="0"/>
                    <w:bidi w:val="0"/>
                    <w:snapToGrid/>
                    <w:spacing w:line="240" w:lineRule="auto"/>
                    <w:ind w:firstLine="0" w:firstLineChars="0"/>
                    <w:jc w:val="center"/>
                    <w:textAlignment w:val="auto"/>
                    <w:rPr>
                      <w:rFonts w:ascii="宋体" w:hAnsi="宋体" w:cs="宋体"/>
                      <w:color w:val="auto"/>
                      <w:sz w:val="21"/>
                      <w:szCs w:val="21"/>
                      <w:highlight w:val="none"/>
                    </w:rPr>
                  </w:pPr>
                </w:p>
              </w:tc>
              <w:tc>
                <w:tcPr>
                  <w:tcW w:w="1402" w:type="dxa"/>
                  <w:vAlign w:val="center"/>
                </w:tcPr>
                <w:p>
                  <w:pPr>
                    <w:keepNext w:val="0"/>
                    <w:keepLines w:val="0"/>
                    <w:pageBreakBefore w:val="0"/>
                    <w:widowControl/>
                    <w:kinsoku/>
                    <w:wordWrap/>
                    <w:overflowPunct/>
                    <w:topLinePunct w:val="0"/>
                    <w:autoSpaceDN w:val="0"/>
                    <w:bidi w:val="0"/>
                    <w:snapToGrid/>
                    <w:spacing w:line="240" w:lineRule="auto"/>
                    <w:ind w:firstLine="0" w:firstLineChars="0"/>
                    <w:jc w:val="center"/>
                    <w:textAlignment w:val="auto"/>
                    <w:rPr>
                      <w:rFonts w:ascii="宋体" w:hAnsi="宋体" w:cs="宋体"/>
                      <w:color w:val="auto"/>
                      <w:sz w:val="21"/>
                      <w:szCs w:val="21"/>
                      <w:highlight w:val="none"/>
                    </w:rPr>
                  </w:pPr>
                  <w:r>
                    <w:rPr>
                      <w:rFonts w:hint="eastAsia" w:ascii="宋体" w:hAnsi="宋体" w:cs="宋体"/>
                      <w:color w:val="auto"/>
                      <w:sz w:val="21"/>
                      <w:szCs w:val="21"/>
                      <w:highlight w:val="none"/>
                    </w:rPr>
                    <w:t>供电</w:t>
                  </w:r>
                </w:p>
              </w:tc>
              <w:tc>
                <w:tcPr>
                  <w:tcW w:w="5712" w:type="dxa"/>
                  <w:gridSpan w:val="3"/>
                  <w:vAlign w:val="center"/>
                </w:tcPr>
                <w:p>
                  <w:pPr>
                    <w:keepNext w:val="0"/>
                    <w:keepLines w:val="0"/>
                    <w:pageBreakBefore w:val="0"/>
                    <w:widowControl/>
                    <w:kinsoku/>
                    <w:wordWrap/>
                    <w:overflowPunct/>
                    <w:topLinePunct w:val="0"/>
                    <w:autoSpaceDN w:val="0"/>
                    <w:bidi w:val="0"/>
                    <w:snapToGrid/>
                    <w:spacing w:line="240" w:lineRule="auto"/>
                    <w:ind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用电由园区电网提供</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163" w:type="dxa"/>
                  <w:vMerge w:val="continue"/>
                  <w:vAlign w:val="center"/>
                </w:tcPr>
                <w:p>
                  <w:pPr>
                    <w:keepNext w:val="0"/>
                    <w:keepLines w:val="0"/>
                    <w:pageBreakBefore w:val="0"/>
                    <w:widowControl/>
                    <w:kinsoku/>
                    <w:wordWrap/>
                    <w:overflowPunct/>
                    <w:topLinePunct w:val="0"/>
                    <w:autoSpaceDN w:val="0"/>
                    <w:bidi w:val="0"/>
                    <w:snapToGrid/>
                    <w:spacing w:line="240" w:lineRule="auto"/>
                    <w:ind w:firstLine="0" w:firstLineChars="0"/>
                    <w:jc w:val="center"/>
                    <w:textAlignment w:val="auto"/>
                    <w:rPr>
                      <w:rFonts w:ascii="宋体" w:hAnsi="宋体" w:cs="宋体"/>
                      <w:color w:val="auto"/>
                      <w:sz w:val="21"/>
                      <w:szCs w:val="21"/>
                      <w:highlight w:val="none"/>
                    </w:rPr>
                  </w:pPr>
                </w:p>
              </w:tc>
              <w:tc>
                <w:tcPr>
                  <w:tcW w:w="1402" w:type="dxa"/>
                  <w:vAlign w:val="center"/>
                </w:tcPr>
                <w:p>
                  <w:pPr>
                    <w:keepNext w:val="0"/>
                    <w:keepLines w:val="0"/>
                    <w:pageBreakBefore w:val="0"/>
                    <w:widowControl/>
                    <w:kinsoku/>
                    <w:wordWrap/>
                    <w:overflowPunct/>
                    <w:topLinePunct w:val="0"/>
                    <w:autoSpaceDN w:val="0"/>
                    <w:bidi w:val="0"/>
                    <w:snapToGrid/>
                    <w:spacing w:line="240" w:lineRule="auto"/>
                    <w:ind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取暖</w:t>
                  </w:r>
                </w:p>
              </w:tc>
              <w:tc>
                <w:tcPr>
                  <w:tcW w:w="5712" w:type="dxa"/>
                  <w:gridSpan w:val="3"/>
                  <w:vAlign w:val="center"/>
                </w:tcPr>
                <w:p>
                  <w:pPr>
                    <w:keepNext w:val="0"/>
                    <w:keepLines w:val="0"/>
                    <w:pageBreakBefore w:val="0"/>
                    <w:widowControl/>
                    <w:kinsoku/>
                    <w:wordWrap/>
                    <w:overflowPunct/>
                    <w:topLinePunct w:val="0"/>
                    <w:autoSpaceDN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依托现有取暖设施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163" w:type="dxa"/>
                  <w:vMerge w:val="continue"/>
                  <w:vAlign w:val="center"/>
                </w:tcPr>
                <w:p>
                  <w:pPr>
                    <w:keepNext w:val="0"/>
                    <w:keepLines w:val="0"/>
                    <w:pageBreakBefore w:val="0"/>
                    <w:widowControl/>
                    <w:kinsoku/>
                    <w:wordWrap/>
                    <w:overflowPunct/>
                    <w:topLinePunct w:val="0"/>
                    <w:autoSpaceDN w:val="0"/>
                    <w:bidi w:val="0"/>
                    <w:snapToGrid/>
                    <w:spacing w:line="240" w:lineRule="auto"/>
                    <w:ind w:firstLine="0" w:firstLineChars="0"/>
                    <w:jc w:val="center"/>
                    <w:textAlignment w:val="auto"/>
                    <w:rPr>
                      <w:rFonts w:ascii="宋体" w:hAnsi="宋体" w:cs="宋体"/>
                      <w:color w:val="auto"/>
                      <w:sz w:val="21"/>
                      <w:szCs w:val="21"/>
                      <w:highlight w:val="none"/>
                    </w:rPr>
                  </w:pPr>
                </w:p>
              </w:tc>
              <w:tc>
                <w:tcPr>
                  <w:tcW w:w="1402" w:type="dxa"/>
                  <w:vAlign w:val="center"/>
                </w:tcPr>
                <w:p>
                  <w:pPr>
                    <w:keepNext w:val="0"/>
                    <w:keepLines w:val="0"/>
                    <w:pageBreakBefore w:val="0"/>
                    <w:widowControl/>
                    <w:kinsoku/>
                    <w:wordWrap/>
                    <w:overflowPunct/>
                    <w:topLinePunct w:val="0"/>
                    <w:autoSpaceDN w:val="0"/>
                    <w:bidi w:val="0"/>
                    <w:snapToGrid/>
                    <w:spacing w:line="240" w:lineRule="auto"/>
                    <w:ind w:firstLine="0" w:firstLineChars="0"/>
                    <w:jc w:val="center"/>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供热</w:t>
                  </w:r>
                </w:p>
              </w:tc>
              <w:tc>
                <w:tcPr>
                  <w:tcW w:w="5712" w:type="dxa"/>
                  <w:gridSpan w:val="3"/>
                  <w:vAlign w:val="center"/>
                </w:tcPr>
                <w:p>
                  <w:pPr>
                    <w:keepNext w:val="0"/>
                    <w:keepLines w:val="0"/>
                    <w:pageBreakBefore w:val="0"/>
                    <w:widowControl/>
                    <w:kinsoku/>
                    <w:wordWrap/>
                    <w:overflowPunct/>
                    <w:topLinePunct w:val="0"/>
                    <w:autoSpaceDN w:val="0"/>
                    <w:bidi w:val="0"/>
                    <w:snapToGrid/>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覆膜烘干机为电加热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1163" w:type="dxa"/>
                  <w:vMerge w:val="restart"/>
                  <w:vAlign w:val="center"/>
                </w:tcPr>
                <w:p>
                  <w:pPr>
                    <w:keepNext w:val="0"/>
                    <w:keepLines w:val="0"/>
                    <w:pageBreakBefore w:val="0"/>
                    <w:widowControl/>
                    <w:kinsoku/>
                    <w:wordWrap/>
                    <w:overflowPunct/>
                    <w:topLinePunct w:val="0"/>
                    <w:autoSpaceDN w:val="0"/>
                    <w:bidi w:val="0"/>
                    <w:snapToGrid/>
                    <w:spacing w:line="240" w:lineRule="auto"/>
                    <w:ind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依托工程</w:t>
                  </w:r>
                </w:p>
              </w:tc>
              <w:tc>
                <w:tcPr>
                  <w:tcW w:w="1402" w:type="dxa"/>
                  <w:vAlign w:val="center"/>
                </w:tcPr>
                <w:p>
                  <w:pPr>
                    <w:keepNext w:val="0"/>
                    <w:keepLines w:val="0"/>
                    <w:pageBreakBefore w:val="0"/>
                    <w:widowControl/>
                    <w:kinsoku/>
                    <w:wordWrap/>
                    <w:overflowPunct/>
                    <w:topLinePunct w:val="0"/>
                    <w:autoSpaceDN w:val="0"/>
                    <w:bidi w:val="0"/>
                    <w:snapToGrid/>
                    <w:spacing w:line="240" w:lineRule="auto"/>
                    <w:ind w:firstLine="0" w:firstLineChars="0"/>
                    <w:jc w:val="center"/>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库房</w:t>
                  </w:r>
                </w:p>
              </w:tc>
              <w:tc>
                <w:tcPr>
                  <w:tcW w:w="5712" w:type="dxa"/>
                  <w:gridSpan w:val="3"/>
                  <w:vMerge w:val="restart"/>
                  <w:vAlign w:val="center"/>
                </w:tcPr>
                <w:p>
                  <w:pPr>
                    <w:keepNext w:val="0"/>
                    <w:keepLines w:val="0"/>
                    <w:pageBreakBefore w:val="0"/>
                    <w:widowControl/>
                    <w:kinsoku/>
                    <w:wordWrap/>
                    <w:overflowPunct/>
                    <w:topLinePunct w:val="0"/>
                    <w:autoSpaceDN w:val="0"/>
                    <w:bidi w:val="0"/>
                    <w:snapToGrid/>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color w:val="auto"/>
                      <w:sz w:val="21"/>
                      <w:szCs w:val="21"/>
                      <w:highlight w:val="none"/>
                      <w:lang w:val="en-US" w:eastAsia="zh-CN"/>
                    </w:rPr>
                    <w:t>本项目依托现有库房和原料、成品储存区，通过减少储存周期，增加转运次数的方式，使其储存能力满足生产需求，依托可行</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163" w:type="dxa"/>
                  <w:vMerge w:val="continue"/>
                  <w:vAlign w:val="center"/>
                </w:tcPr>
                <w:p>
                  <w:pPr>
                    <w:keepNext w:val="0"/>
                    <w:keepLines w:val="0"/>
                    <w:pageBreakBefore w:val="0"/>
                    <w:widowControl/>
                    <w:kinsoku/>
                    <w:wordWrap/>
                    <w:overflowPunct/>
                    <w:topLinePunct w:val="0"/>
                    <w:autoSpaceDN w:val="0"/>
                    <w:bidi w:val="0"/>
                    <w:snapToGrid/>
                    <w:spacing w:line="240" w:lineRule="auto"/>
                    <w:ind w:firstLine="0" w:firstLineChars="0"/>
                    <w:jc w:val="center"/>
                    <w:textAlignment w:val="auto"/>
                    <w:rPr>
                      <w:rFonts w:hint="eastAsia" w:ascii="宋体" w:hAnsi="宋体" w:cs="宋体"/>
                      <w:color w:val="auto"/>
                      <w:sz w:val="21"/>
                      <w:szCs w:val="21"/>
                      <w:highlight w:val="none"/>
                      <w:lang w:val="en-US" w:eastAsia="zh-CN"/>
                    </w:rPr>
                  </w:pPr>
                </w:p>
              </w:tc>
              <w:tc>
                <w:tcPr>
                  <w:tcW w:w="1402" w:type="dxa"/>
                  <w:vAlign w:val="center"/>
                </w:tcPr>
                <w:p>
                  <w:pPr>
                    <w:keepNext w:val="0"/>
                    <w:keepLines w:val="0"/>
                    <w:pageBreakBefore w:val="0"/>
                    <w:widowControl/>
                    <w:kinsoku/>
                    <w:wordWrap/>
                    <w:overflowPunct/>
                    <w:topLinePunct w:val="0"/>
                    <w:autoSpaceDN w:val="0"/>
                    <w:bidi w:val="0"/>
                    <w:snapToGrid/>
                    <w:spacing w:line="240" w:lineRule="auto"/>
                    <w:ind w:firstLine="0" w:firstLineChars="0"/>
                    <w:jc w:val="center"/>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原料、成品储存区</w:t>
                  </w:r>
                </w:p>
              </w:tc>
              <w:tc>
                <w:tcPr>
                  <w:tcW w:w="5712" w:type="dxa"/>
                  <w:gridSpan w:val="3"/>
                  <w:vMerge w:val="continue"/>
                  <w:vAlign w:val="center"/>
                </w:tcPr>
                <w:p>
                  <w:pPr>
                    <w:keepNext w:val="0"/>
                    <w:keepLines w:val="0"/>
                    <w:pageBreakBefore w:val="0"/>
                    <w:widowControl/>
                    <w:kinsoku/>
                    <w:wordWrap/>
                    <w:overflowPunct/>
                    <w:topLinePunct w:val="0"/>
                    <w:autoSpaceDN w:val="0"/>
                    <w:bidi w:val="0"/>
                    <w:snapToGrid/>
                    <w:spacing w:line="240" w:lineRule="auto"/>
                    <w:ind w:firstLine="0" w:firstLineChars="0"/>
                    <w:jc w:val="center"/>
                    <w:textAlignment w:val="auto"/>
                    <w:rPr>
                      <w:rFonts w:hint="eastAsia" w:ascii="Times New Roman" w:hAnsi="Times New Roman" w:cs="Times New Roman"/>
                      <w:color w:val="auto"/>
                      <w:sz w:val="21"/>
                      <w:szCs w:val="21"/>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163" w:type="dxa"/>
                  <w:vMerge w:val="continue"/>
                  <w:vAlign w:val="center"/>
                </w:tcPr>
                <w:p>
                  <w:pPr>
                    <w:keepNext w:val="0"/>
                    <w:keepLines w:val="0"/>
                    <w:pageBreakBefore w:val="0"/>
                    <w:widowControl/>
                    <w:kinsoku/>
                    <w:wordWrap/>
                    <w:overflowPunct/>
                    <w:topLinePunct w:val="0"/>
                    <w:autoSpaceDN w:val="0"/>
                    <w:bidi w:val="0"/>
                    <w:snapToGrid/>
                    <w:spacing w:line="240" w:lineRule="auto"/>
                    <w:ind w:firstLine="0" w:firstLineChars="0"/>
                    <w:jc w:val="center"/>
                    <w:textAlignment w:val="auto"/>
                    <w:rPr>
                      <w:rFonts w:hint="eastAsia" w:ascii="宋体" w:hAnsi="宋体" w:cs="宋体"/>
                      <w:color w:val="auto"/>
                      <w:sz w:val="21"/>
                      <w:szCs w:val="21"/>
                      <w:highlight w:val="none"/>
                      <w:lang w:val="en-US" w:eastAsia="zh-CN"/>
                    </w:rPr>
                  </w:pPr>
                </w:p>
              </w:tc>
              <w:tc>
                <w:tcPr>
                  <w:tcW w:w="1402" w:type="dxa"/>
                  <w:vAlign w:val="center"/>
                </w:tcPr>
                <w:p>
                  <w:pPr>
                    <w:keepNext w:val="0"/>
                    <w:keepLines w:val="0"/>
                    <w:pageBreakBefore w:val="0"/>
                    <w:widowControl/>
                    <w:kinsoku/>
                    <w:wordWrap/>
                    <w:overflowPunct/>
                    <w:topLinePunct w:val="0"/>
                    <w:autoSpaceDN w:val="0"/>
                    <w:bidi w:val="0"/>
                    <w:snapToGrid/>
                    <w:spacing w:line="240" w:lineRule="auto"/>
                    <w:ind w:firstLine="0" w:firstLineChars="0"/>
                    <w:jc w:val="center"/>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危废间</w:t>
                  </w:r>
                </w:p>
              </w:tc>
              <w:tc>
                <w:tcPr>
                  <w:tcW w:w="5712" w:type="dxa"/>
                  <w:gridSpan w:val="3"/>
                  <w:vAlign w:val="center"/>
                </w:tcPr>
                <w:p>
                  <w:pPr>
                    <w:keepNext w:val="0"/>
                    <w:keepLines w:val="0"/>
                    <w:pageBreakBefore w:val="0"/>
                    <w:widowControl/>
                    <w:kinsoku/>
                    <w:wordWrap/>
                    <w:overflowPunct/>
                    <w:topLinePunct w:val="0"/>
                    <w:autoSpaceDN w:val="0"/>
                    <w:bidi w:val="0"/>
                    <w:snapToGrid/>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eastAsia" w:cs="Times New Roman"/>
                      <w:color w:val="auto"/>
                      <w:sz w:val="21"/>
                      <w:szCs w:val="21"/>
                      <w:highlight w:val="none"/>
                      <w:lang w:val="en-US" w:eastAsia="zh-CN"/>
                    </w:rPr>
                    <w:t>本项目依托现有危废间，现有危废中喷淋废水每半年转运一次，其余危废每年转运一次，</w:t>
                  </w:r>
                  <w:r>
                    <w:rPr>
                      <w:rFonts w:hint="default" w:ascii="Times New Roman" w:hAnsi="Times New Roman" w:cs="Times New Roman"/>
                      <w:color w:val="auto"/>
                      <w:spacing w:val="0"/>
                      <w:sz w:val="21"/>
                      <w:szCs w:val="21"/>
                      <w:highlight w:val="none"/>
                      <w:lang w:val="en-US" w:eastAsia="zh-CN"/>
                    </w:rPr>
                    <w:t>危废间面积为15m</w:t>
                  </w:r>
                  <w:r>
                    <w:rPr>
                      <w:rFonts w:hint="default" w:ascii="Times New Roman" w:hAnsi="Times New Roman" w:cs="Times New Roman"/>
                      <w:color w:val="auto"/>
                      <w:spacing w:val="0"/>
                      <w:sz w:val="21"/>
                      <w:szCs w:val="21"/>
                      <w:highlight w:val="none"/>
                      <w:vertAlign w:val="superscript"/>
                      <w:lang w:val="en-US" w:eastAsia="zh-CN"/>
                    </w:rPr>
                    <w:t>2</w:t>
                  </w:r>
                  <w:r>
                    <w:rPr>
                      <w:rFonts w:hint="default" w:ascii="Times New Roman" w:hAnsi="Times New Roman" w:cs="Times New Roman"/>
                      <w:color w:val="auto"/>
                      <w:spacing w:val="0"/>
                      <w:sz w:val="21"/>
                      <w:szCs w:val="21"/>
                      <w:highlight w:val="none"/>
                      <w:lang w:val="en-US" w:eastAsia="zh-CN"/>
                    </w:rPr>
                    <w:t>，危废间已利用面积约10m</w:t>
                  </w:r>
                  <w:r>
                    <w:rPr>
                      <w:rFonts w:hint="default" w:ascii="Times New Roman" w:hAnsi="Times New Roman" w:cs="Times New Roman"/>
                      <w:color w:val="auto"/>
                      <w:spacing w:val="0"/>
                      <w:sz w:val="21"/>
                      <w:szCs w:val="21"/>
                      <w:highlight w:val="none"/>
                      <w:vertAlign w:val="superscript"/>
                      <w:lang w:val="en-US" w:eastAsia="zh-CN"/>
                    </w:rPr>
                    <w:t>2</w:t>
                  </w:r>
                  <w:r>
                    <w:rPr>
                      <w:rFonts w:hint="eastAsia" w:ascii="Times New Roman" w:hAnsi="Times New Roman" w:cs="Times New Roman"/>
                      <w:color w:val="auto"/>
                      <w:spacing w:val="0"/>
                      <w:sz w:val="21"/>
                      <w:szCs w:val="21"/>
                      <w:highlight w:val="none"/>
                      <w:vertAlign w:val="baseline"/>
                      <w:lang w:val="en-US" w:eastAsia="zh-CN"/>
                    </w:rPr>
                    <w:t>，本项目建成后，</w:t>
                  </w:r>
                  <w:r>
                    <w:rPr>
                      <w:rFonts w:hint="eastAsia" w:cs="Times New Roman"/>
                      <w:color w:val="auto"/>
                      <w:spacing w:val="0"/>
                      <w:sz w:val="21"/>
                      <w:szCs w:val="21"/>
                      <w:highlight w:val="none"/>
                      <w:vertAlign w:val="baseline"/>
                      <w:lang w:val="en-US" w:eastAsia="zh-CN"/>
                    </w:rPr>
                    <w:t>废活性炭更换后直接由有资质单位运走处置，不在厂区内储存，同时，其余危险废物</w:t>
                  </w:r>
                  <w:r>
                    <w:rPr>
                      <w:rFonts w:hint="eastAsia" w:ascii="Times New Roman" w:hAnsi="Times New Roman" w:cs="Times New Roman"/>
                      <w:color w:val="auto"/>
                      <w:spacing w:val="0"/>
                      <w:sz w:val="21"/>
                      <w:szCs w:val="21"/>
                      <w:highlight w:val="none"/>
                      <w:vertAlign w:val="baseline"/>
                      <w:lang w:val="en-US" w:eastAsia="zh-CN"/>
                    </w:rPr>
                    <w:t>增加转运次数，全部危废均每半年转运一次，危废间最大利用面积约8</w:t>
                  </w:r>
                  <w:r>
                    <w:rPr>
                      <w:rFonts w:hint="default" w:ascii="Times New Roman" w:hAnsi="Times New Roman" w:cs="Times New Roman"/>
                      <w:color w:val="auto"/>
                      <w:spacing w:val="0"/>
                      <w:sz w:val="21"/>
                      <w:szCs w:val="21"/>
                      <w:highlight w:val="none"/>
                      <w:lang w:val="en-US" w:eastAsia="zh-CN"/>
                    </w:rPr>
                    <w:t>m</w:t>
                  </w:r>
                  <w:r>
                    <w:rPr>
                      <w:rFonts w:hint="default" w:ascii="Times New Roman" w:hAnsi="Times New Roman" w:cs="Times New Roman"/>
                      <w:color w:val="auto"/>
                      <w:spacing w:val="0"/>
                      <w:sz w:val="21"/>
                      <w:szCs w:val="21"/>
                      <w:highlight w:val="none"/>
                      <w:vertAlign w:val="superscript"/>
                      <w:lang w:val="en-US" w:eastAsia="zh-CN"/>
                    </w:rPr>
                    <w:t>2</w:t>
                  </w:r>
                  <w:r>
                    <w:rPr>
                      <w:rFonts w:hint="eastAsia" w:ascii="Times New Roman" w:hAnsi="Times New Roman" w:cs="Times New Roman"/>
                      <w:color w:val="auto"/>
                      <w:spacing w:val="0"/>
                      <w:sz w:val="21"/>
                      <w:szCs w:val="21"/>
                      <w:highlight w:val="none"/>
                      <w:vertAlign w:val="baseline"/>
                      <w:lang w:val="en-US" w:eastAsia="zh-CN"/>
                    </w:rPr>
                    <w:t>，可满足需求</w:t>
                  </w:r>
                  <w:r>
                    <w:rPr>
                      <w:rFonts w:hint="eastAsia"/>
                      <w:color w:val="auto"/>
                      <w:sz w:val="21"/>
                      <w:szCs w:val="21"/>
                      <w:highlight w:val="none"/>
                      <w:lang w:val="en-US" w:eastAsia="zh-CN"/>
                    </w:rPr>
                    <w:t>，依托可行</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163" w:type="dxa"/>
                  <w:vMerge w:val="continue"/>
                  <w:vAlign w:val="center"/>
                </w:tcPr>
                <w:p>
                  <w:pPr>
                    <w:keepNext w:val="0"/>
                    <w:keepLines w:val="0"/>
                    <w:pageBreakBefore w:val="0"/>
                    <w:widowControl/>
                    <w:kinsoku/>
                    <w:wordWrap/>
                    <w:overflowPunct/>
                    <w:topLinePunct w:val="0"/>
                    <w:autoSpaceDN w:val="0"/>
                    <w:bidi w:val="0"/>
                    <w:snapToGrid/>
                    <w:spacing w:line="240" w:lineRule="auto"/>
                    <w:ind w:firstLine="0" w:firstLineChars="0"/>
                    <w:jc w:val="center"/>
                    <w:textAlignment w:val="auto"/>
                    <w:rPr>
                      <w:rFonts w:hint="eastAsia" w:ascii="宋体" w:hAnsi="宋体" w:cs="宋体"/>
                      <w:color w:val="auto"/>
                      <w:sz w:val="21"/>
                      <w:szCs w:val="21"/>
                      <w:highlight w:val="none"/>
                      <w:lang w:val="en-US" w:eastAsia="zh-CN"/>
                    </w:rPr>
                  </w:pPr>
                </w:p>
              </w:tc>
              <w:tc>
                <w:tcPr>
                  <w:tcW w:w="1402" w:type="dxa"/>
                  <w:vAlign w:val="center"/>
                </w:tcPr>
                <w:p>
                  <w:pPr>
                    <w:keepNext w:val="0"/>
                    <w:keepLines w:val="0"/>
                    <w:pageBreakBefore w:val="0"/>
                    <w:widowControl/>
                    <w:kinsoku/>
                    <w:wordWrap/>
                    <w:overflowPunct/>
                    <w:topLinePunct w:val="0"/>
                    <w:autoSpaceDN w:val="0"/>
                    <w:bidi w:val="0"/>
                    <w:snapToGrid/>
                    <w:spacing w:line="240" w:lineRule="auto"/>
                    <w:ind w:firstLine="0" w:firstLineChars="0"/>
                    <w:jc w:val="center"/>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生产区</w:t>
                  </w:r>
                </w:p>
              </w:tc>
              <w:tc>
                <w:tcPr>
                  <w:tcW w:w="5712" w:type="dxa"/>
                  <w:gridSpan w:val="3"/>
                  <w:vAlign w:val="center"/>
                </w:tcPr>
                <w:p>
                  <w:pPr>
                    <w:keepNext w:val="0"/>
                    <w:keepLines w:val="0"/>
                    <w:pageBreakBefore w:val="0"/>
                    <w:widowControl/>
                    <w:kinsoku/>
                    <w:wordWrap/>
                    <w:overflowPunct/>
                    <w:topLinePunct w:val="0"/>
                    <w:autoSpaceDN w:val="0"/>
                    <w:bidi w:val="0"/>
                    <w:snapToGrid/>
                    <w:spacing w:line="240" w:lineRule="auto"/>
                    <w:ind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本项目依托现有生产车间内的生产区中闲置区域，购置相关设备，可满足生产需求，依托可行</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163" w:type="dxa"/>
                  <w:vMerge w:val="continue"/>
                  <w:vAlign w:val="center"/>
                </w:tcPr>
                <w:p>
                  <w:pPr>
                    <w:keepNext w:val="0"/>
                    <w:keepLines w:val="0"/>
                    <w:pageBreakBefore w:val="0"/>
                    <w:widowControl/>
                    <w:kinsoku/>
                    <w:wordWrap/>
                    <w:overflowPunct/>
                    <w:topLinePunct w:val="0"/>
                    <w:autoSpaceDN w:val="0"/>
                    <w:bidi w:val="0"/>
                    <w:snapToGrid/>
                    <w:spacing w:line="240" w:lineRule="auto"/>
                    <w:ind w:firstLine="0" w:firstLineChars="0"/>
                    <w:jc w:val="center"/>
                    <w:textAlignment w:val="auto"/>
                    <w:rPr>
                      <w:rFonts w:hint="eastAsia" w:ascii="宋体" w:hAnsi="宋体" w:cs="宋体"/>
                      <w:color w:val="auto"/>
                      <w:sz w:val="21"/>
                      <w:szCs w:val="21"/>
                      <w:highlight w:val="none"/>
                      <w:lang w:val="en-US" w:eastAsia="zh-CN"/>
                    </w:rPr>
                  </w:pPr>
                </w:p>
              </w:tc>
              <w:tc>
                <w:tcPr>
                  <w:tcW w:w="1402" w:type="dxa"/>
                  <w:vAlign w:val="center"/>
                </w:tcPr>
                <w:p>
                  <w:pPr>
                    <w:keepNext w:val="0"/>
                    <w:keepLines w:val="0"/>
                    <w:pageBreakBefore w:val="0"/>
                    <w:widowControl/>
                    <w:kinsoku/>
                    <w:wordWrap/>
                    <w:overflowPunct/>
                    <w:topLinePunct w:val="0"/>
                    <w:autoSpaceDN w:val="0"/>
                    <w:bidi w:val="0"/>
                    <w:snapToGrid/>
                    <w:spacing w:line="240" w:lineRule="auto"/>
                    <w:ind w:firstLine="0" w:firstLineChars="0"/>
                    <w:jc w:val="center"/>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办公区</w:t>
                  </w:r>
                </w:p>
              </w:tc>
              <w:tc>
                <w:tcPr>
                  <w:tcW w:w="5712" w:type="dxa"/>
                  <w:gridSpan w:val="3"/>
                  <w:vAlign w:val="center"/>
                </w:tcPr>
                <w:p>
                  <w:pPr>
                    <w:keepNext w:val="0"/>
                    <w:keepLines w:val="0"/>
                    <w:pageBreakBefore w:val="0"/>
                    <w:widowControl/>
                    <w:kinsoku/>
                    <w:wordWrap/>
                    <w:overflowPunct/>
                    <w:topLinePunct w:val="0"/>
                    <w:autoSpaceDN w:val="0"/>
                    <w:bidi w:val="0"/>
                    <w:snapToGrid/>
                    <w:spacing w:line="240" w:lineRule="auto"/>
                    <w:ind w:firstLine="0" w:firstLineChars="0"/>
                    <w:jc w:val="center"/>
                    <w:textAlignment w:val="auto"/>
                    <w:rPr>
                      <w:rFonts w:hint="eastAsia" w:cs="Times New Roman"/>
                      <w:color w:val="auto"/>
                      <w:sz w:val="21"/>
                      <w:szCs w:val="21"/>
                      <w:highlight w:val="none"/>
                      <w:lang w:val="en-US" w:eastAsia="zh-CN"/>
                    </w:rPr>
                  </w:pPr>
                  <w:r>
                    <w:rPr>
                      <w:rFonts w:hint="eastAsia"/>
                      <w:color w:val="auto"/>
                      <w:sz w:val="21"/>
                      <w:szCs w:val="21"/>
                      <w:highlight w:val="none"/>
                      <w:lang w:val="en-US" w:eastAsia="zh-CN"/>
                    </w:rPr>
                    <w:t>本项目依托现有生产车间内的办公区，办公人数均由现有工程调剂，依托可行</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63" w:hRule="atLeast"/>
                <w:jc w:val="center"/>
              </w:trPr>
              <w:tc>
                <w:tcPr>
                  <w:tcW w:w="1163" w:type="dxa"/>
                  <w:vMerge w:val="restart"/>
                  <w:vAlign w:val="center"/>
                </w:tcPr>
                <w:p>
                  <w:pPr>
                    <w:keepNext w:val="0"/>
                    <w:keepLines w:val="0"/>
                    <w:pageBreakBefore w:val="0"/>
                    <w:widowControl/>
                    <w:kinsoku/>
                    <w:wordWrap/>
                    <w:overflowPunct/>
                    <w:topLinePunct w:val="0"/>
                    <w:autoSpaceDN w:val="0"/>
                    <w:bidi w:val="0"/>
                    <w:snapToGrid/>
                    <w:spacing w:line="240" w:lineRule="auto"/>
                    <w:ind w:firstLine="0" w:firstLine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环保工程</w:t>
                  </w:r>
                </w:p>
              </w:tc>
              <w:tc>
                <w:tcPr>
                  <w:tcW w:w="1402" w:type="dxa"/>
                  <w:vMerge w:val="restart"/>
                  <w:vAlign w:val="center"/>
                </w:tcPr>
                <w:p>
                  <w:pPr>
                    <w:keepNext w:val="0"/>
                    <w:keepLines w:val="0"/>
                    <w:pageBreakBefore w:val="0"/>
                    <w:widowControl/>
                    <w:kinsoku/>
                    <w:wordWrap/>
                    <w:overflowPunct/>
                    <w:topLinePunct w:val="0"/>
                    <w:autoSpaceDN w:val="0"/>
                    <w:bidi w:val="0"/>
                    <w:snapToGrid/>
                    <w:spacing w:line="240" w:lineRule="auto"/>
                    <w:ind w:firstLine="0" w:firstLineChars="0"/>
                    <w:jc w:val="center"/>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废气</w:t>
                  </w:r>
                </w:p>
              </w:tc>
              <w:tc>
                <w:tcPr>
                  <w:tcW w:w="1143" w:type="dxa"/>
                  <w:vAlign w:val="center"/>
                </w:tcPr>
                <w:p>
                  <w:pPr>
                    <w:keepNext w:val="0"/>
                    <w:keepLines w:val="0"/>
                    <w:pageBreakBefore w:val="0"/>
                    <w:widowControl/>
                    <w:kinsoku/>
                    <w:wordWrap/>
                    <w:overflowPunct/>
                    <w:topLinePunct w:val="0"/>
                    <w:autoSpaceDN w:val="0"/>
                    <w:bidi w:val="0"/>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镀膜废气（现有）</w:t>
                  </w:r>
                </w:p>
              </w:tc>
              <w:tc>
                <w:tcPr>
                  <w:tcW w:w="3496" w:type="dxa"/>
                  <w:vAlign w:val="center"/>
                </w:tcPr>
                <w:p>
                  <w:pPr>
                    <w:keepNext w:val="0"/>
                    <w:keepLines w:val="0"/>
                    <w:pageBreakBefore w:val="0"/>
                    <w:widowControl/>
                    <w:kinsoku/>
                    <w:wordWrap/>
                    <w:overflowPunct/>
                    <w:topLinePunct w:val="0"/>
                    <w:autoSpaceDN w:val="0"/>
                    <w:bidi w:val="0"/>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镀膜机采取封闭措施，并在设备上方设置引风管道，通过风机将废气引入1套三级串联的碱液喷淋塔</w:t>
                  </w:r>
                  <w:r>
                    <w:rPr>
                      <w:rFonts w:hint="eastAsia" w:cs="Times New Roman"/>
                      <w:color w:val="auto"/>
                      <w:kern w:val="2"/>
                      <w:sz w:val="21"/>
                      <w:szCs w:val="21"/>
                      <w:highlight w:val="none"/>
                      <w:lang w:val="en-US" w:eastAsia="zh-CN" w:bidi="ar-SA"/>
                    </w:rPr>
                    <w:t>（TA001）</w:t>
                  </w:r>
                  <w:r>
                    <w:rPr>
                      <w:rFonts w:hint="default" w:ascii="Times New Roman" w:hAnsi="Times New Roman" w:eastAsia="宋体" w:cs="Times New Roman"/>
                      <w:color w:val="auto"/>
                      <w:kern w:val="2"/>
                      <w:sz w:val="21"/>
                      <w:szCs w:val="21"/>
                      <w:highlight w:val="none"/>
                      <w:lang w:val="en-US" w:eastAsia="zh-CN" w:bidi="ar-SA"/>
                    </w:rPr>
                    <w:t>进行净化处理</w:t>
                  </w:r>
                </w:p>
              </w:tc>
              <w:tc>
                <w:tcPr>
                  <w:tcW w:w="1073" w:type="dxa"/>
                  <w:vMerge w:val="restart"/>
                  <w:vAlign w:val="center"/>
                </w:tcPr>
                <w:p>
                  <w:pPr>
                    <w:keepNext w:val="0"/>
                    <w:keepLines w:val="0"/>
                    <w:pageBreakBefore w:val="0"/>
                    <w:widowControl/>
                    <w:kinsoku/>
                    <w:wordWrap/>
                    <w:overflowPunct/>
                    <w:topLinePunct w:val="0"/>
                    <w:autoSpaceDN w:val="0"/>
                    <w:bidi w:val="0"/>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经TA001、TA002处理的废气通过1根30m高排气筒（DA001）排放至大气中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1163" w:type="dxa"/>
                  <w:vMerge w:val="continue"/>
                  <w:vAlign w:val="center"/>
                </w:tcPr>
                <w:p>
                  <w:pPr>
                    <w:keepNext w:val="0"/>
                    <w:keepLines w:val="0"/>
                    <w:pageBreakBefore w:val="0"/>
                    <w:widowControl/>
                    <w:kinsoku/>
                    <w:wordWrap/>
                    <w:overflowPunct/>
                    <w:topLinePunct w:val="0"/>
                    <w:autoSpaceDN w:val="0"/>
                    <w:bidi w:val="0"/>
                    <w:snapToGrid/>
                    <w:spacing w:line="240" w:lineRule="auto"/>
                    <w:ind w:firstLine="0" w:firstLineChars="0"/>
                    <w:jc w:val="center"/>
                    <w:textAlignment w:val="auto"/>
                    <w:rPr>
                      <w:rFonts w:ascii="宋体" w:hAnsi="宋体" w:cs="宋体"/>
                      <w:color w:val="auto"/>
                      <w:sz w:val="21"/>
                      <w:szCs w:val="21"/>
                      <w:highlight w:val="none"/>
                    </w:rPr>
                  </w:pPr>
                </w:p>
              </w:tc>
              <w:tc>
                <w:tcPr>
                  <w:tcW w:w="1402" w:type="dxa"/>
                  <w:vMerge w:val="continue"/>
                  <w:vAlign w:val="center"/>
                </w:tcPr>
                <w:p>
                  <w:pPr>
                    <w:keepNext w:val="0"/>
                    <w:keepLines w:val="0"/>
                    <w:pageBreakBefore w:val="0"/>
                    <w:widowControl/>
                    <w:kinsoku/>
                    <w:wordWrap/>
                    <w:overflowPunct/>
                    <w:topLinePunct w:val="0"/>
                    <w:autoSpaceDN w:val="0"/>
                    <w:bidi w:val="0"/>
                    <w:snapToGrid/>
                    <w:spacing w:line="240" w:lineRule="auto"/>
                    <w:ind w:firstLine="0" w:firstLineChars="0"/>
                    <w:jc w:val="center"/>
                    <w:textAlignment w:val="auto"/>
                    <w:rPr>
                      <w:rFonts w:ascii="宋体" w:hAnsi="宋体" w:cs="宋体"/>
                      <w:color w:val="auto"/>
                      <w:sz w:val="21"/>
                      <w:szCs w:val="21"/>
                      <w:highlight w:val="none"/>
                    </w:rPr>
                  </w:pPr>
                </w:p>
              </w:tc>
              <w:tc>
                <w:tcPr>
                  <w:tcW w:w="1143" w:type="dxa"/>
                  <w:vAlign w:val="center"/>
                </w:tcPr>
                <w:p>
                  <w:pPr>
                    <w:keepNext w:val="0"/>
                    <w:keepLines w:val="0"/>
                    <w:pageBreakBefore w:val="0"/>
                    <w:widowControl/>
                    <w:kinsoku/>
                    <w:wordWrap/>
                    <w:overflowPunct/>
                    <w:topLinePunct w:val="0"/>
                    <w:autoSpaceDN w:val="0"/>
                    <w:bidi w:val="0"/>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烘干及烧结还原废气（现有）</w:t>
                  </w:r>
                </w:p>
              </w:tc>
              <w:tc>
                <w:tcPr>
                  <w:tcW w:w="3496" w:type="dxa"/>
                  <w:vMerge w:val="restart"/>
                  <w:vAlign w:val="center"/>
                </w:tcPr>
                <w:p>
                  <w:pPr>
                    <w:keepNext w:val="0"/>
                    <w:keepLines w:val="0"/>
                    <w:pageBreakBefore w:val="0"/>
                    <w:widowControl/>
                    <w:kinsoku/>
                    <w:wordWrap/>
                    <w:overflowPunct/>
                    <w:topLinePunct w:val="0"/>
                    <w:autoSpaceDN w:val="0"/>
                    <w:bidi w:val="0"/>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烘干和烧结还原过程</w:t>
                  </w:r>
                  <w:r>
                    <w:rPr>
                      <w:rFonts w:hint="eastAsia" w:cs="Times New Roman"/>
                      <w:color w:val="auto"/>
                      <w:kern w:val="2"/>
                      <w:sz w:val="21"/>
                      <w:szCs w:val="21"/>
                      <w:highlight w:val="none"/>
                      <w:lang w:val="en-US" w:eastAsia="zh-CN" w:bidi="ar-SA"/>
                    </w:rPr>
                    <w:t>设备密闭</w:t>
                  </w:r>
                  <w:r>
                    <w:rPr>
                      <w:rFonts w:hint="default" w:ascii="Times New Roman" w:hAnsi="Times New Roman" w:eastAsia="宋体" w:cs="Times New Roman"/>
                      <w:color w:val="auto"/>
                      <w:kern w:val="2"/>
                      <w:sz w:val="21"/>
                      <w:szCs w:val="21"/>
                      <w:highlight w:val="none"/>
                      <w:lang w:val="en-US" w:eastAsia="zh-CN" w:bidi="ar-SA"/>
                    </w:rPr>
                    <w:t>，在各烘干</w:t>
                  </w:r>
                  <w:r>
                    <w:rPr>
                      <w:rFonts w:hint="eastAsia" w:cs="Times New Roman"/>
                      <w:color w:val="auto"/>
                      <w:kern w:val="2"/>
                      <w:sz w:val="21"/>
                      <w:szCs w:val="21"/>
                      <w:highlight w:val="none"/>
                      <w:lang w:val="en-US" w:eastAsia="zh-CN" w:bidi="ar-SA"/>
                    </w:rPr>
                    <w:t>炉</w:t>
                  </w:r>
                  <w:r>
                    <w:rPr>
                      <w:rFonts w:hint="default" w:ascii="Times New Roman" w:hAnsi="Times New Roman" w:eastAsia="宋体" w:cs="Times New Roman"/>
                      <w:color w:val="auto"/>
                      <w:kern w:val="2"/>
                      <w:sz w:val="21"/>
                      <w:szCs w:val="21"/>
                      <w:highlight w:val="none"/>
                      <w:lang w:val="en-US" w:eastAsia="zh-CN" w:bidi="ar-SA"/>
                    </w:rPr>
                    <w:t>和烧熔炉的出口上方设置集气罩</w:t>
                  </w:r>
                  <w:r>
                    <w:rPr>
                      <w:rFonts w:hint="eastAsia" w:cs="Times New Roman"/>
                      <w:color w:val="auto"/>
                      <w:kern w:val="2"/>
                      <w:sz w:val="21"/>
                      <w:szCs w:val="21"/>
                      <w:highlight w:val="none"/>
                      <w:lang w:val="en-US" w:eastAsia="zh-CN" w:bidi="ar-SA"/>
                    </w:rPr>
                    <w:t>；覆膜印刷机、覆膜烘干机封闭，在设备上方设置集气管道；自动覆膜机上方设置集气罩，采用</w:t>
                  </w:r>
                  <w:r>
                    <w:rPr>
                      <w:rFonts w:hint="default" w:ascii="Times New Roman" w:hAnsi="Times New Roman" w:eastAsia="宋体" w:cs="Times New Roman"/>
                      <w:color w:val="auto"/>
                      <w:kern w:val="2"/>
                      <w:sz w:val="21"/>
                      <w:szCs w:val="21"/>
                      <w:highlight w:val="none"/>
                      <w:lang w:val="en-US" w:eastAsia="zh-CN" w:bidi="ar-SA"/>
                    </w:rPr>
                    <w:t>风机将</w:t>
                  </w:r>
                  <w:r>
                    <w:rPr>
                      <w:rFonts w:hint="eastAsia" w:cs="Times New Roman"/>
                      <w:color w:val="auto"/>
                      <w:kern w:val="2"/>
                      <w:sz w:val="21"/>
                      <w:szCs w:val="21"/>
                      <w:highlight w:val="none"/>
                      <w:lang w:val="en-US" w:eastAsia="zh-CN" w:bidi="ar-SA"/>
                    </w:rPr>
                    <w:t>印刷、印刷烘干、覆膜、烘干及烧结还原过程产生的废气</w:t>
                  </w:r>
                  <w:r>
                    <w:rPr>
                      <w:rFonts w:hint="default" w:ascii="Times New Roman" w:hAnsi="Times New Roman" w:eastAsia="宋体" w:cs="Times New Roman"/>
                      <w:color w:val="auto"/>
                      <w:kern w:val="2"/>
                      <w:sz w:val="21"/>
                      <w:szCs w:val="21"/>
                      <w:highlight w:val="none"/>
                      <w:lang w:val="en-US" w:eastAsia="zh-CN" w:bidi="ar-SA"/>
                    </w:rPr>
                    <w:t>引入1套</w:t>
                  </w:r>
                  <w:r>
                    <w:rPr>
                      <w:rFonts w:hint="eastAsia" w:cs="Times New Roman"/>
                      <w:color w:val="auto"/>
                      <w:kern w:val="2"/>
                      <w:sz w:val="21"/>
                      <w:szCs w:val="21"/>
                      <w:highlight w:val="none"/>
                      <w:lang w:val="en-US" w:eastAsia="zh-CN" w:bidi="ar-SA"/>
                    </w:rPr>
                    <w:t>两级</w:t>
                  </w:r>
                  <w:r>
                    <w:rPr>
                      <w:rFonts w:hint="default" w:ascii="Times New Roman" w:hAnsi="Times New Roman" w:eastAsia="宋体" w:cs="Times New Roman"/>
                      <w:color w:val="auto"/>
                      <w:kern w:val="2"/>
                      <w:sz w:val="21"/>
                      <w:szCs w:val="21"/>
                      <w:highlight w:val="none"/>
                      <w:lang w:val="en-US" w:eastAsia="zh-CN" w:bidi="ar-SA"/>
                    </w:rPr>
                    <w:t>活性炭吸附装置</w:t>
                  </w:r>
                  <w:r>
                    <w:rPr>
                      <w:rFonts w:hint="eastAsia" w:cs="Times New Roman"/>
                      <w:color w:val="auto"/>
                      <w:kern w:val="2"/>
                      <w:sz w:val="21"/>
                      <w:szCs w:val="21"/>
                      <w:highlight w:val="none"/>
                      <w:lang w:val="en-US" w:eastAsia="zh-CN" w:bidi="ar-SA"/>
                    </w:rPr>
                    <w:t>（TA002）</w:t>
                  </w:r>
                  <w:r>
                    <w:rPr>
                      <w:rFonts w:hint="default" w:ascii="Times New Roman" w:hAnsi="Times New Roman" w:eastAsia="宋体" w:cs="Times New Roman"/>
                      <w:color w:val="auto"/>
                      <w:kern w:val="2"/>
                      <w:sz w:val="21"/>
                      <w:szCs w:val="21"/>
                      <w:highlight w:val="none"/>
                      <w:lang w:val="en-US" w:eastAsia="zh-CN" w:bidi="ar-SA"/>
                    </w:rPr>
                    <w:t>进行净化处理</w:t>
                  </w:r>
                </w:p>
              </w:tc>
              <w:tc>
                <w:tcPr>
                  <w:tcW w:w="1073" w:type="dxa"/>
                  <w:vMerge w:val="continue"/>
                  <w:vAlign w:val="center"/>
                </w:tcPr>
                <w:p>
                  <w:pPr>
                    <w:keepNext w:val="0"/>
                    <w:keepLines w:val="0"/>
                    <w:pageBreakBefore w:val="0"/>
                    <w:widowControl/>
                    <w:kinsoku/>
                    <w:wordWrap/>
                    <w:overflowPunct/>
                    <w:topLinePunct w:val="0"/>
                    <w:autoSpaceDN w:val="0"/>
                    <w:bidi w:val="0"/>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1163" w:type="dxa"/>
                  <w:vMerge w:val="continue"/>
                  <w:vAlign w:val="center"/>
                </w:tcPr>
                <w:p>
                  <w:pPr>
                    <w:keepNext w:val="0"/>
                    <w:keepLines w:val="0"/>
                    <w:pageBreakBefore w:val="0"/>
                    <w:widowControl/>
                    <w:kinsoku/>
                    <w:wordWrap/>
                    <w:overflowPunct/>
                    <w:topLinePunct w:val="0"/>
                    <w:autoSpaceDN w:val="0"/>
                    <w:bidi w:val="0"/>
                    <w:snapToGrid/>
                    <w:spacing w:line="240" w:lineRule="auto"/>
                    <w:ind w:firstLine="0" w:firstLineChars="0"/>
                    <w:jc w:val="center"/>
                    <w:textAlignment w:val="auto"/>
                    <w:rPr>
                      <w:rFonts w:ascii="宋体" w:hAnsi="宋体" w:cs="宋体"/>
                      <w:color w:val="auto"/>
                      <w:sz w:val="21"/>
                      <w:szCs w:val="21"/>
                      <w:highlight w:val="none"/>
                    </w:rPr>
                  </w:pPr>
                </w:p>
              </w:tc>
              <w:tc>
                <w:tcPr>
                  <w:tcW w:w="1402" w:type="dxa"/>
                  <w:vMerge w:val="continue"/>
                  <w:vAlign w:val="center"/>
                </w:tcPr>
                <w:p>
                  <w:pPr>
                    <w:keepNext w:val="0"/>
                    <w:keepLines w:val="0"/>
                    <w:pageBreakBefore w:val="0"/>
                    <w:widowControl/>
                    <w:kinsoku/>
                    <w:wordWrap/>
                    <w:overflowPunct/>
                    <w:topLinePunct w:val="0"/>
                    <w:autoSpaceDN w:val="0"/>
                    <w:bidi w:val="0"/>
                    <w:snapToGrid/>
                    <w:spacing w:line="240" w:lineRule="auto"/>
                    <w:ind w:firstLine="0" w:firstLineChars="0"/>
                    <w:jc w:val="center"/>
                    <w:textAlignment w:val="auto"/>
                    <w:rPr>
                      <w:rFonts w:ascii="宋体" w:hAnsi="宋体" w:cs="宋体"/>
                      <w:color w:val="auto"/>
                      <w:sz w:val="21"/>
                      <w:szCs w:val="21"/>
                      <w:highlight w:val="none"/>
                    </w:rPr>
                  </w:pPr>
                </w:p>
              </w:tc>
              <w:tc>
                <w:tcPr>
                  <w:tcW w:w="1143" w:type="dxa"/>
                  <w:vAlign w:val="center"/>
                </w:tcPr>
                <w:p>
                  <w:pPr>
                    <w:keepNext w:val="0"/>
                    <w:keepLines w:val="0"/>
                    <w:pageBreakBefore w:val="0"/>
                    <w:widowControl/>
                    <w:kinsoku/>
                    <w:wordWrap/>
                    <w:overflowPunct/>
                    <w:topLinePunct w:val="0"/>
                    <w:autoSpaceDN w:val="0"/>
                    <w:bidi w:val="0"/>
                    <w:snapToGrid/>
                    <w:spacing w:line="240" w:lineRule="auto"/>
                    <w:ind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印刷、印刷烘干、覆膜废气</w:t>
                  </w:r>
                </w:p>
              </w:tc>
              <w:tc>
                <w:tcPr>
                  <w:tcW w:w="3496" w:type="dxa"/>
                  <w:vMerge w:val="continue"/>
                  <w:vAlign w:val="center"/>
                </w:tcPr>
                <w:p>
                  <w:pPr>
                    <w:keepNext w:val="0"/>
                    <w:keepLines w:val="0"/>
                    <w:pageBreakBefore w:val="0"/>
                    <w:widowControl/>
                    <w:kinsoku/>
                    <w:wordWrap/>
                    <w:overflowPunct/>
                    <w:topLinePunct w:val="0"/>
                    <w:autoSpaceDN w:val="0"/>
                    <w:bidi w:val="0"/>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1073" w:type="dxa"/>
                  <w:vMerge w:val="continue"/>
                  <w:vAlign w:val="center"/>
                </w:tcPr>
                <w:p>
                  <w:pPr>
                    <w:keepNext w:val="0"/>
                    <w:keepLines w:val="0"/>
                    <w:pageBreakBefore w:val="0"/>
                    <w:widowControl/>
                    <w:kinsoku/>
                    <w:wordWrap/>
                    <w:overflowPunct/>
                    <w:topLinePunct w:val="0"/>
                    <w:autoSpaceDN w:val="0"/>
                    <w:bidi w:val="0"/>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163" w:type="dxa"/>
                  <w:vMerge w:val="continue"/>
                  <w:vAlign w:val="center"/>
                </w:tcPr>
                <w:p>
                  <w:pPr>
                    <w:keepNext w:val="0"/>
                    <w:keepLines w:val="0"/>
                    <w:pageBreakBefore w:val="0"/>
                    <w:widowControl/>
                    <w:kinsoku/>
                    <w:wordWrap/>
                    <w:overflowPunct/>
                    <w:topLinePunct w:val="0"/>
                    <w:autoSpaceDN w:val="0"/>
                    <w:bidi w:val="0"/>
                    <w:snapToGrid/>
                    <w:spacing w:line="240" w:lineRule="auto"/>
                    <w:ind w:firstLine="0" w:firstLineChars="0"/>
                    <w:jc w:val="center"/>
                    <w:textAlignment w:val="auto"/>
                    <w:rPr>
                      <w:rFonts w:ascii="宋体" w:hAnsi="宋体" w:cs="宋体"/>
                      <w:color w:val="auto"/>
                      <w:sz w:val="21"/>
                      <w:szCs w:val="21"/>
                      <w:highlight w:val="none"/>
                    </w:rPr>
                  </w:pPr>
                </w:p>
              </w:tc>
              <w:tc>
                <w:tcPr>
                  <w:tcW w:w="1402" w:type="dxa"/>
                  <w:vAlign w:val="center"/>
                </w:tcPr>
                <w:p>
                  <w:pPr>
                    <w:keepNext w:val="0"/>
                    <w:keepLines w:val="0"/>
                    <w:pageBreakBefore w:val="0"/>
                    <w:widowControl/>
                    <w:kinsoku/>
                    <w:wordWrap/>
                    <w:overflowPunct/>
                    <w:topLinePunct w:val="0"/>
                    <w:autoSpaceDN w:val="0"/>
                    <w:bidi w:val="0"/>
                    <w:snapToGrid/>
                    <w:spacing w:line="240" w:lineRule="auto"/>
                    <w:ind w:firstLine="0" w:firstLineChars="0"/>
                    <w:jc w:val="center"/>
                    <w:textAlignment w:val="auto"/>
                    <w:rPr>
                      <w:rFonts w:ascii="宋体" w:hAnsi="宋体" w:cs="宋体"/>
                      <w:color w:val="auto"/>
                      <w:sz w:val="21"/>
                      <w:szCs w:val="21"/>
                      <w:highlight w:val="none"/>
                    </w:rPr>
                  </w:pPr>
                  <w:r>
                    <w:rPr>
                      <w:rFonts w:hint="eastAsia" w:ascii="宋体" w:hAnsi="宋体" w:cs="宋体"/>
                      <w:color w:val="auto"/>
                      <w:sz w:val="21"/>
                      <w:szCs w:val="21"/>
                      <w:highlight w:val="none"/>
                    </w:rPr>
                    <w:t>废水</w:t>
                  </w:r>
                </w:p>
              </w:tc>
              <w:tc>
                <w:tcPr>
                  <w:tcW w:w="5712" w:type="dxa"/>
                  <w:gridSpan w:val="3"/>
                  <w:vAlign w:val="center"/>
                </w:tcPr>
                <w:p>
                  <w:pPr>
                    <w:keepNext w:val="0"/>
                    <w:keepLines w:val="0"/>
                    <w:pageBreakBefore w:val="0"/>
                    <w:widowControl/>
                    <w:kinsoku/>
                    <w:wordWrap/>
                    <w:overflowPunct/>
                    <w:topLinePunct w:val="0"/>
                    <w:autoSpaceDN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本项目无废水产生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163" w:type="dxa"/>
                  <w:vMerge w:val="continue"/>
                  <w:vAlign w:val="center"/>
                </w:tcPr>
                <w:p>
                  <w:pPr>
                    <w:keepNext w:val="0"/>
                    <w:keepLines w:val="0"/>
                    <w:pageBreakBefore w:val="0"/>
                    <w:widowControl/>
                    <w:kinsoku/>
                    <w:wordWrap/>
                    <w:overflowPunct/>
                    <w:topLinePunct w:val="0"/>
                    <w:autoSpaceDN w:val="0"/>
                    <w:bidi w:val="0"/>
                    <w:snapToGrid/>
                    <w:spacing w:line="240" w:lineRule="auto"/>
                    <w:ind w:firstLine="0" w:firstLineChars="0"/>
                    <w:jc w:val="center"/>
                    <w:textAlignment w:val="auto"/>
                    <w:rPr>
                      <w:rFonts w:ascii="宋体" w:hAnsi="宋体" w:cs="宋体"/>
                      <w:color w:val="auto"/>
                      <w:sz w:val="21"/>
                      <w:szCs w:val="21"/>
                      <w:highlight w:val="none"/>
                    </w:rPr>
                  </w:pPr>
                </w:p>
              </w:tc>
              <w:tc>
                <w:tcPr>
                  <w:tcW w:w="1402" w:type="dxa"/>
                  <w:vAlign w:val="center"/>
                </w:tcPr>
                <w:p>
                  <w:pPr>
                    <w:keepNext w:val="0"/>
                    <w:keepLines w:val="0"/>
                    <w:pageBreakBefore w:val="0"/>
                    <w:widowControl/>
                    <w:kinsoku/>
                    <w:wordWrap/>
                    <w:overflowPunct/>
                    <w:topLinePunct w:val="0"/>
                    <w:autoSpaceDN w:val="0"/>
                    <w:bidi w:val="0"/>
                    <w:snapToGrid/>
                    <w:spacing w:line="240" w:lineRule="auto"/>
                    <w:ind w:firstLine="0" w:firstLineChars="0"/>
                    <w:jc w:val="center"/>
                    <w:textAlignment w:val="auto"/>
                    <w:rPr>
                      <w:rFonts w:ascii="宋体" w:hAnsi="宋体" w:cs="宋体"/>
                      <w:color w:val="auto"/>
                      <w:sz w:val="21"/>
                      <w:szCs w:val="21"/>
                      <w:highlight w:val="none"/>
                    </w:rPr>
                  </w:pPr>
                  <w:r>
                    <w:rPr>
                      <w:rFonts w:hint="eastAsia" w:ascii="宋体" w:hAnsi="宋体" w:cs="宋体"/>
                      <w:color w:val="auto"/>
                      <w:sz w:val="21"/>
                      <w:szCs w:val="21"/>
                      <w:highlight w:val="none"/>
                    </w:rPr>
                    <w:t>噪声</w:t>
                  </w:r>
                </w:p>
              </w:tc>
              <w:tc>
                <w:tcPr>
                  <w:tcW w:w="5712" w:type="dxa"/>
                  <w:gridSpan w:val="3"/>
                  <w:vAlign w:val="center"/>
                </w:tcPr>
                <w:p>
                  <w:pPr>
                    <w:keepNext w:val="0"/>
                    <w:keepLines w:val="0"/>
                    <w:pageBreakBefore w:val="0"/>
                    <w:widowControl/>
                    <w:kinsoku/>
                    <w:wordWrap/>
                    <w:overflowPunct/>
                    <w:topLinePunct w:val="0"/>
                    <w:autoSpaceDN w:val="0"/>
                    <w:bidi w:val="0"/>
                    <w:snapToGrid/>
                    <w:spacing w:line="240" w:lineRule="auto"/>
                    <w:ind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选用低噪声设备、</w:t>
                  </w:r>
                  <w:r>
                    <w:rPr>
                      <w:rFonts w:hint="eastAsia" w:ascii="Times New Roman" w:hAnsi="Times New Roman" w:cs="Times New Roman"/>
                      <w:color w:val="auto"/>
                      <w:sz w:val="21"/>
                      <w:szCs w:val="21"/>
                      <w:highlight w:val="none"/>
                      <w:lang w:val="en-US" w:eastAsia="zh-CN"/>
                    </w:rPr>
                    <w:t>采取</w:t>
                  </w:r>
                  <w:r>
                    <w:rPr>
                      <w:rFonts w:hint="default" w:ascii="Times New Roman" w:hAnsi="Times New Roman" w:cs="Times New Roman"/>
                      <w:color w:val="auto"/>
                      <w:sz w:val="21"/>
                      <w:szCs w:val="21"/>
                      <w:highlight w:val="none"/>
                    </w:rPr>
                    <w:t>厂房隔声、基础减振等措施降噪</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16" w:hRule="atLeast"/>
                <w:jc w:val="center"/>
              </w:trPr>
              <w:tc>
                <w:tcPr>
                  <w:tcW w:w="1163" w:type="dxa"/>
                  <w:vMerge w:val="continue"/>
                  <w:vAlign w:val="center"/>
                </w:tcPr>
                <w:p>
                  <w:pPr>
                    <w:keepNext w:val="0"/>
                    <w:keepLines w:val="0"/>
                    <w:pageBreakBefore w:val="0"/>
                    <w:widowControl/>
                    <w:kinsoku/>
                    <w:wordWrap/>
                    <w:overflowPunct/>
                    <w:topLinePunct w:val="0"/>
                    <w:autoSpaceDN w:val="0"/>
                    <w:bidi w:val="0"/>
                    <w:snapToGrid/>
                    <w:spacing w:line="240" w:lineRule="auto"/>
                    <w:ind w:firstLine="0" w:firstLineChars="0"/>
                    <w:jc w:val="center"/>
                    <w:textAlignment w:val="auto"/>
                    <w:rPr>
                      <w:rFonts w:ascii="宋体" w:hAnsi="宋体" w:cs="宋体"/>
                      <w:color w:val="auto"/>
                      <w:sz w:val="21"/>
                      <w:szCs w:val="21"/>
                      <w:highlight w:val="none"/>
                    </w:rPr>
                  </w:pPr>
                </w:p>
              </w:tc>
              <w:tc>
                <w:tcPr>
                  <w:tcW w:w="1402" w:type="dxa"/>
                  <w:vMerge w:val="restart"/>
                  <w:vAlign w:val="center"/>
                </w:tcPr>
                <w:p>
                  <w:pPr>
                    <w:keepNext w:val="0"/>
                    <w:keepLines w:val="0"/>
                    <w:pageBreakBefore w:val="0"/>
                    <w:widowControl/>
                    <w:kinsoku/>
                    <w:wordWrap/>
                    <w:overflowPunct/>
                    <w:topLinePunct w:val="0"/>
                    <w:autoSpaceDN w:val="0"/>
                    <w:bidi w:val="0"/>
                    <w:snapToGrid/>
                    <w:spacing w:line="240" w:lineRule="auto"/>
                    <w:ind w:firstLine="0" w:firstLineChars="0"/>
                    <w:jc w:val="center"/>
                    <w:textAlignment w:val="auto"/>
                    <w:rPr>
                      <w:rFonts w:ascii="宋体" w:hAnsi="宋体" w:cs="宋体"/>
                      <w:color w:val="auto"/>
                      <w:sz w:val="21"/>
                      <w:szCs w:val="21"/>
                      <w:highlight w:val="none"/>
                    </w:rPr>
                  </w:pPr>
                  <w:r>
                    <w:rPr>
                      <w:rFonts w:hint="eastAsia" w:ascii="宋体" w:hAnsi="宋体" w:cs="宋体"/>
                      <w:color w:val="auto"/>
                      <w:sz w:val="21"/>
                      <w:szCs w:val="21"/>
                      <w:highlight w:val="none"/>
                    </w:rPr>
                    <w:t>固废</w:t>
                  </w:r>
                </w:p>
              </w:tc>
              <w:tc>
                <w:tcPr>
                  <w:tcW w:w="1143" w:type="dxa"/>
                  <w:vAlign w:val="center"/>
                </w:tcPr>
                <w:p>
                  <w:pPr>
                    <w:keepNext w:val="0"/>
                    <w:keepLines w:val="0"/>
                    <w:pageBreakBefore w:val="0"/>
                    <w:widowControl/>
                    <w:kinsoku/>
                    <w:wordWrap/>
                    <w:overflowPunct/>
                    <w:topLinePunct w:val="0"/>
                    <w:autoSpaceDN w:val="0"/>
                    <w:bidi w:val="0"/>
                    <w:snapToGrid/>
                    <w:spacing w:line="240" w:lineRule="auto"/>
                    <w:ind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一般工业固体废物</w:t>
                  </w:r>
                </w:p>
              </w:tc>
              <w:tc>
                <w:tcPr>
                  <w:tcW w:w="4569" w:type="dxa"/>
                  <w:gridSpan w:val="2"/>
                  <w:vAlign w:val="center"/>
                </w:tcPr>
                <w:p>
                  <w:pPr>
                    <w:keepNext w:val="0"/>
                    <w:keepLines w:val="0"/>
                    <w:pageBreakBefore w:val="0"/>
                    <w:widowControl/>
                    <w:kinsoku/>
                    <w:wordWrap/>
                    <w:overflowPunct/>
                    <w:topLinePunct w:val="0"/>
                    <w:autoSpaceDN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生产过程产生的废包装物，裁切过程产生的PET膜边角料、PVC膜边角料，集中收集，暂存于一般固废储存区，外售废品回收站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1163" w:type="dxa"/>
                  <w:vMerge w:val="continue"/>
                  <w:vAlign w:val="center"/>
                </w:tcPr>
                <w:p>
                  <w:pPr>
                    <w:keepNext w:val="0"/>
                    <w:keepLines w:val="0"/>
                    <w:pageBreakBefore w:val="0"/>
                    <w:widowControl/>
                    <w:kinsoku/>
                    <w:wordWrap/>
                    <w:overflowPunct/>
                    <w:topLinePunct w:val="0"/>
                    <w:autoSpaceDN w:val="0"/>
                    <w:bidi w:val="0"/>
                    <w:snapToGrid/>
                    <w:spacing w:line="240" w:lineRule="auto"/>
                    <w:ind w:firstLine="0" w:firstLineChars="0"/>
                    <w:jc w:val="left"/>
                    <w:textAlignment w:val="auto"/>
                    <w:rPr>
                      <w:color w:val="auto"/>
                    </w:rPr>
                  </w:pPr>
                </w:p>
              </w:tc>
              <w:tc>
                <w:tcPr>
                  <w:tcW w:w="1402" w:type="dxa"/>
                  <w:vMerge w:val="continue"/>
                  <w:vAlign w:val="center"/>
                </w:tcPr>
                <w:p>
                  <w:pPr>
                    <w:keepNext w:val="0"/>
                    <w:keepLines w:val="0"/>
                    <w:pageBreakBefore w:val="0"/>
                    <w:widowControl/>
                    <w:kinsoku/>
                    <w:wordWrap/>
                    <w:overflowPunct/>
                    <w:topLinePunct w:val="0"/>
                    <w:autoSpaceDN w:val="0"/>
                    <w:bidi w:val="0"/>
                    <w:snapToGrid/>
                    <w:spacing w:line="240" w:lineRule="auto"/>
                    <w:ind w:firstLine="0" w:firstLineChars="0"/>
                    <w:jc w:val="left"/>
                    <w:textAlignment w:val="auto"/>
                    <w:rPr>
                      <w:color w:val="auto"/>
                    </w:rPr>
                  </w:pPr>
                </w:p>
              </w:tc>
              <w:tc>
                <w:tcPr>
                  <w:tcW w:w="1143" w:type="dxa"/>
                  <w:vAlign w:val="center"/>
                </w:tcPr>
                <w:p>
                  <w:pPr>
                    <w:keepNext w:val="0"/>
                    <w:keepLines w:val="0"/>
                    <w:pageBreakBefore w:val="0"/>
                    <w:widowControl/>
                    <w:kinsoku/>
                    <w:wordWrap/>
                    <w:overflowPunct/>
                    <w:topLinePunct w:val="0"/>
                    <w:autoSpaceDN w:val="0"/>
                    <w:bidi w:val="0"/>
                    <w:snapToGrid/>
                    <w:spacing w:line="240" w:lineRule="auto"/>
                    <w:ind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危险废物</w:t>
                  </w:r>
                </w:p>
              </w:tc>
              <w:tc>
                <w:tcPr>
                  <w:tcW w:w="4569" w:type="dxa"/>
                  <w:gridSpan w:val="2"/>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rFonts w:hint="default" w:eastAsia="宋体"/>
                      <w:color w:val="auto"/>
                      <w:lang w:val="en-US" w:eastAsia="zh-CN"/>
                    </w:rPr>
                  </w:pPr>
                  <w:r>
                    <w:rPr>
                      <w:rFonts w:hint="eastAsia"/>
                      <w:color w:val="auto"/>
                      <w:lang w:val="en-US" w:eastAsia="zh-CN"/>
                    </w:rPr>
                    <w:t>设备维护保养过程产生的废润滑油、废润滑油桶，生产过程产生的废包装桶（导电浆料配制原料包装桶），暂存于危废间，定期委托有资质单位进行处置；废气治理设施产生的废活性炭，直接由有资质单位运走处置，不再厂区内储存。</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1163" w:type="dxa"/>
                  <w:vMerge w:val="continue"/>
                  <w:vAlign w:val="center"/>
                </w:tcPr>
                <w:p>
                  <w:pPr>
                    <w:keepNext w:val="0"/>
                    <w:keepLines w:val="0"/>
                    <w:pageBreakBefore w:val="0"/>
                    <w:widowControl/>
                    <w:kinsoku/>
                    <w:wordWrap/>
                    <w:overflowPunct/>
                    <w:topLinePunct w:val="0"/>
                    <w:autoSpaceDN w:val="0"/>
                    <w:bidi w:val="0"/>
                    <w:snapToGrid/>
                    <w:spacing w:line="240" w:lineRule="auto"/>
                    <w:ind w:firstLine="0" w:firstLineChars="0"/>
                    <w:jc w:val="left"/>
                    <w:textAlignment w:val="auto"/>
                    <w:rPr>
                      <w:color w:val="auto"/>
                    </w:rPr>
                  </w:pPr>
                </w:p>
              </w:tc>
              <w:tc>
                <w:tcPr>
                  <w:tcW w:w="1402" w:type="dxa"/>
                  <w:vAlign w:val="center"/>
                </w:tcPr>
                <w:p>
                  <w:pPr>
                    <w:keepNext w:val="0"/>
                    <w:keepLines w:val="0"/>
                    <w:pageBreakBefore w:val="0"/>
                    <w:widowControl/>
                    <w:kinsoku/>
                    <w:wordWrap/>
                    <w:overflowPunct/>
                    <w:topLinePunct w:val="0"/>
                    <w:autoSpaceDN w:val="0"/>
                    <w:bidi w:val="0"/>
                    <w:snapToGrid/>
                    <w:spacing w:line="240" w:lineRule="auto"/>
                    <w:ind w:firstLine="0" w:firstLineChars="0"/>
                    <w:jc w:val="center"/>
                    <w:textAlignment w:val="auto"/>
                    <w:rPr>
                      <w:rFonts w:hint="eastAsia"/>
                      <w:color w:val="auto"/>
                      <w:lang w:val="en-US" w:eastAsia="zh-CN"/>
                    </w:rPr>
                  </w:pPr>
                  <w:r>
                    <w:rPr>
                      <w:rFonts w:hint="eastAsia"/>
                      <w:color w:val="auto"/>
                      <w:lang w:val="en-US" w:eastAsia="zh-CN"/>
                    </w:rPr>
                    <w:t>防渗</w:t>
                  </w:r>
                </w:p>
              </w:tc>
              <w:tc>
                <w:tcPr>
                  <w:tcW w:w="5712" w:type="dxa"/>
                  <w:gridSpan w:val="3"/>
                  <w:vAlign w:val="center"/>
                </w:tcPr>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color w:val="auto"/>
                      <w:sz w:val="21"/>
                      <w:szCs w:val="21"/>
                      <w:highlight w:val="none"/>
                    </w:rPr>
                  </w:pPr>
                  <w:r>
                    <w:rPr>
                      <w:rFonts w:hint="eastAsia"/>
                      <w:color w:val="auto"/>
                      <w:sz w:val="21"/>
                      <w:szCs w:val="21"/>
                      <w:highlight w:val="none"/>
                      <w:lang w:val="en-US" w:eastAsia="zh-CN"/>
                    </w:rPr>
                    <w:t>危废间、危险品储存区、喷淋塔</w:t>
                  </w:r>
                  <w:r>
                    <w:rPr>
                      <w:rFonts w:hint="eastAsia"/>
                      <w:color w:val="auto"/>
                      <w:sz w:val="21"/>
                      <w:szCs w:val="21"/>
                      <w:highlight w:val="none"/>
                    </w:rPr>
                    <w:t>为重点防渗区，</w:t>
                  </w:r>
                  <w:r>
                    <w:rPr>
                      <w:color w:val="auto"/>
                      <w:sz w:val="21"/>
                      <w:szCs w:val="21"/>
                      <w:highlight w:val="none"/>
                    </w:rPr>
                    <w:t>其他</w:t>
                  </w:r>
                  <w:r>
                    <w:rPr>
                      <w:rFonts w:hint="eastAsia"/>
                      <w:color w:val="auto"/>
                      <w:sz w:val="21"/>
                      <w:szCs w:val="21"/>
                      <w:highlight w:val="none"/>
                      <w:lang w:val="en-US" w:eastAsia="zh-CN"/>
                    </w:rPr>
                    <w:t>生产</w:t>
                  </w:r>
                  <w:r>
                    <w:rPr>
                      <w:color w:val="auto"/>
                      <w:sz w:val="21"/>
                      <w:szCs w:val="21"/>
                      <w:highlight w:val="none"/>
                    </w:rPr>
                    <w:t>区域</w:t>
                  </w:r>
                  <w:r>
                    <w:rPr>
                      <w:rFonts w:hint="eastAsia"/>
                      <w:color w:val="auto"/>
                      <w:sz w:val="21"/>
                      <w:szCs w:val="21"/>
                      <w:highlight w:val="none"/>
                    </w:rPr>
                    <w:t>为一般防渗区</w:t>
                  </w:r>
                  <w:r>
                    <w:rPr>
                      <w:rFonts w:hint="eastAsia"/>
                      <w:color w:val="auto"/>
                      <w:sz w:val="21"/>
                      <w:szCs w:val="21"/>
                      <w:highlight w:val="none"/>
                      <w:lang w:eastAsia="zh-CN"/>
                    </w:rPr>
                    <w:t>，</w:t>
                  </w:r>
                  <w:r>
                    <w:rPr>
                      <w:rFonts w:hint="eastAsia"/>
                      <w:color w:val="auto"/>
                      <w:sz w:val="21"/>
                      <w:szCs w:val="21"/>
                      <w:highlight w:val="none"/>
                      <w:lang w:val="en-US" w:eastAsia="zh-CN"/>
                    </w:rPr>
                    <w:t>办公区、厂区地面为简单防渗区</w:t>
                  </w:r>
                  <w:r>
                    <w:rPr>
                      <w:rFonts w:hint="eastAsia"/>
                      <w:color w:val="auto"/>
                      <w:sz w:val="21"/>
                      <w:szCs w:val="21"/>
                      <w:highlight w:val="none"/>
                    </w:rPr>
                    <w:t>。</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color w:val="auto"/>
                      <w:sz w:val="21"/>
                      <w:szCs w:val="21"/>
                      <w:highlight w:val="none"/>
                      <w:lang w:val="en-US" w:eastAsia="zh-CN"/>
                    </w:rPr>
                  </w:pPr>
                  <w:r>
                    <w:rPr>
                      <w:rFonts w:hint="eastAsia" w:ascii="Times New Roman" w:hAnsi="Times New Roman" w:eastAsia="宋体"/>
                      <w:color w:val="auto"/>
                      <w:sz w:val="21"/>
                      <w:szCs w:val="21"/>
                      <w:highlight w:val="none"/>
                    </w:rPr>
                    <w:t>①</w:t>
                  </w:r>
                  <w:r>
                    <w:rPr>
                      <w:rFonts w:ascii="Times New Roman" w:hAnsi="Times New Roman" w:eastAsia="宋体"/>
                      <w:color w:val="auto"/>
                      <w:sz w:val="21"/>
                      <w:szCs w:val="21"/>
                      <w:highlight w:val="none"/>
                    </w:rPr>
                    <w:t>重点防渗区：该分区需要做</w:t>
                  </w:r>
                  <w:r>
                    <w:rPr>
                      <w:rFonts w:hint="eastAsia" w:ascii="Times New Roman" w:hAnsi="Times New Roman" w:eastAsia="宋体"/>
                      <w:color w:val="auto"/>
                      <w:sz w:val="21"/>
                      <w:szCs w:val="21"/>
                      <w:highlight w:val="none"/>
                      <w:lang w:val="en-US" w:eastAsia="zh-CN"/>
                    </w:rPr>
                    <w:t>防</w:t>
                  </w:r>
                  <w:r>
                    <w:rPr>
                      <w:rFonts w:ascii="Times New Roman" w:hAnsi="Times New Roman" w:eastAsia="宋体"/>
                      <w:color w:val="auto"/>
                      <w:sz w:val="21"/>
                      <w:szCs w:val="21"/>
                      <w:highlight w:val="none"/>
                    </w:rPr>
                    <w:t>渗处理</w:t>
                  </w:r>
                  <w:r>
                    <w:rPr>
                      <w:rFonts w:hint="eastAsia"/>
                      <w:color w:val="auto"/>
                      <w:sz w:val="21"/>
                      <w:szCs w:val="21"/>
                      <w:highlight w:val="none"/>
                      <w:lang w:val="en-US" w:eastAsia="zh-CN"/>
                    </w:rPr>
                    <w:t>，现有危废间、危险品储存区、碱液喷淋塔，已按重点防渗区要求做好防渗，本项目新增润滑油、导电浆料原料均储存于现有危险品储存区，新增危废除活性炭外均储存于现有危废间。</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ascii="Times New Roman" w:hAnsi="Times New Roman" w:eastAsia="宋体"/>
                      <w:color w:val="auto"/>
                      <w:sz w:val="21"/>
                      <w:szCs w:val="21"/>
                      <w:highlight w:val="none"/>
                    </w:rPr>
                  </w:pPr>
                  <w:r>
                    <w:rPr>
                      <w:rFonts w:hint="eastAsia" w:ascii="Times New Roman" w:hAnsi="Times New Roman" w:eastAsia="宋体"/>
                      <w:color w:val="auto"/>
                      <w:sz w:val="21"/>
                      <w:szCs w:val="21"/>
                      <w:highlight w:val="none"/>
                    </w:rPr>
                    <w:t>②</w:t>
                  </w:r>
                  <w:r>
                    <w:rPr>
                      <w:rFonts w:ascii="Times New Roman" w:hAnsi="Times New Roman" w:eastAsia="宋体"/>
                      <w:color w:val="auto"/>
                      <w:sz w:val="21"/>
                      <w:szCs w:val="21"/>
                      <w:highlight w:val="none"/>
                    </w:rPr>
                    <w:t>一般防渗区：</w:t>
                  </w:r>
                  <w:r>
                    <w:rPr>
                      <w:rFonts w:hint="eastAsia" w:ascii="Times New Roman" w:hAnsi="Times New Roman" w:eastAsia="宋体"/>
                      <w:color w:val="auto"/>
                      <w:sz w:val="21"/>
                      <w:szCs w:val="21"/>
                      <w:highlight w:val="none"/>
                    </w:rPr>
                    <w:t>生产车间</w:t>
                  </w:r>
                  <w:r>
                    <w:rPr>
                      <w:rFonts w:ascii="Times New Roman" w:hAnsi="Times New Roman" w:eastAsia="宋体"/>
                      <w:color w:val="auto"/>
                      <w:sz w:val="21"/>
                      <w:szCs w:val="21"/>
                      <w:highlight w:val="none"/>
                    </w:rPr>
                    <w:t>其他区域的建设进行基础防渗处理，需满足等效黏土防渗层Mb≥6.0m，K≤1×10</w:t>
                  </w:r>
                  <w:r>
                    <w:rPr>
                      <w:rFonts w:ascii="Times New Roman" w:hAnsi="Times New Roman" w:eastAsia="宋体"/>
                      <w:color w:val="auto"/>
                      <w:sz w:val="21"/>
                      <w:szCs w:val="21"/>
                      <w:highlight w:val="none"/>
                      <w:vertAlign w:val="superscript"/>
                    </w:rPr>
                    <w:t>-7</w:t>
                  </w:r>
                  <w:r>
                    <w:rPr>
                      <w:rFonts w:ascii="Times New Roman" w:hAnsi="Times New Roman" w:eastAsia="宋体"/>
                      <w:color w:val="auto"/>
                      <w:sz w:val="21"/>
                      <w:szCs w:val="21"/>
                      <w:highlight w:val="none"/>
                    </w:rPr>
                    <w:t>cm/s</w:t>
                  </w:r>
                  <w:r>
                    <w:rPr>
                      <w:rFonts w:hint="eastAsia"/>
                      <w:color w:val="auto"/>
                      <w:sz w:val="21"/>
                      <w:szCs w:val="21"/>
                      <w:highlight w:val="none"/>
                      <w:lang w:eastAsia="zh-CN"/>
                    </w:rPr>
                    <w:t>，</w:t>
                  </w:r>
                  <w:r>
                    <w:rPr>
                      <w:rFonts w:hint="eastAsia"/>
                      <w:color w:val="auto"/>
                      <w:sz w:val="21"/>
                      <w:szCs w:val="21"/>
                      <w:highlight w:val="none"/>
                      <w:lang w:val="en-US" w:eastAsia="zh-CN"/>
                    </w:rPr>
                    <w:t>使用油品设备区下设防渗托盘，确保废油不落地</w:t>
                  </w:r>
                  <w:r>
                    <w:rPr>
                      <w:rFonts w:ascii="Times New Roman" w:hAnsi="Times New Roman" w:eastAsia="宋体"/>
                      <w:color w:val="auto"/>
                      <w:sz w:val="21"/>
                      <w:szCs w:val="21"/>
                      <w:highlight w:val="none"/>
                    </w:rPr>
                    <w:t>。</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color w:val="auto"/>
                      <w:lang w:val="en-US" w:eastAsia="zh-CN"/>
                    </w:rPr>
                  </w:pPr>
                  <w:r>
                    <w:rPr>
                      <w:rFonts w:hint="eastAsia" w:ascii="Times New Roman" w:hAnsi="Times New Roman" w:eastAsia="宋体"/>
                      <w:color w:val="auto"/>
                      <w:sz w:val="21"/>
                      <w:szCs w:val="21"/>
                      <w:highlight w:val="none"/>
                    </w:rPr>
                    <w:t>③</w:t>
                  </w:r>
                  <w:r>
                    <w:rPr>
                      <w:rFonts w:hint="eastAsia"/>
                      <w:color w:val="auto"/>
                      <w:sz w:val="21"/>
                      <w:szCs w:val="21"/>
                      <w:highlight w:val="none"/>
                      <w:lang w:val="en-US" w:eastAsia="zh-CN"/>
                    </w:rPr>
                    <w:t>简单防渗区：办公区地面硬化，厂区地面非硬即绿。</w:t>
                  </w:r>
                </w:p>
              </w:tc>
            </w:tr>
          </w:tbl>
          <w:p>
            <w:pPr>
              <w:bidi w:val="0"/>
              <w:rPr>
                <w:rFonts w:hint="eastAsia"/>
                <w:color w:val="auto"/>
                <w:highlight w:val="none"/>
                <w:lang w:val="en-US" w:eastAsia="zh-CN"/>
              </w:rPr>
            </w:pPr>
            <w:r>
              <w:rPr>
                <w:rFonts w:hint="eastAsia"/>
                <w:color w:val="auto"/>
                <w:highlight w:val="none"/>
                <w:lang w:val="en-US" w:eastAsia="zh-CN"/>
              </w:rPr>
              <w:t>6、主要产品及产能：本项目建成后全厂年产石墨烯电发热体8万套，年产节能速热电锅炉5万台，具体产品方案见下表。</w:t>
            </w:r>
          </w:p>
          <w:p>
            <w:pPr>
              <w:pStyle w:val="31"/>
              <w:bidi w:val="0"/>
              <w:rPr>
                <w:rFonts w:hint="eastAsia" w:ascii="Times New Roman" w:hAnsi="Times New Roman" w:eastAsia="宋体"/>
                <w:color w:val="auto"/>
              </w:rPr>
            </w:pPr>
            <w:r>
              <w:rPr>
                <w:rFonts w:hint="eastAsia" w:ascii="Times New Roman" w:hAnsi="Times New Roman" w:eastAsia="宋体"/>
                <w:color w:val="auto"/>
              </w:rPr>
              <w:t>表</w:t>
            </w:r>
            <w:r>
              <w:rPr>
                <w:rFonts w:hint="eastAsia" w:ascii="Times New Roman" w:hAnsi="Times New Roman" w:eastAsia="宋体"/>
                <w:color w:val="auto"/>
                <w:lang w:val="en-US" w:eastAsia="zh-CN"/>
              </w:rPr>
              <w:t>14</w:t>
            </w:r>
            <w:r>
              <w:rPr>
                <w:rFonts w:hint="eastAsia" w:ascii="Times New Roman" w:hAnsi="Times New Roman" w:eastAsia="宋体"/>
                <w:color w:val="auto"/>
              </w:rPr>
              <w:t xml:space="preserve">  </w:t>
            </w:r>
            <w:r>
              <w:rPr>
                <w:rFonts w:hint="eastAsia" w:ascii="Times New Roman" w:hAnsi="Times New Roman" w:eastAsia="宋体"/>
                <w:color w:val="auto"/>
                <w:lang w:val="en-US" w:eastAsia="zh-CN"/>
              </w:rPr>
              <w:t>本项目建成后全厂</w:t>
            </w:r>
            <w:r>
              <w:rPr>
                <w:rFonts w:hint="eastAsia" w:ascii="Times New Roman" w:hAnsi="Times New Roman" w:eastAsia="宋体"/>
                <w:color w:val="auto"/>
              </w:rPr>
              <w:t>产品方案一览表</w:t>
            </w:r>
          </w:p>
          <w:tbl>
            <w:tblPr>
              <w:tblStyle w:val="25"/>
              <w:tblW w:w="827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99"/>
              <w:gridCol w:w="1425"/>
              <w:gridCol w:w="1800"/>
              <w:gridCol w:w="1305"/>
              <w:gridCol w:w="1125"/>
              <w:gridCol w:w="182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99" w:type="dxa"/>
                  <w:tcBorders>
                    <w:tl2br w:val="nil"/>
                    <w:tr2bl w:val="nil"/>
                  </w:tcBorders>
                  <w:vAlign w:val="center"/>
                </w:tcPr>
                <w:p>
                  <w:pPr>
                    <w:pStyle w:val="32"/>
                    <w:bidi w:val="0"/>
                    <w:rPr>
                      <w:color w:val="auto"/>
                    </w:rPr>
                  </w:pPr>
                  <w:r>
                    <w:rPr>
                      <w:rFonts w:hint="eastAsia"/>
                      <w:color w:val="auto"/>
                    </w:rPr>
                    <w:t>序号</w:t>
                  </w:r>
                </w:p>
              </w:tc>
              <w:tc>
                <w:tcPr>
                  <w:tcW w:w="3225" w:type="dxa"/>
                  <w:gridSpan w:val="2"/>
                  <w:tcBorders>
                    <w:tl2br w:val="nil"/>
                    <w:tr2bl w:val="nil"/>
                  </w:tcBorders>
                  <w:vAlign w:val="center"/>
                </w:tcPr>
                <w:p>
                  <w:pPr>
                    <w:pStyle w:val="32"/>
                    <w:bidi w:val="0"/>
                    <w:rPr>
                      <w:color w:val="auto"/>
                    </w:rPr>
                  </w:pPr>
                  <w:r>
                    <w:rPr>
                      <w:rFonts w:hint="eastAsia"/>
                      <w:color w:val="auto"/>
                    </w:rPr>
                    <w:t>产品名称</w:t>
                  </w:r>
                </w:p>
              </w:tc>
              <w:tc>
                <w:tcPr>
                  <w:tcW w:w="1305" w:type="dxa"/>
                  <w:tcBorders>
                    <w:tl2br w:val="nil"/>
                    <w:tr2bl w:val="nil"/>
                  </w:tcBorders>
                  <w:vAlign w:val="center"/>
                </w:tcPr>
                <w:p>
                  <w:pPr>
                    <w:pStyle w:val="32"/>
                    <w:bidi w:val="0"/>
                    <w:rPr>
                      <w:color w:val="auto"/>
                    </w:rPr>
                  </w:pPr>
                  <w:r>
                    <w:rPr>
                      <w:rFonts w:hint="eastAsia"/>
                      <w:color w:val="auto"/>
                    </w:rPr>
                    <w:t>产量</w:t>
                  </w:r>
                </w:p>
              </w:tc>
              <w:tc>
                <w:tcPr>
                  <w:tcW w:w="1125" w:type="dxa"/>
                  <w:tcBorders>
                    <w:tl2br w:val="nil"/>
                    <w:tr2bl w:val="nil"/>
                  </w:tcBorders>
                  <w:vAlign w:val="center"/>
                </w:tcPr>
                <w:p>
                  <w:pPr>
                    <w:pStyle w:val="32"/>
                    <w:bidi w:val="0"/>
                    <w:rPr>
                      <w:color w:val="auto"/>
                    </w:rPr>
                  </w:pPr>
                  <w:r>
                    <w:rPr>
                      <w:rFonts w:hint="eastAsia"/>
                      <w:color w:val="auto"/>
                    </w:rPr>
                    <w:t>单位</w:t>
                  </w:r>
                </w:p>
              </w:tc>
              <w:tc>
                <w:tcPr>
                  <w:tcW w:w="1823" w:type="dxa"/>
                  <w:tcBorders>
                    <w:tl2br w:val="nil"/>
                    <w:tr2bl w:val="nil"/>
                  </w:tcBorders>
                  <w:vAlign w:val="center"/>
                </w:tcPr>
                <w:p>
                  <w:pPr>
                    <w:pStyle w:val="32"/>
                    <w:bidi w:val="0"/>
                    <w:rPr>
                      <w:rFonts w:hint="eastAsia" w:eastAsia="宋体"/>
                      <w:color w:val="auto"/>
                      <w:lang w:val="en-US" w:eastAsia="zh-CN"/>
                    </w:rPr>
                  </w:pPr>
                  <w:r>
                    <w:rPr>
                      <w:rFonts w:hint="eastAsia"/>
                      <w:color w:val="auto"/>
                      <w:lang w:val="en-US" w:eastAsia="zh-CN"/>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99" w:type="dxa"/>
                  <w:tcBorders>
                    <w:tl2br w:val="nil"/>
                    <w:tr2bl w:val="nil"/>
                  </w:tcBorders>
                  <w:vAlign w:val="center"/>
                </w:tcPr>
                <w:p>
                  <w:pPr>
                    <w:pStyle w:val="32"/>
                    <w:numPr>
                      <w:ilvl w:val="0"/>
                      <w:numId w:val="13"/>
                    </w:numPr>
                    <w:bidi w:val="0"/>
                    <w:ind w:left="0" w:leftChars="0" w:firstLine="0" w:firstLineChars="0"/>
                    <w:rPr>
                      <w:color w:val="auto"/>
                    </w:rPr>
                  </w:pPr>
                </w:p>
              </w:tc>
              <w:tc>
                <w:tcPr>
                  <w:tcW w:w="1425" w:type="dxa"/>
                  <w:vMerge w:val="restart"/>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rFonts w:hint="eastAsia" w:eastAsia="宋体"/>
                      <w:color w:val="auto"/>
                      <w:lang w:eastAsia="zh-CN"/>
                    </w:rPr>
                  </w:pPr>
                  <w:r>
                    <w:rPr>
                      <w:rFonts w:hint="eastAsia"/>
                      <w:color w:val="auto"/>
                    </w:rPr>
                    <w:t>石墨烯电发热元件</w:t>
                  </w:r>
                </w:p>
              </w:tc>
              <w:tc>
                <w:tcPr>
                  <w:tcW w:w="1800"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rFonts w:hint="eastAsia"/>
                      <w:color w:val="auto"/>
                    </w:rPr>
                  </w:pPr>
                  <w:r>
                    <w:rPr>
                      <w:rFonts w:hint="eastAsia"/>
                      <w:color w:val="auto"/>
                      <w:lang w:val="en-US" w:eastAsia="zh-CN"/>
                    </w:rPr>
                    <w:t>石墨烯电发热体</w:t>
                  </w:r>
                </w:p>
              </w:tc>
              <w:tc>
                <w:tcPr>
                  <w:tcW w:w="1305" w:type="dxa"/>
                  <w:tcBorders>
                    <w:tl2br w:val="nil"/>
                    <w:tr2bl w:val="nil"/>
                  </w:tcBorders>
                  <w:vAlign w:val="center"/>
                </w:tcPr>
                <w:p>
                  <w:pPr>
                    <w:pStyle w:val="32"/>
                    <w:bidi w:val="0"/>
                    <w:rPr>
                      <w:rFonts w:hint="default" w:eastAsia="宋体"/>
                      <w:color w:val="auto"/>
                      <w:lang w:val="en-US" w:eastAsia="zh-CN"/>
                    </w:rPr>
                  </w:pPr>
                  <w:r>
                    <w:rPr>
                      <w:rFonts w:hint="eastAsia"/>
                      <w:color w:val="auto"/>
                      <w:lang w:val="en-US" w:eastAsia="zh-CN"/>
                    </w:rPr>
                    <w:t>70000</w:t>
                  </w:r>
                </w:p>
              </w:tc>
              <w:tc>
                <w:tcPr>
                  <w:tcW w:w="1125" w:type="dxa"/>
                  <w:tcBorders>
                    <w:tl2br w:val="nil"/>
                    <w:tr2bl w:val="nil"/>
                  </w:tcBorders>
                  <w:vAlign w:val="center"/>
                </w:tcPr>
                <w:p>
                  <w:pPr>
                    <w:pStyle w:val="32"/>
                    <w:bidi w:val="0"/>
                    <w:rPr>
                      <w:color w:val="auto"/>
                    </w:rPr>
                  </w:pPr>
                  <w:r>
                    <w:rPr>
                      <w:rFonts w:hint="eastAsia"/>
                      <w:color w:val="auto"/>
                    </w:rPr>
                    <w:t>套</w:t>
                  </w:r>
                  <w:r>
                    <w:rPr>
                      <w:color w:val="auto"/>
                    </w:rPr>
                    <w:t>/a</w:t>
                  </w:r>
                </w:p>
              </w:tc>
              <w:tc>
                <w:tcPr>
                  <w:tcW w:w="1823" w:type="dxa"/>
                  <w:tcBorders>
                    <w:tl2br w:val="nil"/>
                    <w:tr2bl w:val="nil"/>
                  </w:tcBorders>
                  <w:vAlign w:val="center"/>
                </w:tcPr>
                <w:p>
                  <w:pPr>
                    <w:pStyle w:val="32"/>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50000套用于生产节能速热电锅炉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99" w:type="dxa"/>
                  <w:tcBorders>
                    <w:tl2br w:val="nil"/>
                    <w:tr2bl w:val="nil"/>
                  </w:tcBorders>
                  <w:vAlign w:val="center"/>
                </w:tcPr>
                <w:p>
                  <w:pPr>
                    <w:pStyle w:val="32"/>
                    <w:numPr>
                      <w:ilvl w:val="0"/>
                      <w:numId w:val="13"/>
                    </w:numPr>
                    <w:bidi w:val="0"/>
                    <w:ind w:left="0" w:leftChars="0" w:firstLine="0" w:firstLineChars="0"/>
                    <w:rPr>
                      <w:rFonts w:hint="eastAsia"/>
                      <w:color w:val="auto"/>
                    </w:rPr>
                  </w:pPr>
                </w:p>
              </w:tc>
              <w:tc>
                <w:tcPr>
                  <w:tcW w:w="1425" w:type="dxa"/>
                  <w:vMerge w:val="continue"/>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color w:val="auto"/>
                    </w:rPr>
                  </w:pPr>
                </w:p>
              </w:tc>
              <w:tc>
                <w:tcPr>
                  <w:tcW w:w="1800"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lang w:val="en-US" w:eastAsia="zh-CN"/>
                    </w:rPr>
                  </w:pPr>
                  <w:r>
                    <w:rPr>
                      <w:rFonts w:hint="eastAsia"/>
                      <w:color w:val="auto"/>
                      <w:lang w:val="en-US" w:eastAsia="zh-CN"/>
                    </w:rPr>
                    <w:t>石墨烯电发热膜</w:t>
                  </w:r>
                </w:p>
              </w:tc>
              <w:tc>
                <w:tcPr>
                  <w:tcW w:w="1305" w:type="dxa"/>
                  <w:tcBorders>
                    <w:tl2br w:val="nil"/>
                    <w:tr2bl w:val="nil"/>
                  </w:tcBorders>
                  <w:vAlign w:val="center"/>
                </w:tcPr>
                <w:p>
                  <w:pPr>
                    <w:pStyle w:val="32"/>
                    <w:bidi w:val="0"/>
                    <w:rPr>
                      <w:rFonts w:hint="default" w:eastAsia="宋体"/>
                      <w:color w:val="auto"/>
                      <w:lang w:val="en-US" w:eastAsia="zh-CN"/>
                    </w:rPr>
                  </w:pPr>
                  <w:r>
                    <w:rPr>
                      <w:rFonts w:hint="eastAsia"/>
                      <w:color w:val="auto"/>
                      <w:lang w:val="en-US" w:eastAsia="zh-CN"/>
                    </w:rPr>
                    <w:t>10000</w:t>
                  </w:r>
                </w:p>
              </w:tc>
              <w:tc>
                <w:tcPr>
                  <w:tcW w:w="1125" w:type="dxa"/>
                  <w:tcBorders>
                    <w:tl2br w:val="nil"/>
                    <w:tr2bl w:val="nil"/>
                  </w:tcBorders>
                  <w:vAlign w:val="center"/>
                </w:tcPr>
                <w:p>
                  <w:pPr>
                    <w:pStyle w:val="32"/>
                    <w:bidi w:val="0"/>
                    <w:rPr>
                      <w:rFonts w:hint="eastAsia"/>
                      <w:color w:val="auto"/>
                    </w:rPr>
                  </w:pPr>
                  <w:r>
                    <w:rPr>
                      <w:rFonts w:hint="eastAsia"/>
                      <w:color w:val="auto"/>
                    </w:rPr>
                    <w:t>套/a</w:t>
                  </w:r>
                </w:p>
              </w:tc>
              <w:tc>
                <w:tcPr>
                  <w:tcW w:w="1823" w:type="dxa"/>
                  <w:tcBorders>
                    <w:tl2br w:val="nil"/>
                    <w:tr2bl w:val="nil"/>
                  </w:tcBorders>
                  <w:vAlign w:val="center"/>
                </w:tcPr>
                <w:p>
                  <w:pPr>
                    <w:pStyle w:val="32"/>
                    <w:bidi w:val="0"/>
                    <w:rPr>
                      <w:rFonts w:hint="default" w:ascii="Times New Roman" w:hAnsi="Times New Roman" w:cs="Times New Roman"/>
                      <w:color w:val="auto"/>
                    </w:rPr>
                  </w:pPr>
                  <w:r>
                    <w:rPr>
                      <w:rFonts w:hint="default" w:ascii="Times New Roman" w:hAnsi="Times New Roman" w:eastAsia="宋体" w:cs="Times New Roman"/>
                      <w:color w:val="auto"/>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99" w:type="dxa"/>
                  <w:tcBorders>
                    <w:tl2br w:val="nil"/>
                    <w:tr2bl w:val="nil"/>
                  </w:tcBorders>
                  <w:vAlign w:val="center"/>
                </w:tcPr>
                <w:p>
                  <w:pPr>
                    <w:pStyle w:val="32"/>
                    <w:numPr>
                      <w:ilvl w:val="0"/>
                      <w:numId w:val="13"/>
                    </w:numPr>
                    <w:bidi w:val="0"/>
                    <w:ind w:left="0" w:leftChars="0" w:firstLine="0" w:firstLineChars="0"/>
                    <w:rPr>
                      <w:rFonts w:hint="eastAsia"/>
                      <w:color w:val="auto"/>
                    </w:rPr>
                  </w:pPr>
                </w:p>
              </w:tc>
              <w:tc>
                <w:tcPr>
                  <w:tcW w:w="3225" w:type="dxa"/>
                  <w:gridSpan w:val="2"/>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rFonts w:hint="eastAsia"/>
                      <w:color w:val="auto"/>
                      <w:lang w:val="en-US" w:eastAsia="zh-CN"/>
                    </w:rPr>
                  </w:pPr>
                  <w:r>
                    <w:rPr>
                      <w:rFonts w:hint="eastAsia"/>
                      <w:color w:val="auto"/>
                      <w:lang w:val="en-US" w:eastAsia="zh-CN"/>
                    </w:rPr>
                    <w:t>节能速热电锅炉</w:t>
                  </w:r>
                </w:p>
              </w:tc>
              <w:tc>
                <w:tcPr>
                  <w:tcW w:w="1305" w:type="dxa"/>
                  <w:tcBorders>
                    <w:tl2br w:val="nil"/>
                    <w:tr2bl w:val="nil"/>
                  </w:tcBorders>
                  <w:vAlign w:val="center"/>
                </w:tcPr>
                <w:p>
                  <w:pPr>
                    <w:pStyle w:val="32"/>
                    <w:bidi w:val="0"/>
                    <w:rPr>
                      <w:rFonts w:hint="default"/>
                      <w:color w:val="auto"/>
                      <w:lang w:val="en-US" w:eastAsia="zh-CN"/>
                    </w:rPr>
                  </w:pPr>
                  <w:r>
                    <w:rPr>
                      <w:rFonts w:hint="eastAsia"/>
                      <w:color w:val="auto"/>
                      <w:lang w:val="en-US" w:eastAsia="zh-CN"/>
                    </w:rPr>
                    <w:t>50000</w:t>
                  </w:r>
                </w:p>
              </w:tc>
              <w:tc>
                <w:tcPr>
                  <w:tcW w:w="1125" w:type="dxa"/>
                  <w:tcBorders>
                    <w:tl2br w:val="nil"/>
                    <w:tr2bl w:val="nil"/>
                  </w:tcBorders>
                  <w:vAlign w:val="center"/>
                </w:tcPr>
                <w:p>
                  <w:pPr>
                    <w:pStyle w:val="32"/>
                    <w:bidi w:val="0"/>
                    <w:rPr>
                      <w:rFonts w:hint="default" w:eastAsia="宋体"/>
                      <w:color w:val="auto"/>
                      <w:lang w:val="en-US" w:eastAsia="zh-CN"/>
                    </w:rPr>
                  </w:pPr>
                  <w:r>
                    <w:rPr>
                      <w:rFonts w:hint="eastAsia"/>
                      <w:color w:val="auto"/>
                      <w:lang w:val="en-US" w:eastAsia="zh-CN"/>
                    </w:rPr>
                    <w:t>台/a</w:t>
                  </w:r>
                </w:p>
              </w:tc>
              <w:tc>
                <w:tcPr>
                  <w:tcW w:w="1823" w:type="dxa"/>
                  <w:tcBorders>
                    <w:tl2br w:val="nil"/>
                    <w:tr2bl w:val="nil"/>
                  </w:tcBorders>
                  <w:vAlign w:val="center"/>
                </w:tcPr>
                <w:p>
                  <w:pPr>
                    <w:pStyle w:val="32"/>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电发热体为自产</w:t>
                  </w:r>
                </w:p>
              </w:tc>
            </w:tr>
          </w:tbl>
          <w:p>
            <w:pPr>
              <w:bidi w:val="0"/>
              <w:rPr>
                <w:rFonts w:hint="default"/>
                <w:color w:val="auto"/>
                <w:highlight w:val="none"/>
              </w:rPr>
            </w:pPr>
            <w:r>
              <w:rPr>
                <w:rFonts w:hint="eastAsia"/>
                <w:color w:val="auto"/>
                <w:sz w:val="24"/>
                <w:szCs w:val="24"/>
                <w:highlight w:val="none"/>
                <w:lang w:val="en-US" w:eastAsia="zh-CN"/>
              </w:rPr>
              <w:t>7、</w:t>
            </w:r>
            <w:r>
              <w:rPr>
                <w:rFonts w:hint="default"/>
                <w:color w:val="auto"/>
                <w:sz w:val="24"/>
                <w:szCs w:val="24"/>
                <w:highlight w:val="none"/>
              </w:rPr>
              <w:t>工作制度及定员：</w:t>
            </w:r>
            <w:r>
              <w:rPr>
                <w:rFonts w:hint="eastAsia"/>
                <w:color w:val="auto"/>
                <w:sz w:val="24"/>
                <w:szCs w:val="24"/>
                <w:highlight w:val="none"/>
                <w:lang w:val="en-US" w:eastAsia="zh-CN"/>
              </w:rPr>
              <w:t>本项目不新增劳动定员，本项目建成劳动定员仍为30人。本项目建成后全厂年运行300天，每天3班，每班8h，其中，石墨烯电发热膜生产线年运行4800h，由于淘汰部分石墨烯电发热体生产设备，本项目建成后镀膜、烘干、烧结还原工序由年运行2400h延长至4800h</w:t>
            </w:r>
            <w:r>
              <w:rPr>
                <w:rFonts w:hint="default"/>
                <w:color w:val="auto"/>
                <w:sz w:val="24"/>
                <w:szCs w:val="24"/>
                <w:highlight w:val="none"/>
              </w:rPr>
              <w:t>。</w:t>
            </w:r>
          </w:p>
          <w:p>
            <w:pPr>
              <w:bidi w:val="0"/>
              <w:rPr>
                <w:rFonts w:hint="default"/>
                <w:color w:val="auto"/>
                <w:sz w:val="24"/>
                <w:szCs w:val="24"/>
                <w:highlight w:val="none"/>
              </w:rPr>
            </w:pPr>
            <w:r>
              <w:rPr>
                <w:rFonts w:hint="eastAsia"/>
                <w:color w:val="auto"/>
                <w:sz w:val="24"/>
                <w:szCs w:val="24"/>
                <w:highlight w:val="none"/>
                <w:lang w:val="en-US" w:eastAsia="zh-CN"/>
              </w:rPr>
              <w:t>8、</w:t>
            </w:r>
            <w:r>
              <w:rPr>
                <w:rFonts w:hint="default"/>
                <w:color w:val="auto"/>
                <w:sz w:val="24"/>
                <w:szCs w:val="24"/>
                <w:highlight w:val="none"/>
              </w:rPr>
              <w:t>主要原辅材料及能源消耗见下表。</w:t>
            </w:r>
          </w:p>
          <w:p>
            <w:pPr>
              <w:keepNext w:val="0"/>
              <w:keepLines w:val="0"/>
              <w:pageBreakBefore w:val="0"/>
              <w:widowControl w:val="0"/>
              <w:numPr>
                <w:ilvl w:val="0"/>
                <w:numId w:val="0"/>
              </w:numPr>
              <w:kinsoku/>
              <w:wordWrap/>
              <w:overflowPunct/>
              <w:topLinePunct w:val="0"/>
              <w:autoSpaceDE/>
              <w:autoSpaceDN/>
              <w:bidi w:val="0"/>
              <w:adjustRightInd/>
              <w:snapToGrid/>
              <w:ind w:leftChars="0" w:firstLine="0" w:firstLineChars="0"/>
              <w:jc w:val="center"/>
              <w:textAlignment w:val="auto"/>
              <w:rPr>
                <w:rFonts w:hint="default"/>
                <w:b/>
                <w:bCs/>
                <w:color w:val="auto"/>
                <w:sz w:val="21"/>
                <w:szCs w:val="21"/>
                <w:highlight w:val="none"/>
              </w:rPr>
            </w:pPr>
          </w:p>
          <w:p>
            <w:pPr>
              <w:keepNext w:val="0"/>
              <w:keepLines w:val="0"/>
              <w:pageBreakBefore w:val="0"/>
              <w:widowControl w:val="0"/>
              <w:numPr>
                <w:ilvl w:val="0"/>
                <w:numId w:val="0"/>
              </w:numPr>
              <w:kinsoku/>
              <w:wordWrap/>
              <w:overflowPunct/>
              <w:topLinePunct w:val="0"/>
              <w:autoSpaceDE/>
              <w:autoSpaceDN/>
              <w:bidi w:val="0"/>
              <w:adjustRightInd/>
              <w:snapToGrid/>
              <w:ind w:leftChars="0" w:firstLine="0" w:firstLineChars="0"/>
              <w:jc w:val="center"/>
              <w:textAlignment w:val="auto"/>
              <w:rPr>
                <w:rFonts w:hint="default"/>
                <w:b/>
                <w:bCs/>
                <w:color w:val="auto"/>
                <w:sz w:val="21"/>
                <w:szCs w:val="21"/>
                <w:highlight w:val="none"/>
              </w:rPr>
            </w:pPr>
          </w:p>
          <w:p>
            <w:pPr>
              <w:keepNext w:val="0"/>
              <w:keepLines w:val="0"/>
              <w:pageBreakBefore w:val="0"/>
              <w:widowControl w:val="0"/>
              <w:numPr>
                <w:ilvl w:val="0"/>
                <w:numId w:val="0"/>
              </w:numPr>
              <w:kinsoku/>
              <w:wordWrap/>
              <w:overflowPunct/>
              <w:topLinePunct w:val="0"/>
              <w:autoSpaceDE/>
              <w:autoSpaceDN/>
              <w:bidi w:val="0"/>
              <w:adjustRightInd/>
              <w:snapToGrid/>
              <w:ind w:leftChars="0" w:firstLine="0" w:firstLineChars="0"/>
              <w:jc w:val="center"/>
              <w:textAlignment w:val="auto"/>
              <w:rPr>
                <w:rFonts w:hint="default"/>
                <w:b/>
                <w:bCs/>
                <w:color w:val="auto"/>
                <w:sz w:val="21"/>
                <w:szCs w:val="21"/>
                <w:highlight w:val="none"/>
              </w:rPr>
            </w:pPr>
          </w:p>
          <w:p>
            <w:pPr>
              <w:keepNext w:val="0"/>
              <w:keepLines w:val="0"/>
              <w:pageBreakBefore w:val="0"/>
              <w:widowControl w:val="0"/>
              <w:numPr>
                <w:ilvl w:val="0"/>
                <w:numId w:val="0"/>
              </w:numPr>
              <w:kinsoku/>
              <w:wordWrap/>
              <w:overflowPunct/>
              <w:topLinePunct w:val="0"/>
              <w:autoSpaceDE/>
              <w:autoSpaceDN/>
              <w:bidi w:val="0"/>
              <w:adjustRightInd/>
              <w:snapToGrid/>
              <w:ind w:leftChars="0" w:firstLine="0" w:firstLineChars="0"/>
              <w:jc w:val="center"/>
              <w:textAlignment w:val="auto"/>
              <w:rPr>
                <w:rFonts w:hint="default"/>
                <w:b/>
                <w:bCs/>
                <w:color w:val="auto"/>
                <w:sz w:val="21"/>
                <w:szCs w:val="21"/>
                <w:highlight w:val="none"/>
              </w:rPr>
            </w:pPr>
          </w:p>
          <w:p>
            <w:pPr>
              <w:keepNext w:val="0"/>
              <w:keepLines w:val="0"/>
              <w:pageBreakBefore w:val="0"/>
              <w:widowControl w:val="0"/>
              <w:numPr>
                <w:ilvl w:val="0"/>
                <w:numId w:val="0"/>
              </w:numPr>
              <w:kinsoku/>
              <w:wordWrap/>
              <w:overflowPunct/>
              <w:topLinePunct w:val="0"/>
              <w:autoSpaceDE/>
              <w:autoSpaceDN/>
              <w:bidi w:val="0"/>
              <w:adjustRightInd/>
              <w:snapToGrid/>
              <w:ind w:leftChars="0" w:firstLine="0" w:firstLineChars="0"/>
              <w:jc w:val="center"/>
              <w:textAlignment w:val="auto"/>
              <w:rPr>
                <w:rFonts w:hint="default"/>
                <w:b/>
                <w:bCs/>
                <w:color w:val="auto"/>
                <w:sz w:val="21"/>
                <w:szCs w:val="21"/>
                <w:highlight w:val="none"/>
              </w:rPr>
            </w:pPr>
          </w:p>
          <w:p>
            <w:pPr>
              <w:keepNext w:val="0"/>
              <w:keepLines w:val="0"/>
              <w:pageBreakBefore w:val="0"/>
              <w:widowControl w:val="0"/>
              <w:numPr>
                <w:ilvl w:val="0"/>
                <w:numId w:val="0"/>
              </w:numPr>
              <w:kinsoku/>
              <w:wordWrap/>
              <w:overflowPunct/>
              <w:topLinePunct w:val="0"/>
              <w:autoSpaceDE/>
              <w:autoSpaceDN/>
              <w:bidi w:val="0"/>
              <w:adjustRightInd/>
              <w:snapToGrid/>
              <w:ind w:leftChars="0" w:firstLine="0" w:firstLineChars="0"/>
              <w:jc w:val="center"/>
              <w:textAlignment w:val="auto"/>
              <w:rPr>
                <w:rFonts w:hint="default"/>
                <w:b/>
                <w:bCs/>
                <w:color w:val="auto"/>
                <w:sz w:val="21"/>
                <w:szCs w:val="21"/>
                <w:highlight w:val="none"/>
              </w:rPr>
            </w:pPr>
          </w:p>
          <w:p>
            <w:pPr>
              <w:keepNext w:val="0"/>
              <w:keepLines w:val="0"/>
              <w:pageBreakBefore w:val="0"/>
              <w:widowControl w:val="0"/>
              <w:numPr>
                <w:ilvl w:val="0"/>
                <w:numId w:val="0"/>
              </w:numPr>
              <w:kinsoku/>
              <w:wordWrap/>
              <w:overflowPunct/>
              <w:topLinePunct w:val="0"/>
              <w:autoSpaceDE/>
              <w:autoSpaceDN/>
              <w:bidi w:val="0"/>
              <w:adjustRightInd/>
              <w:snapToGrid/>
              <w:ind w:leftChars="0" w:firstLine="0" w:firstLineChars="0"/>
              <w:jc w:val="center"/>
              <w:textAlignment w:val="auto"/>
              <w:rPr>
                <w:rFonts w:hint="default"/>
                <w:b/>
                <w:bCs/>
                <w:color w:val="auto"/>
                <w:sz w:val="21"/>
                <w:szCs w:val="21"/>
                <w:highlight w:val="none"/>
              </w:rPr>
            </w:pPr>
            <w:r>
              <w:rPr>
                <w:rFonts w:hint="default"/>
                <w:b/>
                <w:bCs/>
                <w:color w:val="auto"/>
                <w:sz w:val="21"/>
                <w:szCs w:val="21"/>
                <w:highlight w:val="none"/>
              </w:rPr>
              <w:t>表</w:t>
            </w:r>
            <w:r>
              <w:rPr>
                <w:rFonts w:hint="eastAsia"/>
                <w:b/>
                <w:bCs/>
                <w:color w:val="auto"/>
                <w:sz w:val="21"/>
                <w:szCs w:val="21"/>
                <w:highlight w:val="none"/>
                <w:lang w:val="en-US" w:eastAsia="zh-CN"/>
              </w:rPr>
              <w:t>15  本项目原辅材料及能源消耗情况</w:t>
            </w:r>
            <w:r>
              <w:rPr>
                <w:rFonts w:hint="default"/>
                <w:b/>
                <w:bCs/>
                <w:color w:val="auto"/>
                <w:sz w:val="21"/>
                <w:szCs w:val="21"/>
                <w:highlight w:val="none"/>
              </w:rPr>
              <w:t>一览表</w:t>
            </w:r>
          </w:p>
          <w:tbl>
            <w:tblPr>
              <w:tblStyle w:val="24"/>
              <w:tblW w:w="827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707"/>
              <w:gridCol w:w="846"/>
              <w:gridCol w:w="1639"/>
              <w:gridCol w:w="1365"/>
              <w:gridCol w:w="1185"/>
              <w:gridCol w:w="253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60" w:hRule="atLeast"/>
                <w:jc w:val="center"/>
              </w:trPr>
              <w:tc>
                <w:tcPr>
                  <w:tcW w:w="70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序号</w:t>
                  </w:r>
                </w:p>
              </w:tc>
              <w:tc>
                <w:tcPr>
                  <w:tcW w:w="2485" w:type="dxa"/>
                  <w:gridSpan w:val="2"/>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名称</w:t>
                  </w:r>
                </w:p>
              </w:tc>
              <w:tc>
                <w:tcPr>
                  <w:tcW w:w="1365"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单位</w:t>
                  </w:r>
                </w:p>
              </w:tc>
              <w:tc>
                <w:tcPr>
                  <w:tcW w:w="1185"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数量</w:t>
                  </w:r>
                </w:p>
              </w:tc>
              <w:tc>
                <w:tcPr>
                  <w:tcW w:w="2535"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备注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0" w:hRule="atLeast"/>
                <w:jc w:val="center"/>
              </w:trPr>
              <w:tc>
                <w:tcPr>
                  <w:tcW w:w="707" w:type="dxa"/>
                  <w:vAlign w:val="center"/>
                </w:tcPr>
                <w:p>
                  <w:pPr>
                    <w:keepNext w:val="0"/>
                    <w:keepLines w:val="0"/>
                    <w:pageBreakBefore w:val="0"/>
                    <w:widowControl w:val="0"/>
                    <w:numPr>
                      <w:ilvl w:val="0"/>
                      <w:numId w:val="14"/>
                    </w:numPr>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cs="Times New Roman"/>
                      <w:color w:val="auto"/>
                      <w:kern w:val="0"/>
                      <w:sz w:val="21"/>
                      <w:szCs w:val="21"/>
                      <w:highlight w:val="none"/>
                    </w:rPr>
                  </w:pPr>
                </w:p>
              </w:tc>
              <w:tc>
                <w:tcPr>
                  <w:tcW w:w="2485" w:type="dxa"/>
                  <w:gridSpan w:val="2"/>
                  <w:vAlign w:val="center"/>
                </w:tcPr>
                <w:p>
                  <w:pPr>
                    <w:pStyle w:val="36"/>
                    <w:keepNext w:val="0"/>
                    <w:keepLines w:val="0"/>
                    <w:pageBreakBefore w:val="0"/>
                    <w:kinsoku/>
                    <w:wordWrap/>
                    <w:overflowPunct/>
                    <w:topLinePunct w:val="0"/>
                    <w:bidi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PET膜</w:t>
                  </w:r>
                </w:p>
              </w:tc>
              <w:tc>
                <w:tcPr>
                  <w:tcW w:w="1365" w:type="dxa"/>
                  <w:vAlign w:val="center"/>
                </w:tcPr>
                <w:p>
                  <w:pPr>
                    <w:pStyle w:val="36"/>
                    <w:keepNext w:val="0"/>
                    <w:keepLines w:val="0"/>
                    <w:pageBreakBefore w:val="0"/>
                    <w:kinsoku/>
                    <w:wordWrap/>
                    <w:overflowPunct/>
                    <w:topLinePunct w:val="0"/>
                    <w:bidi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万m/a</w:t>
                  </w:r>
                </w:p>
              </w:tc>
              <w:tc>
                <w:tcPr>
                  <w:tcW w:w="1185" w:type="dxa"/>
                  <w:vAlign w:val="center"/>
                </w:tcPr>
                <w:p>
                  <w:pPr>
                    <w:pStyle w:val="36"/>
                    <w:keepNext w:val="0"/>
                    <w:keepLines w:val="0"/>
                    <w:pageBreakBefore w:val="0"/>
                    <w:kinsoku/>
                    <w:wordWrap/>
                    <w:overflowPunct/>
                    <w:topLinePunct w:val="0"/>
                    <w:bidi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12</w:t>
                  </w:r>
                </w:p>
              </w:tc>
              <w:tc>
                <w:tcPr>
                  <w:tcW w:w="2535" w:type="dxa"/>
                  <w:vAlign w:val="center"/>
                </w:tcPr>
                <w:p>
                  <w:pPr>
                    <w:pStyle w:val="36"/>
                    <w:keepNext w:val="0"/>
                    <w:keepLines w:val="0"/>
                    <w:pageBreakBefore w:val="0"/>
                    <w:kinsoku/>
                    <w:wordWrap/>
                    <w:overflowPunct/>
                    <w:topLinePunct w:val="0"/>
                    <w:bidi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外购，卷状，55kg/卷，宽52mm，厚0.5mm</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0" w:hRule="atLeast"/>
                <w:jc w:val="center"/>
              </w:trPr>
              <w:tc>
                <w:tcPr>
                  <w:tcW w:w="707" w:type="dxa"/>
                  <w:vAlign w:val="center"/>
                </w:tcPr>
                <w:p>
                  <w:pPr>
                    <w:keepNext w:val="0"/>
                    <w:keepLines w:val="0"/>
                    <w:pageBreakBefore w:val="0"/>
                    <w:widowControl w:val="0"/>
                    <w:numPr>
                      <w:ilvl w:val="0"/>
                      <w:numId w:val="14"/>
                    </w:numPr>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cs="Times New Roman"/>
                      <w:color w:val="auto"/>
                      <w:kern w:val="0"/>
                      <w:sz w:val="21"/>
                      <w:szCs w:val="21"/>
                      <w:highlight w:val="none"/>
                    </w:rPr>
                  </w:pPr>
                </w:p>
              </w:tc>
              <w:tc>
                <w:tcPr>
                  <w:tcW w:w="2485" w:type="dxa"/>
                  <w:gridSpan w:val="2"/>
                  <w:vAlign w:val="center"/>
                </w:tcPr>
                <w:p>
                  <w:pPr>
                    <w:pStyle w:val="36"/>
                    <w:keepNext w:val="0"/>
                    <w:keepLines w:val="0"/>
                    <w:pageBreakBefore w:val="0"/>
                    <w:kinsoku/>
                    <w:wordWrap/>
                    <w:overflowPunct/>
                    <w:topLinePunct w:val="0"/>
                    <w:bidi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PVC膜</w:t>
                  </w:r>
                </w:p>
              </w:tc>
              <w:tc>
                <w:tcPr>
                  <w:tcW w:w="1365" w:type="dxa"/>
                  <w:vAlign w:val="center"/>
                </w:tcPr>
                <w:p>
                  <w:pPr>
                    <w:pStyle w:val="36"/>
                    <w:keepNext w:val="0"/>
                    <w:keepLines w:val="0"/>
                    <w:pageBreakBefore w:val="0"/>
                    <w:kinsoku/>
                    <w:wordWrap/>
                    <w:overflowPunct/>
                    <w:topLinePunct w:val="0"/>
                    <w:bidi w:val="0"/>
                    <w:spacing w:line="240" w:lineRule="auto"/>
                    <w:ind w:firstLine="0" w:firstLineChars="0"/>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万m/a</w:t>
                  </w:r>
                </w:p>
              </w:tc>
              <w:tc>
                <w:tcPr>
                  <w:tcW w:w="1185" w:type="dxa"/>
                  <w:vAlign w:val="center"/>
                </w:tcPr>
                <w:p>
                  <w:pPr>
                    <w:pStyle w:val="36"/>
                    <w:keepNext w:val="0"/>
                    <w:keepLines w:val="0"/>
                    <w:pageBreakBefore w:val="0"/>
                    <w:kinsoku/>
                    <w:wordWrap/>
                    <w:overflowPunct/>
                    <w:topLinePunct w:val="0"/>
                    <w:bidi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8</w:t>
                  </w:r>
                </w:p>
              </w:tc>
              <w:tc>
                <w:tcPr>
                  <w:tcW w:w="2535" w:type="dxa"/>
                  <w:vAlign w:val="center"/>
                </w:tcPr>
                <w:p>
                  <w:pPr>
                    <w:pStyle w:val="36"/>
                    <w:keepNext w:val="0"/>
                    <w:keepLines w:val="0"/>
                    <w:pageBreakBefore w:val="0"/>
                    <w:kinsoku/>
                    <w:wordWrap/>
                    <w:overflowPunct/>
                    <w:topLinePunct w:val="0"/>
                    <w:bidi w:val="0"/>
                    <w:spacing w:line="240" w:lineRule="auto"/>
                    <w:ind w:firstLine="0" w:firstLineChars="0"/>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外购</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0" w:hRule="atLeast"/>
                <w:jc w:val="center"/>
              </w:trPr>
              <w:tc>
                <w:tcPr>
                  <w:tcW w:w="707" w:type="dxa"/>
                  <w:vAlign w:val="center"/>
                </w:tcPr>
                <w:p>
                  <w:pPr>
                    <w:keepNext w:val="0"/>
                    <w:keepLines w:val="0"/>
                    <w:pageBreakBefore w:val="0"/>
                    <w:widowControl w:val="0"/>
                    <w:numPr>
                      <w:ilvl w:val="0"/>
                      <w:numId w:val="14"/>
                    </w:numPr>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cs="Times New Roman"/>
                      <w:color w:val="auto"/>
                      <w:kern w:val="0"/>
                      <w:sz w:val="21"/>
                      <w:szCs w:val="21"/>
                      <w:highlight w:val="none"/>
                    </w:rPr>
                  </w:pPr>
                </w:p>
              </w:tc>
              <w:tc>
                <w:tcPr>
                  <w:tcW w:w="846" w:type="dxa"/>
                  <w:vMerge w:val="restart"/>
                  <w:vAlign w:val="center"/>
                </w:tcPr>
                <w:p>
                  <w:pPr>
                    <w:pStyle w:val="36"/>
                    <w:keepNext w:val="0"/>
                    <w:keepLines w:val="0"/>
                    <w:pageBreakBefore w:val="0"/>
                    <w:kinsoku/>
                    <w:wordWrap/>
                    <w:overflowPunct/>
                    <w:topLinePunct w:val="0"/>
                    <w:bidi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导电浆料</w:t>
                  </w:r>
                </w:p>
              </w:tc>
              <w:tc>
                <w:tcPr>
                  <w:tcW w:w="1639" w:type="dxa"/>
                  <w:vAlign w:val="center"/>
                </w:tcPr>
                <w:p>
                  <w:pPr>
                    <w:pStyle w:val="36"/>
                    <w:keepNext w:val="0"/>
                    <w:keepLines w:val="0"/>
                    <w:pageBreakBefore w:val="0"/>
                    <w:kinsoku/>
                    <w:wordWrap/>
                    <w:overflowPunct/>
                    <w:topLinePunct w:val="0"/>
                    <w:bidi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水性有机硅树脂</w:t>
                  </w:r>
                </w:p>
              </w:tc>
              <w:tc>
                <w:tcPr>
                  <w:tcW w:w="1365" w:type="dxa"/>
                  <w:vAlign w:val="center"/>
                </w:tcPr>
                <w:p>
                  <w:pPr>
                    <w:pStyle w:val="36"/>
                    <w:keepNext w:val="0"/>
                    <w:keepLines w:val="0"/>
                    <w:pageBreakBefore w:val="0"/>
                    <w:kinsoku/>
                    <w:wordWrap/>
                    <w:overflowPunct/>
                    <w:topLinePunct w:val="0"/>
                    <w:bidi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kg/a</w:t>
                  </w:r>
                </w:p>
              </w:tc>
              <w:tc>
                <w:tcPr>
                  <w:tcW w:w="1185" w:type="dxa"/>
                  <w:vAlign w:val="center"/>
                </w:tcPr>
                <w:p>
                  <w:pPr>
                    <w:pStyle w:val="36"/>
                    <w:keepNext w:val="0"/>
                    <w:keepLines w:val="0"/>
                    <w:pageBreakBefore w:val="0"/>
                    <w:kinsoku/>
                    <w:wordWrap/>
                    <w:overflowPunct/>
                    <w:topLinePunct w:val="0"/>
                    <w:bidi w:val="0"/>
                    <w:spacing w:line="240" w:lineRule="auto"/>
                    <w:ind w:firstLine="0" w:firstLineChars="0"/>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80</w:t>
                  </w:r>
                </w:p>
              </w:tc>
              <w:tc>
                <w:tcPr>
                  <w:tcW w:w="2535" w:type="dxa"/>
                  <w:vMerge w:val="restart"/>
                  <w:vAlign w:val="center"/>
                </w:tcPr>
                <w:p>
                  <w:pPr>
                    <w:pStyle w:val="36"/>
                    <w:keepNext w:val="0"/>
                    <w:keepLines w:val="0"/>
                    <w:pageBreakBefore w:val="0"/>
                    <w:kinsoku/>
                    <w:wordWrap/>
                    <w:overflowPunct/>
                    <w:topLinePunct w:val="0"/>
                    <w:bidi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外购，本项目所用导电浆料自配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0" w:hRule="atLeast"/>
                <w:jc w:val="center"/>
              </w:trPr>
              <w:tc>
                <w:tcPr>
                  <w:tcW w:w="707" w:type="dxa"/>
                  <w:vAlign w:val="center"/>
                </w:tcPr>
                <w:p>
                  <w:pPr>
                    <w:keepNext w:val="0"/>
                    <w:keepLines w:val="0"/>
                    <w:pageBreakBefore w:val="0"/>
                    <w:widowControl w:val="0"/>
                    <w:numPr>
                      <w:ilvl w:val="0"/>
                      <w:numId w:val="14"/>
                    </w:numPr>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cs="Times New Roman"/>
                      <w:color w:val="auto"/>
                      <w:kern w:val="0"/>
                      <w:sz w:val="21"/>
                      <w:szCs w:val="21"/>
                      <w:highlight w:val="none"/>
                    </w:rPr>
                  </w:pPr>
                </w:p>
              </w:tc>
              <w:tc>
                <w:tcPr>
                  <w:tcW w:w="846" w:type="dxa"/>
                  <w:vMerge w:val="continue"/>
                  <w:vAlign w:val="center"/>
                </w:tcPr>
                <w:p>
                  <w:pPr>
                    <w:pStyle w:val="36"/>
                    <w:keepNext w:val="0"/>
                    <w:keepLines w:val="0"/>
                    <w:pageBreakBefore w:val="0"/>
                    <w:kinsoku/>
                    <w:wordWrap/>
                    <w:overflowPunct/>
                    <w:topLinePunct w:val="0"/>
                    <w:bidi w:val="0"/>
                    <w:spacing w:line="240" w:lineRule="auto"/>
                    <w:ind w:firstLine="0" w:firstLineChars="0"/>
                    <w:jc w:val="center"/>
                    <w:rPr>
                      <w:rFonts w:hint="eastAsia" w:ascii="Times New Roman" w:hAnsi="Times New Roman" w:eastAsia="宋体" w:cs="Times New Roman"/>
                      <w:color w:val="auto"/>
                      <w:sz w:val="21"/>
                      <w:szCs w:val="21"/>
                      <w:highlight w:val="none"/>
                      <w:lang w:val="en-US" w:eastAsia="zh-CN"/>
                    </w:rPr>
                  </w:pPr>
                </w:p>
              </w:tc>
              <w:tc>
                <w:tcPr>
                  <w:tcW w:w="1639" w:type="dxa"/>
                  <w:vAlign w:val="center"/>
                </w:tcPr>
                <w:p>
                  <w:pPr>
                    <w:pStyle w:val="36"/>
                    <w:keepNext w:val="0"/>
                    <w:keepLines w:val="0"/>
                    <w:pageBreakBefore w:val="0"/>
                    <w:kinsoku/>
                    <w:wordWrap/>
                    <w:overflowPunct/>
                    <w:topLinePunct w:val="0"/>
                    <w:bidi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水性丙烯酸树脂</w:t>
                  </w:r>
                </w:p>
              </w:tc>
              <w:tc>
                <w:tcPr>
                  <w:tcW w:w="1365" w:type="dxa"/>
                  <w:vAlign w:val="center"/>
                </w:tcPr>
                <w:p>
                  <w:pPr>
                    <w:pStyle w:val="36"/>
                    <w:keepNext w:val="0"/>
                    <w:keepLines w:val="0"/>
                    <w:pageBreakBefore w:val="0"/>
                    <w:kinsoku/>
                    <w:wordWrap/>
                    <w:overflowPunct/>
                    <w:topLinePunct w:val="0"/>
                    <w:bidi w:val="0"/>
                    <w:spacing w:line="240" w:lineRule="auto"/>
                    <w:ind w:firstLine="0" w:firstLineChars="0"/>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kg/a</w:t>
                  </w:r>
                </w:p>
              </w:tc>
              <w:tc>
                <w:tcPr>
                  <w:tcW w:w="1185" w:type="dxa"/>
                  <w:vAlign w:val="center"/>
                </w:tcPr>
                <w:p>
                  <w:pPr>
                    <w:pStyle w:val="36"/>
                    <w:keepNext w:val="0"/>
                    <w:keepLines w:val="0"/>
                    <w:pageBreakBefore w:val="0"/>
                    <w:kinsoku/>
                    <w:wordWrap/>
                    <w:overflowPunct/>
                    <w:topLinePunct w:val="0"/>
                    <w:bidi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128</w:t>
                  </w:r>
                </w:p>
              </w:tc>
              <w:tc>
                <w:tcPr>
                  <w:tcW w:w="2535" w:type="dxa"/>
                  <w:vMerge w:val="continue"/>
                  <w:vAlign w:val="center"/>
                </w:tcPr>
                <w:p>
                  <w:pPr>
                    <w:pStyle w:val="36"/>
                    <w:keepNext w:val="0"/>
                    <w:keepLines w:val="0"/>
                    <w:pageBreakBefore w:val="0"/>
                    <w:kinsoku/>
                    <w:wordWrap/>
                    <w:overflowPunct/>
                    <w:topLinePunct w:val="0"/>
                    <w:bidi w:val="0"/>
                    <w:spacing w:line="240" w:lineRule="auto"/>
                    <w:ind w:firstLine="0" w:firstLineChars="0"/>
                    <w:jc w:val="center"/>
                    <w:rPr>
                      <w:rFonts w:hint="eastAsia" w:ascii="Times New Roman" w:hAnsi="Times New Roman" w:eastAsia="宋体" w:cs="Times New Roman"/>
                      <w:color w:val="auto"/>
                      <w:sz w:val="21"/>
                      <w:szCs w:val="21"/>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0" w:hRule="atLeast"/>
                <w:jc w:val="center"/>
              </w:trPr>
              <w:tc>
                <w:tcPr>
                  <w:tcW w:w="707" w:type="dxa"/>
                  <w:vAlign w:val="center"/>
                </w:tcPr>
                <w:p>
                  <w:pPr>
                    <w:keepNext w:val="0"/>
                    <w:keepLines w:val="0"/>
                    <w:pageBreakBefore w:val="0"/>
                    <w:widowControl w:val="0"/>
                    <w:numPr>
                      <w:ilvl w:val="0"/>
                      <w:numId w:val="14"/>
                    </w:numPr>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cs="Times New Roman"/>
                      <w:color w:val="auto"/>
                      <w:kern w:val="0"/>
                      <w:sz w:val="21"/>
                      <w:szCs w:val="21"/>
                      <w:highlight w:val="none"/>
                    </w:rPr>
                  </w:pPr>
                </w:p>
              </w:tc>
              <w:tc>
                <w:tcPr>
                  <w:tcW w:w="846" w:type="dxa"/>
                  <w:vMerge w:val="continue"/>
                  <w:vAlign w:val="center"/>
                </w:tcPr>
                <w:p>
                  <w:pPr>
                    <w:pStyle w:val="36"/>
                    <w:keepNext w:val="0"/>
                    <w:keepLines w:val="0"/>
                    <w:pageBreakBefore w:val="0"/>
                    <w:kinsoku/>
                    <w:wordWrap/>
                    <w:overflowPunct/>
                    <w:topLinePunct w:val="0"/>
                    <w:bidi w:val="0"/>
                    <w:spacing w:line="240" w:lineRule="auto"/>
                    <w:ind w:firstLine="0" w:firstLineChars="0"/>
                    <w:jc w:val="center"/>
                    <w:rPr>
                      <w:rFonts w:hint="eastAsia" w:ascii="Times New Roman" w:hAnsi="Times New Roman" w:eastAsia="宋体" w:cs="Times New Roman"/>
                      <w:color w:val="auto"/>
                      <w:sz w:val="21"/>
                      <w:szCs w:val="21"/>
                      <w:highlight w:val="none"/>
                      <w:lang w:val="en-US" w:eastAsia="zh-CN"/>
                    </w:rPr>
                  </w:pPr>
                </w:p>
              </w:tc>
              <w:tc>
                <w:tcPr>
                  <w:tcW w:w="1639" w:type="dxa"/>
                  <w:vAlign w:val="center"/>
                </w:tcPr>
                <w:p>
                  <w:pPr>
                    <w:pStyle w:val="36"/>
                    <w:keepNext w:val="0"/>
                    <w:keepLines w:val="0"/>
                    <w:pageBreakBefore w:val="0"/>
                    <w:kinsoku/>
                    <w:wordWrap/>
                    <w:overflowPunct/>
                    <w:topLinePunct w:val="0"/>
                    <w:bidi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丙二醇</w:t>
                  </w:r>
                </w:p>
              </w:tc>
              <w:tc>
                <w:tcPr>
                  <w:tcW w:w="1365" w:type="dxa"/>
                  <w:vAlign w:val="center"/>
                </w:tcPr>
                <w:p>
                  <w:pPr>
                    <w:pStyle w:val="36"/>
                    <w:keepNext w:val="0"/>
                    <w:keepLines w:val="0"/>
                    <w:pageBreakBefore w:val="0"/>
                    <w:kinsoku/>
                    <w:wordWrap/>
                    <w:overflowPunct/>
                    <w:topLinePunct w:val="0"/>
                    <w:bidi w:val="0"/>
                    <w:spacing w:line="240" w:lineRule="auto"/>
                    <w:ind w:firstLine="0" w:firstLineChars="0"/>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kg/a</w:t>
                  </w:r>
                </w:p>
              </w:tc>
              <w:tc>
                <w:tcPr>
                  <w:tcW w:w="1185" w:type="dxa"/>
                  <w:vAlign w:val="center"/>
                </w:tcPr>
                <w:p>
                  <w:pPr>
                    <w:pStyle w:val="36"/>
                    <w:keepNext w:val="0"/>
                    <w:keepLines w:val="0"/>
                    <w:pageBreakBefore w:val="0"/>
                    <w:kinsoku/>
                    <w:wordWrap/>
                    <w:overflowPunct/>
                    <w:topLinePunct w:val="0"/>
                    <w:bidi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32</w:t>
                  </w:r>
                </w:p>
              </w:tc>
              <w:tc>
                <w:tcPr>
                  <w:tcW w:w="2535" w:type="dxa"/>
                  <w:vMerge w:val="continue"/>
                  <w:vAlign w:val="center"/>
                </w:tcPr>
                <w:p>
                  <w:pPr>
                    <w:pStyle w:val="36"/>
                    <w:keepNext w:val="0"/>
                    <w:keepLines w:val="0"/>
                    <w:pageBreakBefore w:val="0"/>
                    <w:kinsoku/>
                    <w:wordWrap/>
                    <w:overflowPunct/>
                    <w:topLinePunct w:val="0"/>
                    <w:bidi w:val="0"/>
                    <w:spacing w:line="240" w:lineRule="auto"/>
                    <w:ind w:firstLine="0" w:firstLineChars="0"/>
                    <w:jc w:val="center"/>
                    <w:rPr>
                      <w:rFonts w:hint="eastAsia" w:ascii="Times New Roman" w:hAnsi="Times New Roman" w:eastAsia="宋体" w:cs="Times New Roman"/>
                      <w:color w:val="auto"/>
                      <w:sz w:val="21"/>
                      <w:szCs w:val="21"/>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0" w:hRule="atLeast"/>
                <w:jc w:val="center"/>
              </w:trPr>
              <w:tc>
                <w:tcPr>
                  <w:tcW w:w="707" w:type="dxa"/>
                  <w:vAlign w:val="center"/>
                </w:tcPr>
                <w:p>
                  <w:pPr>
                    <w:keepNext w:val="0"/>
                    <w:keepLines w:val="0"/>
                    <w:pageBreakBefore w:val="0"/>
                    <w:widowControl w:val="0"/>
                    <w:numPr>
                      <w:ilvl w:val="0"/>
                      <w:numId w:val="14"/>
                    </w:numPr>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cs="Times New Roman"/>
                      <w:color w:val="auto"/>
                      <w:kern w:val="0"/>
                      <w:sz w:val="21"/>
                      <w:szCs w:val="21"/>
                      <w:highlight w:val="none"/>
                    </w:rPr>
                  </w:pPr>
                </w:p>
              </w:tc>
              <w:tc>
                <w:tcPr>
                  <w:tcW w:w="846" w:type="dxa"/>
                  <w:vMerge w:val="continue"/>
                  <w:vAlign w:val="center"/>
                </w:tcPr>
                <w:p>
                  <w:pPr>
                    <w:pStyle w:val="36"/>
                    <w:keepNext w:val="0"/>
                    <w:keepLines w:val="0"/>
                    <w:pageBreakBefore w:val="0"/>
                    <w:kinsoku/>
                    <w:wordWrap/>
                    <w:overflowPunct/>
                    <w:topLinePunct w:val="0"/>
                    <w:bidi w:val="0"/>
                    <w:spacing w:line="240" w:lineRule="auto"/>
                    <w:ind w:firstLine="0" w:firstLineChars="0"/>
                    <w:jc w:val="center"/>
                    <w:rPr>
                      <w:rFonts w:hint="eastAsia" w:ascii="Times New Roman" w:hAnsi="Times New Roman" w:eastAsia="宋体" w:cs="Times New Roman"/>
                      <w:color w:val="auto"/>
                      <w:sz w:val="21"/>
                      <w:szCs w:val="21"/>
                      <w:highlight w:val="none"/>
                      <w:lang w:val="en-US" w:eastAsia="zh-CN"/>
                    </w:rPr>
                  </w:pPr>
                </w:p>
              </w:tc>
              <w:tc>
                <w:tcPr>
                  <w:tcW w:w="1639" w:type="dxa"/>
                  <w:vAlign w:val="center"/>
                </w:tcPr>
                <w:p>
                  <w:pPr>
                    <w:pStyle w:val="36"/>
                    <w:keepNext w:val="0"/>
                    <w:keepLines w:val="0"/>
                    <w:pageBreakBefore w:val="0"/>
                    <w:kinsoku/>
                    <w:wordWrap/>
                    <w:overflowPunct/>
                    <w:topLinePunct w:val="0"/>
                    <w:bidi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石墨烯</w:t>
                  </w:r>
                </w:p>
              </w:tc>
              <w:tc>
                <w:tcPr>
                  <w:tcW w:w="1365" w:type="dxa"/>
                  <w:vAlign w:val="center"/>
                </w:tcPr>
                <w:p>
                  <w:pPr>
                    <w:pStyle w:val="36"/>
                    <w:keepNext w:val="0"/>
                    <w:keepLines w:val="0"/>
                    <w:pageBreakBefore w:val="0"/>
                    <w:kinsoku/>
                    <w:wordWrap/>
                    <w:overflowPunct/>
                    <w:topLinePunct w:val="0"/>
                    <w:bidi w:val="0"/>
                    <w:spacing w:line="240" w:lineRule="auto"/>
                    <w:ind w:firstLine="0" w:firstLineChars="0"/>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kg/a</w:t>
                  </w:r>
                </w:p>
              </w:tc>
              <w:tc>
                <w:tcPr>
                  <w:tcW w:w="1185" w:type="dxa"/>
                  <w:vAlign w:val="center"/>
                </w:tcPr>
                <w:p>
                  <w:pPr>
                    <w:pStyle w:val="36"/>
                    <w:keepNext w:val="0"/>
                    <w:keepLines w:val="0"/>
                    <w:pageBreakBefore w:val="0"/>
                    <w:kinsoku/>
                    <w:wordWrap/>
                    <w:overflowPunct/>
                    <w:topLinePunct w:val="0"/>
                    <w:bidi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16</w:t>
                  </w:r>
                </w:p>
              </w:tc>
              <w:tc>
                <w:tcPr>
                  <w:tcW w:w="2535" w:type="dxa"/>
                  <w:vMerge w:val="continue"/>
                  <w:vAlign w:val="center"/>
                </w:tcPr>
                <w:p>
                  <w:pPr>
                    <w:pStyle w:val="36"/>
                    <w:keepNext w:val="0"/>
                    <w:keepLines w:val="0"/>
                    <w:pageBreakBefore w:val="0"/>
                    <w:kinsoku/>
                    <w:wordWrap/>
                    <w:overflowPunct/>
                    <w:topLinePunct w:val="0"/>
                    <w:bidi w:val="0"/>
                    <w:spacing w:line="240" w:lineRule="auto"/>
                    <w:ind w:firstLine="0" w:firstLineChars="0"/>
                    <w:jc w:val="center"/>
                    <w:rPr>
                      <w:rFonts w:hint="eastAsia" w:ascii="Times New Roman" w:hAnsi="Times New Roman" w:eastAsia="宋体" w:cs="Times New Roman"/>
                      <w:color w:val="auto"/>
                      <w:sz w:val="21"/>
                      <w:szCs w:val="21"/>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0" w:hRule="atLeast"/>
                <w:jc w:val="center"/>
              </w:trPr>
              <w:tc>
                <w:tcPr>
                  <w:tcW w:w="707" w:type="dxa"/>
                  <w:vAlign w:val="center"/>
                </w:tcPr>
                <w:p>
                  <w:pPr>
                    <w:keepNext w:val="0"/>
                    <w:keepLines w:val="0"/>
                    <w:pageBreakBefore w:val="0"/>
                    <w:widowControl w:val="0"/>
                    <w:numPr>
                      <w:ilvl w:val="0"/>
                      <w:numId w:val="14"/>
                    </w:numPr>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cs="Times New Roman"/>
                      <w:color w:val="auto"/>
                      <w:kern w:val="0"/>
                      <w:sz w:val="21"/>
                      <w:szCs w:val="21"/>
                      <w:highlight w:val="none"/>
                    </w:rPr>
                  </w:pPr>
                </w:p>
              </w:tc>
              <w:tc>
                <w:tcPr>
                  <w:tcW w:w="846" w:type="dxa"/>
                  <w:vMerge w:val="continue"/>
                  <w:vAlign w:val="center"/>
                </w:tcPr>
                <w:p>
                  <w:pPr>
                    <w:pStyle w:val="36"/>
                    <w:keepNext w:val="0"/>
                    <w:keepLines w:val="0"/>
                    <w:pageBreakBefore w:val="0"/>
                    <w:kinsoku/>
                    <w:wordWrap/>
                    <w:overflowPunct/>
                    <w:topLinePunct w:val="0"/>
                    <w:bidi w:val="0"/>
                    <w:spacing w:line="240" w:lineRule="auto"/>
                    <w:ind w:firstLine="0" w:firstLineChars="0"/>
                    <w:jc w:val="center"/>
                    <w:rPr>
                      <w:rFonts w:hint="eastAsia" w:ascii="Times New Roman" w:hAnsi="Times New Roman" w:eastAsia="宋体" w:cs="Times New Roman"/>
                      <w:color w:val="auto"/>
                      <w:sz w:val="21"/>
                      <w:szCs w:val="21"/>
                      <w:highlight w:val="none"/>
                      <w:lang w:val="en-US" w:eastAsia="zh-CN"/>
                    </w:rPr>
                  </w:pPr>
                </w:p>
              </w:tc>
              <w:tc>
                <w:tcPr>
                  <w:tcW w:w="1639" w:type="dxa"/>
                  <w:vAlign w:val="center"/>
                </w:tcPr>
                <w:p>
                  <w:pPr>
                    <w:pStyle w:val="36"/>
                    <w:keepNext w:val="0"/>
                    <w:keepLines w:val="0"/>
                    <w:pageBreakBefore w:val="0"/>
                    <w:kinsoku/>
                    <w:wordWrap/>
                    <w:overflowPunct/>
                    <w:topLinePunct w:val="0"/>
                    <w:bidi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石墨</w:t>
                  </w:r>
                </w:p>
              </w:tc>
              <w:tc>
                <w:tcPr>
                  <w:tcW w:w="1365" w:type="dxa"/>
                  <w:vAlign w:val="center"/>
                </w:tcPr>
                <w:p>
                  <w:pPr>
                    <w:pStyle w:val="36"/>
                    <w:keepNext w:val="0"/>
                    <w:keepLines w:val="0"/>
                    <w:pageBreakBefore w:val="0"/>
                    <w:kinsoku/>
                    <w:wordWrap/>
                    <w:overflowPunct/>
                    <w:topLinePunct w:val="0"/>
                    <w:bidi w:val="0"/>
                    <w:spacing w:line="240" w:lineRule="auto"/>
                    <w:ind w:firstLine="0" w:firstLineChars="0"/>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kg/a</w:t>
                  </w:r>
                </w:p>
              </w:tc>
              <w:tc>
                <w:tcPr>
                  <w:tcW w:w="1185" w:type="dxa"/>
                  <w:vAlign w:val="center"/>
                </w:tcPr>
                <w:p>
                  <w:pPr>
                    <w:pStyle w:val="36"/>
                    <w:keepNext w:val="0"/>
                    <w:keepLines w:val="0"/>
                    <w:pageBreakBefore w:val="0"/>
                    <w:kinsoku/>
                    <w:wordWrap/>
                    <w:overflowPunct/>
                    <w:topLinePunct w:val="0"/>
                    <w:bidi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32</w:t>
                  </w:r>
                </w:p>
              </w:tc>
              <w:tc>
                <w:tcPr>
                  <w:tcW w:w="2535" w:type="dxa"/>
                  <w:vMerge w:val="continue"/>
                  <w:vAlign w:val="center"/>
                </w:tcPr>
                <w:p>
                  <w:pPr>
                    <w:pStyle w:val="36"/>
                    <w:keepNext w:val="0"/>
                    <w:keepLines w:val="0"/>
                    <w:pageBreakBefore w:val="0"/>
                    <w:kinsoku/>
                    <w:wordWrap/>
                    <w:overflowPunct/>
                    <w:topLinePunct w:val="0"/>
                    <w:bidi w:val="0"/>
                    <w:spacing w:line="240" w:lineRule="auto"/>
                    <w:ind w:firstLine="0" w:firstLineChars="0"/>
                    <w:jc w:val="center"/>
                    <w:rPr>
                      <w:rFonts w:hint="eastAsia" w:ascii="Times New Roman" w:hAnsi="Times New Roman" w:eastAsia="宋体" w:cs="Times New Roman"/>
                      <w:color w:val="auto"/>
                      <w:sz w:val="21"/>
                      <w:szCs w:val="21"/>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0" w:hRule="atLeast"/>
                <w:jc w:val="center"/>
              </w:trPr>
              <w:tc>
                <w:tcPr>
                  <w:tcW w:w="707" w:type="dxa"/>
                  <w:vAlign w:val="center"/>
                </w:tcPr>
                <w:p>
                  <w:pPr>
                    <w:keepNext w:val="0"/>
                    <w:keepLines w:val="0"/>
                    <w:pageBreakBefore w:val="0"/>
                    <w:widowControl w:val="0"/>
                    <w:numPr>
                      <w:ilvl w:val="0"/>
                      <w:numId w:val="14"/>
                    </w:numPr>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cs="Times New Roman"/>
                      <w:color w:val="auto"/>
                      <w:kern w:val="0"/>
                      <w:sz w:val="21"/>
                      <w:szCs w:val="21"/>
                      <w:highlight w:val="none"/>
                    </w:rPr>
                  </w:pPr>
                </w:p>
              </w:tc>
              <w:tc>
                <w:tcPr>
                  <w:tcW w:w="846" w:type="dxa"/>
                  <w:vMerge w:val="continue"/>
                  <w:vAlign w:val="center"/>
                </w:tcPr>
                <w:p>
                  <w:pPr>
                    <w:pStyle w:val="36"/>
                    <w:keepNext w:val="0"/>
                    <w:keepLines w:val="0"/>
                    <w:pageBreakBefore w:val="0"/>
                    <w:kinsoku/>
                    <w:wordWrap/>
                    <w:overflowPunct/>
                    <w:topLinePunct w:val="0"/>
                    <w:bidi w:val="0"/>
                    <w:spacing w:line="240" w:lineRule="auto"/>
                    <w:ind w:firstLine="0" w:firstLineChars="0"/>
                    <w:jc w:val="center"/>
                    <w:rPr>
                      <w:rFonts w:hint="eastAsia" w:ascii="Times New Roman" w:hAnsi="Times New Roman" w:eastAsia="宋体" w:cs="Times New Roman"/>
                      <w:color w:val="auto"/>
                      <w:sz w:val="21"/>
                      <w:szCs w:val="21"/>
                      <w:highlight w:val="none"/>
                      <w:lang w:val="en-US" w:eastAsia="zh-CN"/>
                    </w:rPr>
                  </w:pPr>
                </w:p>
              </w:tc>
              <w:tc>
                <w:tcPr>
                  <w:tcW w:w="1639" w:type="dxa"/>
                  <w:vAlign w:val="center"/>
                </w:tcPr>
                <w:p>
                  <w:pPr>
                    <w:pStyle w:val="36"/>
                    <w:keepNext w:val="0"/>
                    <w:keepLines w:val="0"/>
                    <w:pageBreakBefore w:val="0"/>
                    <w:kinsoku/>
                    <w:wordWrap/>
                    <w:overflowPunct/>
                    <w:topLinePunct w:val="0"/>
                    <w:bidi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碳黑</w:t>
                  </w:r>
                </w:p>
              </w:tc>
              <w:tc>
                <w:tcPr>
                  <w:tcW w:w="1365" w:type="dxa"/>
                  <w:vAlign w:val="center"/>
                </w:tcPr>
                <w:p>
                  <w:pPr>
                    <w:pStyle w:val="36"/>
                    <w:keepNext w:val="0"/>
                    <w:keepLines w:val="0"/>
                    <w:pageBreakBefore w:val="0"/>
                    <w:kinsoku/>
                    <w:wordWrap/>
                    <w:overflowPunct/>
                    <w:topLinePunct w:val="0"/>
                    <w:bidi w:val="0"/>
                    <w:spacing w:line="240" w:lineRule="auto"/>
                    <w:ind w:firstLine="0" w:firstLineChars="0"/>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kg/a</w:t>
                  </w:r>
                </w:p>
              </w:tc>
              <w:tc>
                <w:tcPr>
                  <w:tcW w:w="1185" w:type="dxa"/>
                  <w:vAlign w:val="center"/>
                </w:tcPr>
                <w:p>
                  <w:pPr>
                    <w:pStyle w:val="36"/>
                    <w:keepNext w:val="0"/>
                    <w:keepLines w:val="0"/>
                    <w:pageBreakBefore w:val="0"/>
                    <w:kinsoku/>
                    <w:wordWrap/>
                    <w:overflowPunct/>
                    <w:topLinePunct w:val="0"/>
                    <w:bidi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16</w:t>
                  </w:r>
                </w:p>
              </w:tc>
              <w:tc>
                <w:tcPr>
                  <w:tcW w:w="2535" w:type="dxa"/>
                  <w:vMerge w:val="continue"/>
                  <w:vAlign w:val="center"/>
                </w:tcPr>
                <w:p>
                  <w:pPr>
                    <w:pStyle w:val="36"/>
                    <w:keepNext w:val="0"/>
                    <w:keepLines w:val="0"/>
                    <w:pageBreakBefore w:val="0"/>
                    <w:kinsoku/>
                    <w:wordWrap/>
                    <w:overflowPunct/>
                    <w:topLinePunct w:val="0"/>
                    <w:bidi w:val="0"/>
                    <w:spacing w:line="240" w:lineRule="auto"/>
                    <w:ind w:firstLine="0" w:firstLineChars="0"/>
                    <w:jc w:val="center"/>
                    <w:rPr>
                      <w:rFonts w:hint="eastAsia" w:ascii="Times New Roman" w:hAnsi="Times New Roman" w:eastAsia="宋体" w:cs="Times New Roman"/>
                      <w:color w:val="auto"/>
                      <w:sz w:val="21"/>
                      <w:szCs w:val="21"/>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0" w:hRule="atLeast"/>
                <w:jc w:val="center"/>
              </w:trPr>
              <w:tc>
                <w:tcPr>
                  <w:tcW w:w="707" w:type="dxa"/>
                  <w:vAlign w:val="center"/>
                </w:tcPr>
                <w:p>
                  <w:pPr>
                    <w:keepNext w:val="0"/>
                    <w:keepLines w:val="0"/>
                    <w:pageBreakBefore w:val="0"/>
                    <w:widowControl w:val="0"/>
                    <w:numPr>
                      <w:ilvl w:val="0"/>
                      <w:numId w:val="14"/>
                    </w:numPr>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cs="Times New Roman"/>
                      <w:color w:val="auto"/>
                      <w:kern w:val="0"/>
                      <w:sz w:val="21"/>
                      <w:szCs w:val="21"/>
                      <w:highlight w:val="none"/>
                    </w:rPr>
                  </w:pPr>
                </w:p>
              </w:tc>
              <w:tc>
                <w:tcPr>
                  <w:tcW w:w="846" w:type="dxa"/>
                  <w:vMerge w:val="continue"/>
                  <w:vAlign w:val="center"/>
                </w:tcPr>
                <w:p>
                  <w:pPr>
                    <w:pStyle w:val="36"/>
                    <w:keepNext w:val="0"/>
                    <w:keepLines w:val="0"/>
                    <w:pageBreakBefore w:val="0"/>
                    <w:kinsoku/>
                    <w:wordWrap/>
                    <w:overflowPunct/>
                    <w:topLinePunct w:val="0"/>
                    <w:bidi w:val="0"/>
                    <w:spacing w:line="240" w:lineRule="auto"/>
                    <w:ind w:firstLine="0" w:firstLineChars="0"/>
                    <w:jc w:val="center"/>
                    <w:rPr>
                      <w:rFonts w:hint="eastAsia" w:ascii="Times New Roman" w:hAnsi="Times New Roman" w:eastAsia="宋体" w:cs="Times New Roman"/>
                      <w:color w:val="auto"/>
                      <w:sz w:val="21"/>
                      <w:szCs w:val="21"/>
                      <w:highlight w:val="none"/>
                      <w:lang w:val="en-US" w:eastAsia="zh-CN"/>
                    </w:rPr>
                  </w:pPr>
                </w:p>
              </w:tc>
              <w:tc>
                <w:tcPr>
                  <w:tcW w:w="1639" w:type="dxa"/>
                  <w:vAlign w:val="center"/>
                </w:tcPr>
                <w:p>
                  <w:pPr>
                    <w:pStyle w:val="36"/>
                    <w:keepNext w:val="0"/>
                    <w:keepLines w:val="0"/>
                    <w:pageBreakBefore w:val="0"/>
                    <w:kinsoku/>
                    <w:wordWrap/>
                    <w:overflowPunct/>
                    <w:topLinePunct w:val="0"/>
                    <w:bidi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异氰酸酯固化剂</w:t>
                  </w:r>
                </w:p>
              </w:tc>
              <w:tc>
                <w:tcPr>
                  <w:tcW w:w="1365" w:type="dxa"/>
                  <w:vAlign w:val="center"/>
                </w:tcPr>
                <w:p>
                  <w:pPr>
                    <w:pStyle w:val="36"/>
                    <w:keepNext w:val="0"/>
                    <w:keepLines w:val="0"/>
                    <w:pageBreakBefore w:val="0"/>
                    <w:kinsoku/>
                    <w:wordWrap/>
                    <w:overflowPunct/>
                    <w:topLinePunct w:val="0"/>
                    <w:bidi w:val="0"/>
                    <w:spacing w:line="240" w:lineRule="auto"/>
                    <w:ind w:firstLine="0" w:firstLineChars="0"/>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kg/a</w:t>
                  </w:r>
                </w:p>
              </w:tc>
              <w:tc>
                <w:tcPr>
                  <w:tcW w:w="1185" w:type="dxa"/>
                  <w:vAlign w:val="center"/>
                </w:tcPr>
                <w:p>
                  <w:pPr>
                    <w:pStyle w:val="36"/>
                    <w:keepNext w:val="0"/>
                    <w:keepLines w:val="0"/>
                    <w:pageBreakBefore w:val="0"/>
                    <w:kinsoku/>
                    <w:wordWrap/>
                    <w:overflowPunct/>
                    <w:topLinePunct w:val="0"/>
                    <w:bidi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16</w:t>
                  </w:r>
                </w:p>
              </w:tc>
              <w:tc>
                <w:tcPr>
                  <w:tcW w:w="2535" w:type="dxa"/>
                  <w:vMerge w:val="continue"/>
                  <w:vAlign w:val="center"/>
                </w:tcPr>
                <w:p>
                  <w:pPr>
                    <w:pStyle w:val="36"/>
                    <w:keepNext w:val="0"/>
                    <w:keepLines w:val="0"/>
                    <w:pageBreakBefore w:val="0"/>
                    <w:kinsoku/>
                    <w:wordWrap/>
                    <w:overflowPunct/>
                    <w:topLinePunct w:val="0"/>
                    <w:bidi w:val="0"/>
                    <w:spacing w:line="240" w:lineRule="auto"/>
                    <w:ind w:firstLine="0" w:firstLineChars="0"/>
                    <w:jc w:val="center"/>
                    <w:rPr>
                      <w:rFonts w:hint="eastAsia" w:ascii="Times New Roman" w:hAnsi="Times New Roman" w:eastAsia="宋体" w:cs="Times New Roman"/>
                      <w:color w:val="auto"/>
                      <w:sz w:val="21"/>
                      <w:szCs w:val="21"/>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0" w:hRule="atLeast"/>
                <w:jc w:val="center"/>
              </w:trPr>
              <w:tc>
                <w:tcPr>
                  <w:tcW w:w="707" w:type="dxa"/>
                  <w:vAlign w:val="center"/>
                </w:tcPr>
                <w:p>
                  <w:pPr>
                    <w:keepNext w:val="0"/>
                    <w:keepLines w:val="0"/>
                    <w:pageBreakBefore w:val="0"/>
                    <w:widowControl w:val="0"/>
                    <w:numPr>
                      <w:ilvl w:val="0"/>
                      <w:numId w:val="14"/>
                    </w:numPr>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cs="Times New Roman"/>
                      <w:color w:val="auto"/>
                      <w:kern w:val="0"/>
                      <w:sz w:val="21"/>
                      <w:szCs w:val="21"/>
                      <w:highlight w:val="none"/>
                    </w:rPr>
                  </w:pPr>
                </w:p>
              </w:tc>
              <w:tc>
                <w:tcPr>
                  <w:tcW w:w="2485" w:type="dxa"/>
                  <w:gridSpan w:val="2"/>
                  <w:vAlign w:val="center"/>
                </w:tcPr>
                <w:p>
                  <w:pPr>
                    <w:pStyle w:val="36"/>
                    <w:keepNext w:val="0"/>
                    <w:keepLines w:val="0"/>
                    <w:pageBreakBefore w:val="0"/>
                    <w:kinsoku/>
                    <w:wordWrap/>
                    <w:overflowPunct/>
                    <w:topLinePunct w:val="0"/>
                    <w:bidi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铜带</w:t>
                  </w:r>
                </w:p>
              </w:tc>
              <w:tc>
                <w:tcPr>
                  <w:tcW w:w="1365" w:type="dxa"/>
                  <w:vAlign w:val="center"/>
                </w:tcPr>
                <w:p>
                  <w:pPr>
                    <w:pStyle w:val="36"/>
                    <w:keepNext w:val="0"/>
                    <w:keepLines w:val="0"/>
                    <w:pageBreakBefore w:val="0"/>
                    <w:kinsoku/>
                    <w:wordWrap/>
                    <w:overflowPunct/>
                    <w:topLinePunct w:val="0"/>
                    <w:bidi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万m/a</w:t>
                  </w:r>
                </w:p>
              </w:tc>
              <w:tc>
                <w:tcPr>
                  <w:tcW w:w="1185" w:type="dxa"/>
                  <w:vAlign w:val="center"/>
                </w:tcPr>
                <w:p>
                  <w:pPr>
                    <w:pStyle w:val="36"/>
                    <w:keepNext w:val="0"/>
                    <w:keepLines w:val="0"/>
                    <w:pageBreakBefore w:val="0"/>
                    <w:kinsoku/>
                    <w:wordWrap/>
                    <w:overflowPunct/>
                    <w:topLinePunct w:val="0"/>
                    <w:bidi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8</w:t>
                  </w:r>
                </w:p>
              </w:tc>
              <w:tc>
                <w:tcPr>
                  <w:tcW w:w="2535" w:type="dxa"/>
                  <w:vAlign w:val="center"/>
                </w:tcPr>
                <w:p>
                  <w:pPr>
                    <w:pStyle w:val="36"/>
                    <w:keepNext w:val="0"/>
                    <w:keepLines w:val="0"/>
                    <w:pageBreakBefore w:val="0"/>
                    <w:kinsoku/>
                    <w:wordWrap/>
                    <w:overflowPunct/>
                    <w:topLinePunct w:val="0"/>
                    <w:bidi w:val="0"/>
                    <w:spacing w:line="240" w:lineRule="auto"/>
                    <w:ind w:firstLine="0" w:firstLineChars="0"/>
                    <w:jc w:val="center"/>
                    <w:rPr>
                      <w:rFonts w:hint="default" w:eastAsia="宋体" w:cs="Times New Roman"/>
                      <w:color w:val="auto"/>
                      <w:kern w:val="8"/>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外购，宽25mm，厚0.2mm</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0" w:hRule="atLeast"/>
                <w:jc w:val="center"/>
              </w:trPr>
              <w:tc>
                <w:tcPr>
                  <w:tcW w:w="707" w:type="dxa"/>
                  <w:vAlign w:val="center"/>
                </w:tcPr>
                <w:p>
                  <w:pPr>
                    <w:keepNext w:val="0"/>
                    <w:keepLines w:val="0"/>
                    <w:pageBreakBefore w:val="0"/>
                    <w:widowControl w:val="0"/>
                    <w:numPr>
                      <w:ilvl w:val="0"/>
                      <w:numId w:val="14"/>
                    </w:numPr>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cs="Times New Roman"/>
                      <w:color w:val="auto"/>
                      <w:kern w:val="0"/>
                      <w:sz w:val="21"/>
                      <w:szCs w:val="21"/>
                      <w:highlight w:val="none"/>
                    </w:rPr>
                  </w:pPr>
                </w:p>
              </w:tc>
              <w:tc>
                <w:tcPr>
                  <w:tcW w:w="2485" w:type="dxa"/>
                  <w:gridSpan w:val="2"/>
                  <w:vAlign w:val="center"/>
                </w:tcPr>
                <w:p>
                  <w:pPr>
                    <w:pStyle w:val="36"/>
                    <w:keepNext w:val="0"/>
                    <w:keepLines w:val="0"/>
                    <w:pageBreakBefore w:val="0"/>
                    <w:kinsoku/>
                    <w:wordWrap/>
                    <w:overflowPunct/>
                    <w:topLinePunct w:val="0"/>
                    <w:bidi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机箱外壳</w:t>
                  </w:r>
                </w:p>
              </w:tc>
              <w:tc>
                <w:tcPr>
                  <w:tcW w:w="1365" w:type="dxa"/>
                  <w:vAlign w:val="center"/>
                </w:tcPr>
                <w:p>
                  <w:pPr>
                    <w:pStyle w:val="36"/>
                    <w:keepNext w:val="0"/>
                    <w:keepLines w:val="0"/>
                    <w:pageBreakBefore w:val="0"/>
                    <w:kinsoku/>
                    <w:wordWrap/>
                    <w:overflowPunct/>
                    <w:topLinePunct w:val="0"/>
                    <w:bidi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万台/a</w:t>
                  </w:r>
                </w:p>
              </w:tc>
              <w:tc>
                <w:tcPr>
                  <w:tcW w:w="1185" w:type="dxa"/>
                  <w:vAlign w:val="center"/>
                </w:tcPr>
                <w:p>
                  <w:pPr>
                    <w:pStyle w:val="36"/>
                    <w:keepNext w:val="0"/>
                    <w:keepLines w:val="0"/>
                    <w:pageBreakBefore w:val="0"/>
                    <w:kinsoku/>
                    <w:wordWrap/>
                    <w:overflowPunct/>
                    <w:topLinePunct w:val="0"/>
                    <w:bidi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5</w:t>
                  </w:r>
                </w:p>
              </w:tc>
              <w:tc>
                <w:tcPr>
                  <w:tcW w:w="2535" w:type="dxa"/>
                  <w:vAlign w:val="center"/>
                </w:tcPr>
                <w:p>
                  <w:pPr>
                    <w:pStyle w:val="36"/>
                    <w:keepNext w:val="0"/>
                    <w:keepLines w:val="0"/>
                    <w:pageBreakBefore w:val="0"/>
                    <w:kinsoku/>
                    <w:wordWrap/>
                    <w:overflowPunct/>
                    <w:topLinePunct w:val="0"/>
                    <w:bidi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eastAsia="宋体" w:cs="Times New Roman"/>
                      <w:color w:val="auto"/>
                      <w:kern w:val="8"/>
                      <w:sz w:val="21"/>
                      <w:szCs w:val="21"/>
                      <w:highlight w:val="none"/>
                      <w:lang w:val="en-US" w:eastAsia="zh-CN"/>
                    </w:rPr>
                    <w:t>外购，</w:t>
                  </w:r>
                  <w:r>
                    <w:rPr>
                      <w:rFonts w:hint="eastAsia" w:ascii="Times New Roman" w:hAnsi="Times New Roman" w:eastAsia="宋体" w:cs="Times New Roman"/>
                      <w:color w:val="auto"/>
                      <w:kern w:val="8"/>
                      <w:sz w:val="21"/>
                      <w:szCs w:val="21"/>
                      <w:highlight w:val="none"/>
                      <w:lang w:val="en-US" w:eastAsia="zh-CN"/>
                    </w:rPr>
                    <w:t>787mm</w:t>
                  </w:r>
                  <w:r>
                    <w:rPr>
                      <w:rFonts w:hint="default" w:ascii="Times New Roman" w:hAnsi="Times New Roman" w:eastAsia="宋体" w:cs="Times New Roman"/>
                      <w:color w:val="auto"/>
                      <w:kern w:val="8"/>
                      <w:sz w:val="21"/>
                      <w:szCs w:val="21"/>
                      <w:highlight w:val="none"/>
                      <w:lang w:val="en-US" w:eastAsia="zh-CN"/>
                    </w:rPr>
                    <w:t>×</w:t>
                  </w:r>
                  <w:r>
                    <w:rPr>
                      <w:rFonts w:hint="eastAsia" w:ascii="Times New Roman" w:hAnsi="Times New Roman" w:eastAsia="宋体" w:cs="Times New Roman"/>
                      <w:color w:val="auto"/>
                      <w:kern w:val="8"/>
                      <w:sz w:val="21"/>
                      <w:szCs w:val="21"/>
                      <w:highlight w:val="none"/>
                      <w:lang w:val="en-US" w:eastAsia="zh-CN"/>
                    </w:rPr>
                    <w:t>245mm</w:t>
                  </w:r>
                  <w:r>
                    <w:rPr>
                      <w:rFonts w:hint="default" w:ascii="Times New Roman" w:hAnsi="Times New Roman" w:eastAsia="宋体" w:cs="Times New Roman"/>
                      <w:color w:val="auto"/>
                      <w:kern w:val="8"/>
                      <w:sz w:val="21"/>
                      <w:szCs w:val="21"/>
                      <w:highlight w:val="none"/>
                      <w:lang w:val="en-US" w:eastAsia="zh-CN"/>
                    </w:rPr>
                    <w:t>×</w:t>
                  </w:r>
                  <w:r>
                    <w:rPr>
                      <w:rFonts w:hint="eastAsia" w:ascii="Times New Roman" w:hAnsi="Times New Roman" w:eastAsia="宋体" w:cs="Times New Roman"/>
                      <w:color w:val="auto"/>
                      <w:kern w:val="8"/>
                      <w:sz w:val="21"/>
                      <w:szCs w:val="21"/>
                      <w:highlight w:val="none"/>
                      <w:lang w:val="en-US" w:eastAsia="zh-CN"/>
                    </w:rPr>
                    <w:t>460mm</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0" w:hRule="atLeast"/>
                <w:jc w:val="center"/>
              </w:trPr>
              <w:tc>
                <w:tcPr>
                  <w:tcW w:w="707" w:type="dxa"/>
                  <w:vAlign w:val="center"/>
                </w:tcPr>
                <w:p>
                  <w:pPr>
                    <w:keepNext w:val="0"/>
                    <w:keepLines w:val="0"/>
                    <w:pageBreakBefore w:val="0"/>
                    <w:widowControl w:val="0"/>
                    <w:numPr>
                      <w:ilvl w:val="0"/>
                      <w:numId w:val="14"/>
                    </w:numPr>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cs="Times New Roman"/>
                      <w:color w:val="auto"/>
                      <w:kern w:val="0"/>
                      <w:sz w:val="21"/>
                      <w:szCs w:val="21"/>
                      <w:highlight w:val="none"/>
                    </w:rPr>
                  </w:pPr>
                </w:p>
              </w:tc>
              <w:tc>
                <w:tcPr>
                  <w:tcW w:w="2485" w:type="dxa"/>
                  <w:gridSpan w:val="2"/>
                  <w:vAlign w:val="center"/>
                </w:tcPr>
                <w:p>
                  <w:pPr>
                    <w:pStyle w:val="36"/>
                    <w:keepNext w:val="0"/>
                    <w:keepLines w:val="0"/>
                    <w:pageBreakBefore w:val="0"/>
                    <w:kinsoku/>
                    <w:wordWrap/>
                    <w:overflowPunct/>
                    <w:topLinePunct w:val="0"/>
                    <w:bidi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触摸控制板</w:t>
                  </w:r>
                </w:p>
              </w:tc>
              <w:tc>
                <w:tcPr>
                  <w:tcW w:w="1365" w:type="dxa"/>
                  <w:vAlign w:val="center"/>
                </w:tcPr>
                <w:p>
                  <w:pPr>
                    <w:pStyle w:val="36"/>
                    <w:keepNext w:val="0"/>
                    <w:keepLines w:val="0"/>
                    <w:pageBreakBefore w:val="0"/>
                    <w:kinsoku/>
                    <w:wordWrap/>
                    <w:overflowPunct/>
                    <w:topLinePunct w:val="0"/>
                    <w:bidi w:val="0"/>
                    <w:spacing w:line="240" w:lineRule="auto"/>
                    <w:ind w:firstLine="0" w:firstLineChars="0"/>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万套/a</w:t>
                  </w:r>
                </w:p>
              </w:tc>
              <w:tc>
                <w:tcPr>
                  <w:tcW w:w="1185" w:type="dxa"/>
                  <w:vAlign w:val="center"/>
                </w:tcPr>
                <w:p>
                  <w:pPr>
                    <w:pStyle w:val="36"/>
                    <w:keepNext w:val="0"/>
                    <w:keepLines w:val="0"/>
                    <w:pageBreakBefore w:val="0"/>
                    <w:kinsoku/>
                    <w:wordWrap/>
                    <w:overflowPunct/>
                    <w:topLinePunct w:val="0"/>
                    <w:bidi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5</w:t>
                  </w:r>
                </w:p>
              </w:tc>
              <w:tc>
                <w:tcPr>
                  <w:tcW w:w="2535" w:type="dxa"/>
                  <w:vAlign w:val="center"/>
                </w:tcPr>
                <w:p>
                  <w:pPr>
                    <w:pStyle w:val="36"/>
                    <w:keepNext w:val="0"/>
                    <w:keepLines w:val="0"/>
                    <w:pageBreakBefore w:val="0"/>
                    <w:kinsoku/>
                    <w:wordWrap/>
                    <w:overflowPunct/>
                    <w:topLinePunct w:val="0"/>
                    <w:bidi w:val="0"/>
                    <w:spacing w:line="240" w:lineRule="auto"/>
                    <w:ind w:firstLine="0" w:firstLineChars="0"/>
                    <w:jc w:val="center"/>
                    <w:rPr>
                      <w:rFonts w:hint="eastAsia" w:ascii="Times New Roman" w:hAnsi="Times New Roman" w:eastAsia="宋体" w:cs="Times New Roman"/>
                      <w:color w:val="auto"/>
                      <w:sz w:val="21"/>
                      <w:szCs w:val="21"/>
                      <w:highlight w:val="none"/>
                      <w:lang w:val="en-US" w:eastAsia="zh-CN"/>
                    </w:rPr>
                  </w:pPr>
                  <w:r>
                    <w:rPr>
                      <w:rFonts w:hint="eastAsia" w:eastAsia="宋体" w:cs="Times New Roman"/>
                      <w:color w:val="auto"/>
                      <w:kern w:val="8"/>
                      <w:sz w:val="21"/>
                      <w:szCs w:val="21"/>
                      <w:highlight w:val="none"/>
                      <w:lang w:val="en-US" w:eastAsia="zh-CN"/>
                    </w:rPr>
                    <w:t>外购</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450" w:hRule="atLeast"/>
                <w:jc w:val="center"/>
              </w:trPr>
              <w:tc>
                <w:tcPr>
                  <w:tcW w:w="707" w:type="dxa"/>
                  <w:vAlign w:val="center"/>
                </w:tcPr>
                <w:p>
                  <w:pPr>
                    <w:keepNext w:val="0"/>
                    <w:keepLines w:val="0"/>
                    <w:pageBreakBefore w:val="0"/>
                    <w:widowControl w:val="0"/>
                    <w:numPr>
                      <w:ilvl w:val="0"/>
                      <w:numId w:val="14"/>
                    </w:numPr>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cs="Times New Roman"/>
                      <w:color w:val="auto"/>
                      <w:kern w:val="0"/>
                      <w:sz w:val="21"/>
                      <w:szCs w:val="21"/>
                      <w:highlight w:val="none"/>
                    </w:rPr>
                  </w:pPr>
                </w:p>
              </w:tc>
              <w:tc>
                <w:tcPr>
                  <w:tcW w:w="2485" w:type="dxa"/>
                  <w:gridSpan w:val="2"/>
                  <w:vAlign w:val="center"/>
                </w:tcPr>
                <w:p>
                  <w:pPr>
                    <w:pStyle w:val="36"/>
                    <w:keepNext w:val="0"/>
                    <w:keepLines w:val="0"/>
                    <w:pageBreakBefore w:val="0"/>
                    <w:kinsoku/>
                    <w:wordWrap/>
                    <w:overflowPunct/>
                    <w:topLinePunct w:val="0"/>
                    <w:bidi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耐高温线</w:t>
                  </w:r>
                </w:p>
              </w:tc>
              <w:tc>
                <w:tcPr>
                  <w:tcW w:w="1365" w:type="dxa"/>
                  <w:vAlign w:val="center"/>
                </w:tcPr>
                <w:p>
                  <w:pPr>
                    <w:pStyle w:val="36"/>
                    <w:keepNext w:val="0"/>
                    <w:keepLines w:val="0"/>
                    <w:pageBreakBefore w:val="0"/>
                    <w:kinsoku/>
                    <w:wordWrap/>
                    <w:overflowPunct/>
                    <w:topLinePunct w:val="0"/>
                    <w:bidi w:val="0"/>
                    <w:spacing w:line="240" w:lineRule="auto"/>
                    <w:ind w:firstLine="0" w:firstLineChars="0"/>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万套/a</w:t>
                  </w:r>
                </w:p>
              </w:tc>
              <w:tc>
                <w:tcPr>
                  <w:tcW w:w="1185" w:type="dxa"/>
                  <w:vAlign w:val="center"/>
                </w:tcPr>
                <w:p>
                  <w:pPr>
                    <w:pStyle w:val="36"/>
                    <w:keepNext w:val="0"/>
                    <w:keepLines w:val="0"/>
                    <w:pageBreakBefore w:val="0"/>
                    <w:kinsoku/>
                    <w:wordWrap/>
                    <w:overflowPunct/>
                    <w:topLinePunct w:val="0"/>
                    <w:bidi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5</w:t>
                  </w:r>
                </w:p>
              </w:tc>
              <w:tc>
                <w:tcPr>
                  <w:tcW w:w="2535" w:type="dxa"/>
                  <w:vAlign w:val="center"/>
                </w:tcPr>
                <w:p>
                  <w:pPr>
                    <w:pStyle w:val="36"/>
                    <w:keepNext w:val="0"/>
                    <w:keepLines w:val="0"/>
                    <w:pageBreakBefore w:val="0"/>
                    <w:kinsoku/>
                    <w:wordWrap/>
                    <w:overflowPunct/>
                    <w:topLinePunct w:val="0"/>
                    <w:bidi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eastAsia="宋体" w:cs="Times New Roman"/>
                      <w:color w:val="auto"/>
                      <w:kern w:val="8"/>
                      <w:sz w:val="21"/>
                      <w:szCs w:val="21"/>
                      <w:highlight w:val="none"/>
                      <w:lang w:val="en-US" w:eastAsia="zh-CN"/>
                    </w:rPr>
                    <w:t>外购，2.5平方毫米</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0" w:hRule="atLeast"/>
                <w:jc w:val="center"/>
              </w:trPr>
              <w:tc>
                <w:tcPr>
                  <w:tcW w:w="707" w:type="dxa"/>
                  <w:vAlign w:val="center"/>
                </w:tcPr>
                <w:p>
                  <w:pPr>
                    <w:keepNext w:val="0"/>
                    <w:keepLines w:val="0"/>
                    <w:pageBreakBefore w:val="0"/>
                    <w:widowControl w:val="0"/>
                    <w:numPr>
                      <w:ilvl w:val="0"/>
                      <w:numId w:val="14"/>
                    </w:numPr>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cs="Times New Roman"/>
                      <w:color w:val="auto"/>
                      <w:kern w:val="0"/>
                      <w:sz w:val="21"/>
                      <w:szCs w:val="21"/>
                      <w:highlight w:val="none"/>
                    </w:rPr>
                  </w:pPr>
                </w:p>
              </w:tc>
              <w:tc>
                <w:tcPr>
                  <w:tcW w:w="2485" w:type="dxa"/>
                  <w:gridSpan w:val="2"/>
                  <w:vAlign w:val="center"/>
                </w:tcPr>
                <w:p>
                  <w:pPr>
                    <w:pStyle w:val="36"/>
                    <w:keepNext w:val="0"/>
                    <w:keepLines w:val="0"/>
                    <w:pageBreakBefore w:val="0"/>
                    <w:kinsoku/>
                    <w:wordWrap/>
                    <w:overflowPunct/>
                    <w:topLinePunct w:val="0"/>
                    <w:bidi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石墨烯电发热体</w:t>
                  </w:r>
                </w:p>
              </w:tc>
              <w:tc>
                <w:tcPr>
                  <w:tcW w:w="1365" w:type="dxa"/>
                  <w:vAlign w:val="center"/>
                </w:tcPr>
                <w:p>
                  <w:pPr>
                    <w:pStyle w:val="36"/>
                    <w:keepNext w:val="0"/>
                    <w:keepLines w:val="0"/>
                    <w:pageBreakBefore w:val="0"/>
                    <w:kinsoku/>
                    <w:wordWrap/>
                    <w:overflowPunct/>
                    <w:topLinePunct w:val="0"/>
                    <w:bidi w:val="0"/>
                    <w:spacing w:line="240" w:lineRule="auto"/>
                    <w:ind w:firstLine="0" w:firstLineChars="0"/>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万套/a</w:t>
                  </w:r>
                </w:p>
              </w:tc>
              <w:tc>
                <w:tcPr>
                  <w:tcW w:w="1185" w:type="dxa"/>
                  <w:vAlign w:val="center"/>
                </w:tcPr>
                <w:p>
                  <w:pPr>
                    <w:pStyle w:val="36"/>
                    <w:keepNext w:val="0"/>
                    <w:keepLines w:val="0"/>
                    <w:pageBreakBefore w:val="0"/>
                    <w:kinsoku/>
                    <w:wordWrap/>
                    <w:overflowPunct/>
                    <w:topLinePunct w:val="0"/>
                    <w:bidi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5</w:t>
                  </w:r>
                </w:p>
              </w:tc>
              <w:tc>
                <w:tcPr>
                  <w:tcW w:w="2535" w:type="dxa"/>
                  <w:vAlign w:val="center"/>
                </w:tcPr>
                <w:p>
                  <w:pPr>
                    <w:pStyle w:val="36"/>
                    <w:keepNext w:val="0"/>
                    <w:keepLines w:val="0"/>
                    <w:pageBreakBefore w:val="0"/>
                    <w:kinsoku/>
                    <w:wordWrap/>
                    <w:overflowPunct/>
                    <w:topLinePunct w:val="0"/>
                    <w:bidi w:val="0"/>
                    <w:spacing w:line="240" w:lineRule="auto"/>
                    <w:ind w:firstLine="0" w:firstLineChars="0"/>
                    <w:jc w:val="center"/>
                    <w:rPr>
                      <w:rFonts w:hint="default" w:eastAsia="宋体" w:cs="Times New Roman"/>
                      <w:color w:val="auto"/>
                      <w:kern w:val="8"/>
                      <w:sz w:val="21"/>
                      <w:szCs w:val="21"/>
                      <w:highlight w:val="none"/>
                      <w:lang w:val="en-US" w:eastAsia="zh-CN"/>
                    </w:rPr>
                  </w:pPr>
                  <w:r>
                    <w:rPr>
                      <w:rFonts w:hint="eastAsia" w:cs="Times New Roman"/>
                      <w:color w:val="auto"/>
                      <w:kern w:val="8"/>
                      <w:sz w:val="21"/>
                      <w:szCs w:val="21"/>
                      <w:highlight w:val="none"/>
                      <w:lang w:val="en-US" w:eastAsia="zh-CN"/>
                    </w:rPr>
                    <w:t>石墨烯电发热体生产线生产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0" w:hRule="atLeast"/>
                <w:jc w:val="center"/>
              </w:trPr>
              <w:tc>
                <w:tcPr>
                  <w:tcW w:w="707" w:type="dxa"/>
                  <w:vAlign w:val="center"/>
                </w:tcPr>
                <w:p>
                  <w:pPr>
                    <w:keepNext w:val="0"/>
                    <w:keepLines w:val="0"/>
                    <w:pageBreakBefore w:val="0"/>
                    <w:widowControl w:val="0"/>
                    <w:numPr>
                      <w:ilvl w:val="0"/>
                      <w:numId w:val="14"/>
                    </w:numPr>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cs="Times New Roman"/>
                      <w:color w:val="auto"/>
                      <w:kern w:val="0"/>
                      <w:sz w:val="21"/>
                      <w:szCs w:val="21"/>
                      <w:highlight w:val="none"/>
                    </w:rPr>
                  </w:pPr>
                </w:p>
              </w:tc>
              <w:tc>
                <w:tcPr>
                  <w:tcW w:w="2485" w:type="dxa"/>
                  <w:gridSpan w:val="2"/>
                  <w:vAlign w:val="center"/>
                </w:tcPr>
                <w:p>
                  <w:pPr>
                    <w:pStyle w:val="36"/>
                    <w:keepNext w:val="0"/>
                    <w:keepLines w:val="0"/>
                    <w:pageBreakBefore w:val="0"/>
                    <w:kinsoku/>
                    <w:wordWrap/>
                    <w:overflowPunct/>
                    <w:topLinePunct w:val="0"/>
                    <w:bidi w:val="0"/>
                    <w:spacing w:line="240" w:lineRule="auto"/>
                    <w:ind w:firstLine="0" w:firstLineChars="0"/>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零件（螺丝等）</w:t>
                  </w:r>
                </w:p>
              </w:tc>
              <w:tc>
                <w:tcPr>
                  <w:tcW w:w="1365" w:type="dxa"/>
                  <w:vAlign w:val="center"/>
                </w:tcPr>
                <w:p>
                  <w:pPr>
                    <w:pStyle w:val="36"/>
                    <w:keepNext w:val="0"/>
                    <w:keepLines w:val="0"/>
                    <w:pageBreakBefore w:val="0"/>
                    <w:kinsoku/>
                    <w:wordWrap/>
                    <w:overflowPunct/>
                    <w:topLinePunct w:val="0"/>
                    <w:bidi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万套/a</w:t>
                  </w:r>
                </w:p>
              </w:tc>
              <w:tc>
                <w:tcPr>
                  <w:tcW w:w="1185" w:type="dxa"/>
                  <w:vAlign w:val="center"/>
                </w:tcPr>
                <w:p>
                  <w:pPr>
                    <w:pStyle w:val="36"/>
                    <w:keepNext w:val="0"/>
                    <w:keepLines w:val="0"/>
                    <w:pageBreakBefore w:val="0"/>
                    <w:kinsoku/>
                    <w:wordWrap/>
                    <w:overflowPunct/>
                    <w:topLinePunct w:val="0"/>
                    <w:bidi w:val="0"/>
                    <w:spacing w:line="240" w:lineRule="auto"/>
                    <w:ind w:firstLine="0" w:firstLineChars="0"/>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5</w:t>
                  </w:r>
                </w:p>
              </w:tc>
              <w:tc>
                <w:tcPr>
                  <w:tcW w:w="2535" w:type="dxa"/>
                  <w:vAlign w:val="center"/>
                </w:tcPr>
                <w:p>
                  <w:pPr>
                    <w:pStyle w:val="36"/>
                    <w:keepNext w:val="0"/>
                    <w:keepLines w:val="0"/>
                    <w:pageBreakBefore w:val="0"/>
                    <w:kinsoku/>
                    <w:wordWrap/>
                    <w:overflowPunct/>
                    <w:topLinePunct w:val="0"/>
                    <w:bidi w:val="0"/>
                    <w:spacing w:line="240" w:lineRule="auto"/>
                    <w:ind w:firstLine="0" w:firstLineChars="0"/>
                    <w:jc w:val="center"/>
                    <w:rPr>
                      <w:rFonts w:hint="eastAsia" w:cs="Times New Roman"/>
                      <w:color w:val="auto"/>
                      <w:kern w:val="8"/>
                      <w:sz w:val="21"/>
                      <w:szCs w:val="21"/>
                      <w:highlight w:val="none"/>
                      <w:lang w:val="en-US" w:eastAsia="zh-CN"/>
                    </w:rPr>
                  </w:pPr>
                  <w:r>
                    <w:rPr>
                      <w:rFonts w:hint="eastAsia" w:eastAsia="宋体" w:cs="Times New Roman"/>
                      <w:color w:val="auto"/>
                      <w:kern w:val="8"/>
                      <w:sz w:val="21"/>
                      <w:szCs w:val="21"/>
                      <w:highlight w:val="none"/>
                      <w:lang w:val="en-US" w:eastAsia="zh-CN"/>
                    </w:rPr>
                    <w:t>外购</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0" w:hRule="atLeast"/>
                <w:jc w:val="center"/>
              </w:trPr>
              <w:tc>
                <w:tcPr>
                  <w:tcW w:w="707" w:type="dxa"/>
                  <w:vAlign w:val="center"/>
                </w:tcPr>
                <w:p>
                  <w:pPr>
                    <w:keepNext w:val="0"/>
                    <w:keepLines w:val="0"/>
                    <w:pageBreakBefore w:val="0"/>
                    <w:widowControl w:val="0"/>
                    <w:numPr>
                      <w:ilvl w:val="0"/>
                      <w:numId w:val="14"/>
                    </w:numPr>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cs="Times New Roman"/>
                      <w:color w:val="auto"/>
                      <w:kern w:val="0"/>
                      <w:sz w:val="21"/>
                      <w:szCs w:val="21"/>
                      <w:highlight w:val="none"/>
                    </w:rPr>
                  </w:pPr>
                </w:p>
              </w:tc>
              <w:tc>
                <w:tcPr>
                  <w:tcW w:w="2485" w:type="dxa"/>
                  <w:gridSpan w:val="2"/>
                  <w:vAlign w:val="center"/>
                </w:tcPr>
                <w:p>
                  <w:pPr>
                    <w:pStyle w:val="36"/>
                    <w:keepNext w:val="0"/>
                    <w:keepLines w:val="0"/>
                    <w:pageBreakBefore w:val="0"/>
                    <w:kinsoku/>
                    <w:wordWrap/>
                    <w:overflowPunct/>
                    <w:topLinePunct w:val="0"/>
                    <w:bidi w:val="0"/>
                    <w:spacing w:line="240" w:lineRule="auto"/>
                    <w:ind w:firstLine="0" w:firstLineChars="0"/>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活性炭</w:t>
                  </w:r>
                </w:p>
              </w:tc>
              <w:tc>
                <w:tcPr>
                  <w:tcW w:w="1365" w:type="dxa"/>
                  <w:vAlign w:val="center"/>
                </w:tcPr>
                <w:p>
                  <w:pPr>
                    <w:pStyle w:val="36"/>
                    <w:keepNext w:val="0"/>
                    <w:keepLines w:val="0"/>
                    <w:pageBreakBefore w:val="0"/>
                    <w:kinsoku/>
                    <w:wordWrap/>
                    <w:overflowPunct/>
                    <w:topLinePunct w:val="0"/>
                    <w:bidi w:val="0"/>
                    <w:spacing w:line="240" w:lineRule="auto"/>
                    <w:ind w:firstLine="0" w:firstLineChars="0"/>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t/2a</w:t>
                  </w:r>
                </w:p>
              </w:tc>
              <w:tc>
                <w:tcPr>
                  <w:tcW w:w="1185" w:type="dxa"/>
                  <w:vAlign w:val="center"/>
                </w:tcPr>
                <w:p>
                  <w:pPr>
                    <w:pStyle w:val="36"/>
                    <w:keepNext w:val="0"/>
                    <w:keepLines w:val="0"/>
                    <w:pageBreakBefore w:val="0"/>
                    <w:kinsoku/>
                    <w:wordWrap/>
                    <w:overflowPunct/>
                    <w:topLinePunct w:val="0"/>
                    <w:bidi w:val="0"/>
                    <w:spacing w:line="240" w:lineRule="auto"/>
                    <w:ind w:firstLine="0" w:firstLineChars="0"/>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1.5</w:t>
                  </w:r>
                </w:p>
              </w:tc>
              <w:tc>
                <w:tcPr>
                  <w:tcW w:w="2535" w:type="dxa"/>
                  <w:vAlign w:val="center"/>
                </w:tcPr>
                <w:p>
                  <w:pPr>
                    <w:pStyle w:val="36"/>
                    <w:keepNext w:val="0"/>
                    <w:keepLines w:val="0"/>
                    <w:pageBreakBefore w:val="0"/>
                    <w:kinsoku/>
                    <w:wordWrap/>
                    <w:overflowPunct/>
                    <w:topLinePunct w:val="0"/>
                    <w:bidi w:val="0"/>
                    <w:spacing w:line="240" w:lineRule="auto"/>
                    <w:ind w:firstLine="0" w:firstLineChars="0"/>
                    <w:jc w:val="center"/>
                    <w:rPr>
                      <w:rFonts w:hint="default" w:eastAsia="宋体" w:cs="Times New Roman"/>
                      <w:color w:val="auto"/>
                      <w:kern w:val="8"/>
                      <w:sz w:val="21"/>
                      <w:szCs w:val="21"/>
                      <w:highlight w:val="none"/>
                      <w:lang w:val="en-US" w:eastAsia="zh-CN"/>
                    </w:rPr>
                  </w:pPr>
                  <w:r>
                    <w:rPr>
                      <w:rFonts w:hint="eastAsia" w:cs="Times New Roman"/>
                      <w:color w:val="auto"/>
                      <w:kern w:val="8"/>
                      <w:sz w:val="21"/>
                      <w:szCs w:val="21"/>
                      <w:highlight w:val="none"/>
                      <w:lang w:val="en-US" w:eastAsia="zh-CN"/>
                    </w:rPr>
                    <w:t>蜂窝活性炭，用于活性炭吸附装置更换活性炭</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0" w:hRule="atLeast"/>
                <w:jc w:val="center"/>
              </w:trPr>
              <w:tc>
                <w:tcPr>
                  <w:tcW w:w="707" w:type="dxa"/>
                  <w:vAlign w:val="center"/>
                </w:tcPr>
                <w:p>
                  <w:pPr>
                    <w:keepNext w:val="0"/>
                    <w:keepLines w:val="0"/>
                    <w:pageBreakBefore w:val="0"/>
                    <w:widowControl w:val="0"/>
                    <w:numPr>
                      <w:ilvl w:val="0"/>
                      <w:numId w:val="14"/>
                    </w:numPr>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cs="Times New Roman"/>
                      <w:color w:val="auto"/>
                      <w:kern w:val="0"/>
                      <w:sz w:val="21"/>
                      <w:szCs w:val="21"/>
                      <w:highlight w:val="none"/>
                    </w:rPr>
                  </w:pPr>
                </w:p>
              </w:tc>
              <w:tc>
                <w:tcPr>
                  <w:tcW w:w="2485" w:type="dxa"/>
                  <w:gridSpan w:val="2"/>
                  <w:vAlign w:val="center"/>
                </w:tcPr>
                <w:p>
                  <w:pPr>
                    <w:pStyle w:val="36"/>
                    <w:keepNext w:val="0"/>
                    <w:keepLines w:val="0"/>
                    <w:pageBreakBefore w:val="0"/>
                    <w:kinsoku/>
                    <w:wordWrap/>
                    <w:overflowPunct/>
                    <w:topLinePunct w:val="0"/>
                    <w:bidi w:val="0"/>
                    <w:spacing w:line="240" w:lineRule="auto"/>
                    <w:ind w:firstLine="0" w:firstLineChars="0"/>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电</w:t>
                  </w:r>
                </w:p>
              </w:tc>
              <w:tc>
                <w:tcPr>
                  <w:tcW w:w="1365" w:type="dxa"/>
                  <w:vAlign w:val="center"/>
                </w:tcPr>
                <w:p>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default" w:ascii="Times New Roman" w:hAnsi="Times New Roman" w:eastAsia="宋体" w:cs="Times New Roman"/>
                      <w:bCs/>
                      <w:color w:val="auto"/>
                      <w:spacing w:val="0"/>
                      <w:sz w:val="21"/>
                      <w:szCs w:val="21"/>
                      <w:highlight w:val="none"/>
                      <w:lang w:val="en-US" w:eastAsia="zh-CN"/>
                    </w:rPr>
                  </w:pPr>
                  <w:r>
                    <w:rPr>
                      <w:rFonts w:hint="eastAsia" w:cs="Times New Roman"/>
                      <w:bCs/>
                      <w:color w:val="auto"/>
                      <w:spacing w:val="0"/>
                      <w:sz w:val="21"/>
                      <w:szCs w:val="21"/>
                      <w:highlight w:val="none"/>
                      <w:lang w:val="en-US" w:eastAsia="zh-CN"/>
                    </w:rPr>
                    <w:t>万kWh/a</w:t>
                  </w:r>
                </w:p>
              </w:tc>
              <w:tc>
                <w:tcPr>
                  <w:tcW w:w="1185" w:type="dxa"/>
                  <w:vAlign w:val="center"/>
                </w:tcPr>
                <w:p>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default" w:ascii="Times New Roman" w:hAnsi="Times New Roman" w:eastAsia="宋体" w:cs="Times New Roman"/>
                      <w:bCs/>
                      <w:color w:val="auto"/>
                      <w:spacing w:val="0"/>
                      <w:sz w:val="21"/>
                      <w:szCs w:val="21"/>
                      <w:highlight w:val="none"/>
                      <w:lang w:val="en-US" w:eastAsia="zh-CN"/>
                    </w:rPr>
                  </w:pPr>
                  <w:r>
                    <w:rPr>
                      <w:rFonts w:hint="eastAsia" w:cs="Times New Roman"/>
                      <w:bCs/>
                      <w:color w:val="auto"/>
                      <w:spacing w:val="0"/>
                      <w:sz w:val="21"/>
                      <w:szCs w:val="21"/>
                      <w:highlight w:val="none"/>
                      <w:lang w:val="en-US" w:eastAsia="zh-CN"/>
                    </w:rPr>
                    <w:t>10</w:t>
                  </w:r>
                </w:p>
              </w:tc>
              <w:tc>
                <w:tcPr>
                  <w:tcW w:w="2535"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kern w:val="24"/>
                      <w:sz w:val="21"/>
                      <w:szCs w:val="21"/>
                      <w:highlight w:val="none"/>
                      <w:lang w:val="en-US" w:eastAsia="zh-CN"/>
                    </w:rPr>
                  </w:pPr>
                  <w:r>
                    <w:rPr>
                      <w:rFonts w:hint="eastAsia" w:cs="Times New Roman"/>
                      <w:color w:val="auto"/>
                      <w:kern w:val="24"/>
                      <w:sz w:val="21"/>
                      <w:szCs w:val="21"/>
                      <w:highlight w:val="none"/>
                      <w:lang w:val="en-US" w:eastAsia="zh-CN"/>
                    </w:rPr>
                    <w:t>取自本地电网</w:t>
                  </w:r>
                </w:p>
              </w:tc>
            </w:tr>
          </w:tbl>
          <w:p>
            <w:pPr>
              <w:bidi w:val="0"/>
              <w:rPr>
                <w:rFonts w:hint="eastAsia"/>
                <w:color w:val="auto"/>
                <w:sz w:val="24"/>
                <w:szCs w:val="24"/>
                <w:lang w:val="en-US" w:eastAsia="zh-CN"/>
              </w:rPr>
            </w:pPr>
            <w:r>
              <w:rPr>
                <w:rFonts w:hint="eastAsia"/>
                <w:color w:val="auto"/>
                <w:sz w:val="24"/>
                <w:szCs w:val="24"/>
                <w:lang w:val="en-US" w:eastAsia="zh-CN"/>
              </w:rPr>
              <w:t>导电浆料：导电浆料是导电剂在分散剂中均匀分散而成的浆料，广泛应用于电子元器件的封装、电极和电子元器件的制备。导电浆料大致可以分为金属导电浆料（如银、铜、镍）、金属氧化物导电膏（如氧化锡、氧化铁、氧化锌、二氧化钛）、碳导电浆料（如炭黑、石墨、碳纳米管、石墨烯）、复合导电剂（如复合粉、复合纤维），本项目所用导电浆料为碳导电浆料，主要成份为：水性有机硅树脂25%、水性丙烯酸树脂40%、丙二醇10%、石墨烯5%、石墨10%、碳黑5%、异氰酸酯5%，碳导电浆料具有良好的导电性、稳定性，可长时间保持稳定的导电性能，同时具有良好的耐热性和耐腐蚀性，可在高温和腐蚀环境下使用。</w:t>
            </w:r>
          </w:p>
          <w:p>
            <w:pPr>
              <w:bidi w:val="0"/>
              <w:rPr>
                <w:rFonts w:hint="eastAsia"/>
                <w:color w:val="auto"/>
                <w:lang w:val="en-US" w:eastAsia="zh-CN"/>
              </w:rPr>
            </w:pPr>
            <w:r>
              <w:rPr>
                <w:rFonts w:hint="default"/>
                <w:color w:val="auto"/>
                <w:lang w:val="en-US" w:eastAsia="zh-CN"/>
              </w:rPr>
              <w:t>PET膜</w:t>
            </w:r>
            <w:r>
              <w:rPr>
                <w:rFonts w:hint="eastAsia"/>
                <w:color w:val="auto"/>
                <w:lang w:val="en-US" w:eastAsia="zh-CN"/>
              </w:rPr>
              <w:t>：PET膜又名耐高温聚酯薄膜。它具有优异的物理性能、化学性能及尺寸稳定性、透明性、可回收性，可广泛的应用于磁记录、感光材料、电子、电气绝缘、工业用膜、包装装饰、屏幕保护、光学级镜面表面保护等领域。</w:t>
            </w:r>
          </w:p>
          <w:p>
            <w:pPr>
              <w:bidi w:val="0"/>
              <w:rPr>
                <w:rFonts w:hint="default"/>
                <w:color w:val="auto"/>
                <w:lang w:val="en-US" w:eastAsia="zh-CN"/>
              </w:rPr>
            </w:pPr>
            <w:r>
              <w:rPr>
                <w:rFonts w:hint="eastAsia"/>
                <w:color w:val="auto"/>
                <w:lang w:val="en-US" w:eastAsia="zh-CN"/>
              </w:rPr>
              <w:t>PVC膜：主要成分为聚氯乙烯，是氯乙烯单体（VCM）在</w:t>
            </w:r>
            <w:r>
              <w:rPr>
                <w:rFonts w:hint="eastAsia"/>
                <w:color w:val="auto"/>
                <w:lang w:val="en-US" w:eastAsia="zh-CN"/>
              </w:rPr>
              <w:fldChar w:fldCharType="begin"/>
            </w:r>
            <w:r>
              <w:rPr>
                <w:rFonts w:hint="eastAsia"/>
                <w:color w:val="auto"/>
                <w:lang w:val="en-US" w:eastAsia="zh-CN"/>
              </w:rPr>
              <w:instrText xml:space="preserve"> HYPERLINK "https://baike.baidu.com/item/%E8%BF%87%E6%B0%A7%E5%8C%96%E7%89%A9/2598693?fromModule=lemma_inlink" \t "https://baike.baidu.com/item/%E8%81%9A%E6%B0%AF%E4%B9%99%E7%83%AF/_blank" </w:instrText>
            </w:r>
            <w:r>
              <w:rPr>
                <w:rFonts w:hint="eastAsia"/>
                <w:color w:val="auto"/>
                <w:lang w:val="en-US" w:eastAsia="zh-CN"/>
              </w:rPr>
              <w:fldChar w:fldCharType="separate"/>
            </w:r>
            <w:r>
              <w:rPr>
                <w:rFonts w:hint="eastAsia"/>
                <w:color w:val="auto"/>
                <w:lang w:val="en-US" w:eastAsia="zh-CN"/>
              </w:rPr>
              <w:t>过氧化物</w:t>
            </w:r>
            <w:r>
              <w:rPr>
                <w:rFonts w:hint="eastAsia"/>
                <w:color w:val="auto"/>
                <w:lang w:val="en-US" w:eastAsia="zh-CN"/>
              </w:rPr>
              <w:fldChar w:fldCharType="end"/>
            </w:r>
            <w:r>
              <w:rPr>
                <w:rFonts w:hint="eastAsia"/>
                <w:color w:val="auto"/>
                <w:lang w:val="en-US" w:eastAsia="zh-CN"/>
              </w:rPr>
              <w:t>、</w:t>
            </w:r>
            <w:r>
              <w:rPr>
                <w:rFonts w:hint="eastAsia"/>
                <w:color w:val="auto"/>
                <w:lang w:val="en-US" w:eastAsia="zh-CN"/>
              </w:rPr>
              <w:fldChar w:fldCharType="begin"/>
            </w:r>
            <w:r>
              <w:rPr>
                <w:rFonts w:hint="eastAsia"/>
                <w:color w:val="auto"/>
                <w:lang w:val="en-US" w:eastAsia="zh-CN"/>
              </w:rPr>
              <w:instrText xml:space="preserve"> HYPERLINK "https://baike.baidu.com/item/%E5%81%B6%E6%B0%AE%E5%8C%96%E5%90%88%E7%89%A9/1766927?fromModule=lemma_inlink" \t "https://baike.baidu.com/item/%E8%81%9A%E6%B0%AF%E4%B9%99%E7%83%AF/_blank" </w:instrText>
            </w:r>
            <w:r>
              <w:rPr>
                <w:rFonts w:hint="eastAsia"/>
                <w:color w:val="auto"/>
                <w:lang w:val="en-US" w:eastAsia="zh-CN"/>
              </w:rPr>
              <w:fldChar w:fldCharType="separate"/>
            </w:r>
            <w:r>
              <w:rPr>
                <w:rFonts w:hint="eastAsia"/>
                <w:color w:val="auto"/>
                <w:lang w:val="en-US" w:eastAsia="zh-CN"/>
              </w:rPr>
              <w:t>偶氮化合物</w:t>
            </w:r>
            <w:r>
              <w:rPr>
                <w:rFonts w:hint="eastAsia"/>
                <w:color w:val="auto"/>
                <w:lang w:val="en-US" w:eastAsia="zh-CN"/>
              </w:rPr>
              <w:fldChar w:fldCharType="end"/>
            </w:r>
            <w:r>
              <w:rPr>
                <w:rFonts w:hint="eastAsia"/>
                <w:color w:val="auto"/>
                <w:lang w:val="en-US" w:eastAsia="zh-CN"/>
              </w:rPr>
              <w:t>等</w:t>
            </w:r>
            <w:r>
              <w:rPr>
                <w:rFonts w:hint="eastAsia"/>
                <w:color w:val="auto"/>
                <w:lang w:val="en-US" w:eastAsia="zh-CN"/>
              </w:rPr>
              <w:fldChar w:fldCharType="begin"/>
            </w:r>
            <w:r>
              <w:rPr>
                <w:rFonts w:hint="eastAsia"/>
                <w:color w:val="auto"/>
                <w:lang w:val="en-US" w:eastAsia="zh-CN"/>
              </w:rPr>
              <w:instrText xml:space="preserve"> HYPERLINK "https://baike.baidu.com/item/%E5%BC%95%E5%8F%91%E5%89%82/8427937?fromModule=lemma_inlink" \t "https://baike.baidu.com/item/%E8%81%9A%E6%B0%AF%E4%B9%99%E7%83%AF/_blank" </w:instrText>
            </w:r>
            <w:r>
              <w:rPr>
                <w:rFonts w:hint="eastAsia"/>
                <w:color w:val="auto"/>
                <w:lang w:val="en-US" w:eastAsia="zh-CN"/>
              </w:rPr>
              <w:fldChar w:fldCharType="separate"/>
            </w:r>
            <w:r>
              <w:rPr>
                <w:rFonts w:hint="eastAsia"/>
                <w:color w:val="auto"/>
                <w:lang w:val="en-US" w:eastAsia="zh-CN"/>
              </w:rPr>
              <w:t>引发剂</w:t>
            </w:r>
            <w:r>
              <w:rPr>
                <w:rFonts w:hint="eastAsia"/>
                <w:color w:val="auto"/>
                <w:lang w:val="en-US" w:eastAsia="zh-CN"/>
              </w:rPr>
              <w:fldChar w:fldCharType="end"/>
            </w:r>
            <w:r>
              <w:rPr>
                <w:rFonts w:hint="eastAsia"/>
                <w:color w:val="auto"/>
                <w:lang w:val="en-US" w:eastAsia="zh-CN"/>
              </w:rPr>
              <w:t>或在光、热作用下按自由基聚合反应机理聚合而成的聚合物，170℃左右开始分解，对光和热的稳定性差，在100℃以上或经长时间阳光曝晒，就会分解而产生氯化氢。</w:t>
            </w:r>
          </w:p>
          <w:p>
            <w:pPr>
              <w:keepNext w:val="0"/>
              <w:keepLines w:val="0"/>
              <w:pageBreakBefore w:val="0"/>
              <w:widowControl w:val="0"/>
              <w:numPr>
                <w:ilvl w:val="0"/>
                <w:numId w:val="0"/>
              </w:numPr>
              <w:kinsoku/>
              <w:wordWrap/>
              <w:overflowPunct/>
              <w:topLinePunct w:val="0"/>
              <w:autoSpaceDE/>
              <w:autoSpaceDN/>
              <w:bidi w:val="0"/>
              <w:adjustRightInd/>
              <w:snapToGrid/>
              <w:ind w:leftChars="0" w:firstLine="0" w:firstLineChars="0"/>
              <w:jc w:val="center"/>
              <w:textAlignment w:val="auto"/>
              <w:rPr>
                <w:rFonts w:hint="default"/>
                <w:b/>
                <w:bCs/>
                <w:color w:val="auto"/>
                <w:sz w:val="21"/>
                <w:szCs w:val="21"/>
                <w:highlight w:val="none"/>
              </w:rPr>
            </w:pPr>
            <w:r>
              <w:rPr>
                <w:rFonts w:hint="default"/>
                <w:b/>
                <w:bCs/>
                <w:color w:val="auto"/>
                <w:sz w:val="21"/>
                <w:szCs w:val="21"/>
                <w:highlight w:val="none"/>
              </w:rPr>
              <w:t>表</w:t>
            </w:r>
            <w:r>
              <w:rPr>
                <w:rFonts w:hint="eastAsia"/>
                <w:b/>
                <w:bCs/>
                <w:color w:val="auto"/>
                <w:sz w:val="21"/>
                <w:szCs w:val="21"/>
                <w:highlight w:val="none"/>
                <w:lang w:val="en-US" w:eastAsia="zh-CN"/>
              </w:rPr>
              <w:t>16  本项目建成后全厂原辅材料及能源消耗变化情况</w:t>
            </w:r>
            <w:r>
              <w:rPr>
                <w:rFonts w:hint="default"/>
                <w:b/>
                <w:bCs/>
                <w:color w:val="auto"/>
                <w:sz w:val="21"/>
                <w:szCs w:val="21"/>
                <w:highlight w:val="none"/>
              </w:rPr>
              <w:t>一览表</w:t>
            </w:r>
          </w:p>
          <w:tbl>
            <w:tblPr>
              <w:tblStyle w:val="24"/>
              <w:tblW w:w="827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589"/>
              <w:gridCol w:w="638"/>
              <w:gridCol w:w="862"/>
              <w:gridCol w:w="1133"/>
              <w:gridCol w:w="904"/>
              <w:gridCol w:w="1121"/>
              <w:gridCol w:w="960"/>
              <w:gridCol w:w="1035"/>
              <w:gridCol w:w="103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619" w:hRule="atLeast"/>
                <w:jc w:val="center"/>
              </w:trPr>
              <w:tc>
                <w:tcPr>
                  <w:tcW w:w="589"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24" w:leftChars="-10" w:right="-24" w:rightChars="-10" w:firstLine="0" w:firstLineChars="0"/>
                    <w:jc w:val="center"/>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序号</w:t>
                  </w:r>
                </w:p>
              </w:tc>
              <w:tc>
                <w:tcPr>
                  <w:tcW w:w="1500" w:type="dxa"/>
                  <w:gridSpan w:val="2"/>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24" w:leftChars="-10" w:right="-24" w:rightChars="-10" w:firstLine="0" w:firstLineChars="0"/>
                    <w:jc w:val="center"/>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名称</w:t>
                  </w:r>
                </w:p>
              </w:tc>
              <w:tc>
                <w:tcPr>
                  <w:tcW w:w="1133"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24" w:leftChars="-10" w:right="-24" w:rightChars="-10" w:firstLine="0" w:firstLineChars="0"/>
                    <w:jc w:val="center"/>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单位</w:t>
                  </w:r>
                </w:p>
              </w:tc>
              <w:tc>
                <w:tcPr>
                  <w:tcW w:w="90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24" w:leftChars="-10" w:right="-24" w:rightChars="-10"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现有工程</w:t>
                  </w:r>
                </w:p>
              </w:tc>
              <w:tc>
                <w:tcPr>
                  <w:tcW w:w="1121"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24" w:leftChars="-10" w:right="-24" w:rightChars="-10"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本项目完成后全厂</w:t>
                  </w:r>
                </w:p>
              </w:tc>
              <w:tc>
                <w:tcPr>
                  <w:tcW w:w="960"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24" w:leftChars="-10" w:right="-24" w:rightChars="-10" w:firstLine="0" w:firstLineChars="0"/>
                    <w:jc w:val="center"/>
                    <w:textAlignment w:val="auto"/>
                    <w:rPr>
                      <w:rFonts w:hint="default" w:ascii="Times New Roman" w:hAnsi="Times New Roman"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变化量</w:t>
                  </w:r>
                </w:p>
              </w:tc>
              <w:tc>
                <w:tcPr>
                  <w:tcW w:w="2070" w:type="dxa"/>
                  <w:gridSpan w:val="2"/>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24" w:leftChars="-10" w:right="-24" w:rightChars="-10" w:firstLine="0" w:firstLineChars="0"/>
                    <w:jc w:val="center"/>
                    <w:textAlignment w:val="auto"/>
                    <w:rPr>
                      <w:rFonts w:hint="default" w:ascii="Times New Roman" w:hAnsi="Times New Roman"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备注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1666" w:hRule="atLeast"/>
                <w:jc w:val="center"/>
              </w:trPr>
              <w:tc>
                <w:tcPr>
                  <w:tcW w:w="589" w:type="dxa"/>
                  <w:vAlign w:val="center"/>
                </w:tcPr>
                <w:p>
                  <w:pPr>
                    <w:keepNext w:val="0"/>
                    <w:keepLines w:val="0"/>
                    <w:pageBreakBefore w:val="0"/>
                    <w:widowControl w:val="0"/>
                    <w:numPr>
                      <w:ilvl w:val="0"/>
                      <w:numId w:val="15"/>
                    </w:numPr>
                    <w:kinsoku/>
                    <w:wordWrap/>
                    <w:overflowPunct/>
                    <w:topLinePunct w:val="0"/>
                    <w:autoSpaceDE w:val="0"/>
                    <w:autoSpaceDN w:val="0"/>
                    <w:bidi w:val="0"/>
                    <w:adjustRightInd w:val="0"/>
                    <w:snapToGrid w:val="0"/>
                    <w:spacing w:line="240" w:lineRule="auto"/>
                    <w:ind w:left="-24" w:leftChars="-10" w:right="-24" w:rightChars="-10" w:firstLine="0" w:firstLineChars="0"/>
                    <w:jc w:val="center"/>
                    <w:textAlignment w:val="auto"/>
                    <w:rPr>
                      <w:rFonts w:hint="default" w:ascii="Times New Roman" w:hAnsi="Times New Roman" w:cs="Times New Roman"/>
                      <w:color w:val="auto"/>
                      <w:kern w:val="0"/>
                      <w:sz w:val="21"/>
                      <w:szCs w:val="21"/>
                      <w:highlight w:val="none"/>
                    </w:rPr>
                  </w:pPr>
                </w:p>
              </w:tc>
              <w:tc>
                <w:tcPr>
                  <w:tcW w:w="1500" w:type="dxa"/>
                  <w:gridSpan w:val="2"/>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olor w:val="auto"/>
                    </w:rPr>
                    <w:t>石英管</w:t>
                  </w:r>
                </w:p>
              </w:tc>
              <w:tc>
                <w:tcPr>
                  <w:tcW w:w="1133" w:type="dxa"/>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firstLine="0" w:firstLineChars="0"/>
                    <w:textAlignment w:val="auto"/>
                    <w:rPr>
                      <w:rFonts w:hint="default" w:ascii="Times New Roman" w:hAnsi="Times New Roman" w:eastAsia="宋体" w:cs="Times New Roman"/>
                      <w:bCs/>
                      <w:color w:val="auto"/>
                      <w:spacing w:val="0"/>
                      <w:kern w:val="2"/>
                      <w:sz w:val="21"/>
                      <w:szCs w:val="21"/>
                      <w:highlight w:val="none"/>
                      <w:lang w:val="en-US" w:eastAsia="zh-CN" w:bidi="ar-SA"/>
                    </w:rPr>
                  </w:pPr>
                  <w:r>
                    <w:rPr>
                      <w:rFonts w:hint="eastAsia"/>
                      <w:color w:val="auto"/>
                    </w:rPr>
                    <w:t>万根</w:t>
                  </w:r>
                  <w:r>
                    <w:rPr>
                      <w:rFonts w:hint="eastAsia"/>
                      <w:color w:val="auto"/>
                      <w:lang w:val="en-US" w:eastAsia="zh-CN"/>
                    </w:rPr>
                    <w:t>/a</w:t>
                  </w:r>
                </w:p>
              </w:tc>
              <w:tc>
                <w:tcPr>
                  <w:tcW w:w="904" w:type="dxa"/>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firstLine="0" w:firstLineChars="0"/>
                    <w:textAlignment w:val="auto"/>
                    <w:rPr>
                      <w:rFonts w:hint="default" w:ascii="Times New Roman" w:hAnsi="Times New Roman" w:eastAsia="宋体" w:cs="Times New Roman"/>
                      <w:bCs/>
                      <w:color w:val="auto"/>
                      <w:spacing w:val="0"/>
                      <w:kern w:val="2"/>
                      <w:sz w:val="21"/>
                      <w:szCs w:val="21"/>
                      <w:highlight w:val="none"/>
                      <w:lang w:val="en-US" w:eastAsia="zh-CN" w:bidi="ar-SA"/>
                    </w:rPr>
                  </w:pPr>
                  <w:r>
                    <w:rPr>
                      <w:rFonts w:hint="eastAsia"/>
                      <w:color w:val="auto"/>
                      <w:lang w:val="en-US" w:eastAsia="zh-CN"/>
                    </w:rPr>
                    <w:t>25</w:t>
                  </w:r>
                </w:p>
              </w:tc>
              <w:tc>
                <w:tcPr>
                  <w:tcW w:w="1121" w:type="dxa"/>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firstLine="0" w:firstLineChars="0"/>
                    <w:textAlignment w:val="auto"/>
                    <w:rPr>
                      <w:rFonts w:hint="default" w:ascii="Times New Roman" w:hAnsi="Times New Roman" w:eastAsia="宋体" w:cs="Times New Roman"/>
                      <w:bCs/>
                      <w:color w:val="auto"/>
                      <w:spacing w:val="0"/>
                      <w:kern w:val="2"/>
                      <w:sz w:val="21"/>
                      <w:szCs w:val="21"/>
                      <w:highlight w:val="none"/>
                      <w:lang w:val="en-US" w:eastAsia="zh-CN" w:bidi="ar-SA"/>
                    </w:rPr>
                  </w:pPr>
                  <w:r>
                    <w:rPr>
                      <w:rFonts w:hint="eastAsia"/>
                      <w:color w:val="auto"/>
                      <w:lang w:val="en-US" w:eastAsia="zh-CN"/>
                    </w:rPr>
                    <w:t>26</w:t>
                  </w:r>
                </w:p>
              </w:tc>
              <w:tc>
                <w:tcPr>
                  <w:tcW w:w="960"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24" w:leftChars="-10" w:right="-24" w:rightChars="-10" w:firstLine="0" w:firstLineChars="0"/>
                    <w:jc w:val="center"/>
                    <w:textAlignment w:val="auto"/>
                    <w:rPr>
                      <w:rFonts w:hint="default" w:ascii="Times New Roman" w:hAnsi="Times New Roman"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+1</w:t>
                  </w:r>
                </w:p>
              </w:tc>
              <w:tc>
                <w:tcPr>
                  <w:tcW w:w="2070" w:type="dxa"/>
                  <w:gridSpan w:val="2"/>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24" w:leftChars="-10" w:right="-24" w:rightChars="-10" w:firstLine="0" w:firstLineChars="0"/>
                    <w:jc w:val="center"/>
                    <w:textAlignment w:val="auto"/>
                    <w:rPr>
                      <w:rFonts w:hint="default" w:ascii="Times New Roman" w:hAnsi="Times New Roman"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外购，长度50cm，本项目建成后不再使用云母板生产石墨烯电发热体，均采用石英管进行生产，石英管用量增加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1140" w:hRule="atLeast"/>
                <w:jc w:val="center"/>
              </w:trPr>
              <w:tc>
                <w:tcPr>
                  <w:tcW w:w="589" w:type="dxa"/>
                  <w:vAlign w:val="center"/>
                </w:tcPr>
                <w:p>
                  <w:pPr>
                    <w:keepNext w:val="0"/>
                    <w:keepLines w:val="0"/>
                    <w:pageBreakBefore w:val="0"/>
                    <w:widowControl w:val="0"/>
                    <w:numPr>
                      <w:ilvl w:val="0"/>
                      <w:numId w:val="15"/>
                    </w:numPr>
                    <w:kinsoku/>
                    <w:wordWrap/>
                    <w:overflowPunct/>
                    <w:topLinePunct w:val="0"/>
                    <w:autoSpaceDE w:val="0"/>
                    <w:autoSpaceDN w:val="0"/>
                    <w:bidi w:val="0"/>
                    <w:adjustRightInd w:val="0"/>
                    <w:snapToGrid w:val="0"/>
                    <w:spacing w:line="240" w:lineRule="auto"/>
                    <w:ind w:left="-24" w:leftChars="-10" w:right="-24" w:rightChars="-10" w:firstLine="0" w:firstLineChars="0"/>
                    <w:jc w:val="center"/>
                    <w:textAlignment w:val="auto"/>
                    <w:rPr>
                      <w:rFonts w:hint="default" w:ascii="Times New Roman" w:hAnsi="Times New Roman" w:cs="Times New Roman"/>
                      <w:color w:val="auto"/>
                      <w:kern w:val="0"/>
                      <w:sz w:val="21"/>
                      <w:szCs w:val="21"/>
                      <w:highlight w:val="none"/>
                    </w:rPr>
                  </w:pPr>
                </w:p>
              </w:tc>
              <w:tc>
                <w:tcPr>
                  <w:tcW w:w="1500" w:type="dxa"/>
                  <w:gridSpan w:val="2"/>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olor w:val="auto"/>
                    </w:rPr>
                    <w:t>云母板</w:t>
                  </w:r>
                </w:p>
              </w:tc>
              <w:tc>
                <w:tcPr>
                  <w:tcW w:w="1133" w:type="dxa"/>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firstLine="0" w:firstLineChars="0"/>
                    <w:textAlignment w:val="auto"/>
                    <w:rPr>
                      <w:rFonts w:hint="default" w:ascii="Times New Roman" w:hAnsi="Times New Roman" w:eastAsia="宋体" w:cs="Times New Roman"/>
                      <w:bCs/>
                      <w:color w:val="auto"/>
                      <w:spacing w:val="0"/>
                      <w:kern w:val="2"/>
                      <w:sz w:val="21"/>
                      <w:szCs w:val="21"/>
                      <w:highlight w:val="none"/>
                      <w:lang w:val="en-US" w:eastAsia="zh-CN" w:bidi="ar-SA"/>
                    </w:rPr>
                  </w:pPr>
                  <w:r>
                    <w:rPr>
                      <w:rFonts w:hint="eastAsia"/>
                      <w:color w:val="auto"/>
                    </w:rPr>
                    <w:t>万片</w:t>
                  </w:r>
                  <w:r>
                    <w:rPr>
                      <w:rFonts w:hint="eastAsia"/>
                      <w:color w:val="auto"/>
                      <w:lang w:val="en-US" w:eastAsia="zh-CN"/>
                    </w:rPr>
                    <w:t>/a</w:t>
                  </w:r>
                </w:p>
              </w:tc>
              <w:tc>
                <w:tcPr>
                  <w:tcW w:w="904" w:type="dxa"/>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firstLine="0" w:firstLineChars="0"/>
                    <w:textAlignment w:val="auto"/>
                    <w:rPr>
                      <w:rFonts w:hint="default" w:ascii="Times New Roman" w:hAnsi="Times New Roman" w:eastAsia="宋体" w:cs="Times New Roman"/>
                      <w:bCs/>
                      <w:color w:val="auto"/>
                      <w:spacing w:val="0"/>
                      <w:kern w:val="2"/>
                      <w:sz w:val="21"/>
                      <w:szCs w:val="21"/>
                      <w:highlight w:val="none"/>
                      <w:lang w:val="en-US" w:eastAsia="zh-CN" w:bidi="ar-SA"/>
                    </w:rPr>
                  </w:pPr>
                  <w:r>
                    <w:rPr>
                      <w:rFonts w:hint="eastAsia"/>
                      <w:color w:val="auto"/>
                    </w:rPr>
                    <w:t>5</w:t>
                  </w:r>
                </w:p>
              </w:tc>
              <w:tc>
                <w:tcPr>
                  <w:tcW w:w="1121" w:type="dxa"/>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firstLine="0" w:firstLineChars="0"/>
                    <w:textAlignment w:val="auto"/>
                    <w:rPr>
                      <w:rFonts w:hint="default" w:ascii="Times New Roman" w:hAnsi="Times New Roman" w:eastAsia="宋体" w:cs="Times New Roman"/>
                      <w:bCs/>
                      <w:color w:val="auto"/>
                      <w:spacing w:val="0"/>
                      <w:kern w:val="2"/>
                      <w:sz w:val="21"/>
                      <w:szCs w:val="21"/>
                      <w:highlight w:val="none"/>
                      <w:lang w:val="en-US" w:eastAsia="zh-CN" w:bidi="ar-SA"/>
                    </w:rPr>
                  </w:pPr>
                  <w:r>
                    <w:rPr>
                      <w:rFonts w:hint="eastAsia"/>
                      <w:color w:val="auto"/>
                      <w:lang w:val="en-US" w:eastAsia="zh-CN"/>
                    </w:rPr>
                    <w:t>0</w:t>
                  </w:r>
                </w:p>
              </w:tc>
              <w:tc>
                <w:tcPr>
                  <w:tcW w:w="960"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24" w:leftChars="-10" w:right="-24" w:rightChars="-1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-5</w:t>
                  </w:r>
                </w:p>
              </w:tc>
              <w:tc>
                <w:tcPr>
                  <w:tcW w:w="2070" w:type="dxa"/>
                  <w:gridSpan w:val="2"/>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24" w:leftChars="-10" w:right="-24" w:rightChars="-10" w:firstLine="0" w:firstLineChars="0"/>
                    <w:jc w:val="center"/>
                    <w:textAlignment w:val="auto"/>
                    <w:rPr>
                      <w:rFonts w:hint="default" w:ascii="Times New Roman" w:hAnsi="Times New Roman"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本项目建成后不再使用云母板生产石墨烯电发热体，均采用石英管进行生产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9" w:hRule="atLeast"/>
                <w:jc w:val="center"/>
              </w:trPr>
              <w:tc>
                <w:tcPr>
                  <w:tcW w:w="589" w:type="dxa"/>
                  <w:vAlign w:val="center"/>
                </w:tcPr>
                <w:p>
                  <w:pPr>
                    <w:keepNext w:val="0"/>
                    <w:keepLines w:val="0"/>
                    <w:pageBreakBefore w:val="0"/>
                    <w:widowControl w:val="0"/>
                    <w:numPr>
                      <w:ilvl w:val="0"/>
                      <w:numId w:val="15"/>
                    </w:numPr>
                    <w:kinsoku/>
                    <w:wordWrap/>
                    <w:overflowPunct/>
                    <w:topLinePunct w:val="0"/>
                    <w:autoSpaceDE w:val="0"/>
                    <w:autoSpaceDN w:val="0"/>
                    <w:bidi w:val="0"/>
                    <w:adjustRightInd w:val="0"/>
                    <w:snapToGrid w:val="0"/>
                    <w:spacing w:line="240" w:lineRule="auto"/>
                    <w:ind w:left="-24" w:leftChars="-10" w:right="-24" w:rightChars="-10" w:firstLine="0" w:firstLineChars="0"/>
                    <w:jc w:val="center"/>
                    <w:textAlignment w:val="auto"/>
                    <w:rPr>
                      <w:rFonts w:hint="default" w:ascii="Times New Roman" w:hAnsi="Times New Roman" w:cs="Times New Roman"/>
                      <w:color w:val="auto"/>
                      <w:kern w:val="0"/>
                      <w:sz w:val="21"/>
                      <w:szCs w:val="21"/>
                      <w:highlight w:val="none"/>
                    </w:rPr>
                  </w:pPr>
                </w:p>
              </w:tc>
              <w:tc>
                <w:tcPr>
                  <w:tcW w:w="1500" w:type="dxa"/>
                  <w:gridSpan w:val="2"/>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olor w:val="auto"/>
                    </w:rPr>
                    <w:t>硅胶套</w:t>
                  </w:r>
                </w:p>
              </w:tc>
              <w:tc>
                <w:tcPr>
                  <w:tcW w:w="1133" w:type="dxa"/>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firstLine="0" w:firstLineChars="0"/>
                    <w:textAlignment w:val="auto"/>
                    <w:rPr>
                      <w:rFonts w:hint="default" w:ascii="Times New Roman" w:hAnsi="Times New Roman" w:eastAsia="宋体" w:cs="Times New Roman"/>
                      <w:bCs/>
                      <w:color w:val="auto"/>
                      <w:spacing w:val="0"/>
                      <w:kern w:val="2"/>
                      <w:sz w:val="21"/>
                      <w:szCs w:val="21"/>
                      <w:highlight w:val="none"/>
                      <w:lang w:val="en-US" w:eastAsia="zh-CN" w:bidi="ar-SA"/>
                    </w:rPr>
                  </w:pPr>
                  <w:r>
                    <w:rPr>
                      <w:rFonts w:hint="eastAsia"/>
                      <w:color w:val="auto"/>
                    </w:rPr>
                    <w:t>万个</w:t>
                  </w:r>
                  <w:r>
                    <w:rPr>
                      <w:rFonts w:hint="eastAsia"/>
                      <w:color w:val="auto"/>
                      <w:lang w:val="en-US" w:eastAsia="zh-CN"/>
                    </w:rPr>
                    <w:t>/a</w:t>
                  </w:r>
                </w:p>
              </w:tc>
              <w:tc>
                <w:tcPr>
                  <w:tcW w:w="904" w:type="dxa"/>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firstLine="0" w:firstLineChars="0"/>
                    <w:textAlignment w:val="auto"/>
                    <w:rPr>
                      <w:rFonts w:hint="default" w:ascii="Times New Roman" w:hAnsi="Times New Roman" w:eastAsia="宋体" w:cs="Times New Roman"/>
                      <w:bCs/>
                      <w:color w:val="auto"/>
                      <w:spacing w:val="0"/>
                      <w:kern w:val="2"/>
                      <w:sz w:val="21"/>
                      <w:szCs w:val="21"/>
                      <w:highlight w:val="none"/>
                      <w:lang w:val="en-US" w:eastAsia="zh-CN" w:bidi="ar-SA"/>
                    </w:rPr>
                  </w:pPr>
                  <w:r>
                    <w:rPr>
                      <w:rFonts w:hint="eastAsia"/>
                      <w:color w:val="auto"/>
                    </w:rPr>
                    <w:t>30</w:t>
                  </w:r>
                </w:p>
              </w:tc>
              <w:tc>
                <w:tcPr>
                  <w:tcW w:w="1121" w:type="dxa"/>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firstLine="0" w:firstLineChars="0"/>
                    <w:textAlignment w:val="auto"/>
                    <w:rPr>
                      <w:rFonts w:hint="default" w:ascii="Times New Roman" w:hAnsi="Times New Roman" w:eastAsia="宋体" w:cs="Times New Roman"/>
                      <w:bCs/>
                      <w:color w:val="auto"/>
                      <w:spacing w:val="0"/>
                      <w:kern w:val="2"/>
                      <w:sz w:val="21"/>
                      <w:szCs w:val="21"/>
                      <w:highlight w:val="none"/>
                      <w:lang w:val="en-US" w:eastAsia="zh-CN" w:bidi="ar-SA"/>
                    </w:rPr>
                  </w:pPr>
                  <w:r>
                    <w:rPr>
                      <w:rFonts w:hint="eastAsia"/>
                      <w:color w:val="auto"/>
                      <w:lang w:val="en-US" w:eastAsia="zh-CN"/>
                    </w:rPr>
                    <w:t>26.25</w:t>
                  </w:r>
                </w:p>
              </w:tc>
              <w:tc>
                <w:tcPr>
                  <w:tcW w:w="960"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24" w:leftChars="-10" w:right="-24" w:rightChars="-1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-3.75</w:t>
                  </w:r>
                </w:p>
              </w:tc>
              <w:tc>
                <w:tcPr>
                  <w:tcW w:w="1035" w:type="dxa"/>
                  <w:vAlign w:val="center"/>
                </w:tcPr>
                <w:p>
                  <w:pPr>
                    <w:keepNext w:val="0"/>
                    <w:keepLines w:val="0"/>
                    <w:pageBreakBefore w:val="0"/>
                    <w:widowControl w:val="0"/>
                    <w:kinsoku/>
                    <w:wordWrap/>
                    <w:overflowPunct/>
                    <w:topLinePunct w:val="0"/>
                    <w:autoSpaceDE/>
                    <w:autoSpaceDN/>
                    <w:bidi w:val="0"/>
                    <w:spacing w:line="240" w:lineRule="auto"/>
                    <w:ind w:left="-24" w:leftChars="-10" w:right="-24" w:rightChars="-10" w:firstLine="0" w:firstLineChars="0"/>
                    <w:jc w:val="center"/>
                    <w:textAlignment w:val="auto"/>
                    <w:outlineLvl w:val="9"/>
                    <w:rPr>
                      <w:rFonts w:hint="default" w:ascii="Times New Roman" w:hAnsi="Times New Roman" w:eastAsia="宋体" w:cs="Times New Roman"/>
                      <w:bCs/>
                      <w:color w:val="auto"/>
                      <w:spacing w:val="0"/>
                      <w:kern w:val="2"/>
                      <w:sz w:val="21"/>
                      <w:szCs w:val="21"/>
                      <w:highlight w:val="none"/>
                      <w:lang w:val="en-US" w:eastAsia="zh-CN" w:bidi="ar-SA"/>
                    </w:rPr>
                  </w:pPr>
                  <w:r>
                    <w:rPr>
                      <w:rFonts w:hint="eastAsia" w:cs="Times New Roman"/>
                      <w:color w:val="auto"/>
                      <w:kern w:val="0"/>
                      <w:sz w:val="21"/>
                      <w:szCs w:val="21"/>
                      <w:highlight w:val="none"/>
                      <w:lang w:val="en-US" w:eastAsia="zh-CN"/>
                    </w:rPr>
                    <w:t>外购，厚度60mm</w:t>
                  </w:r>
                </w:p>
              </w:tc>
              <w:tc>
                <w:tcPr>
                  <w:tcW w:w="1035" w:type="dxa"/>
                  <w:vMerge w:val="restart"/>
                  <w:vAlign w:val="center"/>
                </w:tcPr>
                <w:p>
                  <w:pPr>
                    <w:keepNext w:val="0"/>
                    <w:keepLines w:val="0"/>
                    <w:pageBreakBefore w:val="0"/>
                    <w:widowControl w:val="0"/>
                    <w:kinsoku/>
                    <w:wordWrap/>
                    <w:overflowPunct/>
                    <w:topLinePunct w:val="0"/>
                    <w:autoSpaceDE/>
                    <w:autoSpaceDN/>
                    <w:bidi w:val="0"/>
                    <w:spacing w:line="240" w:lineRule="auto"/>
                    <w:ind w:left="-24" w:leftChars="-10" w:right="-24" w:rightChars="-10" w:firstLine="0" w:firstLineChars="0"/>
                    <w:jc w:val="center"/>
                    <w:textAlignment w:val="auto"/>
                    <w:outlineLvl w:val="9"/>
                    <w:rPr>
                      <w:rFonts w:hint="eastAsia" w:cs="Times New Roman"/>
                      <w:color w:val="auto"/>
                      <w:kern w:val="0"/>
                      <w:sz w:val="21"/>
                      <w:szCs w:val="21"/>
                      <w:highlight w:val="none"/>
                      <w:lang w:val="en-US" w:eastAsia="zh-CN"/>
                    </w:rPr>
                  </w:pPr>
                  <w:r>
                    <w:rPr>
                      <w:rFonts w:hint="eastAsia" w:cs="Times New Roman"/>
                      <w:bCs/>
                      <w:color w:val="auto"/>
                      <w:spacing w:val="0"/>
                      <w:kern w:val="2"/>
                      <w:sz w:val="21"/>
                      <w:szCs w:val="21"/>
                      <w:highlight w:val="none"/>
                      <w:lang w:val="en-US" w:eastAsia="zh-CN" w:bidi="ar-SA"/>
                    </w:rPr>
                    <w:t>石墨烯电发热体产能减少10000套/a，用量相应减少</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07" w:hRule="atLeast"/>
                <w:jc w:val="center"/>
              </w:trPr>
              <w:tc>
                <w:tcPr>
                  <w:tcW w:w="589" w:type="dxa"/>
                  <w:vAlign w:val="center"/>
                </w:tcPr>
                <w:p>
                  <w:pPr>
                    <w:keepNext w:val="0"/>
                    <w:keepLines w:val="0"/>
                    <w:pageBreakBefore w:val="0"/>
                    <w:widowControl w:val="0"/>
                    <w:numPr>
                      <w:ilvl w:val="0"/>
                      <w:numId w:val="15"/>
                    </w:numPr>
                    <w:kinsoku/>
                    <w:wordWrap/>
                    <w:overflowPunct/>
                    <w:topLinePunct w:val="0"/>
                    <w:autoSpaceDE w:val="0"/>
                    <w:autoSpaceDN w:val="0"/>
                    <w:bidi w:val="0"/>
                    <w:adjustRightInd w:val="0"/>
                    <w:snapToGrid w:val="0"/>
                    <w:spacing w:line="240" w:lineRule="auto"/>
                    <w:ind w:left="-24" w:leftChars="-10" w:right="-24" w:rightChars="-10" w:firstLine="0" w:firstLineChars="0"/>
                    <w:jc w:val="center"/>
                    <w:textAlignment w:val="auto"/>
                    <w:rPr>
                      <w:rFonts w:hint="default" w:ascii="Times New Roman" w:hAnsi="Times New Roman" w:cs="Times New Roman"/>
                      <w:color w:val="auto"/>
                      <w:kern w:val="0"/>
                      <w:sz w:val="21"/>
                      <w:szCs w:val="21"/>
                      <w:highlight w:val="none"/>
                    </w:rPr>
                  </w:pPr>
                </w:p>
              </w:tc>
              <w:tc>
                <w:tcPr>
                  <w:tcW w:w="1500" w:type="dxa"/>
                  <w:gridSpan w:val="2"/>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olor w:val="auto"/>
                    </w:rPr>
                    <w:t>尼龙座</w:t>
                  </w:r>
                </w:p>
              </w:tc>
              <w:tc>
                <w:tcPr>
                  <w:tcW w:w="1133" w:type="dxa"/>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firstLine="0" w:firstLineChars="0"/>
                    <w:textAlignment w:val="auto"/>
                    <w:rPr>
                      <w:rFonts w:hint="default" w:ascii="Times New Roman" w:hAnsi="Times New Roman" w:eastAsia="宋体" w:cs="Times New Roman"/>
                      <w:bCs/>
                      <w:color w:val="auto"/>
                      <w:spacing w:val="0"/>
                      <w:kern w:val="2"/>
                      <w:sz w:val="21"/>
                      <w:szCs w:val="21"/>
                      <w:highlight w:val="none"/>
                      <w:lang w:val="en-US" w:eastAsia="zh-CN" w:bidi="ar-SA"/>
                    </w:rPr>
                  </w:pPr>
                  <w:r>
                    <w:rPr>
                      <w:rFonts w:hint="eastAsia"/>
                      <w:color w:val="auto"/>
                    </w:rPr>
                    <w:t>万套</w:t>
                  </w:r>
                  <w:r>
                    <w:rPr>
                      <w:rFonts w:hint="eastAsia"/>
                      <w:color w:val="auto"/>
                      <w:lang w:val="en-US" w:eastAsia="zh-CN"/>
                    </w:rPr>
                    <w:t>/a</w:t>
                  </w:r>
                </w:p>
              </w:tc>
              <w:tc>
                <w:tcPr>
                  <w:tcW w:w="904" w:type="dxa"/>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firstLine="0" w:firstLineChars="0"/>
                    <w:textAlignment w:val="auto"/>
                    <w:rPr>
                      <w:rFonts w:hint="default" w:ascii="Times New Roman" w:hAnsi="Times New Roman" w:eastAsia="宋体" w:cs="Times New Roman"/>
                      <w:bCs/>
                      <w:color w:val="auto"/>
                      <w:spacing w:val="0"/>
                      <w:kern w:val="2"/>
                      <w:sz w:val="21"/>
                      <w:szCs w:val="21"/>
                      <w:highlight w:val="none"/>
                      <w:lang w:val="en-US" w:eastAsia="zh-CN" w:bidi="ar-SA"/>
                    </w:rPr>
                  </w:pPr>
                  <w:r>
                    <w:rPr>
                      <w:rFonts w:hint="eastAsia"/>
                      <w:color w:val="auto"/>
                    </w:rPr>
                    <w:t>8</w:t>
                  </w:r>
                </w:p>
              </w:tc>
              <w:tc>
                <w:tcPr>
                  <w:tcW w:w="1121" w:type="dxa"/>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firstLine="0" w:firstLineChars="0"/>
                    <w:textAlignment w:val="auto"/>
                    <w:rPr>
                      <w:rFonts w:hint="default" w:ascii="Times New Roman" w:hAnsi="Times New Roman" w:eastAsia="宋体" w:cs="Times New Roman"/>
                      <w:bCs/>
                      <w:color w:val="auto"/>
                      <w:spacing w:val="0"/>
                      <w:kern w:val="2"/>
                      <w:sz w:val="21"/>
                      <w:szCs w:val="21"/>
                      <w:highlight w:val="none"/>
                      <w:lang w:val="en-US" w:eastAsia="zh-CN" w:bidi="ar-SA"/>
                    </w:rPr>
                  </w:pPr>
                  <w:r>
                    <w:rPr>
                      <w:rFonts w:hint="eastAsia"/>
                      <w:color w:val="auto"/>
                      <w:lang w:val="en-US" w:eastAsia="zh-CN"/>
                    </w:rPr>
                    <w:t>7</w:t>
                  </w:r>
                </w:p>
              </w:tc>
              <w:tc>
                <w:tcPr>
                  <w:tcW w:w="960"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24" w:leftChars="-10" w:right="-24" w:rightChars="-1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-1</w:t>
                  </w:r>
                </w:p>
              </w:tc>
              <w:tc>
                <w:tcPr>
                  <w:tcW w:w="1035" w:type="dxa"/>
                  <w:vAlign w:val="center"/>
                </w:tcPr>
                <w:p>
                  <w:pPr>
                    <w:keepNext w:val="0"/>
                    <w:keepLines w:val="0"/>
                    <w:pageBreakBefore w:val="0"/>
                    <w:widowControl w:val="0"/>
                    <w:kinsoku/>
                    <w:wordWrap/>
                    <w:overflowPunct/>
                    <w:topLinePunct w:val="0"/>
                    <w:autoSpaceDE/>
                    <w:autoSpaceDN/>
                    <w:bidi w:val="0"/>
                    <w:spacing w:line="240" w:lineRule="auto"/>
                    <w:ind w:left="-24" w:leftChars="-10" w:right="-24" w:rightChars="-10" w:firstLine="0" w:firstLineChars="0"/>
                    <w:jc w:val="center"/>
                    <w:textAlignment w:val="auto"/>
                    <w:outlineLvl w:val="9"/>
                    <w:rPr>
                      <w:rFonts w:hint="default" w:ascii="Times New Roman" w:hAnsi="Times New Roman" w:eastAsia="宋体" w:cs="Times New Roman"/>
                      <w:bCs/>
                      <w:color w:val="auto"/>
                      <w:spacing w:val="0"/>
                      <w:kern w:val="2"/>
                      <w:sz w:val="21"/>
                      <w:szCs w:val="21"/>
                      <w:highlight w:val="none"/>
                      <w:lang w:val="en-US" w:eastAsia="zh-CN" w:bidi="ar-SA"/>
                    </w:rPr>
                  </w:pPr>
                  <w:r>
                    <w:rPr>
                      <w:rFonts w:hint="eastAsia" w:cs="Times New Roman"/>
                      <w:color w:val="auto"/>
                      <w:kern w:val="0"/>
                      <w:sz w:val="21"/>
                      <w:szCs w:val="21"/>
                      <w:highlight w:val="none"/>
                      <w:lang w:val="en-US" w:eastAsia="zh-CN"/>
                    </w:rPr>
                    <w:t>外购</w:t>
                  </w:r>
                </w:p>
              </w:tc>
              <w:tc>
                <w:tcPr>
                  <w:tcW w:w="1035" w:type="dxa"/>
                  <w:vMerge w:val="continue"/>
                  <w:vAlign w:val="center"/>
                </w:tcPr>
                <w:p>
                  <w:pPr>
                    <w:keepNext w:val="0"/>
                    <w:keepLines w:val="0"/>
                    <w:pageBreakBefore w:val="0"/>
                    <w:widowControl w:val="0"/>
                    <w:kinsoku/>
                    <w:wordWrap/>
                    <w:overflowPunct/>
                    <w:topLinePunct w:val="0"/>
                    <w:autoSpaceDE/>
                    <w:autoSpaceDN/>
                    <w:bidi w:val="0"/>
                    <w:spacing w:line="240" w:lineRule="auto"/>
                    <w:ind w:left="-24" w:leftChars="-10" w:right="-24" w:rightChars="-10" w:firstLine="0" w:firstLineChars="0"/>
                    <w:jc w:val="center"/>
                    <w:textAlignment w:val="auto"/>
                    <w:outlineLvl w:val="9"/>
                    <w:rPr>
                      <w:rFonts w:hint="eastAsia" w:cs="Times New Roman"/>
                      <w:color w:val="auto"/>
                      <w:kern w:val="0"/>
                      <w:sz w:val="21"/>
                      <w:szCs w:val="21"/>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04" w:hRule="atLeast"/>
                <w:jc w:val="center"/>
              </w:trPr>
              <w:tc>
                <w:tcPr>
                  <w:tcW w:w="589" w:type="dxa"/>
                  <w:vAlign w:val="center"/>
                </w:tcPr>
                <w:p>
                  <w:pPr>
                    <w:keepNext w:val="0"/>
                    <w:keepLines w:val="0"/>
                    <w:pageBreakBefore w:val="0"/>
                    <w:widowControl w:val="0"/>
                    <w:numPr>
                      <w:ilvl w:val="0"/>
                      <w:numId w:val="15"/>
                    </w:numPr>
                    <w:kinsoku/>
                    <w:wordWrap/>
                    <w:overflowPunct/>
                    <w:topLinePunct w:val="0"/>
                    <w:autoSpaceDE w:val="0"/>
                    <w:autoSpaceDN w:val="0"/>
                    <w:bidi w:val="0"/>
                    <w:adjustRightInd w:val="0"/>
                    <w:snapToGrid w:val="0"/>
                    <w:spacing w:line="240" w:lineRule="auto"/>
                    <w:ind w:left="-24" w:leftChars="-10" w:right="-24" w:rightChars="-10" w:firstLine="0" w:firstLineChars="0"/>
                    <w:jc w:val="center"/>
                    <w:textAlignment w:val="auto"/>
                    <w:rPr>
                      <w:rFonts w:hint="default" w:ascii="Times New Roman" w:hAnsi="Times New Roman" w:cs="Times New Roman"/>
                      <w:color w:val="auto"/>
                      <w:kern w:val="0"/>
                      <w:sz w:val="21"/>
                      <w:szCs w:val="21"/>
                      <w:highlight w:val="none"/>
                    </w:rPr>
                  </w:pPr>
                </w:p>
              </w:tc>
              <w:tc>
                <w:tcPr>
                  <w:tcW w:w="1500" w:type="dxa"/>
                  <w:gridSpan w:val="2"/>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olor w:val="auto"/>
                    </w:rPr>
                    <w:t>电极银浆</w:t>
                  </w:r>
                </w:p>
              </w:tc>
              <w:tc>
                <w:tcPr>
                  <w:tcW w:w="1133" w:type="dxa"/>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firstLine="0" w:firstLineChars="0"/>
                    <w:textAlignment w:val="auto"/>
                    <w:rPr>
                      <w:rFonts w:hint="default" w:ascii="Times New Roman" w:hAnsi="Times New Roman" w:eastAsia="宋体" w:cs="Times New Roman"/>
                      <w:bCs/>
                      <w:color w:val="auto"/>
                      <w:spacing w:val="0"/>
                      <w:kern w:val="2"/>
                      <w:sz w:val="21"/>
                      <w:szCs w:val="21"/>
                      <w:highlight w:val="none"/>
                      <w:lang w:val="en-US" w:eastAsia="zh-CN" w:bidi="ar-SA"/>
                    </w:rPr>
                  </w:pPr>
                  <w:r>
                    <w:rPr>
                      <w:rFonts w:hint="eastAsia"/>
                      <w:color w:val="auto"/>
                      <w:lang w:val="en-US" w:eastAsia="zh-CN"/>
                    </w:rPr>
                    <w:t>kg/a</w:t>
                  </w:r>
                </w:p>
              </w:tc>
              <w:tc>
                <w:tcPr>
                  <w:tcW w:w="904" w:type="dxa"/>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firstLine="0" w:firstLineChars="0"/>
                    <w:textAlignment w:val="auto"/>
                    <w:rPr>
                      <w:rFonts w:hint="default" w:ascii="Times New Roman" w:hAnsi="Times New Roman" w:eastAsia="宋体" w:cs="Times New Roman"/>
                      <w:bCs/>
                      <w:color w:val="auto"/>
                      <w:spacing w:val="0"/>
                      <w:kern w:val="2"/>
                      <w:sz w:val="21"/>
                      <w:szCs w:val="21"/>
                      <w:highlight w:val="none"/>
                      <w:lang w:val="en-US" w:eastAsia="zh-CN" w:bidi="ar-SA"/>
                    </w:rPr>
                  </w:pPr>
                  <w:r>
                    <w:rPr>
                      <w:rFonts w:hint="eastAsia"/>
                      <w:color w:val="auto"/>
                    </w:rPr>
                    <w:t>50</w:t>
                  </w:r>
                </w:p>
              </w:tc>
              <w:tc>
                <w:tcPr>
                  <w:tcW w:w="1121" w:type="dxa"/>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firstLine="0" w:firstLineChars="0"/>
                    <w:textAlignment w:val="auto"/>
                    <w:rPr>
                      <w:rFonts w:hint="default" w:ascii="Times New Roman" w:hAnsi="Times New Roman" w:eastAsia="宋体" w:cs="Times New Roman"/>
                      <w:bCs/>
                      <w:color w:val="auto"/>
                      <w:spacing w:val="0"/>
                      <w:kern w:val="2"/>
                      <w:sz w:val="21"/>
                      <w:szCs w:val="21"/>
                      <w:highlight w:val="none"/>
                      <w:lang w:val="en-US" w:eastAsia="zh-CN" w:bidi="ar-SA"/>
                    </w:rPr>
                  </w:pPr>
                  <w:r>
                    <w:rPr>
                      <w:rFonts w:hint="eastAsia"/>
                      <w:color w:val="auto"/>
                      <w:lang w:val="en-US" w:eastAsia="zh-CN"/>
                    </w:rPr>
                    <w:t>44</w:t>
                  </w:r>
                </w:p>
              </w:tc>
              <w:tc>
                <w:tcPr>
                  <w:tcW w:w="960"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24" w:leftChars="-10" w:right="-24" w:rightChars="-1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-6</w:t>
                  </w:r>
                </w:p>
              </w:tc>
              <w:tc>
                <w:tcPr>
                  <w:tcW w:w="1035" w:type="dxa"/>
                  <w:vAlign w:val="center"/>
                </w:tcPr>
                <w:p>
                  <w:pPr>
                    <w:keepNext w:val="0"/>
                    <w:keepLines w:val="0"/>
                    <w:pageBreakBefore w:val="0"/>
                    <w:widowControl w:val="0"/>
                    <w:kinsoku/>
                    <w:wordWrap/>
                    <w:overflowPunct/>
                    <w:topLinePunct w:val="0"/>
                    <w:autoSpaceDE/>
                    <w:autoSpaceDN/>
                    <w:bidi w:val="0"/>
                    <w:spacing w:line="240" w:lineRule="auto"/>
                    <w:ind w:left="-24" w:leftChars="-10" w:right="-24" w:rightChars="-10" w:firstLine="0" w:firstLineChars="0"/>
                    <w:jc w:val="center"/>
                    <w:textAlignment w:val="auto"/>
                    <w:outlineLvl w:val="9"/>
                    <w:rPr>
                      <w:rFonts w:hint="default" w:ascii="Times New Roman" w:hAnsi="Times New Roman" w:eastAsia="宋体" w:cs="Times New Roman"/>
                      <w:bCs/>
                      <w:color w:val="auto"/>
                      <w:spacing w:val="0"/>
                      <w:kern w:val="2"/>
                      <w:sz w:val="21"/>
                      <w:szCs w:val="21"/>
                      <w:highlight w:val="none"/>
                      <w:lang w:val="en-US" w:eastAsia="zh-CN" w:bidi="ar-SA"/>
                    </w:rPr>
                  </w:pPr>
                  <w:r>
                    <w:rPr>
                      <w:rFonts w:hint="eastAsia" w:cs="Times New Roman"/>
                      <w:color w:val="auto"/>
                      <w:kern w:val="0"/>
                      <w:sz w:val="21"/>
                      <w:szCs w:val="21"/>
                      <w:highlight w:val="none"/>
                      <w:lang w:val="en-US" w:eastAsia="zh-CN"/>
                    </w:rPr>
                    <w:t>外购，1kg/</w:t>
                  </w:r>
                  <w:r>
                    <w:rPr>
                      <w:rFonts w:hint="eastAsia"/>
                      <w:color w:val="auto"/>
                      <w:sz w:val="21"/>
                      <w:szCs w:val="21"/>
                    </w:rPr>
                    <w:t>罐</w:t>
                  </w:r>
                </w:p>
              </w:tc>
              <w:tc>
                <w:tcPr>
                  <w:tcW w:w="1035" w:type="dxa"/>
                  <w:vMerge w:val="continue"/>
                  <w:vAlign w:val="center"/>
                </w:tcPr>
                <w:p>
                  <w:pPr>
                    <w:keepNext w:val="0"/>
                    <w:keepLines w:val="0"/>
                    <w:pageBreakBefore w:val="0"/>
                    <w:widowControl w:val="0"/>
                    <w:kinsoku/>
                    <w:wordWrap/>
                    <w:overflowPunct/>
                    <w:topLinePunct w:val="0"/>
                    <w:autoSpaceDE/>
                    <w:autoSpaceDN/>
                    <w:bidi w:val="0"/>
                    <w:spacing w:line="240" w:lineRule="auto"/>
                    <w:ind w:left="-24" w:leftChars="-10" w:right="-24" w:rightChars="-10" w:firstLine="0" w:firstLineChars="0"/>
                    <w:jc w:val="center"/>
                    <w:textAlignment w:val="auto"/>
                    <w:outlineLvl w:val="9"/>
                    <w:rPr>
                      <w:rFonts w:hint="eastAsia" w:cs="Times New Roman"/>
                      <w:color w:val="auto"/>
                      <w:kern w:val="0"/>
                      <w:sz w:val="21"/>
                      <w:szCs w:val="21"/>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2" w:hRule="atLeast"/>
                <w:jc w:val="center"/>
              </w:trPr>
              <w:tc>
                <w:tcPr>
                  <w:tcW w:w="589" w:type="dxa"/>
                  <w:vAlign w:val="center"/>
                </w:tcPr>
                <w:p>
                  <w:pPr>
                    <w:keepNext w:val="0"/>
                    <w:keepLines w:val="0"/>
                    <w:pageBreakBefore w:val="0"/>
                    <w:widowControl w:val="0"/>
                    <w:numPr>
                      <w:ilvl w:val="0"/>
                      <w:numId w:val="15"/>
                    </w:numPr>
                    <w:kinsoku/>
                    <w:wordWrap/>
                    <w:overflowPunct/>
                    <w:topLinePunct w:val="0"/>
                    <w:autoSpaceDE w:val="0"/>
                    <w:autoSpaceDN w:val="0"/>
                    <w:bidi w:val="0"/>
                    <w:adjustRightInd w:val="0"/>
                    <w:snapToGrid w:val="0"/>
                    <w:spacing w:line="240" w:lineRule="auto"/>
                    <w:ind w:left="-24" w:leftChars="-10" w:right="-24" w:rightChars="-10" w:firstLine="0" w:firstLineChars="0"/>
                    <w:jc w:val="center"/>
                    <w:textAlignment w:val="auto"/>
                    <w:rPr>
                      <w:rFonts w:hint="default" w:ascii="Times New Roman" w:hAnsi="Times New Roman" w:cs="Times New Roman"/>
                      <w:color w:val="auto"/>
                      <w:kern w:val="0"/>
                      <w:sz w:val="21"/>
                      <w:szCs w:val="21"/>
                      <w:highlight w:val="none"/>
                    </w:rPr>
                  </w:pPr>
                </w:p>
              </w:tc>
              <w:tc>
                <w:tcPr>
                  <w:tcW w:w="1500" w:type="dxa"/>
                  <w:gridSpan w:val="2"/>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olor w:val="auto"/>
                    </w:rPr>
                    <w:t>镀膜液</w:t>
                  </w:r>
                </w:p>
              </w:tc>
              <w:tc>
                <w:tcPr>
                  <w:tcW w:w="1133" w:type="dxa"/>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firstLine="0" w:firstLineChars="0"/>
                    <w:textAlignment w:val="auto"/>
                    <w:rPr>
                      <w:rFonts w:hint="default" w:ascii="Times New Roman" w:hAnsi="Times New Roman" w:eastAsia="宋体" w:cs="Times New Roman"/>
                      <w:bCs/>
                      <w:color w:val="auto"/>
                      <w:spacing w:val="0"/>
                      <w:kern w:val="2"/>
                      <w:sz w:val="21"/>
                      <w:szCs w:val="21"/>
                      <w:highlight w:val="none"/>
                      <w:lang w:val="en-US" w:eastAsia="zh-CN" w:bidi="ar-SA"/>
                    </w:rPr>
                  </w:pPr>
                  <w:r>
                    <w:rPr>
                      <w:rFonts w:hint="eastAsia"/>
                      <w:color w:val="auto"/>
                      <w:lang w:val="en-US" w:eastAsia="zh-CN"/>
                    </w:rPr>
                    <w:t>kg/a</w:t>
                  </w:r>
                </w:p>
              </w:tc>
              <w:tc>
                <w:tcPr>
                  <w:tcW w:w="904" w:type="dxa"/>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firstLine="0" w:firstLineChars="0"/>
                    <w:textAlignment w:val="auto"/>
                    <w:rPr>
                      <w:rFonts w:hint="default" w:ascii="Times New Roman" w:hAnsi="Times New Roman" w:eastAsia="宋体" w:cs="Times New Roman"/>
                      <w:bCs/>
                      <w:color w:val="auto"/>
                      <w:spacing w:val="0"/>
                      <w:kern w:val="2"/>
                      <w:sz w:val="21"/>
                      <w:szCs w:val="21"/>
                      <w:highlight w:val="none"/>
                      <w:lang w:val="en-US" w:eastAsia="zh-CN" w:bidi="ar-SA"/>
                    </w:rPr>
                  </w:pPr>
                  <w:r>
                    <w:rPr>
                      <w:rFonts w:hint="eastAsia"/>
                      <w:color w:val="auto"/>
                      <w:lang w:val="en-US" w:eastAsia="zh-CN"/>
                    </w:rPr>
                    <w:t>100</w:t>
                  </w:r>
                </w:p>
              </w:tc>
              <w:tc>
                <w:tcPr>
                  <w:tcW w:w="1121" w:type="dxa"/>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firstLine="0" w:firstLineChars="0"/>
                    <w:textAlignment w:val="auto"/>
                    <w:rPr>
                      <w:rFonts w:hint="default" w:ascii="Times New Roman" w:hAnsi="Times New Roman" w:eastAsia="宋体" w:cs="Times New Roman"/>
                      <w:bCs/>
                      <w:color w:val="auto"/>
                      <w:spacing w:val="0"/>
                      <w:kern w:val="2"/>
                      <w:sz w:val="21"/>
                      <w:szCs w:val="21"/>
                      <w:highlight w:val="none"/>
                      <w:lang w:val="en-US" w:eastAsia="zh-CN" w:bidi="ar-SA"/>
                    </w:rPr>
                  </w:pPr>
                  <w:r>
                    <w:rPr>
                      <w:rFonts w:hint="eastAsia"/>
                      <w:color w:val="auto"/>
                      <w:lang w:val="en-US" w:eastAsia="zh-CN"/>
                    </w:rPr>
                    <w:t>87.5</w:t>
                  </w:r>
                </w:p>
              </w:tc>
              <w:tc>
                <w:tcPr>
                  <w:tcW w:w="960"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24" w:leftChars="-10" w:right="-24" w:rightChars="-10" w:firstLine="0" w:firstLineChars="0"/>
                    <w:jc w:val="center"/>
                    <w:textAlignment w:val="auto"/>
                    <w:rPr>
                      <w:rFonts w:hint="default" w:ascii="Times New Roman" w:hAnsi="Times New Roman"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-12.5</w:t>
                  </w:r>
                </w:p>
              </w:tc>
              <w:tc>
                <w:tcPr>
                  <w:tcW w:w="1035"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24" w:leftChars="-10" w:right="-24" w:rightChars="-10" w:firstLine="0" w:firstLineChars="0"/>
                    <w:jc w:val="center"/>
                    <w:textAlignment w:val="auto"/>
                    <w:rPr>
                      <w:rFonts w:hint="default" w:ascii="Times New Roman" w:hAnsi="Times New Roman" w:eastAsia="宋体" w:cs="Times New Roman"/>
                      <w:color w:val="auto"/>
                      <w:kern w:val="24"/>
                      <w:sz w:val="21"/>
                      <w:szCs w:val="21"/>
                      <w:highlight w:val="none"/>
                      <w:lang w:val="en-US" w:eastAsia="zh-CN" w:bidi="ar-SA"/>
                    </w:rPr>
                  </w:pPr>
                  <w:r>
                    <w:rPr>
                      <w:rFonts w:hint="eastAsia" w:cs="Times New Roman"/>
                      <w:color w:val="auto"/>
                      <w:kern w:val="24"/>
                      <w:sz w:val="21"/>
                      <w:szCs w:val="21"/>
                      <w:highlight w:val="none"/>
                      <w:lang w:val="en-US" w:eastAsia="zh-CN" w:bidi="ar-SA"/>
                    </w:rPr>
                    <w:t>外购，25kg/桶</w:t>
                  </w:r>
                </w:p>
              </w:tc>
              <w:tc>
                <w:tcPr>
                  <w:tcW w:w="1035" w:type="dxa"/>
                  <w:vMerge w:val="continue"/>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24" w:leftChars="-10" w:right="-24" w:rightChars="-10" w:firstLine="0" w:firstLineChars="0"/>
                    <w:jc w:val="center"/>
                    <w:textAlignment w:val="auto"/>
                    <w:rPr>
                      <w:rFonts w:hint="eastAsia" w:cs="Times New Roman"/>
                      <w:color w:val="auto"/>
                      <w:kern w:val="24"/>
                      <w:sz w:val="21"/>
                      <w:szCs w:val="21"/>
                      <w:highlight w:val="none"/>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22" w:hRule="atLeast"/>
                <w:jc w:val="center"/>
              </w:trPr>
              <w:tc>
                <w:tcPr>
                  <w:tcW w:w="589" w:type="dxa"/>
                  <w:vAlign w:val="center"/>
                </w:tcPr>
                <w:p>
                  <w:pPr>
                    <w:keepNext w:val="0"/>
                    <w:keepLines w:val="0"/>
                    <w:pageBreakBefore w:val="0"/>
                    <w:widowControl w:val="0"/>
                    <w:numPr>
                      <w:ilvl w:val="0"/>
                      <w:numId w:val="15"/>
                    </w:numPr>
                    <w:kinsoku/>
                    <w:wordWrap/>
                    <w:overflowPunct/>
                    <w:topLinePunct w:val="0"/>
                    <w:autoSpaceDE w:val="0"/>
                    <w:autoSpaceDN w:val="0"/>
                    <w:bidi w:val="0"/>
                    <w:adjustRightInd w:val="0"/>
                    <w:snapToGrid w:val="0"/>
                    <w:spacing w:line="240" w:lineRule="auto"/>
                    <w:ind w:left="-24" w:leftChars="-10" w:right="-24" w:rightChars="-10" w:firstLine="0" w:firstLineChars="0"/>
                    <w:jc w:val="center"/>
                    <w:textAlignment w:val="auto"/>
                    <w:rPr>
                      <w:rFonts w:hint="default" w:ascii="Times New Roman" w:hAnsi="Times New Roman" w:cs="Times New Roman"/>
                      <w:color w:val="auto"/>
                      <w:kern w:val="0"/>
                      <w:sz w:val="21"/>
                      <w:szCs w:val="21"/>
                      <w:highlight w:val="none"/>
                    </w:rPr>
                  </w:pPr>
                </w:p>
              </w:tc>
              <w:tc>
                <w:tcPr>
                  <w:tcW w:w="1500" w:type="dxa"/>
                  <w:gridSpan w:val="2"/>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olor w:val="auto"/>
                      <w:highlight w:val="none"/>
                    </w:rPr>
                    <w:t>石墨烯</w:t>
                  </w:r>
                </w:p>
              </w:tc>
              <w:tc>
                <w:tcPr>
                  <w:tcW w:w="1133" w:type="dxa"/>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firstLine="0" w:firstLineChars="0"/>
                    <w:textAlignment w:val="auto"/>
                    <w:rPr>
                      <w:rFonts w:hint="default" w:ascii="Times New Roman" w:hAnsi="Times New Roman" w:eastAsia="宋体" w:cs="Times New Roman"/>
                      <w:bCs/>
                      <w:color w:val="auto"/>
                      <w:spacing w:val="0"/>
                      <w:kern w:val="2"/>
                      <w:sz w:val="21"/>
                      <w:szCs w:val="21"/>
                      <w:highlight w:val="none"/>
                      <w:lang w:val="en-US" w:eastAsia="zh-CN" w:bidi="ar-SA"/>
                    </w:rPr>
                  </w:pPr>
                  <w:r>
                    <w:rPr>
                      <w:rFonts w:hint="eastAsia"/>
                      <w:color w:val="auto"/>
                      <w:highlight w:val="none"/>
                    </w:rPr>
                    <w:t>kg</w:t>
                  </w:r>
                  <w:r>
                    <w:rPr>
                      <w:rFonts w:hint="eastAsia"/>
                      <w:color w:val="auto"/>
                      <w:highlight w:val="none"/>
                      <w:lang w:val="en-US" w:eastAsia="zh-CN"/>
                    </w:rPr>
                    <w:t>/a</w:t>
                  </w:r>
                </w:p>
              </w:tc>
              <w:tc>
                <w:tcPr>
                  <w:tcW w:w="904" w:type="dxa"/>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firstLine="0" w:firstLineChars="0"/>
                    <w:textAlignment w:val="auto"/>
                    <w:rPr>
                      <w:rFonts w:hint="default" w:ascii="Times New Roman" w:hAnsi="Times New Roman" w:eastAsia="宋体" w:cs="Times New Roman"/>
                      <w:bCs/>
                      <w:color w:val="auto"/>
                      <w:spacing w:val="0"/>
                      <w:kern w:val="2"/>
                      <w:sz w:val="21"/>
                      <w:szCs w:val="21"/>
                      <w:highlight w:val="none"/>
                      <w:lang w:val="en-US" w:eastAsia="zh-CN" w:bidi="ar-SA"/>
                    </w:rPr>
                  </w:pPr>
                  <w:r>
                    <w:rPr>
                      <w:rFonts w:hint="eastAsia"/>
                      <w:color w:val="auto"/>
                      <w:highlight w:val="none"/>
                    </w:rPr>
                    <w:t>100</w:t>
                  </w:r>
                </w:p>
              </w:tc>
              <w:tc>
                <w:tcPr>
                  <w:tcW w:w="1121" w:type="dxa"/>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firstLine="0" w:firstLineChars="0"/>
                    <w:textAlignment w:val="auto"/>
                    <w:rPr>
                      <w:rFonts w:hint="default" w:ascii="Times New Roman" w:hAnsi="Times New Roman" w:eastAsia="宋体" w:cs="Times New Roman"/>
                      <w:bCs/>
                      <w:color w:val="auto"/>
                      <w:spacing w:val="0"/>
                      <w:kern w:val="2"/>
                      <w:sz w:val="21"/>
                      <w:szCs w:val="21"/>
                      <w:highlight w:val="none"/>
                      <w:lang w:val="en-US" w:eastAsia="zh-CN" w:bidi="ar-SA"/>
                    </w:rPr>
                  </w:pPr>
                  <w:r>
                    <w:rPr>
                      <w:rFonts w:hint="eastAsia"/>
                      <w:color w:val="auto"/>
                      <w:highlight w:val="none"/>
                      <w:lang w:val="en-US" w:eastAsia="zh-CN"/>
                    </w:rPr>
                    <w:t>103.5</w:t>
                  </w:r>
                </w:p>
              </w:tc>
              <w:tc>
                <w:tcPr>
                  <w:tcW w:w="960"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24" w:leftChars="-10" w:right="-24" w:rightChars="-10" w:firstLine="0" w:firstLineChars="0"/>
                    <w:jc w:val="center"/>
                    <w:textAlignment w:val="auto"/>
                    <w:rPr>
                      <w:rFonts w:hint="default" w:ascii="Times New Roman" w:hAnsi="Times New Roman"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+3.5</w:t>
                  </w:r>
                </w:p>
              </w:tc>
              <w:tc>
                <w:tcPr>
                  <w:tcW w:w="2070" w:type="dxa"/>
                  <w:gridSpan w:val="2"/>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24" w:leftChars="-10" w:right="-24" w:rightChars="-10" w:firstLine="0" w:firstLineChars="0"/>
                    <w:jc w:val="center"/>
                    <w:textAlignment w:val="auto"/>
                    <w:rPr>
                      <w:rFonts w:hint="default" w:ascii="Times New Roman" w:hAnsi="Times New Roman"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外购，生产电发热体用量减少12.5kg/a，生产石墨烯电发热膜用量为16kg/a</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01" w:hRule="atLeast"/>
                <w:jc w:val="center"/>
              </w:trPr>
              <w:tc>
                <w:tcPr>
                  <w:tcW w:w="589" w:type="dxa"/>
                  <w:vAlign w:val="center"/>
                </w:tcPr>
                <w:p>
                  <w:pPr>
                    <w:keepNext w:val="0"/>
                    <w:keepLines w:val="0"/>
                    <w:pageBreakBefore w:val="0"/>
                    <w:widowControl w:val="0"/>
                    <w:numPr>
                      <w:ilvl w:val="0"/>
                      <w:numId w:val="15"/>
                    </w:numPr>
                    <w:kinsoku/>
                    <w:wordWrap/>
                    <w:overflowPunct/>
                    <w:topLinePunct w:val="0"/>
                    <w:autoSpaceDE w:val="0"/>
                    <w:autoSpaceDN w:val="0"/>
                    <w:bidi w:val="0"/>
                    <w:adjustRightInd w:val="0"/>
                    <w:snapToGrid w:val="0"/>
                    <w:spacing w:line="240" w:lineRule="auto"/>
                    <w:ind w:left="-24" w:leftChars="-10" w:right="-24" w:rightChars="-10" w:firstLine="0" w:firstLineChars="0"/>
                    <w:jc w:val="center"/>
                    <w:textAlignment w:val="auto"/>
                    <w:rPr>
                      <w:rFonts w:hint="default" w:ascii="Times New Roman" w:hAnsi="Times New Roman" w:cs="Times New Roman"/>
                      <w:color w:val="auto"/>
                      <w:kern w:val="0"/>
                      <w:sz w:val="21"/>
                      <w:szCs w:val="21"/>
                      <w:highlight w:val="none"/>
                    </w:rPr>
                  </w:pPr>
                </w:p>
              </w:tc>
              <w:tc>
                <w:tcPr>
                  <w:tcW w:w="1500" w:type="dxa"/>
                  <w:gridSpan w:val="2"/>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olor w:val="auto"/>
                    </w:rPr>
                    <w:t>塑料薄膜</w:t>
                  </w:r>
                </w:p>
              </w:tc>
              <w:tc>
                <w:tcPr>
                  <w:tcW w:w="1133" w:type="dxa"/>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firstLine="0" w:firstLineChars="0"/>
                    <w:textAlignment w:val="auto"/>
                    <w:rPr>
                      <w:rFonts w:hint="default" w:ascii="Times New Roman" w:hAnsi="Times New Roman" w:eastAsia="宋体" w:cs="Times New Roman"/>
                      <w:bCs/>
                      <w:color w:val="auto"/>
                      <w:spacing w:val="0"/>
                      <w:kern w:val="2"/>
                      <w:sz w:val="21"/>
                      <w:szCs w:val="21"/>
                      <w:highlight w:val="none"/>
                      <w:lang w:val="en-US" w:eastAsia="zh-CN" w:bidi="ar-SA"/>
                    </w:rPr>
                  </w:pPr>
                  <w:r>
                    <w:rPr>
                      <w:rFonts w:hint="eastAsia"/>
                      <w:color w:val="auto"/>
                    </w:rPr>
                    <w:t>卷</w:t>
                  </w:r>
                  <w:r>
                    <w:rPr>
                      <w:rFonts w:hint="eastAsia"/>
                      <w:color w:val="auto"/>
                      <w:lang w:val="en-US" w:eastAsia="zh-CN"/>
                    </w:rPr>
                    <w:t>/a</w:t>
                  </w:r>
                </w:p>
              </w:tc>
              <w:tc>
                <w:tcPr>
                  <w:tcW w:w="904" w:type="dxa"/>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firstLine="0" w:firstLineChars="0"/>
                    <w:textAlignment w:val="auto"/>
                    <w:rPr>
                      <w:rFonts w:hint="default" w:ascii="Times New Roman" w:hAnsi="Times New Roman" w:eastAsia="宋体" w:cs="Times New Roman"/>
                      <w:bCs/>
                      <w:color w:val="auto"/>
                      <w:spacing w:val="0"/>
                      <w:kern w:val="2"/>
                      <w:sz w:val="21"/>
                      <w:szCs w:val="21"/>
                      <w:highlight w:val="none"/>
                      <w:lang w:val="en-US" w:eastAsia="zh-CN" w:bidi="ar-SA"/>
                    </w:rPr>
                  </w:pPr>
                  <w:r>
                    <w:rPr>
                      <w:rFonts w:hint="eastAsia"/>
                      <w:color w:val="auto"/>
                    </w:rPr>
                    <w:t>3</w:t>
                  </w:r>
                </w:p>
              </w:tc>
              <w:tc>
                <w:tcPr>
                  <w:tcW w:w="1121" w:type="dxa"/>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firstLine="0" w:firstLineChars="0"/>
                    <w:textAlignment w:val="auto"/>
                    <w:rPr>
                      <w:rFonts w:hint="default" w:ascii="Times New Roman" w:hAnsi="Times New Roman" w:eastAsia="宋体" w:cs="Times New Roman"/>
                      <w:bCs/>
                      <w:color w:val="auto"/>
                      <w:spacing w:val="0"/>
                      <w:kern w:val="2"/>
                      <w:sz w:val="21"/>
                      <w:szCs w:val="21"/>
                      <w:highlight w:val="none"/>
                      <w:lang w:val="en-US" w:eastAsia="zh-CN" w:bidi="ar-SA"/>
                    </w:rPr>
                  </w:pPr>
                  <w:r>
                    <w:rPr>
                      <w:rFonts w:hint="eastAsia" w:cs="Times New Roman"/>
                      <w:bCs/>
                      <w:color w:val="auto"/>
                      <w:spacing w:val="0"/>
                      <w:kern w:val="2"/>
                      <w:sz w:val="21"/>
                      <w:szCs w:val="21"/>
                      <w:highlight w:val="none"/>
                      <w:lang w:val="en-US" w:eastAsia="zh-CN" w:bidi="ar-SA"/>
                    </w:rPr>
                    <w:t>0</w:t>
                  </w:r>
                </w:p>
              </w:tc>
              <w:tc>
                <w:tcPr>
                  <w:tcW w:w="960"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24" w:leftChars="-10" w:right="-24" w:rightChars="-10" w:firstLine="0" w:firstLineChars="0"/>
                    <w:jc w:val="center"/>
                    <w:textAlignment w:val="auto"/>
                    <w:rPr>
                      <w:rFonts w:hint="default" w:ascii="Times New Roman" w:hAnsi="Times New Roman"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-3</w:t>
                  </w:r>
                </w:p>
              </w:tc>
              <w:tc>
                <w:tcPr>
                  <w:tcW w:w="2070" w:type="dxa"/>
                  <w:gridSpan w:val="2"/>
                  <w:vAlign w:val="center"/>
                </w:tcPr>
                <w:p>
                  <w:pPr>
                    <w:keepNext w:val="0"/>
                    <w:keepLines w:val="0"/>
                    <w:pageBreakBefore w:val="0"/>
                    <w:widowControl w:val="0"/>
                    <w:kinsoku/>
                    <w:wordWrap/>
                    <w:overflowPunct/>
                    <w:topLinePunct w:val="0"/>
                    <w:autoSpaceDE/>
                    <w:autoSpaceDN/>
                    <w:bidi w:val="0"/>
                    <w:spacing w:line="240" w:lineRule="auto"/>
                    <w:ind w:left="-24" w:leftChars="-10" w:right="-24" w:rightChars="-10" w:firstLine="0" w:firstLineChars="0"/>
                    <w:jc w:val="center"/>
                    <w:textAlignment w:val="auto"/>
                    <w:outlineLvl w:val="9"/>
                    <w:rPr>
                      <w:rFonts w:hint="default" w:ascii="Times New Roman" w:hAnsi="Times New Roman" w:eastAsia="宋体" w:cs="Times New Roman"/>
                      <w:color w:val="auto"/>
                      <w:spacing w:val="0"/>
                      <w:kern w:val="2"/>
                      <w:sz w:val="21"/>
                      <w:szCs w:val="21"/>
                      <w:highlight w:val="none"/>
                      <w:lang w:val="en-US" w:eastAsia="zh-CN" w:bidi="ar-SA"/>
                    </w:rPr>
                  </w:pPr>
                  <w:r>
                    <w:rPr>
                      <w:rFonts w:hint="eastAsia" w:cs="Times New Roman"/>
                      <w:color w:val="auto"/>
                      <w:spacing w:val="0"/>
                      <w:kern w:val="2"/>
                      <w:sz w:val="21"/>
                      <w:szCs w:val="21"/>
                      <w:highlight w:val="none"/>
                      <w:lang w:val="en-US" w:eastAsia="zh-CN" w:bidi="ar-SA"/>
                    </w:rPr>
                    <w:t>本项目建成后不再使用云母板生产石墨烯电发热体，不再消耗塑料薄膜</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01" w:hRule="atLeast"/>
                <w:jc w:val="center"/>
              </w:trPr>
              <w:tc>
                <w:tcPr>
                  <w:tcW w:w="589" w:type="dxa"/>
                  <w:vAlign w:val="center"/>
                </w:tcPr>
                <w:p>
                  <w:pPr>
                    <w:keepNext w:val="0"/>
                    <w:keepLines w:val="0"/>
                    <w:pageBreakBefore w:val="0"/>
                    <w:widowControl w:val="0"/>
                    <w:numPr>
                      <w:ilvl w:val="0"/>
                      <w:numId w:val="15"/>
                    </w:numPr>
                    <w:kinsoku/>
                    <w:wordWrap/>
                    <w:overflowPunct/>
                    <w:topLinePunct w:val="0"/>
                    <w:autoSpaceDE w:val="0"/>
                    <w:autoSpaceDN w:val="0"/>
                    <w:bidi w:val="0"/>
                    <w:adjustRightInd w:val="0"/>
                    <w:snapToGrid w:val="0"/>
                    <w:spacing w:line="240" w:lineRule="auto"/>
                    <w:ind w:left="-24" w:leftChars="-10" w:right="-24" w:rightChars="-10" w:firstLine="0" w:firstLineChars="0"/>
                    <w:jc w:val="center"/>
                    <w:textAlignment w:val="auto"/>
                    <w:rPr>
                      <w:rFonts w:hint="default" w:ascii="Times New Roman" w:hAnsi="Times New Roman" w:cs="Times New Roman"/>
                      <w:color w:val="auto"/>
                      <w:kern w:val="0"/>
                      <w:sz w:val="21"/>
                      <w:szCs w:val="21"/>
                      <w:highlight w:val="none"/>
                    </w:rPr>
                  </w:pPr>
                </w:p>
              </w:tc>
              <w:tc>
                <w:tcPr>
                  <w:tcW w:w="1500" w:type="dxa"/>
                  <w:gridSpan w:val="2"/>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firstLine="0" w:firstLineChars="0"/>
                    <w:textAlignment w:val="auto"/>
                    <w:rPr>
                      <w:rFonts w:hint="eastAsia"/>
                      <w:color w:val="auto"/>
                    </w:rPr>
                  </w:pPr>
                  <w:r>
                    <w:rPr>
                      <w:rFonts w:hint="eastAsia"/>
                      <w:color w:val="auto"/>
                    </w:rPr>
                    <w:t>零件（螺丝等）</w:t>
                  </w:r>
                </w:p>
              </w:tc>
              <w:tc>
                <w:tcPr>
                  <w:tcW w:w="1133" w:type="dxa"/>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firstLine="0" w:firstLineChars="0"/>
                    <w:textAlignment w:val="auto"/>
                    <w:rPr>
                      <w:rFonts w:hint="eastAsia"/>
                      <w:color w:val="auto"/>
                    </w:rPr>
                  </w:pPr>
                  <w:r>
                    <w:rPr>
                      <w:rFonts w:hint="eastAsia"/>
                      <w:color w:val="auto"/>
                      <w:lang w:val="en-US" w:eastAsia="zh-CN"/>
                    </w:rPr>
                    <w:t>万套/a</w:t>
                  </w:r>
                </w:p>
              </w:tc>
              <w:tc>
                <w:tcPr>
                  <w:tcW w:w="904" w:type="dxa"/>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firstLine="0" w:firstLineChars="0"/>
                    <w:textAlignment w:val="auto"/>
                    <w:rPr>
                      <w:rFonts w:hint="eastAsia"/>
                      <w:color w:val="auto"/>
                    </w:rPr>
                  </w:pPr>
                  <w:r>
                    <w:rPr>
                      <w:rFonts w:hint="eastAsia"/>
                      <w:color w:val="auto"/>
                      <w:lang w:val="en-US" w:eastAsia="zh-CN"/>
                    </w:rPr>
                    <w:t>8</w:t>
                  </w:r>
                </w:p>
              </w:tc>
              <w:tc>
                <w:tcPr>
                  <w:tcW w:w="1121" w:type="dxa"/>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firstLine="0" w:firstLineChars="0"/>
                    <w:textAlignment w:val="auto"/>
                    <w:rPr>
                      <w:rFonts w:hint="default" w:cs="Times New Roman"/>
                      <w:bCs/>
                      <w:color w:val="auto"/>
                      <w:spacing w:val="0"/>
                      <w:kern w:val="2"/>
                      <w:sz w:val="21"/>
                      <w:szCs w:val="21"/>
                      <w:highlight w:val="none"/>
                      <w:lang w:val="en-US" w:eastAsia="zh-CN" w:bidi="ar-SA"/>
                    </w:rPr>
                  </w:pPr>
                  <w:r>
                    <w:rPr>
                      <w:rFonts w:hint="eastAsia" w:cs="Times New Roman"/>
                      <w:bCs/>
                      <w:color w:val="auto"/>
                      <w:spacing w:val="0"/>
                      <w:kern w:val="2"/>
                      <w:sz w:val="21"/>
                      <w:szCs w:val="21"/>
                      <w:highlight w:val="none"/>
                      <w:lang w:val="en-US" w:eastAsia="zh-CN" w:bidi="ar-SA"/>
                    </w:rPr>
                    <w:t>13</w:t>
                  </w:r>
                </w:p>
              </w:tc>
              <w:tc>
                <w:tcPr>
                  <w:tcW w:w="960"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24" w:leftChars="-10" w:right="-24" w:rightChars="-10" w:firstLine="0" w:firstLineChars="0"/>
                    <w:jc w:val="center"/>
                    <w:textAlignment w:val="auto"/>
                    <w:rPr>
                      <w:rFonts w:hint="default"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+5</w:t>
                  </w:r>
                </w:p>
              </w:tc>
              <w:tc>
                <w:tcPr>
                  <w:tcW w:w="2070" w:type="dxa"/>
                  <w:gridSpan w:val="2"/>
                  <w:vAlign w:val="center"/>
                </w:tcPr>
                <w:p>
                  <w:pPr>
                    <w:keepNext w:val="0"/>
                    <w:keepLines w:val="0"/>
                    <w:pageBreakBefore w:val="0"/>
                    <w:widowControl w:val="0"/>
                    <w:kinsoku/>
                    <w:wordWrap/>
                    <w:overflowPunct/>
                    <w:topLinePunct w:val="0"/>
                    <w:autoSpaceDE/>
                    <w:autoSpaceDN/>
                    <w:bidi w:val="0"/>
                    <w:spacing w:line="240" w:lineRule="auto"/>
                    <w:ind w:left="-24" w:leftChars="-10" w:right="-24" w:rightChars="-10" w:firstLine="0" w:firstLineChars="0"/>
                    <w:jc w:val="center"/>
                    <w:textAlignment w:val="auto"/>
                    <w:outlineLvl w:val="9"/>
                    <w:rPr>
                      <w:rFonts w:hint="default" w:cs="Times New Roman"/>
                      <w:color w:val="auto"/>
                      <w:spacing w:val="0"/>
                      <w:kern w:val="2"/>
                      <w:sz w:val="21"/>
                      <w:szCs w:val="21"/>
                      <w:highlight w:val="none"/>
                      <w:lang w:val="en-US" w:eastAsia="zh-CN" w:bidi="ar-SA"/>
                    </w:rPr>
                  </w:pPr>
                  <w:r>
                    <w:rPr>
                      <w:rFonts w:hint="eastAsia" w:cs="Times New Roman"/>
                      <w:color w:val="auto"/>
                      <w:spacing w:val="0"/>
                      <w:kern w:val="2"/>
                      <w:sz w:val="21"/>
                      <w:szCs w:val="21"/>
                      <w:highlight w:val="none"/>
                      <w:lang w:val="en-US" w:eastAsia="zh-CN" w:bidi="ar-SA"/>
                    </w:rPr>
                    <w:t>外购</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44" w:hRule="atLeast"/>
                <w:jc w:val="center"/>
              </w:trPr>
              <w:tc>
                <w:tcPr>
                  <w:tcW w:w="589" w:type="dxa"/>
                  <w:vAlign w:val="center"/>
                </w:tcPr>
                <w:p>
                  <w:pPr>
                    <w:keepNext w:val="0"/>
                    <w:keepLines w:val="0"/>
                    <w:pageBreakBefore w:val="0"/>
                    <w:widowControl w:val="0"/>
                    <w:numPr>
                      <w:ilvl w:val="0"/>
                      <w:numId w:val="15"/>
                    </w:numPr>
                    <w:kinsoku/>
                    <w:wordWrap/>
                    <w:overflowPunct/>
                    <w:topLinePunct w:val="0"/>
                    <w:autoSpaceDE w:val="0"/>
                    <w:autoSpaceDN w:val="0"/>
                    <w:bidi w:val="0"/>
                    <w:adjustRightInd w:val="0"/>
                    <w:snapToGrid w:val="0"/>
                    <w:spacing w:line="240" w:lineRule="auto"/>
                    <w:ind w:left="-24" w:leftChars="-10" w:right="-24" w:rightChars="-10" w:firstLine="0" w:firstLineChars="0"/>
                    <w:jc w:val="center"/>
                    <w:textAlignment w:val="auto"/>
                    <w:rPr>
                      <w:rFonts w:hint="default" w:ascii="Times New Roman" w:hAnsi="Times New Roman" w:cs="Times New Roman"/>
                      <w:color w:val="auto"/>
                      <w:kern w:val="0"/>
                      <w:sz w:val="21"/>
                      <w:szCs w:val="21"/>
                      <w:highlight w:val="none"/>
                    </w:rPr>
                  </w:pPr>
                </w:p>
              </w:tc>
              <w:tc>
                <w:tcPr>
                  <w:tcW w:w="1500" w:type="dxa"/>
                  <w:gridSpan w:val="2"/>
                  <w:vAlign w:val="center"/>
                </w:tcPr>
                <w:p>
                  <w:pPr>
                    <w:pStyle w:val="36"/>
                    <w:keepNext w:val="0"/>
                    <w:keepLines w:val="0"/>
                    <w:pageBreakBefore w:val="0"/>
                    <w:kinsoku/>
                    <w:wordWrap/>
                    <w:overflowPunct/>
                    <w:topLinePunct w:val="0"/>
                    <w:bidi w:val="0"/>
                    <w:spacing w:line="240" w:lineRule="auto"/>
                    <w:ind w:firstLine="0" w:firstLineChars="0"/>
                    <w:jc w:val="center"/>
                    <w:rPr>
                      <w:rFonts w:hint="eastAsia" w:ascii="Times New Roman" w:hAnsi="Times New Roman" w:eastAsia="宋体" w:cs="Times New Roman"/>
                      <w:color w:val="auto"/>
                      <w:kern w:val="0"/>
                      <w:sz w:val="21"/>
                      <w:szCs w:val="21"/>
                      <w:highlight w:val="yellow"/>
                      <w:lang w:val="en-US" w:eastAsia="zh-CN" w:bidi="ar-SA"/>
                    </w:rPr>
                  </w:pPr>
                  <w:r>
                    <w:rPr>
                      <w:rFonts w:hint="eastAsia" w:ascii="Times New Roman" w:hAnsi="Times New Roman" w:eastAsia="宋体" w:cs="Times New Roman"/>
                      <w:color w:val="auto"/>
                      <w:sz w:val="21"/>
                      <w:szCs w:val="21"/>
                      <w:highlight w:val="none"/>
                      <w:lang w:val="en-US" w:eastAsia="zh-CN"/>
                    </w:rPr>
                    <w:t>机箱外壳</w:t>
                  </w:r>
                </w:p>
              </w:tc>
              <w:tc>
                <w:tcPr>
                  <w:tcW w:w="1133" w:type="dxa"/>
                  <w:vAlign w:val="center"/>
                </w:tcPr>
                <w:p>
                  <w:pPr>
                    <w:pStyle w:val="36"/>
                    <w:keepNext w:val="0"/>
                    <w:keepLines w:val="0"/>
                    <w:pageBreakBefore w:val="0"/>
                    <w:kinsoku/>
                    <w:wordWrap/>
                    <w:overflowPunct/>
                    <w:topLinePunct w:val="0"/>
                    <w:bidi w:val="0"/>
                    <w:spacing w:line="240" w:lineRule="auto"/>
                    <w:ind w:firstLine="0" w:firstLineChars="0"/>
                    <w:jc w:val="center"/>
                    <w:rPr>
                      <w:rFonts w:hint="default" w:ascii="Times New Roman" w:hAnsi="Times New Roman" w:eastAsia="宋体" w:cs="Times New Roman"/>
                      <w:snapToGrid w:val="0"/>
                      <w:color w:val="auto"/>
                      <w:spacing w:val="0"/>
                      <w:kern w:val="0"/>
                      <w:sz w:val="21"/>
                      <w:szCs w:val="21"/>
                      <w:highlight w:val="yellow"/>
                      <w:lang w:val="en-US" w:eastAsia="zh-CN" w:bidi="ar-SA"/>
                    </w:rPr>
                  </w:pPr>
                  <w:r>
                    <w:rPr>
                      <w:rFonts w:hint="eastAsia" w:ascii="Times New Roman" w:hAnsi="Times New Roman" w:eastAsia="宋体" w:cs="Times New Roman"/>
                      <w:color w:val="auto"/>
                      <w:sz w:val="21"/>
                      <w:szCs w:val="21"/>
                      <w:highlight w:val="none"/>
                      <w:lang w:val="en-US" w:eastAsia="zh-CN"/>
                    </w:rPr>
                    <w:t>万台/a</w:t>
                  </w:r>
                </w:p>
              </w:tc>
              <w:tc>
                <w:tcPr>
                  <w:tcW w:w="904" w:type="dxa"/>
                  <w:vAlign w:val="center"/>
                </w:tcPr>
                <w:p>
                  <w:pPr>
                    <w:pStyle w:val="36"/>
                    <w:keepNext w:val="0"/>
                    <w:keepLines w:val="0"/>
                    <w:pageBreakBefore w:val="0"/>
                    <w:kinsoku/>
                    <w:wordWrap/>
                    <w:overflowPunct/>
                    <w:topLinePunct w:val="0"/>
                    <w:bidi w:val="0"/>
                    <w:spacing w:line="240" w:lineRule="auto"/>
                    <w:ind w:firstLine="0" w:firstLineChars="0"/>
                    <w:jc w:val="center"/>
                    <w:rPr>
                      <w:rFonts w:hint="default" w:ascii="Times New Roman" w:hAnsi="Times New Roman" w:eastAsia="宋体" w:cs="Times New Roman"/>
                      <w:bCs/>
                      <w:snapToGrid w:val="0"/>
                      <w:color w:val="auto"/>
                      <w:spacing w:val="0"/>
                      <w:kern w:val="0"/>
                      <w:sz w:val="21"/>
                      <w:szCs w:val="21"/>
                      <w:highlight w:val="none"/>
                      <w:lang w:val="en-US" w:eastAsia="zh-CN" w:bidi="ar-SA"/>
                    </w:rPr>
                  </w:pPr>
                  <w:r>
                    <w:rPr>
                      <w:rFonts w:hint="eastAsia" w:cs="Times New Roman"/>
                      <w:bCs/>
                      <w:snapToGrid w:val="0"/>
                      <w:color w:val="auto"/>
                      <w:spacing w:val="0"/>
                      <w:kern w:val="0"/>
                      <w:sz w:val="21"/>
                      <w:szCs w:val="21"/>
                      <w:highlight w:val="none"/>
                      <w:lang w:val="en-US" w:eastAsia="zh-CN" w:bidi="ar-SA"/>
                    </w:rPr>
                    <w:t>0</w:t>
                  </w:r>
                </w:p>
              </w:tc>
              <w:tc>
                <w:tcPr>
                  <w:tcW w:w="1121" w:type="dxa"/>
                  <w:vAlign w:val="center"/>
                </w:tcPr>
                <w:p>
                  <w:pPr>
                    <w:pStyle w:val="36"/>
                    <w:keepNext w:val="0"/>
                    <w:keepLines w:val="0"/>
                    <w:pageBreakBefore w:val="0"/>
                    <w:kinsoku/>
                    <w:wordWrap/>
                    <w:overflowPunct/>
                    <w:topLinePunct w:val="0"/>
                    <w:bidi w:val="0"/>
                    <w:spacing w:line="240" w:lineRule="auto"/>
                    <w:ind w:firstLine="0" w:firstLineChars="0"/>
                    <w:jc w:val="center"/>
                    <w:rPr>
                      <w:rFonts w:hint="default" w:ascii="Times New Roman" w:hAnsi="Times New Roman" w:eastAsia="宋体" w:cs="Times New Roman"/>
                      <w:bCs/>
                      <w:snapToGrid w:val="0"/>
                      <w:color w:val="auto"/>
                      <w:spacing w:val="0"/>
                      <w:kern w:val="0"/>
                      <w:sz w:val="21"/>
                      <w:szCs w:val="21"/>
                      <w:highlight w:val="yellow"/>
                      <w:lang w:val="en-US" w:eastAsia="zh-CN" w:bidi="ar-SA"/>
                    </w:rPr>
                  </w:pPr>
                  <w:r>
                    <w:rPr>
                      <w:rFonts w:hint="eastAsia" w:ascii="Times New Roman" w:hAnsi="Times New Roman" w:eastAsia="宋体" w:cs="Times New Roman"/>
                      <w:color w:val="auto"/>
                      <w:sz w:val="21"/>
                      <w:szCs w:val="21"/>
                      <w:highlight w:val="none"/>
                      <w:lang w:val="en-US" w:eastAsia="zh-CN"/>
                    </w:rPr>
                    <w:t>5</w:t>
                  </w:r>
                </w:p>
              </w:tc>
              <w:tc>
                <w:tcPr>
                  <w:tcW w:w="960" w:type="dxa"/>
                  <w:vAlign w:val="center"/>
                </w:tcPr>
                <w:p>
                  <w:pPr>
                    <w:pStyle w:val="36"/>
                    <w:keepNext w:val="0"/>
                    <w:keepLines w:val="0"/>
                    <w:pageBreakBefore w:val="0"/>
                    <w:kinsoku/>
                    <w:wordWrap/>
                    <w:overflowPunct/>
                    <w:topLinePunct w:val="0"/>
                    <w:bidi w:val="0"/>
                    <w:spacing w:line="240" w:lineRule="auto"/>
                    <w:ind w:firstLine="0" w:firstLineChars="0"/>
                    <w:jc w:val="center"/>
                    <w:rPr>
                      <w:rFonts w:hint="default" w:ascii="Times New Roman" w:hAnsi="Times New Roman" w:cs="Times New Roman"/>
                      <w:color w:val="auto"/>
                      <w:kern w:val="0"/>
                      <w:sz w:val="21"/>
                      <w:szCs w:val="21"/>
                      <w:highlight w:val="yellow"/>
                      <w:lang w:val="en-US" w:eastAsia="zh-CN"/>
                    </w:rPr>
                  </w:pPr>
                  <w:r>
                    <w:rPr>
                      <w:rFonts w:hint="eastAsia"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5</w:t>
                  </w:r>
                </w:p>
              </w:tc>
              <w:tc>
                <w:tcPr>
                  <w:tcW w:w="2070" w:type="dxa"/>
                  <w:gridSpan w:val="2"/>
                  <w:vAlign w:val="center"/>
                </w:tcPr>
                <w:p>
                  <w:pPr>
                    <w:keepNext w:val="0"/>
                    <w:keepLines w:val="0"/>
                    <w:pageBreakBefore w:val="0"/>
                    <w:widowControl w:val="0"/>
                    <w:kinsoku/>
                    <w:wordWrap/>
                    <w:overflowPunct/>
                    <w:topLinePunct w:val="0"/>
                    <w:autoSpaceDE/>
                    <w:autoSpaceDN/>
                    <w:bidi w:val="0"/>
                    <w:spacing w:line="240" w:lineRule="auto"/>
                    <w:ind w:left="-24" w:leftChars="-10" w:right="-24" w:rightChars="-10" w:firstLine="0" w:firstLineChars="0"/>
                    <w:jc w:val="center"/>
                    <w:textAlignment w:val="auto"/>
                    <w:outlineLvl w:val="9"/>
                    <w:rPr>
                      <w:rFonts w:hint="default" w:ascii="Times New Roman" w:hAnsi="Times New Roman" w:eastAsia="宋体" w:cs="Times New Roman"/>
                      <w:color w:val="auto"/>
                      <w:spacing w:val="0"/>
                      <w:kern w:val="2"/>
                      <w:sz w:val="21"/>
                      <w:szCs w:val="21"/>
                      <w:highlight w:val="yellow"/>
                      <w:lang w:val="en-US" w:eastAsia="zh-CN" w:bidi="ar-SA"/>
                    </w:rPr>
                  </w:pPr>
                  <w:r>
                    <w:rPr>
                      <w:rFonts w:hint="eastAsia" w:cs="Times New Roman"/>
                      <w:color w:val="auto"/>
                      <w:spacing w:val="0"/>
                      <w:kern w:val="2"/>
                      <w:sz w:val="21"/>
                      <w:szCs w:val="21"/>
                      <w:highlight w:val="none"/>
                      <w:lang w:val="en-US" w:eastAsia="zh-CN" w:bidi="ar-SA"/>
                    </w:rPr>
                    <w:t>外购</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44" w:hRule="atLeast"/>
                <w:jc w:val="center"/>
              </w:trPr>
              <w:tc>
                <w:tcPr>
                  <w:tcW w:w="589" w:type="dxa"/>
                  <w:vAlign w:val="center"/>
                </w:tcPr>
                <w:p>
                  <w:pPr>
                    <w:keepNext w:val="0"/>
                    <w:keepLines w:val="0"/>
                    <w:pageBreakBefore w:val="0"/>
                    <w:widowControl w:val="0"/>
                    <w:numPr>
                      <w:ilvl w:val="0"/>
                      <w:numId w:val="15"/>
                    </w:numPr>
                    <w:kinsoku/>
                    <w:wordWrap/>
                    <w:overflowPunct/>
                    <w:topLinePunct w:val="0"/>
                    <w:autoSpaceDE w:val="0"/>
                    <w:autoSpaceDN w:val="0"/>
                    <w:bidi w:val="0"/>
                    <w:adjustRightInd w:val="0"/>
                    <w:snapToGrid w:val="0"/>
                    <w:spacing w:line="240" w:lineRule="auto"/>
                    <w:ind w:left="-24" w:leftChars="-10" w:right="-24" w:rightChars="-10" w:firstLine="0" w:firstLineChars="0"/>
                    <w:jc w:val="center"/>
                    <w:textAlignment w:val="auto"/>
                    <w:rPr>
                      <w:rFonts w:hint="default" w:ascii="Times New Roman" w:hAnsi="Times New Roman" w:cs="Times New Roman"/>
                      <w:color w:val="auto"/>
                      <w:kern w:val="0"/>
                      <w:sz w:val="21"/>
                      <w:szCs w:val="21"/>
                      <w:highlight w:val="none"/>
                    </w:rPr>
                  </w:pPr>
                </w:p>
              </w:tc>
              <w:tc>
                <w:tcPr>
                  <w:tcW w:w="1500" w:type="dxa"/>
                  <w:gridSpan w:val="2"/>
                  <w:vAlign w:val="center"/>
                </w:tcPr>
                <w:p>
                  <w:pPr>
                    <w:pStyle w:val="36"/>
                    <w:keepNext w:val="0"/>
                    <w:keepLines w:val="0"/>
                    <w:pageBreakBefore w:val="0"/>
                    <w:kinsoku/>
                    <w:wordWrap/>
                    <w:overflowPunct/>
                    <w:topLinePunct w:val="0"/>
                    <w:bidi w:val="0"/>
                    <w:spacing w:line="240" w:lineRule="auto"/>
                    <w:ind w:firstLine="0" w:firstLineChars="0"/>
                    <w:jc w:val="center"/>
                    <w:rPr>
                      <w:rFonts w:hint="eastAsia"/>
                      <w:color w:val="auto"/>
                      <w:highlight w:val="yellow"/>
                      <w:lang w:val="en-US" w:eastAsia="zh-CN"/>
                    </w:rPr>
                  </w:pPr>
                  <w:r>
                    <w:rPr>
                      <w:rFonts w:hint="eastAsia" w:ascii="Times New Roman" w:hAnsi="Times New Roman" w:eastAsia="宋体" w:cs="Times New Roman"/>
                      <w:color w:val="auto"/>
                      <w:sz w:val="21"/>
                      <w:szCs w:val="21"/>
                      <w:highlight w:val="none"/>
                      <w:lang w:val="en-US" w:eastAsia="zh-CN"/>
                    </w:rPr>
                    <w:t>触摸控制板</w:t>
                  </w:r>
                </w:p>
              </w:tc>
              <w:tc>
                <w:tcPr>
                  <w:tcW w:w="1133" w:type="dxa"/>
                  <w:vAlign w:val="center"/>
                </w:tcPr>
                <w:p>
                  <w:pPr>
                    <w:pStyle w:val="36"/>
                    <w:keepNext w:val="0"/>
                    <w:keepLines w:val="0"/>
                    <w:pageBreakBefore w:val="0"/>
                    <w:kinsoku/>
                    <w:wordWrap/>
                    <w:overflowPunct/>
                    <w:topLinePunct w:val="0"/>
                    <w:bidi w:val="0"/>
                    <w:spacing w:line="240" w:lineRule="auto"/>
                    <w:ind w:firstLine="0" w:firstLineChars="0"/>
                    <w:jc w:val="center"/>
                    <w:rPr>
                      <w:rFonts w:hint="default" w:ascii="Times New Roman" w:hAnsi="Times New Roman" w:eastAsia="宋体" w:cs="Times New Roman"/>
                      <w:snapToGrid w:val="0"/>
                      <w:color w:val="auto"/>
                      <w:spacing w:val="0"/>
                      <w:kern w:val="0"/>
                      <w:sz w:val="21"/>
                      <w:szCs w:val="21"/>
                      <w:highlight w:val="yellow"/>
                      <w:lang w:val="en-US" w:eastAsia="zh-CN" w:bidi="ar-SA"/>
                    </w:rPr>
                  </w:pPr>
                  <w:r>
                    <w:rPr>
                      <w:rFonts w:hint="eastAsia" w:ascii="Times New Roman" w:hAnsi="Times New Roman" w:eastAsia="宋体" w:cs="Times New Roman"/>
                      <w:color w:val="auto"/>
                      <w:sz w:val="21"/>
                      <w:szCs w:val="21"/>
                      <w:highlight w:val="none"/>
                      <w:lang w:val="en-US" w:eastAsia="zh-CN"/>
                    </w:rPr>
                    <w:t>万套/a</w:t>
                  </w:r>
                </w:p>
              </w:tc>
              <w:tc>
                <w:tcPr>
                  <w:tcW w:w="904" w:type="dxa"/>
                  <w:vAlign w:val="center"/>
                </w:tcPr>
                <w:p>
                  <w:pPr>
                    <w:pStyle w:val="36"/>
                    <w:keepNext w:val="0"/>
                    <w:keepLines w:val="0"/>
                    <w:pageBreakBefore w:val="0"/>
                    <w:kinsoku/>
                    <w:wordWrap/>
                    <w:overflowPunct/>
                    <w:topLinePunct w:val="0"/>
                    <w:bidi w:val="0"/>
                    <w:spacing w:line="240" w:lineRule="auto"/>
                    <w:ind w:firstLine="0" w:firstLineChars="0"/>
                    <w:jc w:val="center"/>
                    <w:rPr>
                      <w:rFonts w:hint="default" w:ascii="Times New Roman" w:hAnsi="Times New Roman" w:eastAsia="宋体" w:cs="Times New Roman"/>
                      <w:bCs/>
                      <w:snapToGrid w:val="0"/>
                      <w:color w:val="auto"/>
                      <w:spacing w:val="0"/>
                      <w:kern w:val="0"/>
                      <w:sz w:val="21"/>
                      <w:szCs w:val="21"/>
                      <w:highlight w:val="none"/>
                      <w:lang w:val="en-US" w:eastAsia="zh-CN" w:bidi="ar-SA"/>
                    </w:rPr>
                  </w:pPr>
                  <w:r>
                    <w:rPr>
                      <w:rFonts w:hint="eastAsia" w:cs="Times New Roman"/>
                      <w:bCs/>
                      <w:snapToGrid w:val="0"/>
                      <w:color w:val="auto"/>
                      <w:spacing w:val="0"/>
                      <w:kern w:val="0"/>
                      <w:sz w:val="21"/>
                      <w:szCs w:val="21"/>
                      <w:highlight w:val="none"/>
                      <w:lang w:val="en-US" w:eastAsia="zh-CN" w:bidi="ar-SA"/>
                    </w:rPr>
                    <w:t>0</w:t>
                  </w:r>
                </w:p>
              </w:tc>
              <w:tc>
                <w:tcPr>
                  <w:tcW w:w="1121" w:type="dxa"/>
                  <w:vAlign w:val="center"/>
                </w:tcPr>
                <w:p>
                  <w:pPr>
                    <w:pStyle w:val="36"/>
                    <w:keepNext w:val="0"/>
                    <w:keepLines w:val="0"/>
                    <w:pageBreakBefore w:val="0"/>
                    <w:kinsoku/>
                    <w:wordWrap/>
                    <w:overflowPunct/>
                    <w:topLinePunct w:val="0"/>
                    <w:bidi w:val="0"/>
                    <w:spacing w:line="240" w:lineRule="auto"/>
                    <w:ind w:firstLine="0" w:firstLineChars="0"/>
                    <w:jc w:val="center"/>
                    <w:rPr>
                      <w:rFonts w:hint="default" w:ascii="Times New Roman" w:hAnsi="Times New Roman" w:eastAsia="宋体" w:cs="Times New Roman"/>
                      <w:bCs/>
                      <w:snapToGrid w:val="0"/>
                      <w:color w:val="auto"/>
                      <w:spacing w:val="0"/>
                      <w:kern w:val="0"/>
                      <w:sz w:val="21"/>
                      <w:szCs w:val="21"/>
                      <w:highlight w:val="yellow"/>
                      <w:lang w:val="en-US" w:eastAsia="zh-CN" w:bidi="ar-SA"/>
                    </w:rPr>
                  </w:pPr>
                  <w:r>
                    <w:rPr>
                      <w:rFonts w:hint="eastAsia" w:ascii="Times New Roman" w:hAnsi="Times New Roman" w:eastAsia="宋体" w:cs="Times New Roman"/>
                      <w:color w:val="auto"/>
                      <w:sz w:val="21"/>
                      <w:szCs w:val="21"/>
                      <w:highlight w:val="none"/>
                      <w:lang w:val="en-US" w:eastAsia="zh-CN"/>
                    </w:rPr>
                    <w:t>5</w:t>
                  </w:r>
                </w:p>
              </w:tc>
              <w:tc>
                <w:tcPr>
                  <w:tcW w:w="960" w:type="dxa"/>
                  <w:vAlign w:val="center"/>
                </w:tcPr>
                <w:p>
                  <w:pPr>
                    <w:pStyle w:val="36"/>
                    <w:keepNext w:val="0"/>
                    <w:keepLines w:val="0"/>
                    <w:pageBreakBefore w:val="0"/>
                    <w:kinsoku/>
                    <w:wordWrap/>
                    <w:overflowPunct/>
                    <w:topLinePunct w:val="0"/>
                    <w:bidi w:val="0"/>
                    <w:spacing w:line="240" w:lineRule="auto"/>
                    <w:ind w:firstLine="0" w:firstLineChars="0"/>
                    <w:jc w:val="center"/>
                    <w:rPr>
                      <w:rFonts w:hint="default" w:ascii="Times New Roman" w:hAnsi="Times New Roman" w:cs="Times New Roman"/>
                      <w:color w:val="auto"/>
                      <w:kern w:val="0"/>
                      <w:sz w:val="21"/>
                      <w:szCs w:val="21"/>
                      <w:highlight w:val="yellow"/>
                      <w:lang w:val="en-US" w:eastAsia="zh-CN"/>
                    </w:rPr>
                  </w:pPr>
                  <w:r>
                    <w:rPr>
                      <w:rFonts w:hint="eastAsia"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5</w:t>
                  </w:r>
                </w:p>
              </w:tc>
              <w:tc>
                <w:tcPr>
                  <w:tcW w:w="2070" w:type="dxa"/>
                  <w:gridSpan w:val="2"/>
                  <w:vAlign w:val="center"/>
                </w:tcPr>
                <w:p>
                  <w:pPr>
                    <w:keepNext w:val="0"/>
                    <w:keepLines w:val="0"/>
                    <w:pageBreakBefore w:val="0"/>
                    <w:widowControl w:val="0"/>
                    <w:kinsoku/>
                    <w:wordWrap/>
                    <w:overflowPunct/>
                    <w:topLinePunct w:val="0"/>
                    <w:autoSpaceDE/>
                    <w:autoSpaceDN/>
                    <w:bidi w:val="0"/>
                    <w:spacing w:line="240" w:lineRule="auto"/>
                    <w:ind w:left="-24" w:leftChars="-10" w:right="-24" w:rightChars="-10" w:firstLine="0" w:firstLineChars="0"/>
                    <w:jc w:val="center"/>
                    <w:textAlignment w:val="auto"/>
                    <w:outlineLvl w:val="9"/>
                    <w:rPr>
                      <w:rFonts w:hint="default" w:ascii="Times New Roman" w:hAnsi="Times New Roman" w:eastAsia="宋体" w:cs="Times New Roman"/>
                      <w:color w:val="auto"/>
                      <w:spacing w:val="0"/>
                      <w:kern w:val="2"/>
                      <w:sz w:val="21"/>
                      <w:szCs w:val="21"/>
                      <w:highlight w:val="yellow"/>
                      <w:lang w:val="en-US" w:eastAsia="zh-CN" w:bidi="ar-SA"/>
                    </w:rPr>
                  </w:pPr>
                  <w:r>
                    <w:rPr>
                      <w:rFonts w:hint="eastAsia" w:cs="Times New Roman"/>
                      <w:color w:val="auto"/>
                      <w:spacing w:val="0"/>
                      <w:kern w:val="2"/>
                      <w:sz w:val="21"/>
                      <w:szCs w:val="21"/>
                      <w:highlight w:val="none"/>
                      <w:lang w:val="en-US" w:eastAsia="zh-CN" w:bidi="ar-SA"/>
                    </w:rPr>
                    <w:t>外购</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44" w:hRule="atLeast"/>
                <w:jc w:val="center"/>
              </w:trPr>
              <w:tc>
                <w:tcPr>
                  <w:tcW w:w="589" w:type="dxa"/>
                  <w:vAlign w:val="center"/>
                </w:tcPr>
                <w:p>
                  <w:pPr>
                    <w:keepNext w:val="0"/>
                    <w:keepLines w:val="0"/>
                    <w:pageBreakBefore w:val="0"/>
                    <w:widowControl w:val="0"/>
                    <w:numPr>
                      <w:ilvl w:val="0"/>
                      <w:numId w:val="15"/>
                    </w:numPr>
                    <w:kinsoku/>
                    <w:wordWrap/>
                    <w:overflowPunct/>
                    <w:topLinePunct w:val="0"/>
                    <w:autoSpaceDE w:val="0"/>
                    <w:autoSpaceDN w:val="0"/>
                    <w:bidi w:val="0"/>
                    <w:adjustRightInd w:val="0"/>
                    <w:snapToGrid w:val="0"/>
                    <w:spacing w:line="240" w:lineRule="auto"/>
                    <w:ind w:left="-24" w:leftChars="-10" w:right="-24" w:rightChars="-10" w:firstLine="0" w:firstLineChars="0"/>
                    <w:jc w:val="center"/>
                    <w:textAlignment w:val="auto"/>
                    <w:rPr>
                      <w:rFonts w:hint="default" w:ascii="Times New Roman" w:hAnsi="Times New Roman" w:cs="Times New Roman"/>
                      <w:color w:val="auto"/>
                      <w:kern w:val="0"/>
                      <w:sz w:val="21"/>
                      <w:szCs w:val="21"/>
                      <w:highlight w:val="none"/>
                    </w:rPr>
                  </w:pPr>
                </w:p>
              </w:tc>
              <w:tc>
                <w:tcPr>
                  <w:tcW w:w="1500" w:type="dxa"/>
                  <w:gridSpan w:val="2"/>
                  <w:vAlign w:val="center"/>
                </w:tcPr>
                <w:p>
                  <w:pPr>
                    <w:pStyle w:val="36"/>
                    <w:keepNext w:val="0"/>
                    <w:keepLines w:val="0"/>
                    <w:pageBreakBefore w:val="0"/>
                    <w:kinsoku/>
                    <w:wordWrap/>
                    <w:overflowPunct/>
                    <w:topLinePunct w:val="0"/>
                    <w:bidi w:val="0"/>
                    <w:spacing w:line="240" w:lineRule="auto"/>
                    <w:ind w:firstLine="0" w:firstLineChars="0"/>
                    <w:jc w:val="center"/>
                    <w:rPr>
                      <w:rFonts w:hint="eastAsia"/>
                      <w:color w:val="auto"/>
                      <w:highlight w:val="yellow"/>
                      <w:lang w:val="en-US" w:eastAsia="zh-CN"/>
                    </w:rPr>
                  </w:pPr>
                  <w:r>
                    <w:rPr>
                      <w:rFonts w:hint="eastAsia" w:ascii="Times New Roman" w:hAnsi="Times New Roman" w:eastAsia="宋体" w:cs="Times New Roman"/>
                      <w:color w:val="auto"/>
                      <w:sz w:val="21"/>
                      <w:szCs w:val="21"/>
                      <w:highlight w:val="none"/>
                      <w:lang w:val="en-US" w:eastAsia="zh-CN"/>
                    </w:rPr>
                    <w:t>耐高温线</w:t>
                  </w:r>
                </w:p>
              </w:tc>
              <w:tc>
                <w:tcPr>
                  <w:tcW w:w="1133" w:type="dxa"/>
                  <w:vAlign w:val="center"/>
                </w:tcPr>
                <w:p>
                  <w:pPr>
                    <w:pStyle w:val="36"/>
                    <w:keepNext w:val="0"/>
                    <w:keepLines w:val="0"/>
                    <w:pageBreakBefore w:val="0"/>
                    <w:kinsoku/>
                    <w:wordWrap/>
                    <w:overflowPunct/>
                    <w:topLinePunct w:val="0"/>
                    <w:bidi w:val="0"/>
                    <w:spacing w:line="240" w:lineRule="auto"/>
                    <w:ind w:firstLine="0" w:firstLineChars="0"/>
                    <w:jc w:val="center"/>
                    <w:rPr>
                      <w:rFonts w:hint="default" w:ascii="Times New Roman" w:hAnsi="Times New Roman" w:eastAsia="宋体" w:cs="Times New Roman"/>
                      <w:snapToGrid w:val="0"/>
                      <w:color w:val="auto"/>
                      <w:spacing w:val="0"/>
                      <w:kern w:val="0"/>
                      <w:sz w:val="21"/>
                      <w:szCs w:val="21"/>
                      <w:highlight w:val="yellow"/>
                      <w:lang w:val="en-US" w:eastAsia="zh-CN" w:bidi="ar-SA"/>
                    </w:rPr>
                  </w:pPr>
                  <w:r>
                    <w:rPr>
                      <w:rFonts w:hint="eastAsia" w:ascii="Times New Roman" w:hAnsi="Times New Roman" w:eastAsia="宋体" w:cs="Times New Roman"/>
                      <w:color w:val="auto"/>
                      <w:sz w:val="21"/>
                      <w:szCs w:val="21"/>
                      <w:highlight w:val="none"/>
                      <w:lang w:val="en-US" w:eastAsia="zh-CN"/>
                    </w:rPr>
                    <w:t>万套/a</w:t>
                  </w:r>
                </w:p>
              </w:tc>
              <w:tc>
                <w:tcPr>
                  <w:tcW w:w="904" w:type="dxa"/>
                  <w:vAlign w:val="center"/>
                </w:tcPr>
                <w:p>
                  <w:pPr>
                    <w:pStyle w:val="36"/>
                    <w:keepNext w:val="0"/>
                    <w:keepLines w:val="0"/>
                    <w:pageBreakBefore w:val="0"/>
                    <w:kinsoku/>
                    <w:wordWrap/>
                    <w:overflowPunct/>
                    <w:topLinePunct w:val="0"/>
                    <w:bidi w:val="0"/>
                    <w:spacing w:line="240" w:lineRule="auto"/>
                    <w:ind w:firstLine="0" w:firstLineChars="0"/>
                    <w:jc w:val="center"/>
                    <w:rPr>
                      <w:rFonts w:hint="default" w:ascii="Times New Roman" w:hAnsi="Times New Roman" w:eastAsia="宋体" w:cs="Times New Roman"/>
                      <w:bCs/>
                      <w:snapToGrid w:val="0"/>
                      <w:color w:val="auto"/>
                      <w:spacing w:val="0"/>
                      <w:kern w:val="0"/>
                      <w:sz w:val="21"/>
                      <w:szCs w:val="21"/>
                      <w:highlight w:val="none"/>
                      <w:lang w:val="en-US" w:eastAsia="zh-CN" w:bidi="ar-SA"/>
                    </w:rPr>
                  </w:pPr>
                  <w:r>
                    <w:rPr>
                      <w:rFonts w:hint="eastAsia" w:cs="Times New Roman"/>
                      <w:bCs/>
                      <w:snapToGrid w:val="0"/>
                      <w:color w:val="auto"/>
                      <w:spacing w:val="0"/>
                      <w:kern w:val="0"/>
                      <w:sz w:val="21"/>
                      <w:szCs w:val="21"/>
                      <w:highlight w:val="none"/>
                      <w:lang w:val="en-US" w:eastAsia="zh-CN" w:bidi="ar-SA"/>
                    </w:rPr>
                    <w:t>0</w:t>
                  </w:r>
                </w:p>
              </w:tc>
              <w:tc>
                <w:tcPr>
                  <w:tcW w:w="1121" w:type="dxa"/>
                  <w:vAlign w:val="center"/>
                </w:tcPr>
                <w:p>
                  <w:pPr>
                    <w:pStyle w:val="36"/>
                    <w:keepNext w:val="0"/>
                    <w:keepLines w:val="0"/>
                    <w:pageBreakBefore w:val="0"/>
                    <w:kinsoku/>
                    <w:wordWrap/>
                    <w:overflowPunct/>
                    <w:topLinePunct w:val="0"/>
                    <w:bidi w:val="0"/>
                    <w:spacing w:line="240" w:lineRule="auto"/>
                    <w:ind w:firstLine="0" w:firstLineChars="0"/>
                    <w:jc w:val="center"/>
                    <w:rPr>
                      <w:rFonts w:hint="default" w:ascii="Times New Roman" w:hAnsi="Times New Roman" w:eastAsia="宋体" w:cs="Times New Roman"/>
                      <w:bCs/>
                      <w:snapToGrid w:val="0"/>
                      <w:color w:val="auto"/>
                      <w:spacing w:val="0"/>
                      <w:kern w:val="0"/>
                      <w:sz w:val="21"/>
                      <w:szCs w:val="21"/>
                      <w:highlight w:val="yellow"/>
                      <w:lang w:val="en-US" w:eastAsia="zh-CN" w:bidi="ar-SA"/>
                    </w:rPr>
                  </w:pPr>
                  <w:r>
                    <w:rPr>
                      <w:rFonts w:hint="eastAsia" w:ascii="Times New Roman" w:hAnsi="Times New Roman" w:eastAsia="宋体" w:cs="Times New Roman"/>
                      <w:color w:val="auto"/>
                      <w:sz w:val="21"/>
                      <w:szCs w:val="21"/>
                      <w:highlight w:val="none"/>
                      <w:lang w:val="en-US" w:eastAsia="zh-CN"/>
                    </w:rPr>
                    <w:t>5</w:t>
                  </w:r>
                </w:p>
              </w:tc>
              <w:tc>
                <w:tcPr>
                  <w:tcW w:w="960" w:type="dxa"/>
                  <w:vAlign w:val="center"/>
                </w:tcPr>
                <w:p>
                  <w:pPr>
                    <w:pStyle w:val="36"/>
                    <w:keepNext w:val="0"/>
                    <w:keepLines w:val="0"/>
                    <w:pageBreakBefore w:val="0"/>
                    <w:kinsoku/>
                    <w:wordWrap/>
                    <w:overflowPunct/>
                    <w:topLinePunct w:val="0"/>
                    <w:bidi w:val="0"/>
                    <w:spacing w:line="240" w:lineRule="auto"/>
                    <w:ind w:firstLine="0" w:firstLineChars="0"/>
                    <w:jc w:val="center"/>
                    <w:rPr>
                      <w:rFonts w:hint="default" w:ascii="Times New Roman" w:hAnsi="Times New Roman" w:cs="Times New Roman"/>
                      <w:color w:val="auto"/>
                      <w:kern w:val="0"/>
                      <w:sz w:val="21"/>
                      <w:szCs w:val="21"/>
                      <w:highlight w:val="yellow"/>
                      <w:lang w:val="en-US" w:eastAsia="zh-CN"/>
                    </w:rPr>
                  </w:pPr>
                  <w:r>
                    <w:rPr>
                      <w:rFonts w:hint="eastAsia"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5</w:t>
                  </w:r>
                </w:p>
              </w:tc>
              <w:tc>
                <w:tcPr>
                  <w:tcW w:w="2070" w:type="dxa"/>
                  <w:gridSpan w:val="2"/>
                  <w:vAlign w:val="center"/>
                </w:tcPr>
                <w:p>
                  <w:pPr>
                    <w:keepNext w:val="0"/>
                    <w:keepLines w:val="0"/>
                    <w:pageBreakBefore w:val="0"/>
                    <w:widowControl w:val="0"/>
                    <w:kinsoku/>
                    <w:wordWrap/>
                    <w:overflowPunct/>
                    <w:topLinePunct w:val="0"/>
                    <w:autoSpaceDE/>
                    <w:autoSpaceDN/>
                    <w:bidi w:val="0"/>
                    <w:spacing w:line="240" w:lineRule="auto"/>
                    <w:ind w:left="-24" w:leftChars="-10" w:right="-24" w:rightChars="-10" w:firstLine="0" w:firstLineChars="0"/>
                    <w:jc w:val="center"/>
                    <w:textAlignment w:val="auto"/>
                    <w:outlineLvl w:val="9"/>
                    <w:rPr>
                      <w:rFonts w:hint="default" w:ascii="Times New Roman" w:hAnsi="Times New Roman" w:eastAsia="宋体" w:cs="Times New Roman"/>
                      <w:color w:val="auto"/>
                      <w:spacing w:val="0"/>
                      <w:kern w:val="2"/>
                      <w:sz w:val="21"/>
                      <w:szCs w:val="21"/>
                      <w:highlight w:val="yellow"/>
                      <w:lang w:val="en-US" w:eastAsia="zh-CN" w:bidi="ar-SA"/>
                    </w:rPr>
                  </w:pPr>
                  <w:r>
                    <w:rPr>
                      <w:rFonts w:hint="eastAsia" w:cs="Times New Roman"/>
                      <w:color w:val="auto"/>
                      <w:spacing w:val="0"/>
                      <w:kern w:val="2"/>
                      <w:sz w:val="21"/>
                      <w:szCs w:val="21"/>
                      <w:highlight w:val="none"/>
                      <w:lang w:val="en-US" w:eastAsia="zh-CN" w:bidi="ar-SA"/>
                    </w:rPr>
                    <w:t>外购</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44" w:hRule="atLeast"/>
                <w:jc w:val="center"/>
              </w:trPr>
              <w:tc>
                <w:tcPr>
                  <w:tcW w:w="589" w:type="dxa"/>
                  <w:vAlign w:val="center"/>
                </w:tcPr>
                <w:p>
                  <w:pPr>
                    <w:keepNext w:val="0"/>
                    <w:keepLines w:val="0"/>
                    <w:pageBreakBefore w:val="0"/>
                    <w:widowControl w:val="0"/>
                    <w:numPr>
                      <w:ilvl w:val="0"/>
                      <w:numId w:val="15"/>
                    </w:numPr>
                    <w:kinsoku/>
                    <w:wordWrap/>
                    <w:overflowPunct/>
                    <w:topLinePunct w:val="0"/>
                    <w:autoSpaceDE w:val="0"/>
                    <w:autoSpaceDN w:val="0"/>
                    <w:bidi w:val="0"/>
                    <w:adjustRightInd w:val="0"/>
                    <w:snapToGrid w:val="0"/>
                    <w:spacing w:line="240" w:lineRule="auto"/>
                    <w:ind w:left="-24" w:leftChars="-10" w:right="-24" w:rightChars="-10" w:firstLine="0" w:firstLineChars="0"/>
                    <w:jc w:val="center"/>
                    <w:textAlignment w:val="auto"/>
                    <w:rPr>
                      <w:rFonts w:hint="default" w:ascii="Times New Roman" w:hAnsi="Times New Roman" w:cs="Times New Roman"/>
                      <w:color w:val="auto"/>
                      <w:kern w:val="0"/>
                      <w:sz w:val="21"/>
                      <w:szCs w:val="21"/>
                      <w:highlight w:val="none"/>
                    </w:rPr>
                  </w:pPr>
                </w:p>
              </w:tc>
              <w:tc>
                <w:tcPr>
                  <w:tcW w:w="1500" w:type="dxa"/>
                  <w:gridSpan w:val="2"/>
                  <w:vAlign w:val="center"/>
                </w:tcPr>
                <w:p>
                  <w:pPr>
                    <w:pStyle w:val="36"/>
                    <w:keepNext w:val="0"/>
                    <w:keepLines w:val="0"/>
                    <w:pageBreakBefore w:val="0"/>
                    <w:kinsoku/>
                    <w:wordWrap/>
                    <w:overflowPunct/>
                    <w:topLinePunct w:val="0"/>
                    <w:bidi w:val="0"/>
                    <w:spacing w:line="240" w:lineRule="auto"/>
                    <w:ind w:firstLine="0" w:firstLineChars="0"/>
                    <w:jc w:val="center"/>
                    <w:rPr>
                      <w:rFonts w:hint="eastAsia"/>
                      <w:color w:val="auto"/>
                      <w:highlight w:val="yellow"/>
                      <w:lang w:val="en-US" w:eastAsia="zh-CN"/>
                    </w:rPr>
                  </w:pPr>
                  <w:r>
                    <w:rPr>
                      <w:rFonts w:hint="eastAsia" w:ascii="Times New Roman" w:hAnsi="Times New Roman" w:eastAsia="宋体" w:cs="Times New Roman"/>
                      <w:color w:val="auto"/>
                      <w:sz w:val="21"/>
                      <w:szCs w:val="21"/>
                      <w:highlight w:val="none"/>
                      <w:lang w:val="en-US" w:eastAsia="zh-CN"/>
                    </w:rPr>
                    <w:t>PET膜</w:t>
                  </w:r>
                </w:p>
              </w:tc>
              <w:tc>
                <w:tcPr>
                  <w:tcW w:w="1133" w:type="dxa"/>
                  <w:vAlign w:val="center"/>
                </w:tcPr>
                <w:p>
                  <w:pPr>
                    <w:pStyle w:val="36"/>
                    <w:keepNext w:val="0"/>
                    <w:keepLines w:val="0"/>
                    <w:pageBreakBefore w:val="0"/>
                    <w:kinsoku/>
                    <w:wordWrap/>
                    <w:overflowPunct/>
                    <w:topLinePunct w:val="0"/>
                    <w:bidi w:val="0"/>
                    <w:spacing w:line="240" w:lineRule="auto"/>
                    <w:ind w:firstLine="0" w:firstLineChars="0"/>
                    <w:jc w:val="center"/>
                    <w:rPr>
                      <w:rFonts w:hint="default" w:ascii="Times New Roman" w:hAnsi="Times New Roman" w:eastAsia="宋体" w:cs="Times New Roman"/>
                      <w:snapToGrid w:val="0"/>
                      <w:color w:val="auto"/>
                      <w:spacing w:val="0"/>
                      <w:kern w:val="0"/>
                      <w:sz w:val="21"/>
                      <w:szCs w:val="21"/>
                      <w:highlight w:val="yellow"/>
                      <w:lang w:val="en-US" w:eastAsia="zh-CN" w:bidi="ar-SA"/>
                    </w:rPr>
                  </w:pPr>
                  <w:r>
                    <w:rPr>
                      <w:rFonts w:hint="eastAsia" w:ascii="Times New Roman" w:hAnsi="Times New Roman" w:eastAsia="宋体" w:cs="Times New Roman"/>
                      <w:color w:val="auto"/>
                      <w:sz w:val="21"/>
                      <w:szCs w:val="21"/>
                      <w:highlight w:val="none"/>
                      <w:lang w:val="en-US" w:eastAsia="zh-CN"/>
                    </w:rPr>
                    <w:t>万m/a</w:t>
                  </w:r>
                </w:p>
              </w:tc>
              <w:tc>
                <w:tcPr>
                  <w:tcW w:w="904" w:type="dxa"/>
                  <w:vAlign w:val="center"/>
                </w:tcPr>
                <w:p>
                  <w:pPr>
                    <w:pStyle w:val="36"/>
                    <w:keepNext w:val="0"/>
                    <w:keepLines w:val="0"/>
                    <w:pageBreakBefore w:val="0"/>
                    <w:kinsoku/>
                    <w:wordWrap/>
                    <w:overflowPunct/>
                    <w:topLinePunct w:val="0"/>
                    <w:bidi w:val="0"/>
                    <w:spacing w:line="240" w:lineRule="auto"/>
                    <w:ind w:firstLine="0" w:firstLineChars="0"/>
                    <w:jc w:val="center"/>
                    <w:rPr>
                      <w:rFonts w:hint="default" w:ascii="Times New Roman" w:hAnsi="Times New Roman" w:eastAsia="宋体" w:cs="Times New Roman"/>
                      <w:bCs/>
                      <w:snapToGrid w:val="0"/>
                      <w:color w:val="auto"/>
                      <w:spacing w:val="0"/>
                      <w:kern w:val="0"/>
                      <w:sz w:val="21"/>
                      <w:szCs w:val="21"/>
                      <w:highlight w:val="none"/>
                      <w:lang w:val="en-US" w:eastAsia="zh-CN" w:bidi="ar-SA"/>
                    </w:rPr>
                  </w:pPr>
                  <w:r>
                    <w:rPr>
                      <w:rFonts w:hint="eastAsia" w:cs="Times New Roman"/>
                      <w:bCs/>
                      <w:snapToGrid w:val="0"/>
                      <w:color w:val="auto"/>
                      <w:spacing w:val="0"/>
                      <w:kern w:val="0"/>
                      <w:sz w:val="21"/>
                      <w:szCs w:val="21"/>
                      <w:highlight w:val="none"/>
                      <w:lang w:val="en-US" w:eastAsia="zh-CN" w:bidi="ar-SA"/>
                    </w:rPr>
                    <w:t>0</w:t>
                  </w:r>
                </w:p>
              </w:tc>
              <w:tc>
                <w:tcPr>
                  <w:tcW w:w="1121" w:type="dxa"/>
                  <w:vAlign w:val="center"/>
                </w:tcPr>
                <w:p>
                  <w:pPr>
                    <w:pStyle w:val="36"/>
                    <w:keepNext w:val="0"/>
                    <w:keepLines w:val="0"/>
                    <w:pageBreakBefore w:val="0"/>
                    <w:kinsoku/>
                    <w:wordWrap/>
                    <w:overflowPunct/>
                    <w:topLinePunct w:val="0"/>
                    <w:bidi w:val="0"/>
                    <w:spacing w:line="240" w:lineRule="auto"/>
                    <w:ind w:firstLine="0" w:firstLineChars="0"/>
                    <w:jc w:val="center"/>
                    <w:rPr>
                      <w:rFonts w:hint="default" w:ascii="Times New Roman" w:hAnsi="Times New Roman" w:eastAsia="宋体" w:cs="Times New Roman"/>
                      <w:bCs/>
                      <w:snapToGrid w:val="0"/>
                      <w:color w:val="auto"/>
                      <w:spacing w:val="0"/>
                      <w:kern w:val="0"/>
                      <w:sz w:val="21"/>
                      <w:szCs w:val="21"/>
                      <w:highlight w:val="yellow"/>
                      <w:lang w:val="en-US" w:eastAsia="zh-CN" w:bidi="ar-SA"/>
                    </w:rPr>
                  </w:pPr>
                  <w:r>
                    <w:rPr>
                      <w:rFonts w:hint="eastAsia" w:ascii="Times New Roman" w:hAnsi="Times New Roman" w:eastAsia="宋体" w:cs="Times New Roman"/>
                      <w:color w:val="auto"/>
                      <w:sz w:val="21"/>
                      <w:szCs w:val="21"/>
                      <w:highlight w:val="none"/>
                      <w:lang w:val="en-US" w:eastAsia="zh-CN"/>
                    </w:rPr>
                    <w:t>12</w:t>
                  </w:r>
                </w:p>
              </w:tc>
              <w:tc>
                <w:tcPr>
                  <w:tcW w:w="960" w:type="dxa"/>
                  <w:vAlign w:val="center"/>
                </w:tcPr>
                <w:p>
                  <w:pPr>
                    <w:pStyle w:val="36"/>
                    <w:keepNext w:val="0"/>
                    <w:keepLines w:val="0"/>
                    <w:pageBreakBefore w:val="0"/>
                    <w:kinsoku/>
                    <w:wordWrap/>
                    <w:overflowPunct/>
                    <w:topLinePunct w:val="0"/>
                    <w:bidi w:val="0"/>
                    <w:spacing w:line="240" w:lineRule="auto"/>
                    <w:ind w:firstLine="0" w:firstLineChars="0"/>
                    <w:jc w:val="center"/>
                    <w:rPr>
                      <w:rFonts w:hint="default" w:ascii="Times New Roman" w:hAnsi="Times New Roman" w:cs="Times New Roman"/>
                      <w:color w:val="auto"/>
                      <w:kern w:val="0"/>
                      <w:sz w:val="21"/>
                      <w:szCs w:val="21"/>
                      <w:highlight w:val="yellow"/>
                      <w:lang w:val="en-US" w:eastAsia="zh-CN"/>
                    </w:rPr>
                  </w:pPr>
                  <w:r>
                    <w:rPr>
                      <w:rFonts w:hint="eastAsia"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12</w:t>
                  </w:r>
                </w:p>
              </w:tc>
              <w:tc>
                <w:tcPr>
                  <w:tcW w:w="2070" w:type="dxa"/>
                  <w:gridSpan w:val="2"/>
                  <w:vAlign w:val="center"/>
                </w:tcPr>
                <w:p>
                  <w:pPr>
                    <w:keepNext w:val="0"/>
                    <w:keepLines w:val="0"/>
                    <w:pageBreakBefore w:val="0"/>
                    <w:widowControl w:val="0"/>
                    <w:kinsoku/>
                    <w:wordWrap/>
                    <w:overflowPunct/>
                    <w:topLinePunct w:val="0"/>
                    <w:autoSpaceDE/>
                    <w:autoSpaceDN/>
                    <w:bidi w:val="0"/>
                    <w:spacing w:line="240" w:lineRule="auto"/>
                    <w:ind w:left="-24" w:leftChars="-10" w:right="-24" w:rightChars="-10" w:firstLine="0" w:firstLineChars="0"/>
                    <w:jc w:val="center"/>
                    <w:textAlignment w:val="auto"/>
                    <w:outlineLvl w:val="9"/>
                    <w:rPr>
                      <w:rFonts w:hint="default" w:ascii="Times New Roman" w:hAnsi="Times New Roman" w:eastAsia="宋体" w:cs="Times New Roman"/>
                      <w:color w:val="auto"/>
                      <w:spacing w:val="0"/>
                      <w:kern w:val="2"/>
                      <w:sz w:val="21"/>
                      <w:szCs w:val="21"/>
                      <w:highlight w:val="yellow"/>
                      <w:lang w:val="en-US" w:eastAsia="zh-CN" w:bidi="ar-SA"/>
                    </w:rPr>
                  </w:pPr>
                  <w:r>
                    <w:rPr>
                      <w:rFonts w:hint="eastAsia" w:cs="Times New Roman"/>
                      <w:color w:val="auto"/>
                      <w:spacing w:val="0"/>
                      <w:kern w:val="2"/>
                      <w:sz w:val="21"/>
                      <w:szCs w:val="21"/>
                      <w:highlight w:val="none"/>
                      <w:lang w:val="en-US" w:eastAsia="zh-CN" w:bidi="ar-SA"/>
                    </w:rPr>
                    <w:t>外购</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44" w:hRule="atLeast"/>
                <w:jc w:val="center"/>
              </w:trPr>
              <w:tc>
                <w:tcPr>
                  <w:tcW w:w="589" w:type="dxa"/>
                  <w:vAlign w:val="center"/>
                </w:tcPr>
                <w:p>
                  <w:pPr>
                    <w:keepNext w:val="0"/>
                    <w:keepLines w:val="0"/>
                    <w:pageBreakBefore w:val="0"/>
                    <w:widowControl w:val="0"/>
                    <w:numPr>
                      <w:ilvl w:val="0"/>
                      <w:numId w:val="15"/>
                    </w:numPr>
                    <w:kinsoku/>
                    <w:wordWrap/>
                    <w:overflowPunct/>
                    <w:topLinePunct w:val="0"/>
                    <w:autoSpaceDE w:val="0"/>
                    <w:autoSpaceDN w:val="0"/>
                    <w:bidi w:val="0"/>
                    <w:adjustRightInd w:val="0"/>
                    <w:snapToGrid w:val="0"/>
                    <w:spacing w:line="240" w:lineRule="auto"/>
                    <w:ind w:left="-24" w:leftChars="-10" w:right="-24" w:rightChars="-10" w:firstLine="0" w:firstLineChars="0"/>
                    <w:jc w:val="center"/>
                    <w:textAlignment w:val="auto"/>
                    <w:rPr>
                      <w:rFonts w:hint="default" w:ascii="Times New Roman" w:hAnsi="Times New Roman" w:cs="Times New Roman"/>
                      <w:color w:val="auto"/>
                      <w:kern w:val="0"/>
                      <w:sz w:val="21"/>
                      <w:szCs w:val="21"/>
                      <w:highlight w:val="none"/>
                    </w:rPr>
                  </w:pPr>
                </w:p>
              </w:tc>
              <w:tc>
                <w:tcPr>
                  <w:tcW w:w="1500" w:type="dxa"/>
                  <w:gridSpan w:val="2"/>
                  <w:vAlign w:val="center"/>
                </w:tcPr>
                <w:p>
                  <w:pPr>
                    <w:pStyle w:val="36"/>
                    <w:keepNext w:val="0"/>
                    <w:keepLines w:val="0"/>
                    <w:pageBreakBefore w:val="0"/>
                    <w:kinsoku/>
                    <w:wordWrap/>
                    <w:overflowPunct/>
                    <w:topLinePunct w:val="0"/>
                    <w:bidi w:val="0"/>
                    <w:spacing w:line="240" w:lineRule="auto"/>
                    <w:ind w:firstLine="0" w:firstLineChars="0"/>
                    <w:jc w:val="center"/>
                    <w:rPr>
                      <w:rFonts w:hint="eastAsia"/>
                      <w:color w:val="auto"/>
                      <w:highlight w:val="yellow"/>
                      <w:lang w:val="en-US" w:eastAsia="zh-CN"/>
                    </w:rPr>
                  </w:pPr>
                  <w:r>
                    <w:rPr>
                      <w:rFonts w:hint="eastAsia" w:ascii="Times New Roman" w:hAnsi="Times New Roman" w:eastAsia="宋体" w:cs="Times New Roman"/>
                      <w:color w:val="auto"/>
                      <w:sz w:val="21"/>
                      <w:szCs w:val="21"/>
                      <w:highlight w:val="none"/>
                      <w:lang w:val="en-US" w:eastAsia="zh-CN"/>
                    </w:rPr>
                    <w:t>PVC膜</w:t>
                  </w:r>
                </w:p>
              </w:tc>
              <w:tc>
                <w:tcPr>
                  <w:tcW w:w="1133" w:type="dxa"/>
                  <w:vAlign w:val="center"/>
                </w:tcPr>
                <w:p>
                  <w:pPr>
                    <w:pStyle w:val="36"/>
                    <w:keepNext w:val="0"/>
                    <w:keepLines w:val="0"/>
                    <w:pageBreakBefore w:val="0"/>
                    <w:kinsoku/>
                    <w:wordWrap/>
                    <w:overflowPunct/>
                    <w:topLinePunct w:val="0"/>
                    <w:bidi w:val="0"/>
                    <w:spacing w:line="240" w:lineRule="auto"/>
                    <w:ind w:firstLine="0" w:firstLineChars="0"/>
                    <w:jc w:val="center"/>
                    <w:rPr>
                      <w:rFonts w:hint="default" w:ascii="Times New Roman" w:hAnsi="Times New Roman" w:eastAsia="宋体" w:cs="Times New Roman"/>
                      <w:snapToGrid w:val="0"/>
                      <w:color w:val="auto"/>
                      <w:spacing w:val="0"/>
                      <w:kern w:val="0"/>
                      <w:sz w:val="21"/>
                      <w:szCs w:val="21"/>
                      <w:highlight w:val="yellow"/>
                      <w:lang w:val="en-US" w:eastAsia="zh-CN" w:bidi="ar-SA"/>
                    </w:rPr>
                  </w:pPr>
                  <w:r>
                    <w:rPr>
                      <w:rFonts w:hint="eastAsia" w:ascii="Times New Roman" w:hAnsi="Times New Roman" w:eastAsia="宋体" w:cs="Times New Roman"/>
                      <w:color w:val="auto"/>
                      <w:sz w:val="21"/>
                      <w:szCs w:val="21"/>
                      <w:highlight w:val="none"/>
                      <w:lang w:val="en-US" w:eastAsia="zh-CN"/>
                    </w:rPr>
                    <w:t>万m/a</w:t>
                  </w:r>
                </w:p>
              </w:tc>
              <w:tc>
                <w:tcPr>
                  <w:tcW w:w="904" w:type="dxa"/>
                  <w:vAlign w:val="center"/>
                </w:tcPr>
                <w:p>
                  <w:pPr>
                    <w:pStyle w:val="36"/>
                    <w:keepNext w:val="0"/>
                    <w:keepLines w:val="0"/>
                    <w:pageBreakBefore w:val="0"/>
                    <w:kinsoku/>
                    <w:wordWrap/>
                    <w:overflowPunct/>
                    <w:topLinePunct w:val="0"/>
                    <w:bidi w:val="0"/>
                    <w:spacing w:line="240" w:lineRule="auto"/>
                    <w:ind w:firstLine="0" w:firstLineChars="0"/>
                    <w:jc w:val="center"/>
                    <w:rPr>
                      <w:rFonts w:hint="default" w:ascii="Times New Roman" w:hAnsi="Times New Roman" w:eastAsia="宋体" w:cs="Times New Roman"/>
                      <w:bCs/>
                      <w:snapToGrid w:val="0"/>
                      <w:color w:val="auto"/>
                      <w:spacing w:val="0"/>
                      <w:kern w:val="0"/>
                      <w:sz w:val="21"/>
                      <w:szCs w:val="21"/>
                      <w:highlight w:val="yellow"/>
                      <w:lang w:val="en-US" w:eastAsia="zh-CN" w:bidi="ar-SA"/>
                    </w:rPr>
                  </w:pPr>
                  <w:r>
                    <w:rPr>
                      <w:rFonts w:hint="eastAsia" w:cs="Times New Roman"/>
                      <w:bCs/>
                      <w:snapToGrid w:val="0"/>
                      <w:color w:val="auto"/>
                      <w:spacing w:val="0"/>
                      <w:kern w:val="0"/>
                      <w:sz w:val="21"/>
                      <w:szCs w:val="21"/>
                      <w:highlight w:val="none"/>
                      <w:lang w:val="en-US" w:eastAsia="zh-CN" w:bidi="ar-SA"/>
                    </w:rPr>
                    <w:t>0</w:t>
                  </w:r>
                </w:p>
              </w:tc>
              <w:tc>
                <w:tcPr>
                  <w:tcW w:w="1121" w:type="dxa"/>
                  <w:vAlign w:val="center"/>
                </w:tcPr>
                <w:p>
                  <w:pPr>
                    <w:pStyle w:val="36"/>
                    <w:keepNext w:val="0"/>
                    <w:keepLines w:val="0"/>
                    <w:pageBreakBefore w:val="0"/>
                    <w:kinsoku/>
                    <w:wordWrap/>
                    <w:overflowPunct/>
                    <w:topLinePunct w:val="0"/>
                    <w:bidi w:val="0"/>
                    <w:spacing w:line="240" w:lineRule="auto"/>
                    <w:ind w:firstLine="0" w:firstLineChars="0"/>
                    <w:jc w:val="center"/>
                    <w:rPr>
                      <w:rFonts w:hint="default" w:ascii="Times New Roman" w:hAnsi="Times New Roman" w:eastAsia="宋体" w:cs="Times New Roman"/>
                      <w:bCs/>
                      <w:snapToGrid w:val="0"/>
                      <w:color w:val="auto"/>
                      <w:spacing w:val="0"/>
                      <w:kern w:val="0"/>
                      <w:sz w:val="21"/>
                      <w:szCs w:val="21"/>
                      <w:highlight w:val="yellow"/>
                      <w:lang w:val="en-US" w:eastAsia="zh-CN" w:bidi="ar-SA"/>
                    </w:rPr>
                  </w:pPr>
                  <w:r>
                    <w:rPr>
                      <w:rFonts w:hint="eastAsia" w:ascii="Times New Roman" w:hAnsi="Times New Roman" w:eastAsia="宋体" w:cs="Times New Roman"/>
                      <w:color w:val="auto"/>
                      <w:sz w:val="21"/>
                      <w:szCs w:val="21"/>
                      <w:highlight w:val="none"/>
                      <w:lang w:val="en-US" w:eastAsia="zh-CN"/>
                    </w:rPr>
                    <w:t>8</w:t>
                  </w:r>
                </w:p>
              </w:tc>
              <w:tc>
                <w:tcPr>
                  <w:tcW w:w="960" w:type="dxa"/>
                  <w:vAlign w:val="center"/>
                </w:tcPr>
                <w:p>
                  <w:pPr>
                    <w:pStyle w:val="36"/>
                    <w:keepNext w:val="0"/>
                    <w:keepLines w:val="0"/>
                    <w:pageBreakBefore w:val="0"/>
                    <w:kinsoku/>
                    <w:wordWrap/>
                    <w:overflowPunct/>
                    <w:topLinePunct w:val="0"/>
                    <w:bidi w:val="0"/>
                    <w:spacing w:line="240" w:lineRule="auto"/>
                    <w:ind w:firstLine="0" w:firstLineChars="0"/>
                    <w:jc w:val="center"/>
                    <w:rPr>
                      <w:rFonts w:hint="default" w:ascii="Times New Roman" w:hAnsi="Times New Roman" w:cs="Times New Roman"/>
                      <w:color w:val="auto"/>
                      <w:kern w:val="0"/>
                      <w:sz w:val="21"/>
                      <w:szCs w:val="21"/>
                      <w:highlight w:val="yellow"/>
                      <w:lang w:val="en-US" w:eastAsia="zh-CN"/>
                    </w:rPr>
                  </w:pPr>
                  <w:r>
                    <w:rPr>
                      <w:rFonts w:hint="eastAsia"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8</w:t>
                  </w:r>
                </w:p>
              </w:tc>
              <w:tc>
                <w:tcPr>
                  <w:tcW w:w="2070" w:type="dxa"/>
                  <w:gridSpan w:val="2"/>
                  <w:vAlign w:val="center"/>
                </w:tcPr>
                <w:p>
                  <w:pPr>
                    <w:keepNext w:val="0"/>
                    <w:keepLines w:val="0"/>
                    <w:pageBreakBefore w:val="0"/>
                    <w:widowControl w:val="0"/>
                    <w:kinsoku/>
                    <w:wordWrap/>
                    <w:overflowPunct/>
                    <w:topLinePunct w:val="0"/>
                    <w:autoSpaceDE/>
                    <w:autoSpaceDN/>
                    <w:bidi w:val="0"/>
                    <w:spacing w:line="240" w:lineRule="auto"/>
                    <w:ind w:left="-24" w:leftChars="-10" w:right="-24" w:rightChars="-10" w:firstLine="0" w:firstLineChars="0"/>
                    <w:jc w:val="center"/>
                    <w:textAlignment w:val="auto"/>
                    <w:outlineLvl w:val="9"/>
                    <w:rPr>
                      <w:rFonts w:hint="default" w:ascii="Times New Roman" w:hAnsi="Times New Roman" w:eastAsia="宋体" w:cs="Times New Roman"/>
                      <w:color w:val="auto"/>
                      <w:spacing w:val="0"/>
                      <w:kern w:val="2"/>
                      <w:sz w:val="21"/>
                      <w:szCs w:val="21"/>
                      <w:highlight w:val="yellow"/>
                      <w:lang w:val="en-US" w:eastAsia="zh-CN" w:bidi="ar-SA"/>
                    </w:rPr>
                  </w:pPr>
                  <w:r>
                    <w:rPr>
                      <w:rFonts w:hint="eastAsia" w:cs="Times New Roman"/>
                      <w:color w:val="auto"/>
                      <w:spacing w:val="0"/>
                      <w:kern w:val="2"/>
                      <w:sz w:val="21"/>
                      <w:szCs w:val="21"/>
                      <w:highlight w:val="none"/>
                      <w:lang w:val="en-US" w:eastAsia="zh-CN" w:bidi="ar-SA"/>
                    </w:rPr>
                    <w:t>外购</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44" w:hRule="atLeast"/>
                <w:jc w:val="center"/>
              </w:trPr>
              <w:tc>
                <w:tcPr>
                  <w:tcW w:w="589" w:type="dxa"/>
                  <w:vAlign w:val="center"/>
                </w:tcPr>
                <w:p>
                  <w:pPr>
                    <w:keepNext w:val="0"/>
                    <w:keepLines w:val="0"/>
                    <w:pageBreakBefore w:val="0"/>
                    <w:widowControl w:val="0"/>
                    <w:numPr>
                      <w:ilvl w:val="0"/>
                      <w:numId w:val="15"/>
                    </w:numPr>
                    <w:kinsoku/>
                    <w:wordWrap/>
                    <w:overflowPunct/>
                    <w:topLinePunct w:val="0"/>
                    <w:autoSpaceDE w:val="0"/>
                    <w:autoSpaceDN w:val="0"/>
                    <w:bidi w:val="0"/>
                    <w:adjustRightInd w:val="0"/>
                    <w:snapToGrid w:val="0"/>
                    <w:spacing w:line="240" w:lineRule="auto"/>
                    <w:ind w:left="-24" w:leftChars="-10" w:right="-24" w:rightChars="-10" w:firstLine="0" w:firstLineChars="0"/>
                    <w:jc w:val="center"/>
                    <w:textAlignment w:val="auto"/>
                    <w:rPr>
                      <w:rFonts w:hint="default" w:ascii="Times New Roman" w:hAnsi="Times New Roman" w:cs="Times New Roman"/>
                      <w:color w:val="auto"/>
                      <w:kern w:val="0"/>
                      <w:sz w:val="21"/>
                      <w:szCs w:val="21"/>
                      <w:highlight w:val="none"/>
                    </w:rPr>
                  </w:pPr>
                </w:p>
              </w:tc>
              <w:tc>
                <w:tcPr>
                  <w:tcW w:w="638" w:type="dxa"/>
                  <w:vMerge w:val="restart"/>
                  <w:vAlign w:val="center"/>
                </w:tcPr>
                <w:p>
                  <w:pPr>
                    <w:pStyle w:val="36"/>
                    <w:keepNext w:val="0"/>
                    <w:keepLines w:val="0"/>
                    <w:pageBreakBefore w:val="0"/>
                    <w:kinsoku/>
                    <w:wordWrap/>
                    <w:overflowPunct/>
                    <w:topLinePunct w:val="0"/>
                    <w:bidi w:val="0"/>
                    <w:spacing w:line="240" w:lineRule="auto"/>
                    <w:ind w:firstLine="0" w:firstLineChars="0"/>
                    <w:jc w:val="center"/>
                    <w:rPr>
                      <w:rFonts w:hint="eastAsia"/>
                      <w:color w:val="auto"/>
                      <w:highlight w:val="yellow"/>
                      <w:lang w:val="en-US" w:eastAsia="zh-CN"/>
                    </w:rPr>
                  </w:pPr>
                  <w:r>
                    <w:rPr>
                      <w:rFonts w:hint="eastAsia" w:ascii="Times New Roman" w:hAnsi="Times New Roman" w:eastAsia="宋体" w:cs="Times New Roman"/>
                      <w:color w:val="auto"/>
                      <w:sz w:val="21"/>
                      <w:szCs w:val="21"/>
                      <w:highlight w:val="none"/>
                      <w:lang w:val="en-US" w:eastAsia="zh-CN"/>
                    </w:rPr>
                    <w:t>导电浆料</w:t>
                  </w:r>
                </w:p>
              </w:tc>
              <w:tc>
                <w:tcPr>
                  <w:tcW w:w="862" w:type="dxa"/>
                  <w:vAlign w:val="center"/>
                </w:tcPr>
                <w:p>
                  <w:pPr>
                    <w:pStyle w:val="36"/>
                    <w:keepNext w:val="0"/>
                    <w:keepLines w:val="0"/>
                    <w:pageBreakBefore w:val="0"/>
                    <w:kinsoku/>
                    <w:wordWrap/>
                    <w:overflowPunct/>
                    <w:topLinePunct w:val="0"/>
                    <w:bidi w:val="0"/>
                    <w:spacing w:line="240" w:lineRule="auto"/>
                    <w:ind w:firstLine="0" w:firstLineChars="0"/>
                    <w:jc w:val="center"/>
                    <w:rPr>
                      <w:rFonts w:hint="eastAsia"/>
                      <w:color w:val="auto"/>
                      <w:highlight w:val="yellow"/>
                      <w:lang w:val="en-US" w:eastAsia="zh-CN"/>
                    </w:rPr>
                  </w:pPr>
                  <w:r>
                    <w:rPr>
                      <w:rFonts w:hint="eastAsia" w:ascii="Times New Roman" w:hAnsi="Times New Roman" w:eastAsia="宋体" w:cs="Times New Roman"/>
                      <w:color w:val="auto"/>
                      <w:sz w:val="21"/>
                      <w:szCs w:val="21"/>
                      <w:highlight w:val="none"/>
                      <w:lang w:val="en-US" w:eastAsia="zh-CN"/>
                    </w:rPr>
                    <w:t>水性有机硅树脂</w:t>
                  </w:r>
                </w:p>
              </w:tc>
              <w:tc>
                <w:tcPr>
                  <w:tcW w:w="1133" w:type="dxa"/>
                  <w:vAlign w:val="center"/>
                </w:tcPr>
                <w:p>
                  <w:pPr>
                    <w:pStyle w:val="36"/>
                    <w:keepNext w:val="0"/>
                    <w:keepLines w:val="0"/>
                    <w:pageBreakBefore w:val="0"/>
                    <w:kinsoku/>
                    <w:wordWrap/>
                    <w:overflowPunct/>
                    <w:topLinePunct w:val="0"/>
                    <w:bidi w:val="0"/>
                    <w:spacing w:line="240" w:lineRule="auto"/>
                    <w:ind w:firstLine="0" w:firstLineChars="0"/>
                    <w:jc w:val="center"/>
                    <w:rPr>
                      <w:rFonts w:hint="default" w:ascii="Times New Roman" w:hAnsi="Times New Roman" w:eastAsia="宋体" w:cs="Times New Roman"/>
                      <w:snapToGrid w:val="0"/>
                      <w:color w:val="auto"/>
                      <w:spacing w:val="0"/>
                      <w:kern w:val="0"/>
                      <w:sz w:val="21"/>
                      <w:szCs w:val="21"/>
                      <w:highlight w:val="yellow"/>
                      <w:lang w:val="en-US" w:eastAsia="zh-CN" w:bidi="ar-SA"/>
                    </w:rPr>
                  </w:pPr>
                  <w:r>
                    <w:rPr>
                      <w:rFonts w:hint="eastAsia" w:ascii="Times New Roman" w:hAnsi="Times New Roman" w:eastAsia="宋体" w:cs="Times New Roman"/>
                      <w:color w:val="auto"/>
                      <w:sz w:val="21"/>
                      <w:szCs w:val="21"/>
                      <w:highlight w:val="none"/>
                      <w:lang w:val="en-US" w:eastAsia="zh-CN"/>
                    </w:rPr>
                    <w:t>kg/a</w:t>
                  </w:r>
                </w:p>
              </w:tc>
              <w:tc>
                <w:tcPr>
                  <w:tcW w:w="904" w:type="dxa"/>
                  <w:vAlign w:val="center"/>
                </w:tcPr>
                <w:p>
                  <w:pPr>
                    <w:pStyle w:val="36"/>
                    <w:keepNext w:val="0"/>
                    <w:keepLines w:val="0"/>
                    <w:pageBreakBefore w:val="0"/>
                    <w:kinsoku/>
                    <w:wordWrap/>
                    <w:overflowPunct/>
                    <w:topLinePunct w:val="0"/>
                    <w:bidi w:val="0"/>
                    <w:spacing w:line="240" w:lineRule="auto"/>
                    <w:ind w:firstLine="0" w:firstLineChars="0"/>
                    <w:jc w:val="center"/>
                    <w:rPr>
                      <w:rFonts w:hint="default" w:ascii="Times New Roman" w:hAnsi="Times New Roman" w:eastAsia="宋体" w:cs="Times New Roman"/>
                      <w:bCs/>
                      <w:snapToGrid w:val="0"/>
                      <w:color w:val="auto"/>
                      <w:spacing w:val="0"/>
                      <w:kern w:val="0"/>
                      <w:sz w:val="21"/>
                      <w:szCs w:val="21"/>
                      <w:highlight w:val="yellow"/>
                      <w:lang w:val="en-US" w:eastAsia="zh-CN" w:bidi="ar-SA"/>
                    </w:rPr>
                  </w:pPr>
                  <w:r>
                    <w:rPr>
                      <w:rFonts w:hint="eastAsia" w:cs="Times New Roman"/>
                      <w:bCs/>
                      <w:snapToGrid w:val="0"/>
                      <w:color w:val="auto"/>
                      <w:spacing w:val="0"/>
                      <w:kern w:val="0"/>
                      <w:sz w:val="21"/>
                      <w:szCs w:val="21"/>
                      <w:highlight w:val="none"/>
                      <w:lang w:val="en-US" w:eastAsia="zh-CN" w:bidi="ar-SA"/>
                    </w:rPr>
                    <w:t>0</w:t>
                  </w:r>
                </w:p>
              </w:tc>
              <w:tc>
                <w:tcPr>
                  <w:tcW w:w="1121" w:type="dxa"/>
                  <w:vAlign w:val="center"/>
                </w:tcPr>
                <w:p>
                  <w:pPr>
                    <w:pStyle w:val="36"/>
                    <w:keepNext w:val="0"/>
                    <w:keepLines w:val="0"/>
                    <w:pageBreakBefore w:val="0"/>
                    <w:kinsoku/>
                    <w:wordWrap/>
                    <w:overflowPunct/>
                    <w:topLinePunct w:val="0"/>
                    <w:bidi w:val="0"/>
                    <w:spacing w:line="240" w:lineRule="auto"/>
                    <w:ind w:firstLine="0" w:firstLineChars="0"/>
                    <w:jc w:val="center"/>
                    <w:rPr>
                      <w:rFonts w:hint="default" w:ascii="Times New Roman" w:hAnsi="Times New Roman" w:eastAsia="宋体" w:cs="Times New Roman"/>
                      <w:bCs/>
                      <w:snapToGrid w:val="0"/>
                      <w:color w:val="auto"/>
                      <w:spacing w:val="0"/>
                      <w:kern w:val="0"/>
                      <w:sz w:val="21"/>
                      <w:szCs w:val="21"/>
                      <w:highlight w:val="yellow"/>
                      <w:lang w:val="en-US" w:eastAsia="zh-CN" w:bidi="ar-SA"/>
                    </w:rPr>
                  </w:pPr>
                  <w:r>
                    <w:rPr>
                      <w:rFonts w:hint="eastAsia" w:ascii="Times New Roman" w:hAnsi="Times New Roman" w:eastAsia="宋体" w:cs="Times New Roman"/>
                      <w:color w:val="auto"/>
                      <w:sz w:val="21"/>
                      <w:szCs w:val="21"/>
                      <w:highlight w:val="none"/>
                      <w:lang w:val="en-US" w:eastAsia="zh-CN"/>
                    </w:rPr>
                    <w:t>80</w:t>
                  </w:r>
                </w:p>
              </w:tc>
              <w:tc>
                <w:tcPr>
                  <w:tcW w:w="960" w:type="dxa"/>
                  <w:vAlign w:val="center"/>
                </w:tcPr>
                <w:p>
                  <w:pPr>
                    <w:pStyle w:val="36"/>
                    <w:keepNext w:val="0"/>
                    <w:keepLines w:val="0"/>
                    <w:pageBreakBefore w:val="0"/>
                    <w:kinsoku/>
                    <w:wordWrap/>
                    <w:overflowPunct/>
                    <w:topLinePunct w:val="0"/>
                    <w:bidi w:val="0"/>
                    <w:spacing w:line="240" w:lineRule="auto"/>
                    <w:ind w:firstLine="0" w:firstLineChars="0"/>
                    <w:jc w:val="center"/>
                    <w:rPr>
                      <w:rFonts w:hint="default" w:ascii="Times New Roman" w:hAnsi="Times New Roman" w:cs="Times New Roman"/>
                      <w:color w:val="auto"/>
                      <w:kern w:val="0"/>
                      <w:sz w:val="21"/>
                      <w:szCs w:val="21"/>
                      <w:highlight w:val="yellow"/>
                      <w:lang w:val="en-US" w:eastAsia="zh-CN"/>
                    </w:rPr>
                  </w:pPr>
                  <w:r>
                    <w:rPr>
                      <w:rFonts w:hint="eastAsia"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80</w:t>
                  </w:r>
                </w:p>
              </w:tc>
              <w:tc>
                <w:tcPr>
                  <w:tcW w:w="2070" w:type="dxa"/>
                  <w:gridSpan w:val="2"/>
                  <w:vAlign w:val="center"/>
                </w:tcPr>
                <w:p>
                  <w:pPr>
                    <w:keepNext w:val="0"/>
                    <w:keepLines w:val="0"/>
                    <w:pageBreakBefore w:val="0"/>
                    <w:widowControl w:val="0"/>
                    <w:kinsoku/>
                    <w:wordWrap/>
                    <w:overflowPunct/>
                    <w:topLinePunct w:val="0"/>
                    <w:autoSpaceDE/>
                    <w:autoSpaceDN/>
                    <w:bidi w:val="0"/>
                    <w:spacing w:line="240" w:lineRule="auto"/>
                    <w:ind w:left="-24" w:leftChars="-10" w:right="-24" w:rightChars="-10" w:firstLine="0" w:firstLineChars="0"/>
                    <w:jc w:val="center"/>
                    <w:textAlignment w:val="auto"/>
                    <w:outlineLvl w:val="9"/>
                    <w:rPr>
                      <w:rFonts w:hint="default" w:ascii="Times New Roman" w:hAnsi="Times New Roman" w:eastAsia="宋体" w:cs="Times New Roman"/>
                      <w:color w:val="auto"/>
                      <w:spacing w:val="0"/>
                      <w:kern w:val="2"/>
                      <w:sz w:val="21"/>
                      <w:szCs w:val="21"/>
                      <w:highlight w:val="yellow"/>
                      <w:lang w:val="en-US" w:eastAsia="zh-CN" w:bidi="ar-SA"/>
                    </w:rPr>
                  </w:pPr>
                  <w:r>
                    <w:rPr>
                      <w:rFonts w:hint="eastAsia" w:cs="Times New Roman"/>
                      <w:color w:val="auto"/>
                      <w:spacing w:val="0"/>
                      <w:kern w:val="2"/>
                      <w:sz w:val="21"/>
                      <w:szCs w:val="21"/>
                      <w:highlight w:val="none"/>
                      <w:lang w:val="en-US" w:eastAsia="zh-CN" w:bidi="ar-SA"/>
                    </w:rPr>
                    <w:t>外购</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44" w:hRule="atLeast"/>
                <w:jc w:val="center"/>
              </w:trPr>
              <w:tc>
                <w:tcPr>
                  <w:tcW w:w="589" w:type="dxa"/>
                  <w:vAlign w:val="center"/>
                </w:tcPr>
                <w:p>
                  <w:pPr>
                    <w:keepNext w:val="0"/>
                    <w:keepLines w:val="0"/>
                    <w:pageBreakBefore w:val="0"/>
                    <w:widowControl w:val="0"/>
                    <w:numPr>
                      <w:ilvl w:val="0"/>
                      <w:numId w:val="15"/>
                    </w:numPr>
                    <w:kinsoku/>
                    <w:wordWrap/>
                    <w:overflowPunct/>
                    <w:topLinePunct w:val="0"/>
                    <w:autoSpaceDE w:val="0"/>
                    <w:autoSpaceDN w:val="0"/>
                    <w:bidi w:val="0"/>
                    <w:adjustRightInd w:val="0"/>
                    <w:snapToGrid w:val="0"/>
                    <w:spacing w:line="240" w:lineRule="auto"/>
                    <w:ind w:left="-24" w:leftChars="-10" w:right="-24" w:rightChars="-10" w:firstLine="0" w:firstLineChars="0"/>
                    <w:jc w:val="center"/>
                    <w:textAlignment w:val="auto"/>
                    <w:rPr>
                      <w:rFonts w:hint="default" w:ascii="Times New Roman" w:hAnsi="Times New Roman" w:cs="Times New Roman"/>
                      <w:color w:val="auto"/>
                      <w:kern w:val="0"/>
                      <w:sz w:val="21"/>
                      <w:szCs w:val="21"/>
                      <w:highlight w:val="none"/>
                    </w:rPr>
                  </w:pPr>
                </w:p>
              </w:tc>
              <w:tc>
                <w:tcPr>
                  <w:tcW w:w="638" w:type="dxa"/>
                  <w:vMerge w:val="continue"/>
                  <w:vAlign w:val="center"/>
                </w:tcPr>
                <w:p>
                  <w:pPr>
                    <w:pStyle w:val="36"/>
                    <w:keepNext w:val="0"/>
                    <w:keepLines w:val="0"/>
                    <w:pageBreakBefore w:val="0"/>
                    <w:kinsoku/>
                    <w:wordWrap/>
                    <w:overflowPunct/>
                    <w:topLinePunct w:val="0"/>
                    <w:bidi w:val="0"/>
                    <w:spacing w:line="240" w:lineRule="auto"/>
                    <w:ind w:firstLine="0" w:firstLineChars="0"/>
                    <w:jc w:val="center"/>
                    <w:rPr>
                      <w:rFonts w:hint="eastAsia"/>
                      <w:color w:val="auto"/>
                      <w:highlight w:val="yellow"/>
                      <w:lang w:val="en-US" w:eastAsia="zh-CN"/>
                    </w:rPr>
                  </w:pPr>
                </w:p>
              </w:tc>
              <w:tc>
                <w:tcPr>
                  <w:tcW w:w="862" w:type="dxa"/>
                  <w:vAlign w:val="center"/>
                </w:tcPr>
                <w:p>
                  <w:pPr>
                    <w:pStyle w:val="36"/>
                    <w:keepNext w:val="0"/>
                    <w:keepLines w:val="0"/>
                    <w:pageBreakBefore w:val="0"/>
                    <w:kinsoku/>
                    <w:wordWrap/>
                    <w:overflowPunct/>
                    <w:topLinePunct w:val="0"/>
                    <w:bidi w:val="0"/>
                    <w:spacing w:line="240" w:lineRule="auto"/>
                    <w:ind w:firstLine="0" w:firstLineChars="0"/>
                    <w:jc w:val="center"/>
                    <w:rPr>
                      <w:rFonts w:hint="eastAsia"/>
                      <w:color w:val="auto"/>
                      <w:highlight w:val="yellow"/>
                      <w:lang w:val="en-US" w:eastAsia="zh-CN"/>
                    </w:rPr>
                  </w:pPr>
                  <w:r>
                    <w:rPr>
                      <w:rFonts w:hint="eastAsia" w:ascii="Times New Roman" w:hAnsi="Times New Roman" w:eastAsia="宋体" w:cs="Times New Roman"/>
                      <w:color w:val="auto"/>
                      <w:sz w:val="21"/>
                      <w:szCs w:val="21"/>
                      <w:highlight w:val="none"/>
                      <w:lang w:val="en-US" w:eastAsia="zh-CN"/>
                    </w:rPr>
                    <w:t>水性丙烯酸树脂</w:t>
                  </w:r>
                </w:p>
              </w:tc>
              <w:tc>
                <w:tcPr>
                  <w:tcW w:w="1133" w:type="dxa"/>
                  <w:vAlign w:val="center"/>
                </w:tcPr>
                <w:p>
                  <w:pPr>
                    <w:pStyle w:val="36"/>
                    <w:keepNext w:val="0"/>
                    <w:keepLines w:val="0"/>
                    <w:pageBreakBefore w:val="0"/>
                    <w:kinsoku/>
                    <w:wordWrap/>
                    <w:overflowPunct/>
                    <w:topLinePunct w:val="0"/>
                    <w:bidi w:val="0"/>
                    <w:spacing w:line="240" w:lineRule="auto"/>
                    <w:ind w:firstLine="0" w:firstLineChars="0"/>
                    <w:jc w:val="center"/>
                    <w:rPr>
                      <w:rFonts w:hint="default" w:ascii="Times New Roman" w:hAnsi="Times New Roman" w:eastAsia="宋体" w:cs="Times New Roman"/>
                      <w:snapToGrid w:val="0"/>
                      <w:color w:val="auto"/>
                      <w:spacing w:val="0"/>
                      <w:kern w:val="0"/>
                      <w:sz w:val="21"/>
                      <w:szCs w:val="21"/>
                      <w:highlight w:val="yellow"/>
                      <w:lang w:val="en-US" w:eastAsia="zh-CN" w:bidi="ar-SA"/>
                    </w:rPr>
                  </w:pPr>
                  <w:r>
                    <w:rPr>
                      <w:rFonts w:hint="eastAsia" w:ascii="Times New Roman" w:hAnsi="Times New Roman" w:eastAsia="宋体" w:cs="Times New Roman"/>
                      <w:color w:val="auto"/>
                      <w:sz w:val="21"/>
                      <w:szCs w:val="21"/>
                      <w:highlight w:val="none"/>
                      <w:lang w:val="en-US" w:eastAsia="zh-CN"/>
                    </w:rPr>
                    <w:t>kg/a</w:t>
                  </w:r>
                </w:p>
              </w:tc>
              <w:tc>
                <w:tcPr>
                  <w:tcW w:w="904" w:type="dxa"/>
                  <w:vAlign w:val="center"/>
                </w:tcPr>
                <w:p>
                  <w:pPr>
                    <w:pStyle w:val="36"/>
                    <w:keepNext w:val="0"/>
                    <w:keepLines w:val="0"/>
                    <w:pageBreakBefore w:val="0"/>
                    <w:kinsoku/>
                    <w:wordWrap/>
                    <w:overflowPunct/>
                    <w:topLinePunct w:val="0"/>
                    <w:bidi w:val="0"/>
                    <w:spacing w:line="240" w:lineRule="auto"/>
                    <w:ind w:firstLine="0" w:firstLineChars="0"/>
                    <w:jc w:val="center"/>
                    <w:rPr>
                      <w:rFonts w:hint="default" w:ascii="Times New Roman" w:hAnsi="Times New Roman" w:eastAsia="宋体" w:cs="Times New Roman"/>
                      <w:bCs/>
                      <w:snapToGrid w:val="0"/>
                      <w:color w:val="auto"/>
                      <w:spacing w:val="0"/>
                      <w:kern w:val="0"/>
                      <w:sz w:val="21"/>
                      <w:szCs w:val="21"/>
                      <w:highlight w:val="yellow"/>
                      <w:lang w:val="en-US" w:eastAsia="zh-CN" w:bidi="ar-SA"/>
                    </w:rPr>
                  </w:pPr>
                  <w:r>
                    <w:rPr>
                      <w:rFonts w:hint="eastAsia" w:cs="Times New Roman"/>
                      <w:bCs/>
                      <w:snapToGrid w:val="0"/>
                      <w:color w:val="auto"/>
                      <w:spacing w:val="0"/>
                      <w:kern w:val="0"/>
                      <w:sz w:val="21"/>
                      <w:szCs w:val="21"/>
                      <w:highlight w:val="none"/>
                      <w:lang w:val="en-US" w:eastAsia="zh-CN" w:bidi="ar-SA"/>
                    </w:rPr>
                    <w:t>0</w:t>
                  </w:r>
                </w:p>
              </w:tc>
              <w:tc>
                <w:tcPr>
                  <w:tcW w:w="1121" w:type="dxa"/>
                  <w:vAlign w:val="center"/>
                </w:tcPr>
                <w:p>
                  <w:pPr>
                    <w:pStyle w:val="36"/>
                    <w:keepNext w:val="0"/>
                    <w:keepLines w:val="0"/>
                    <w:pageBreakBefore w:val="0"/>
                    <w:kinsoku/>
                    <w:wordWrap/>
                    <w:overflowPunct/>
                    <w:topLinePunct w:val="0"/>
                    <w:bidi w:val="0"/>
                    <w:spacing w:line="240" w:lineRule="auto"/>
                    <w:ind w:firstLine="0" w:firstLineChars="0"/>
                    <w:jc w:val="center"/>
                    <w:rPr>
                      <w:rFonts w:hint="default" w:ascii="Times New Roman" w:hAnsi="Times New Roman" w:eastAsia="宋体" w:cs="Times New Roman"/>
                      <w:bCs/>
                      <w:snapToGrid w:val="0"/>
                      <w:color w:val="auto"/>
                      <w:spacing w:val="0"/>
                      <w:kern w:val="0"/>
                      <w:sz w:val="21"/>
                      <w:szCs w:val="21"/>
                      <w:highlight w:val="yellow"/>
                      <w:lang w:val="en-US" w:eastAsia="zh-CN" w:bidi="ar-SA"/>
                    </w:rPr>
                  </w:pPr>
                  <w:r>
                    <w:rPr>
                      <w:rFonts w:hint="eastAsia" w:ascii="Times New Roman" w:hAnsi="Times New Roman" w:eastAsia="宋体" w:cs="Times New Roman"/>
                      <w:color w:val="auto"/>
                      <w:sz w:val="21"/>
                      <w:szCs w:val="21"/>
                      <w:highlight w:val="none"/>
                      <w:lang w:val="en-US" w:eastAsia="zh-CN"/>
                    </w:rPr>
                    <w:t>128</w:t>
                  </w:r>
                </w:p>
              </w:tc>
              <w:tc>
                <w:tcPr>
                  <w:tcW w:w="960" w:type="dxa"/>
                  <w:vAlign w:val="center"/>
                </w:tcPr>
                <w:p>
                  <w:pPr>
                    <w:pStyle w:val="36"/>
                    <w:keepNext w:val="0"/>
                    <w:keepLines w:val="0"/>
                    <w:pageBreakBefore w:val="0"/>
                    <w:kinsoku/>
                    <w:wordWrap/>
                    <w:overflowPunct/>
                    <w:topLinePunct w:val="0"/>
                    <w:bidi w:val="0"/>
                    <w:spacing w:line="240" w:lineRule="auto"/>
                    <w:ind w:firstLine="0" w:firstLineChars="0"/>
                    <w:jc w:val="center"/>
                    <w:rPr>
                      <w:rFonts w:hint="default" w:ascii="Times New Roman" w:hAnsi="Times New Roman" w:cs="Times New Roman"/>
                      <w:color w:val="auto"/>
                      <w:kern w:val="0"/>
                      <w:sz w:val="21"/>
                      <w:szCs w:val="21"/>
                      <w:highlight w:val="yellow"/>
                      <w:lang w:val="en-US" w:eastAsia="zh-CN"/>
                    </w:rPr>
                  </w:pPr>
                  <w:r>
                    <w:rPr>
                      <w:rFonts w:hint="eastAsia"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128</w:t>
                  </w:r>
                </w:p>
              </w:tc>
              <w:tc>
                <w:tcPr>
                  <w:tcW w:w="2070" w:type="dxa"/>
                  <w:gridSpan w:val="2"/>
                  <w:vAlign w:val="center"/>
                </w:tcPr>
                <w:p>
                  <w:pPr>
                    <w:keepNext w:val="0"/>
                    <w:keepLines w:val="0"/>
                    <w:pageBreakBefore w:val="0"/>
                    <w:widowControl w:val="0"/>
                    <w:kinsoku/>
                    <w:wordWrap/>
                    <w:overflowPunct/>
                    <w:topLinePunct w:val="0"/>
                    <w:autoSpaceDE/>
                    <w:autoSpaceDN/>
                    <w:bidi w:val="0"/>
                    <w:spacing w:line="240" w:lineRule="auto"/>
                    <w:ind w:left="-24" w:leftChars="-10" w:right="-24" w:rightChars="-10" w:firstLine="0" w:firstLineChars="0"/>
                    <w:jc w:val="center"/>
                    <w:textAlignment w:val="auto"/>
                    <w:outlineLvl w:val="9"/>
                    <w:rPr>
                      <w:rFonts w:hint="default" w:ascii="Times New Roman" w:hAnsi="Times New Roman" w:eastAsia="宋体" w:cs="Times New Roman"/>
                      <w:color w:val="auto"/>
                      <w:spacing w:val="0"/>
                      <w:kern w:val="2"/>
                      <w:sz w:val="21"/>
                      <w:szCs w:val="21"/>
                      <w:highlight w:val="yellow"/>
                      <w:lang w:val="en-US" w:eastAsia="zh-CN" w:bidi="ar-SA"/>
                    </w:rPr>
                  </w:pPr>
                  <w:r>
                    <w:rPr>
                      <w:rFonts w:hint="eastAsia" w:cs="Times New Roman"/>
                      <w:color w:val="auto"/>
                      <w:spacing w:val="0"/>
                      <w:kern w:val="2"/>
                      <w:sz w:val="21"/>
                      <w:szCs w:val="21"/>
                      <w:highlight w:val="none"/>
                      <w:lang w:val="en-US" w:eastAsia="zh-CN" w:bidi="ar-SA"/>
                    </w:rPr>
                    <w:t>外购</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44" w:hRule="atLeast"/>
                <w:jc w:val="center"/>
              </w:trPr>
              <w:tc>
                <w:tcPr>
                  <w:tcW w:w="589" w:type="dxa"/>
                  <w:vAlign w:val="center"/>
                </w:tcPr>
                <w:p>
                  <w:pPr>
                    <w:keepNext w:val="0"/>
                    <w:keepLines w:val="0"/>
                    <w:pageBreakBefore w:val="0"/>
                    <w:widowControl w:val="0"/>
                    <w:numPr>
                      <w:ilvl w:val="0"/>
                      <w:numId w:val="15"/>
                    </w:numPr>
                    <w:kinsoku/>
                    <w:wordWrap/>
                    <w:overflowPunct/>
                    <w:topLinePunct w:val="0"/>
                    <w:autoSpaceDE w:val="0"/>
                    <w:autoSpaceDN w:val="0"/>
                    <w:bidi w:val="0"/>
                    <w:adjustRightInd w:val="0"/>
                    <w:snapToGrid w:val="0"/>
                    <w:spacing w:line="240" w:lineRule="auto"/>
                    <w:ind w:left="-24" w:leftChars="-10" w:right="-24" w:rightChars="-10" w:firstLine="0" w:firstLineChars="0"/>
                    <w:jc w:val="center"/>
                    <w:textAlignment w:val="auto"/>
                    <w:rPr>
                      <w:rFonts w:hint="default" w:ascii="Times New Roman" w:hAnsi="Times New Roman" w:cs="Times New Roman"/>
                      <w:color w:val="auto"/>
                      <w:kern w:val="0"/>
                      <w:sz w:val="21"/>
                      <w:szCs w:val="21"/>
                      <w:highlight w:val="none"/>
                    </w:rPr>
                  </w:pPr>
                </w:p>
              </w:tc>
              <w:tc>
                <w:tcPr>
                  <w:tcW w:w="638" w:type="dxa"/>
                  <w:vMerge w:val="continue"/>
                  <w:vAlign w:val="center"/>
                </w:tcPr>
                <w:p>
                  <w:pPr>
                    <w:pStyle w:val="36"/>
                    <w:keepNext w:val="0"/>
                    <w:keepLines w:val="0"/>
                    <w:pageBreakBefore w:val="0"/>
                    <w:kinsoku/>
                    <w:wordWrap/>
                    <w:overflowPunct/>
                    <w:topLinePunct w:val="0"/>
                    <w:bidi w:val="0"/>
                    <w:spacing w:line="240" w:lineRule="auto"/>
                    <w:ind w:firstLine="0" w:firstLineChars="0"/>
                    <w:jc w:val="center"/>
                    <w:rPr>
                      <w:rFonts w:hint="eastAsia"/>
                      <w:color w:val="auto"/>
                      <w:highlight w:val="yellow"/>
                      <w:lang w:val="en-US" w:eastAsia="zh-CN"/>
                    </w:rPr>
                  </w:pPr>
                </w:p>
              </w:tc>
              <w:tc>
                <w:tcPr>
                  <w:tcW w:w="862" w:type="dxa"/>
                  <w:vAlign w:val="center"/>
                </w:tcPr>
                <w:p>
                  <w:pPr>
                    <w:pStyle w:val="36"/>
                    <w:keepNext w:val="0"/>
                    <w:keepLines w:val="0"/>
                    <w:pageBreakBefore w:val="0"/>
                    <w:kinsoku/>
                    <w:wordWrap/>
                    <w:overflowPunct/>
                    <w:topLinePunct w:val="0"/>
                    <w:bidi w:val="0"/>
                    <w:spacing w:line="240" w:lineRule="auto"/>
                    <w:ind w:firstLine="0" w:firstLineChars="0"/>
                    <w:jc w:val="center"/>
                    <w:rPr>
                      <w:rFonts w:hint="eastAsia"/>
                      <w:color w:val="auto"/>
                      <w:highlight w:val="yellow"/>
                      <w:lang w:val="en-US" w:eastAsia="zh-CN"/>
                    </w:rPr>
                  </w:pPr>
                  <w:r>
                    <w:rPr>
                      <w:rFonts w:hint="eastAsia" w:ascii="Times New Roman" w:hAnsi="Times New Roman" w:eastAsia="宋体" w:cs="Times New Roman"/>
                      <w:color w:val="auto"/>
                      <w:sz w:val="21"/>
                      <w:szCs w:val="21"/>
                      <w:highlight w:val="none"/>
                      <w:lang w:val="en-US" w:eastAsia="zh-CN"/>
                    </w:rPr>
                    <w:t>丙二醇</w:t>
                  </w:r>
                </w:p>
              </w:tc>
              <w:tc>
                <w:tcPr>
                  <w:tcW w:w="1133" w:type="dxa"/>
                  <w:vAlign w:val="center"/>
                </w:tcPr>
                <w:p>
                  <w:pPr>
                    <w:pStyle w:val="36"/>
                    <w:keepNext w:val="0"/>
                    <w:keepLines w:val="0"/>
                    <w:pageBreakBefore w:val="0"/>
                    <w:kinsoku/>
                    <w:wordWrap/>
                    <w:overflowPunct/>
                    <w:topLinePunct w:val="0"/>
                    <w:bidi w:val="0"/>
                    <w:spacing w:line="240" w:lineRule="auto"/>
                    <w:ind w:firstLine="0" w:firstLineChars="0"/>
                    <w:jc w:val="center"/>
                    <w:rPr>
                      <w:rFonts w:hint="default" w:ascii="Times New Roman" w:hAnsi="Times New Roman" w:eastAsia="宋体" w:cs="Times New Roman"/>
                      <w:snapToGrid w:val="0"/>
                      <w:color w:val="auto"/>
                      <w:spacing w:val="0"/>
                      <w:kern w:val="0"/>
                      <w:sz w:val="21"/>
                      <w:szCs w:val="21"/>
                      <w:highlight w:val="yellow"/>
                      <w:lang w:val="en-US" w:eastAsia="zh-CN" w:bidi="ar-SA"/>
                    </w:rPr>
                  </w:pPr>
                  <w:r>
                    <w:rPr>
                      <w:rFonts w:hint="eastAsia" w:ascii="Times New Roman" w:hAnsi="Times New Roman" w:eastAsia="宋体" w:cs="Times New Roman"/>
                      <w:color w:val="auto"/>
                      <w:sz w:val="21"/>
                      <w:szCs w:val="21"/>
                      <w:highlight w:val="none"/>
                      <w:lang w:val="en-US" w:eastAsia="zh-CN"/>
                    </w:rPr>
                    <w:t>kg/a</w:t>
                  </w:r>
                </w:p>
              </w:tc>
              <w:tc>
                <w:tcPr>
                  <w:tcW w:w="904" w:type="dxa"/>
                  <w:vAlign w:val="center"/>
                </w:tcPr>
                <w:p>
                  <w:pPr>
                    <w:pStyle w:val="36"/>
                    <w:keepNext w:val="0"/>
                    <w:keepLines w:val="0"/>
                    <w:pageBreakBefore w:val="0"/>
                    <w:kinsoku/>
                    <w:wordWrap/>
                    <w:overflowPunct/>
                    <w:topLinePunct w:val="0"/>
                    <w:bidi w:val="0"/>
                    <w:spacing w:line="240" w:lineRule="auto"/>
                    <w:ind w:firstLine="0" w:firstLineChars="0"/>
                    <w:jc w:val="center"/>
                    <w:rPr>
                      <w:rFonts w:hint="default" w:ascii="Times New Roman" w:hAnsi="Times New Roman" w:eastAsia="宋体" w:cs="Times New Roman"/>
                      <w:bCs/>
                      <w:snapToGrid w:val="0"/>
                      <w:color w:val="auto"/>
                      <w:spacing w:val="0"/>
                      <w:kern w:val="0"/>
                      <w:sz w:val="21"/>
                      <w:szCs w:val="21"/>
                      <w:highlight w:val="yellow"/>
                      <w:lang w:val="en-US" w:eastAsia="zh-CN" w:bidi="ar-SA"/>
                    </w:rPr>
                  </w:pPr>
                  <w:r>
                    <w:rPr>
                      <w:rFonts w:hint="eastAsia" w:cs="Times New Roman"/>
                      <w:bCs/>
                      <w:snapToGrid w:val="0"/>
                      <w:color w:val="auto"/>
                      <w:spacing w:val="0"/>
                      <w:kern w:val="0"/>
                      <w:sz w:val="21"/>
                      <w:szCs w:val="21"/>
                      <w:highlight w:val="none"/>
                      <w:lang w:val="en-US" w:eastAsia="zh-CN" w:bidi="ar-SA"/>
                    </w:rPr>
                    <w:t>0</w:t>
                  </w:r>
                </w:p>
              </w:tc>
              <w:tc>
                <w:tcPr>
                  <w:tcW w:w="1121" w:type="dxa"/>
                  <w:vAlign w:val="center"/>
                </w:tcPr>
                <w:p>
                  <w:pPr>
                    <w:pStyle w:val="36"/>
                    <w:keepNext w:val="0"/>
                    <w:keepLines w:val="0"/>
                    <w:pageBreakBefore w:val="0"/>
                    <w:kinsoku/>
                    <w:wordWrap/>
                    <w:overflowPunct/>
                    <w:topLinePunct w:val="0"/>
                    <w:bidi w:val="0"/>
                    <w:spacing w:line="240" w:lineRule="auto"/>
                    <w:ind w:firstLine="0" w:firstLineChars="0"/>
                    <w:jc w:val="center"/>
                    <w:rPr>
                      <w:rFonts w:hint="default" w:ascii="Times New Roman" w:hAnsi="Times New Roman" w:eastAsia="宋体" w:cs="Times New Roman"/>
                      <w:bCs/>
                      <w:snapToGrid w:val="0"/>
                      <w:color w:val="auto"/>
                      <w:spacing w:val="0"/>
                      <w:kern w:val="0"/>
                      <w:sz w:val="21"/>
                      <w:szCs w:val="21"/>
                      <w:highlight w:val="yellow"/>
                      <w:lang w:val="en-US" w:eastAsia="zh-CN" w:bidi="ar-SA"/>
                    </w:rPr>
                  </w:pPr>
                  <w:r>
                    <w:rPr>
                      <w:rFonts w:hint="eastAsia" w:ascii="Times New Roman" w:hAnsi="Times New Roman" w:eastAsia="宋体" w:cs="Times New Roman"/>
                      <w:color w:val="auto"/>
                      <w:sz w:val="21"/>
                      <w:szCs w:val="21"/>
                      <w:highlight w:val="none"/>
                      <w:lang w:val="en-US" w:eastAsia="zh-CN"/>
                    </w:rPr>
                    <w:t>32</w:t>
                  </w:r>
                </w:p>
              </w:tc>
              <w:tc>
                <w:tcPr>
                  <w:tcW w:w="960" w:type="dxa"/>
                  <w:vAlign w:val="center"/>
                </w:tcPr>
                <w:p>
                  <w:pPr>
                    <w:pStyle w:val="36"/>
                    <w:keepNext w:val="0"/>
                    <w:keepLines w:val="0"/>
                    <w:pageBreakBefore w:val="0"/>
                    <w:kinsoku/>
                    <w:wordWrap/>
                    <w:overflowPunct/>
                    <w:topLinePunct w:val="0"/>
                    <w:bidi w:val="0"/>
                    <w:spacing w:line="240" w:lineRule="auto"/>
                    <w:ind w:firstLine="0" w:firstLineChars="0"/>
                    <w:jc w:val="center"/>
                    <w:rPr>
                      <w:rFonts w:hint="default" w:ascii="Times New Roman" w:hAnsi="Times New Roman" w:cs="Times New Roman"/>
                      <w:color w:val="auto"/>
                      <w:kern w:val="0"/>
                      <w:sz w:val="21"/>
                      <w:szCs w:val="21"/>
                      <w:highlight w:val="yellow"/>
                      <w:lang w:val="en-US" w:eastAsia="zh-CN"/>
                    </w:rPr>
                  </w:pPr>
                  <w:r>
                    <w:rPr>
                      <w:rFonts w:hint="eastAsia"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32</w:t>
                  </w:r>
                </w:p>
              </w:tc>
              <w:tc>
                <w:tcPr>
                  <w:tcW w:w="2070" w:type="dxa"/>
                  <w:gridSpan w:val="2"/>
                  <w:vAlign w:val="center"/>
                </w:tcPr>
                <w:p>
                  <w:pPr>
                    <w:keepNext w:val="0"/>
                    <w:keepLines w:val="0"/>
                    <w:pageBreakBefore w:val="0"/>
                    <w:widowControl w:val="0"/>
                    <w:kinsoku/>
                    <w:wordWrap/>
                    <w:overflowPunct/>
                    <w:topLinePunct w:val="0"/>
                    <w:autoSpaceDE/>
                    <w:autoSpaceDN/>
                    <w:bidi w:val="0"/>
                    <w:spacing w:line="240" w:lineRule="auto"/>
                    <w:ind w:left="-24" w:leftChars="-10" w:right="-24" w:rightChars="-10" w:firstLine="0" w:firstLineChars="0"/>
                    <w:jc w:val="center"/>
                    <w:textAlignment w:val="auto"/>
                    <w:outlineLvl w:val="9"/>
                    <w:rPr>
                      <w:rFonts w:hint="default" w:ascii="Times New Roman" w:hAnsi="Times New Roman" w:eastAsia="宋体" w:cs="Times New Roman"/>
                      <w:color w:val="auto"/>
                      <w:spacing w:val="0"/>
                      <w:kern w:val="2"/>
                      <w:sz w:val="21"/>
                      <w:szCs w:val="21"/>
                      <w:highlight w:val="yellow"/>
                      <w:lang w:val="en-US" w:eastAsia="zh-CN" w:bidi="ar-SA"/>
                    </w:rPr>
                  </w:pPr>
                  <w:r>
                    <w:rPr>
                      <w:rFonts w:hint="eastAsia" w:cs="Times New Roman"/>
                      <w:color w:val="auto"/>
                      <w:spacing w:val="0"/>
                      <w:kern w:val="2"/>
                      <w:sz w:val="21"/>
                      <w:szCs w:val="21"/>
                      <w:highlight w:val="none"/>
                      <w:lang w:val="en-US" w:eastAsia="zh-CN" w:bidi="ar-SA"/>
                    </w:rPr>
                    <w:t>外购</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44" w:hRule="atLeast"/>
                <w:jc w:val="center"/>
              </w:trPr>
              <w:tc>
                <w:tcPr>
                  <w:tcW w:w="589" w:type="dxa"/>
                  <w:vAlign w:val="center"/>
                </w:tcPr>
                <w:p>
                  <w:pPr>
                    <w:keepNext w:val="0"/>
                    <w:keepLines w:val="0"/>
                    <w:pageBreakBefore w:val="0"/>
                    <w:widowControl w:val="0"/>
                    <w:numPr>
                      <w:ilvl w:val="0"/>
                      <w:numId w:val="15"/>
                    </w:numPr>
                    <w:kinsoku/>
                    <w:wordWrap/>
                    <w:overflowPunct/>
                    <w:topLinePunct w:val="0"/>
                    <w:autoSpaceDE w:val="0"/>
                    <w:autoSpaceDN w:val="0"/>
                    <w:bidi w:val="0"/>
                    <w:adjustRightInd w:val="0"/>
                    <w:snapToGrid w:val="0"/>
                    <w:spacing w:line="240" w:lineRule="auto"/>
                    <w:ind w:left="-24" w:leftChars="-10" w:right="-24" w:rightChars="-10" w:firstLine="0" w:firstLineChars="0"/>
                    <w:jc w:val="center"/>
                    <w:textAlignment w:val="auto"/>
                    <w:rPr>
                      <w:rFonts w:hint="default" w:ascii="Times New Roman" w:hAnsi="Times New Roman" w:cs="Times New Roman"/>
                      <w:color w:val="auto"/>
                      <w:kern w:val="0"/>
                      <w:sz w:val="21"/>
                      <w:szCs w:val="21"/>
                      <w:highlight w:val="none"/>
                    </w:rPr>
                  </w:pPr>
                </w:p>
              </w:tc>
              <w:tc>
                <w:tcPr>
                  <w:tcW w:w="638" w:type="dxa"/>
                  <w:vMerge w:val="continue"/>
                  <w:vAlign w:val="center"/>
                </w:tcPr>
                <w:p>
                  <w:pPr>
                    <w:pStyle w:val="36"/>
                    <w:keepNext w:val="0"/>
                    <w:keepLines w:val="0"/>
                    <w:pageBreakBefore w:val="0"/>
                    <w:kinsoku/>
                    <w:wordWrap/>
                    <w:overflowPunct/>
                    <w:topLinePunct w:val="0"/>
                    <w:bidi w:val="0"/>
                    <w:spacing w:line="240" w:lineRule="auto"/>
                    <w:ind w:firstLine="0" w:firstLineChars="0"/>
                    <w:jc w:val="center"/>
                    <w:rPr>
                      <w:rFonts w:hint="eastAsia"/>
                      <w:color w:val="auto"/>
                      <w:highlight w:val="yellow"/>
                      <w:lang w:val="en-US" w:eastAsia="zh-CN"/>
                    </w:rPr>
                  </w:pPr>
                </w:p>
              </w:tc>
              <w:tc>
                <w:tcPr>
                  <w:tcW w:w="862" w:type="dxa"/>
                  <w:vAlign w:val="center"/>
                </w:tcPr>
                <w:p>
                  <w:pPr>
                    <w:pStyle w:val="36"/>
                    <w:keepNext w:val="0"/>
                    <w:keepLines w:val="0"/>
                    <w:pageBreakBefore w:val="0"/>
                    <w:kinsoku/>
                    <w:wordWrap/>
                    <w:overflowPunct/>
                    <w:topLinePunct w:val="0"/>
                    <w:bidi w:val="0"/>
                    <w:spacing w:line="240" w:lineRule="auto"/>
                    <w:ind w:firstLine="0" w:firstLineChars="0"/>
                    <w:jc w:val="center"/>
                    <w:rPr>
                      <w:rFonts w:hint="eastAsia"/>
                      <w:color w:val="auto"/>
                      <w:highlight w:val="yellow"/>
                      <w:lang w:val="en-US" w:eastAsia="zh-CN"/>
                    </w:rPr>
                  </w:pPr>
                  <w:r>
                    <w:rPr>
                      <w:rFonts w:hint="eastAsia" w:ascii="Times New Roman" w:hAnsi="Times New Roman" w:eastAsia="宋体" w:cs="Times New Roman"/>
                      <w:color w:val="auto"/>
                      <w:sz w:val="21"/>
                      <w:szCs w:val="21"/>
                      <w:highlight w:val="none"/>
                      <w:lang w:val="en-US" w:eastAsia="zh-CN"/>
                    </w:rPr>
                    <w:t>石墨烯</w:t>
                  </w:r>
                </w:p>
              </w:tc>
              <w:tc>
                <w:tcPr>
                  <w:tcW w:w="1133" w:type="dxa"/>
                  <w:vAlign w:val="center"/>
                </w:tcPr>
                <w:p>
                  <w:pPr>
                    <w:pStyle w:val="36"/>
                    <w:keepNext w:val="0"/>
                    <w:keepLines w:val="0"/>
                    <w:pageBreakBefore w:val="0"/>
                    <w:kinsoku/>
                    <w:wordWrap/>
                    <w:overflowPunct/>
                    <w:topLinePunct w:val="0"/>
                    <w:bidi w:val="0"/>
                    <w:spacing w:line="240" w:lineRule="auto"/>
                    <w:ind w:firstLine="0" w:firstLineChars="0"/>
                    <w:jc w:val="center"/>
                    <w:rPr>
                      <w:rFonts w:hint="default" w:ascii="Times New Roman" w:hAnsi="Times New Roman" w:eastAsia="宋体" w:cs="Times New Roman"/>
                      <w:snapToGrid w:val="0"/>
                      <w:color w:val="auto"/>
                      <w:spacing w:val="0"/>
                      <w:kern w:val="0"/>
                      <w:sz w:val="21"/>
                      <w:szCs w:val="21"/>
                      <w:highlight w:val="yellow"/>
                      <w:lang w:val="en-US" w:eastAsia="zh-CN" w:bidi="ar-SA"/>
                    </w:rPr>
                  </w:pPr>
                  <w:r>
                    <w:rPr>
                      <w:rFonts w:hint="eastAsia" w:ascii="Times New Roman" w:hAnsi="Times New Roman" w:eastAsia="宋体" w:cs="Times New Roman"/>
                      <w:color w:val="auto"/>
                      <w:sz w:val="21"/>
                      <w:szCs w:val="21"/>
                      <w:highlight w:val="none"/>
                      <w:lang w:val="en-US" w:eastAsia="zh-CN"/>
                    </w:rPr>
                    <w:t>kg/a</w:t>
                  </w:r>
                </w:p>
              </w:tc>
              <w:tc>
                <w:tcPr>
                  <w:tcW w:w="904" w:type="dxa"/>
                  <w:vAlign w:val="center"/>
                </w:tcPr>
                <w:p>
                  <w:pPr>
                    <w:pStyle w:val="36"/>
                    <w:keepNext w:val="0"/>
                    <w:keepLines w:val="0"/>
                    <w:pageBreakBefore w:val="0"/>
                    <w:kinsoku/>
                    <w:wordWrap/>
                    <w:overflowPunct/>
                    <w:topLinePunct w:val="0"/>
                    <w:bidi w:val="0"/>
                    <w:spacing w:line="240" w:lineRule="auto"/>
                    <w:ind w:firstLine="0" w:firstLineChars="0"/>
                    <w:jc w:val="center"/>
                    <w:rPr>
                      <w:rFonts w:hint="default" w:ascii="Times New Roman" w:hAnsi="Times New Roman" w:eastAsia="宋体" w:cs="Times New Roman"/>
                      <w:bCs/>
                      <w:snapToGrid w:val="0"/>
                      <w:color w:val="auto"/>
                      <w:spacing w:val="0"/>
                      <w:kern w:val="0"/>
                      <w:sz w:val="21"/>
                      <w:szCs w:val="21"/>
                      <w:highlight w:val="yellow"/>
                      <w:lang w:val="en-US" w:eastAsia="zh-CN" w:bidi="ar-SA"/>
                    </w:rPr>
                  </w:pPr>
                  <w:r>
                    <w:rPr>
                      <w:rFonts w:hint="eastAsia" w:cs="Times New Roman"/>
                      <w:bCs/>
                      <w:snapToGrid w:val="0"/>
                      <w:color w:val="auto"/>
                      <w:spacing w:val="0"/>
                      <w:kern w:val="0"/>
                      <w:sz w:val="21"/>
                      <w:szCs w:val="21"/>
                      <w:highlight w:val="none"/>
                      <w:lang w:val="en-US" w:eastAsia="zh-CN" w:bidi="ar-SA"/>
                    </w:rPr>
                    <w:t>0</w:t>
                  </w:r>
                </w:p>
              </w:tc>
              <w:tc>
                <w:tcPr>
                  <w:tcW w:w="1121" w:type="dxa"/>
                  <w:vAlign w:val="center"/>
                </w:tcPr>
                <w:p>
                  <w:pPr>
                    <w:pStyle w:val="36"/>
                    <w:keepNext w:val="0"/>
                    <w:keepLines w:val="0"/>
                    <w:pageBreakBefore w:val="0"/>
                    <w:kinsoku/>
                    <w:wordWrap/>
                    <w:overflowPunct/>
                    <w:topLinePunct w:val="0"/>
                    <w:bidi w:val="0"/>
                    <w:spacing w:line="240" w:lineRule="auto"/>
                    <w:ind w:firstLine="0" w:firstLineChars="0"/>
                    <w:jc w:val="center"/>
                    <w:rPr>
                      <w:rFonts w:hint="default" w:ascii="Times New Roman" w:hAnsi="Times New Roman" w:eastAsia="宋体" w:cs="Times New Roman"/>
                      <w:bCs/>
                      <w:snapToGrid w:val="0"/>
                      <w:color w:val="auto"/>
                      <w:spacing w:val="0"/>
                      <w:kern w:val="0"/>
                      <w:sz w:val="21"/>
                      <w:szCs w:val="21"/>
                      <w:highlight w:val="yellow"/>
                      <w:lang w:val="en-US" w:eastAsia="zh-CN" w:bidi="ar-SA"/>
                    </w:rPr>
                  </w:pPr>
                  <w:r>
                    <w:rPr>
                      <w:rFonts w:hint="eastAsia" w:ascii="Times New Roman" w:hAnsi="Times New Roman" w:eastAsia="宋体" w:cs="Times New Roman"/>
                      <w:color w:val="auto"/>
                      <w:sz w:val="21"/>
                      <w:szCs w:val="21"/>
                      <w:highlight w:val="none"/>
                      <w:lang w:val="en-US" w:eastAsia="zh-CN"/>
                    </w:rPr>
                    <w:t>16</w:t>
                  </w:r>
                </w:p>
              </w:tc>
              <w:tc>
                <w:tcPr>
                  <w:tcW w:w="960" w:type="dxa"/>
                  <w:vAlign w:val="center"/>
                </w:tcPr>
                <w:p>
                  <w:pPr>
                    <w:pStyle w:val="36"/>
                    <w:keepNext w:val="0"/>
                    <w:keepLines w:val="0"/>
                    <w:pageBreakBefore w:val="0"/>
                    <w:kinsoku/>
                    <w:wordWrap/>
                    <w:overflowPunct/>
                    <w:topLinePunct w:val="0"/>
                    <w:bidi w:val="0"/>
                    <w:spacing w:line="240" w:lineRule="auto"/>
                    <w:ind w:firstLine="0" w:firstLineChars="0"/>
                    <w:jc w:val="center"/>
                    <w:rPr>
                      <w:rFonts w:hint="default" w:ascii="Times New Roman" w:hAnsi="Times New Roman" w:cs="Times New Roman"/>
                      <w:color w:val="auto"/>
                      <w:kern w:val="0"/>
                      <w:sz w:val="21"/>
                      <w:szCs w:val="21"/>
                      <w:highlight w:val="yellow"/>
                      <w:lang w:val="en-US" w:eastAsia="zh-CN"/>
                    </w:rPr>
                  </w:pPr>
                  <w:r>
                    <w:rPr>
                      <w:rFonts w:hint="eastAsia"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16</w:t>
                  </w:r>
                </w:p>
              </w:tc>
              <w:tc>
                <w:tcPr>
                  <w:tcW w:w="2070" w:type="dxa"/>
                  <w:gridSpan w:val="2"/>
                  <w:vAlign w:val="center"/>
                </w:tcPr>
                <w:p>
                  <w:pPr>
                    <w:keepNext w:val="0"/>
                    <w:keepLines w:val="0"/>
                    <w:pageBreakBefore w:val="0"/>
                    <w:widowControl w:val="0"/>
                    <w:kinsoku/>
                    <w:wordWrap/>
                    <w:overflowPunct/>
                    <w:topLinePunct w:val="0"/>
                    <w:autoSpaceDE/>
                    <w:autoSpaceDN/>
                    <w:bidi w:val="0"/>
                    <w:spacing w:line="240" w:lineRule="auto"/>
                    <w:ind w:left="-24" w:leftChars="-10" w:right="-24" w:rightChars="-10" w:firstLine="0" w:firstLineChars="0"/>
                    <w:jc w:val="center"/>
                    <w:textAlignment w:val="auto"/>
                    <w:outlineLvl w:val="9"/>
                    <w:rPr>
                      <w:rFonts w:hint="default" w:ascii="Times New Roman" w:hAnsi="Times New Roman" w:eastAsia="宋体" w:cs="Times New Roman"/>
                      <w:color w:val="auto"/>
                      <w:spacing w:val="0"/>
                      <w:kern w:val="2"/>
                      <w:sz w:val="21"/>
                      <w:szCs w:val="21"/>
                      <w:highlight w:val="yellow"/>
                      <w:lang w:val="en-US" w:eastAsia="zh-CN" w:bidi="ar-SA"/>
                    </w:rPr>
                  </w:pPr>
                  <w:r>
                    <w:rPr>
                      <w:rFonts w:hint="eastAsia" w:cs="Times New Roman"/>
                      <w:color w:val="auto"/>
                      <w:spacing w:val="0"/>
                      <w:kern w:val="2"/>
                      <w:sz w:val="21"/>
                      <w:szCs w:val="21"/>
                      <w:highlight w:val="none"/>
                      <w:lang w:val="en-US" w:eastAsia="zh-CN" w:bidi="ar-SA"/>
                    </w:rPr>
                    <w:t>外购</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44" w:hRule="atLeast"/>
                <w:jc w:val="center"/>
              </w:trPr>
              <w:tc>
                <w:tcPr>
                  <w:tcW w:w="589" w:type="dxa"/>
                  <w:vAlign w:val="center"/>
                </w:tcPr>
                <w:p>
                  <w:pPr>
                    <w:keepNext w:val="0"/>
                    <w:keepLines w:val="0"/>
                    <w:pageBreakBefore w:val="0"/>
                    <w:widowControl w:val="0"/>
                    <w:numPr>
                      <w:ilvl w:val="0"/>
                      <w:numId w:val="15"/>
                    </w:numPr>
                    <w:kinsoku/>
                    <w:wordWrap/>
                    <w:overflowPunct/>
                    <w:topLinePunct w:val="0"/>
                    <w:autoSpaceDE w:val="0"/>
                    <w:autoSpaceDN w:val="0"/>
                    <w:bidi w:val="0"/>
                    <w:adjustRightInd w:val="0"/>
                    <w:snapToGrid w:val="0"/>
                    <w:spacing w:line="240" w:lineRule="auto"/>
                    <w:ind w:left="-24" w:leftChars="-10" w:right="-24" w:rightChars="-10" w:firstLine="0" w:firstLineChars="0"/>
                    <w:jc w:val="center"/>
                    <w:textAlignment w:val="auto"/>
                    <w:rPr>
                      <w:rFonts w:hint="default" w:ascii="Times New Roman" w:hAnsi="Times New Roman" w:cs="Times New Roman"/>
                      <w:color w:val="auto"/>
                      <w:kern w:val="0"/>
                      <w:sz w:val="21"/>
                      <w:szCs w:val="21"/>
                      <w:highlight w:val="none"/>
                    </w:rPr>
                  </w:pPr>
                </w:p>
              </w:tc>
              <w:tc>
                <w:tcPr>
                  <w:tcW w:w="638" w:type="dxa"/>
                  <w:vMerge w:val="continue"/>
                  <w:vAlign w:val="center"/>
                </w:tcPr>
                <w:p>
                  <w:pPr>
                    <w:pStyle w:val="36"/>
                    <w:keepNext w:val="0"/>
                    <w:keepLines w:val="0"/>
                    <w:pageBreakBefore w:val="0"/>
                    <w:kinsoku/>
                    <w:wordWrap/>
                    <w:overflowPunct/>
                    <w:topLinePunct w:val="0"/>
                    <w:bidi w:val="0"/>
                    <w:spacing w:line="240" w:lineRule="auto"/>
                    <w:ind w:firstLine="0" w:firstLineChars="0"/>
                    <w:jc w:val="center"/>
                    <w:rPr>
                      <w:rFonts w:hint="eastAsia"/>
                      <w:color w:val="auto"/>
                      <w:highlight w:val="yellow"/>
                      <w:lang w:val="en-US" w:eastAsia="zh-CN"/>
                    </w:rPr>
                  </w:pPr>
                </w:p>
              </w:tc>
              <w:tc>
                <w:tcPr>
                  <w:tcW w:w="862" w:type="dxa"/>
                  <w:vAlign w:val="center"/>
                </w:tcPr>
                <w:p>
                  <w:pPr>
                    <w:pStyle w:val="36"/>
                    <w:keepNext w:val="0"/>
                    <w:keepLines w:val="0"/>
                    <w:pageBreakBefore w:val="0"/>
                    <w:kinsoku/>
                    <w:wordWrap/>
                    <w:overflowPunct/>
                    <w:topLinePunct w:val="0"/>
                    <w:bidi w:val="0"/>
                    <w:spacing w:line="240" w:lineRule="auto"/>
                    <w:ind w:firstLine="0" w:firstLineChars="0"/>
                    <w:jc w:val="center"/>
                    <w:rPr>
                      <w:rFonts w:hint="eastAsia"/>
                      <w:color w:val="auto"/>
                      <w:highlight w:val="yellow"/>
                      <w:lang w:val="en-US" w:eastAsia="zh-CN"/>
                    </w:rPr>
                  </w:pPr>
                  <w:r>
                    <w:rPr>
                      <w:rFonts w:hint="eastAsia" w:ascii="Times New Roman" w:hAnsi="Times New Roman" w:eastAsia="宋体" w:cs="Times New Roman"/>
                      <w:color w:val="auto"/>
                      <w:sz w:val="21"/>
                      <w:szCs w:val="21"/>
                      <w:highlight w:val="none"/>
                      <w:lang w:val="en-US" w:eastAsia="zh-CN"/>
                    </w:rPr>
                    <w:t>石墨</w:t>
                  </w:r>
                </w:p>
              </w:tc>
              <w:tc>
                <w:tcPr>
                  <w:tcW w:w="1133" w:type="dxa"/>
                  <w:vAlign w:val="center"/>
                </w:tcPr>
                <w:p>
                  <w:pPr>
                    <w:pStyle w:val="36"/>
                    <w:keepNext w:val="0"/>
                    <w:keepLines w:val="0"/>
                    <w:pageBreakBefore w:val="0"/>
                    <w:kinsoku/>
                    <w:wordWrap/>
                    <w:overflowPunct/>
                    <w:topLinePunct w:val="0"/>
                    <w:bidi w:val="0"/>
                    <w:spacing w:line="240" w:lineRule="auto"/>
                    <w:ind w:firstLine="0" w:firstLineChars="0"/>
                    <w:jc w:val="center"/>
                    <w:rPr>
                      <w:rFonts w:hint="default" w:ascii="Times New Roman" w:hAnsi="Times New Roman" w:eastAsia="宋体" w:cs="Times New Roman"/>
                      <w:snapToGrid w:val="0"/>
                      <w:color w:val="auto"/>
                      <w:spacing w:val="0"/>
                      <w:kern w:val="0"/>
                      <w:sz w:val="21"/>
                      <w:szCs w:val="21"/>
                      <w:highlight w:val="yellow"/>
                      <w:lang w:val="en-US" w:eastAsia="zh-CN" w:bidi="ar-SA"/>
                    </w:rPr>
                  </w:pPr>
                  <w:r>
                    <w:rPr>
                      <w:rFonts w:hint="eastAsia" w:ascii="Times New Roman" w:hAnsi="Times New Roman" w:eastAsia="宋体" w:cs="Times New Roman"/>
                      <w:color w:val="auto"/>
                      <w:sz w:val="21"/>
                      <w:szCs w:val="21"/>
                      <w:highlight w:val="none"/>
                      <w:lang w:val="en-US" w:eastAsia="zh-CN"/>
                    </w:rPr>
                    <w:t>kg/a</w:t>
                  </w:r>
                </w:p>
              </w:tc>
              <w:tc>
                <w:tcPr>
                  <w:tcW w:w="904" w:type="dxa"/>
                  <w:vAlign w:val="center"/>
                </w:tcPr>
                <w:p>
                  <w:pPr>
                    <w:pStyle w:val="36"/>
                    <w:keepNext w:val="0"/>
                    <w:keepLines w:val="0"/>
                    <w:pageBreakBefore w:val="0"/>
                    <w:kinsoku/>
                    <w:wordWrap/>
                    <w:overflowPunct/>
                    <w:topLinePunct w:val="0"/>
                    <w:bidi w:val="0"/>
                    <w:spacing w:line="240" w:lineRule="auto"/>
                    <w:ind w:firstLine="0" w:firstLineChars="0"/>
                    <w:jc w:val="center"/>
                    <w:rPr>
                      <w:rFonts w:hint="default" w:ascii="Times New Roman" w:hAnsi="Times New Roman" w:eastAsia="宋体" w:cs="Times New Roman"/>
                      <w:bCs/>
                      <w:snapToGrid w:val="0"/>
                      <w:color w:val="auto"/>
                      <w:spacing w:val="0"/>
                      <w:kern w:val="0"/>
                      <w:sz w:val="21"/>
                      <w:szCs w:val="21"/>
                      <w:highlight w:val="yellow"/>
                      <w:lang w:val="en-US" w:eastAsia="zh-CN" w:bidi="ar-SA"/>
                    </w:rPr>
                  </w:pPr>
                  <w:r>
                    <w:rPr>
                      <w:rFonts w:hint="eastAsia" w:cs="Times New Roman"/>
                      <w:bCs/>
                      <w:snapToGrid w:val="0"/>
                      <w:color w:val="auto"/>
                      <w:spacing w:val="0"/>
                      <w:kern w:val="0"/>
                      <w:sz w:val="21"/>
                      <w:szCs w:val="21"/>
                      <w:highlight w:val="none"/>
                      <w:lang w:val="en-US" w:eastAsia="zh-CN" w:bidi="ar-SA"/>
                    </w:rPr>
                    <w:t>0</w:t>
                  </w:r>
                </w:p>
              </w:tc>
              <w:tc>
                <w:tcPr>
                  <w:tcW w:w="1121" w:type="dxa"/>
                  <w:vAlign w:val="center"/>
                </w:tcPr>
                <w:p>
                  <w:pPr>
                    <w:pStyle w:val="36"/>
                    <w:keepNext w:val="0"/>
                    <w:keepLines w:val="0"/>
                    <w:pageBreakBefore w:val="0"/>
                    <w:kinsoku/>
                    <w:wordWrap/>
                    <w:overflowPunct/>
                    <w:topLinePunct w:val="0"/>
                    <w:bidi w:val="0"/>
                    <w:spacing w:line="240" w:lineRule="auto"/>
                    <w:ind w:firstLine="0" w:firstLineChars="0"/>
                    <w:jc w:val="center"/>
                    <w:rPr>
                      <w:rFonts w:hint="default" w:ascii="Times New Roman" w:hAnsi="Times New Roman" w:eastAsia="宋体" w:cs="Times New Roman"/>
                      <w:bCs/>
                      <w:snapToGrid w:val="0"/>
                      <w:color w:val="auto"/>
                      <w:spacing w:val="0"/>
                      <w:kern w:val="0"/>
                      <w:sz w:val="21"/>
                      <w:szCs w:val="21"/>
                      <w:highlight w:val="yellow"/>
                      <w:lang w:val="en-US" w:eastAsia="zh-CN" w:bidi="ar-SA"/>
                    </w:rPr>
                  </w:pPr>
                  <w:r>
                    <w:rPr>
                      <w:rFonts w:hint="eastAsia" w:ascii="Times New Roman" w:hAnsi="Times New Roman" w:eastAsia="宋体" w:cs="Times New Roman"/>
                      <w:color w:val="auto"/>
                      <w:sz w:val="21"/>
                      <w:szCs w:val="21"/>
                      <w:highlight w:val="none"/>
                      <w:lang w:val="en-US" w:eastAsia="zh-CN"/>
                    </w:rPr>
                    <w:t>32</w:t>
                  </w:r>
                </w:p>
              </w:tc>
              <w:tc>
                <w:tcPr>
                  <w:tcW w:w="960" w:type="dxa"/>
                  <w:vAlign w:val="center"/>
                </w:tcPr>
                <w:p>
                  <w:pPr>
                    <w:pStyle w:val="36"/>
                    <w:keepNext w:val="0"/>
                    <w:keepLines w:val="0"/>
                    <w:pageBreakBefore w:val="0"/>
                    <w:kinsoku/>
                    <w:wordWrap/>
                    <w:overflowPunct/>
                    <w:topLinePunct w:val="0"/>
                    <w:bidi w:val="0"/>
                    <w:spacing w:line="240" w:lineRule="auto"/>
                    <w:ind w:firstLine="0" w:firstLineChars="0"/>
                    <w:jc w:val="center"/>
                    <w:rPr>
                      <w:rFonts w:hint="default" w:ascii="Times New Roman" w:hAnsi="Times New Roman" w:cs="Times New Roman"/>
                      <w:color w:val="auto"/>
                      <w:kern w:val="0"/>
                      <w:sz w:val="21"/>
                      <w:szCs w:val="21"/>
                      <w:highlight w:val="yellow"/>
                      <w:lang w:val="en-US" w:eastAsia="zh-CN"/>
                    </w:rPr>
                  </w:pPr>
                  <w:r>
                    <w:rPr>
                      <w:rFonts w:hint="eastAsia"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32</w:t>
                  </w:r>
                </w:p>
              </w:tc>
              <w:tc>
                <w:tcPr>
                  <w:tcW w:w="2070" w:type="dxa"/>
                  <w:gridSpan w:val="2"/>
                  <w:vAlign w:val="center"/>
                </w:tcPr>
                <w:p>
                  <w:pPr>
                    <w:keepNext w:val="0"/>
                    <w:keepLines w:val="0"/>
                    <w:pageBreakBefore w:val="0"/>
                    <w:widowControl w:val="0"/>
                    <w:kinsoku/>
                    <w:wordWrap/>
                    <w:overflowPunct/>
                    <w:topLinePunct w:val="0"/>
                    <w:autoSpaceDE/>
                    <w:autoSpaceDN/>
                    <w:bidi w:val="0"/>
                    <w:spacing w:line="240" w:lineRule="auto"/>
                    <w:ind w:left="-24" w:leftChars="-10" w:right="-24" w:rightChars="-10" w:firstLine="0" w:firstLineChars="0"/>
                    <w:jc w:val="center"/>
                    <w:textAlignment w:val="auto"/>
                    <w:outlineLvl w:val="9"/>
                    <w:rPr>
                      <w:rFonts w:hint="default" w:ascii="Times New Roman" w:hAnsi="Times New Roman" w:eastAsia="宋体" w:cs="Times New Roman"/>
                      <w:color w:val="auto"/>
                      <w:spacing w:val="0"/>
                      <w:kern w:val="2"/>
                      <w:sz w:val="21"/>
                      <w:szCs w:val="21"/>
                      <w:highlight w:val="yellow"/>
                      <w:lang w:val="en-US" w:eastAsia="zh-CN" w:bidi="ar-SA"/>
                    </w:rPr>
                  </w:pPr>
                  <w:r>
                    <w:rPr>
                      <w:rFonts w:hint="eastAsia" w:cs="Times New Roman"/>
                      <w:color w:val="auto"/>
                      <w:spacing w:val="0"/>
                      <w:kern w:val="2"/>
                      <w:sz w:val="21"/>
                      <w:szCs w:val="21"/>
                      <w:highlight w:val="none"/>
                      <w:lang w:val="en-US" w:eastAsia="zh-CN" w:bidi="ar-SA"/>
                    </w:rPr>
                    <w:t>外购</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44" w:hRule="atLeast"/>
                <w:jc w:val="center"/>
              </w:trPr>
              <w:tc>
                <w:tcPr>
                  <w:tcW w:w="589" w:type="dxa"/>
                  <w:vAlign w:val="center"/>
                </w:tcPr>
                <w:p>
                  <w:pPr>
                    <w:keepNext w:val="0"/>
                    <w:keepLines w:val="0"/>
                    <w:pageBreakBefore w:val="0"/>
                    <w:widowControl w:val="0"/>
                    <w:numPr>
                      <w:ilvl w:val="0"/>
                      <w:numId w:val="15"/>
                    </w:numPr>
                    <w:kinsoku/>
                    <w:wordWrap/>
                    <w:overflowPunct/>
                    <w:topLinePunct w:val="0"/>
                    <w:autoSpaceDE w:val="0"/>
                    <w:autoSpaceDN w:val="0"/>
                    <w:bidi w:val="0"/>
                    <w:adjustRightInd w:val="0"/>
                    <w:snapToGrid w:val="0"/>
                    <w:spacing w:line="240" w:lineRule="auto"/>
                    <w:ind w:left="-24" w:leftChars="-10" w:right="-24" w:rightChars="-10" w:firstLine="0" w:firstLineChars="0"/>
                    <w:jc w:val="center"/>
                    <w:textAlignment w:val="auto"/>
                    <w:rPr>
                      <w:rFonts w:hint="default" w:ascii="Times New Roman" w:hAnsi="Times New Roman" w:cs="Times New Roman"/>
                      <w:color w:val="auto"/>
                      <w:kern w:val="0"/>
                      <w:sz w:val="21"/>
                      <w:szCs w:val="21"/>
                      <w:highlight w:val="none"/>
                    </w:rPr>
                  </w:pPr>
                </w:p>
              </w:tc>
              <w:tc>
                <w:tcPr>
                  <w:tcW w:w="638" w:type="dxa"/>
                  <w:vMerge w:val="continue"/>
                  <w:vAlign w:val="center"/>
                </w:tcPr>
                <w:p>
                  <w:pPr>
                    <w:pStyle w:val="36"/>
                    <w:keepNext w:val="0"/>
                    <w:keepLines w:val="0"/>
                    <w:pageBreakBefore w:val="0"/>
                    <w:kinsoku/>
                    <w:wordWrap/>
                    <w:overflowPunct/>
                    <w:topLinePunct w:val="0"/>
                    <w:bidi w:val="0"/>
                    <w:spacing w:line="240" w:lineRule="auto"/>
                    <w:ind w:firstLine="0" w:firstLineChars="0"/>
                    <w:jc w:val="center"/>
                    <w:rPr>
                      <w:rFonts w:hint="eastAsia"/>
                      <w:color w:val="auto"/>
                      <w:highlight w:val="yellow"/>
                      <w:lang w:val="en-US" w:eastAsia="zh-CN"/>
                    </w:rPr>
                  </w:pPr>
                </w:p>
              </w:tc>
              <w:tc>
                <w:tcPr>
                  <w:tcW w:w="862" w:type="dxa"/>
                  <w:vAlign w:val="center"/>
                </w:tcPr>
                <w:p>
                  <w:pPr>
                    <w:pStyle w:val="36"/>
                    <w:keepNext w:val="0"/>
                    <w:keepLines w:val="0"/>
                    <w:pageBreakBefore w:val="0"/>
                    <w:kinsoku/>
                    <w:wordWrap/>
                    <w:overflowPunct/>
                    <w:topLinePunct w:val="0"/>
                    <w:bidi w:val="0"/>
                    <w:spacing w:line="240" w:lineRule="auto"/>
                    <w:ind w:firstLine="0" w:firstLineChars="0"/>
                    <w:jc w:val="center"/>
                    <w:rPr>
                      <w:rFonts w:hint="eastAsia"/>
                      <w:color w:val="auto"/>
                      <w:highlight w:val="yellow"/>
                      <w:lang w:val="en-US" w:eastAsia="zh-CN"/>
                    </w:rPr>
                  </w:pPr>
                  <w:r>
                    <w:rPr>
                      <w:rFonts w:hint="eastAsia" w:ascii="Times New Roman" w:hAnsi="Times New Roman" w:eastAsia="宋体" w:cs="Times New Roman"/>
                      <w:color w:val="auto"/>
                      <w:sz w:val="21"/>
                      <w:szCs w:val="21"/>
                      <w:highlight w:val="none"/>
                      <w:lang w:val="en-US" w:eastAsia="zh-CN"/>
                    </w:rPr>
                    <w:t>碳黑</w:t>
                  </w:r>
                </w:p>
              </w:tc>
              <w:tc>
                <w:tcPr>
                  <w:tcW w:w="1133" w:type="dxa"/>
                  <w:vAlign w:val="center"/>
                </w:tcPr>
                <w:p>
                  <w:pPr>
                    <w:pStyle w:val="36"/>
                    <w:keepNext w:val="0"/>
                    <w:keepLines w:val="0"/>
                    <w:pageBreakBefore w:val="0"/>
                    <w:kinsoku/>
                    <w:wordWrap/>
                    <w:overflowPunct/>
                    <w:topLinePunct w:val="0"/>
                    <w:bidi w:val="0"/>
                    <w:spacing w:line="240" w:lineRule="auto"/>
                    <w:ind w:firstLine="0" w:firstLineChars="0"/>
                    <w:jc w:val="center"/>
                    <w:rPr>
                      <w:rFonts w:hint="default" w:ascii="Times New Roman" w:hAnsi="Times New Roman" w:eastAsia="宋体" w:cs="Times New Roman"/>
                      <w:snapToGrid w:val="0"/>
                      <w:color w:val="auto"/>
                      <w:spacing w:val="0"/>
                      <w:kern w:val="0"/>
                      <w:sz w:val="21"/>
                      <w:szCs w:val="21"/>
                      <w:highlight w:val="yellow"/>
                      <w:lang w:val="en-US" w:eastAsia="zh-CN" w:bidi="ar-SA"/>
                    </w:rPr>
                  </w:pPr>
                  <w:r>
                    <w:rPr>
                      <w:rFonts w:hint="eastAsia" w:ascii="Times New Roman" w:hAnsi="Times New Roman" w:eastAsia="宋体" w:cs="Times New Roman"/>
                      <w:color w:val="auto"/>
                      <w:sz w:val="21"/>
                      <w:szCs w:val="21"/>
                      <w:highlight w:val="none"/>
                      <w:lang w:val="en-US" w:eastAsia="zh-CN"/>
                    </w:rPr>
                    <w:t>kg/a</w:t>
                  </w:r>
                </w:p>
              </w:tc>
              <w:tc>
                <w:tcPr>
                  <w:tcW w:w="904" w:type="dxa"/>
                  <w:vAlign w:val="center"/>
                </w:tcPr>
                <w:p>
                  <w:pPr>
                    <w:pStyle w:val="36"/>
                    <w:keepNext w:val="0"/>
                    <w:keepLines w:val="0"/>
                    <w:pageBreakBefore w:val="0"/>
                    <w:kinsoku/>
                    <w:wordWrap/>
                    <w:overflowPunct/>
                    <w:topLinePunct w:val="0"/>
                    <w:bidi w:val="0"/>
                    <w:spacing w:line="240" w:lineRule="auto"/>
                    <w:ind w:firstLine="0" w:firstLineChars="0"/>
                    <w:jc w:val="center"/>
                    <w:rPr>
                      <w:rFonts w:hint="default" w:ascii="Times New Roman" w:hAnsi="Times New Roman" w:eastAsia="宋体" w:cs="Times New Roman"/>
                      <w:bCs/>
                      <w:snapToGrid w:val="0"/>
                      <w:color w:val="auto"/>
                      <w:spacing w:val="0"/>
                      <w:kern w:val="0"/>
                      <w:sz w:val="21"/>
                      <w:szCs w:val="21"/>
                      <w:highlight w:val="yellow"/>
                      <w:lang w:val="en-US" w:eastAsia="zh-CN" w:bidi="ar-SA"/>
                    </w:rPr>
                  </w:pPr>
                  <w:r>
                    <w:rPr>
                      <w:rFonts w:hint="eastAsia" w:cs="Times New Roman"/>
                      <w:bCs/>
                      <w:snapToGrid w:val="0"/>
                      <w:color w:val="auto"/>
                      <w:spacing w:val="0"/>
                      <w:kern w:val="0"/>
                      <w:sz w:val="21"/>
                      <w:szCs w:val="21"/>
                      <w:highlight w:val="none"/>
                      <w:lang w:val="en-US" w:eastAsia="zh-CN" w:bidi="ar-SA"/>
                    </w:rPr>
                    <w:t>0</w:t>
                  </w:r>
                </w:p>
              </w:tc>
              <w:tc>
                <w:tcPr>
                  <w:tcW w:w="1121" w:type="dxa"/>
                  <w:vAlign w:val="center"/>
                </w:tcPr>
                <w:p>
                  <w:pPr>
                    <w:pStyle w:val="36"/>
                    <w:keepNext w:val="0"/>
                    <w:keepLines w:val="0"/>
                    <w:pageBreakBefore w:val="0"/>
                    <w:kinsoku/>
                    <w:wordWrap/>
                    <w:overflowPunct/>
                    <w:topLinePunct w:val="0"/>
                    <w:bidi w:val="0"/>
                    <w:spacing w:line="240" w:lineRule="auto"/>
                    <w:ind w:firstLine="0" w:firstLineChars="0"/>
                    <w:jc w:val="center"/>
                    <w:rPr>
                      <w:rFonts w:hint="default" w:ascii="Times New Roman" w:hAnsi="Times New Roman" w:eastAsia="宋体" w:cs="Times New Roman"/>
                      <w:bCs/>
                      <w:snapToGrid w:val="0"/>
                      <w:color w:val="auto"/>
                      <w:spacing w:val="0"/>
                      <w:kern w:val="0"/>
                      <w:sz w:val="21"/>
                      <w:szCs w:val="21"/>
                      <w:highlight w:val="yellow"/>
                      <w:lang w:val="en-US" w:eastAsia="zh-CN" w:bidi="ar-SA"/>
                    </w:rPr>
                  </w:pPr>
                  <w:r>
                    <w:rPr>
                      <w:rFonts w:hint="eastAsia" w:ascii="Times New Roman" w:hAnsi="Times New Roman" w:eastAsia="宋体" w:cs="Times New Roman"/>
                      <w:color w:val="auto"/>
                      <w:sz w:val="21"/>
                      <w:szCs w:val="21"/>
                      <w:highlight w:val="none"/>
                      <w:lang w:val="en-US" w:eastAsia="zh-CN"/>
                    </w:rPr>
                    <w:t>16</w:t>
                  </w:r>
                </w:p>
              </w:tc>
              <w:tc>
                <w:tcPr>
                  <w:tcW w:w="960" w:type="dxa"/>
                  <w:vAlign w:val="center"/>
                </w:tcPr>
                <w:p>
                  <w:pPr>
                    <w:pStyle w:val="36"/>
                    <w:keepNext w:val="0"/>
                    <w:keepLines w:val="0"/>
                    <w:pageBreakBefore w:val="0"/>
                    <w:kinsoku/>
                    <w:wordWrap/>
                    <w:overflowPunct/>
                    <w:topLinePunct w:val="0"/>
                    <w:bidi w:val="0"/>
                    <w:spacing w:line="240" w:lineRule="auto"/>
                    <w:ind w:firstLine="0" w:firstLineChars="0"/>
                    <w:jc w:val="center"/>
                    <w:rPr>
                      <w:rFonts w:hint="default" w:ascii="Times New Roman" w:hAnsi="Times New Roman" w:cs="Times New Roman"/>
                      <w:color w:val="auto"/>
                      <w:kern w:val="0"/>
                      <w:sz w:val="21"/>
                      <w:szCs w:val="21"/>
                      <w:highlight w:val="yellow"/>
                      <w:lang w:val="en-US" w:eastAsia="zh-CN"/>
                    </w:rPr>
                  </w:pPr>
                  <w:r>
                    <w:rPr>
                      <w:rFonts w:hint="eastAsia"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16</w:t>
                  </w:r>
                </w:p>
              </w:tc>
              <w:tc>
                <w:tcPr>
                  <w:tcW w:w="2070" w:type="dxa"/>
                  <w:gridSpan w:val="2"/>
                  <w:vAlign w:val="center"/>
                </w:tcPr>
                <w:p>
                  <w:pPr>
                    <w:keepNext w:val="0"/>
                    <w:keepLines w:val="0"/>
                    <w:pageBreakBefore w:val="0"/>
                    <w:widowControl w:val="0"/>
                    <w:kinsoku/>
                    <w:wordWrap/>
                    <w:overflowPunct/>
                    <w:topLinePunct w:val="0"/>
                    <w:autoSpaceDE/>
                    <w:autoSpaceDN/>
                    <w:bidi w:val="0"/>
                    <w:spacing w:line="240" w:lineRule="auto"/>
                    <w:ind w:left="-24" w:leftChars="-10" w:right="-24" w:rightChars="-10" w:firstLine="0" w:firstLineChars="0"/>
                    <w:jc w:val="center"/>
                    <w:textAlignment w:val="auto"/>
                    <w:outlineLvl w:val="9"/>
                    <w:rPr>
                      <w:rFonts w:hint="default" w:ascii="Times New Roman" w:hAnsi="Times New Roman" w:eastAsia="宋体" w:cs="Times New Roman"/>
                      <w:color w:val="auto"/>
                      <w:spacing w:val="0"/>
                      <w:kern w:val="2"/>
                      <w:sz w:val="21"/>
                      <w:szCs w:val="21"/>
                      <w:highlight w:val="yellow"/>
                      <w:lang w:val="en-US" w:eastAsia="zh-CN" w:bidi="ar-SA"/>
                    </w:rPr>
                  </w:pPr>
                  <w:r>
                    <w:rPr>
                      <w:rFonts w:hint="eastAsia" w:cs="Times New Roman"/>
                      <w:color w:val="auto"/>
                      <w:spacing w:val="0"/>
                      <w:kern w:val="2"/>
                      <w:sz w:val="21"/>
                      <w:szCs w:val="21"/>
                      <w:highlight w:val="none"/>
                      <w:lang w:val="en-US" w:eastAsia="zh-CN" w:bidi="ar-SA"/>
                    </w:rPr>
                    <w:t>外购</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44" w:hRule="atLeast"/>
                <w:jc w:val="center"/>
              </w:trPr>
              <w:tc>
                <w:tcPr>
                  <w:tcW w:w="589" w:type="dxa"/>
                  <w:vAlign w:val="center"/>
                </w:tcPr>
                <w:p>
                  <w:pPr>
                    <w:keepNext w:val="0"/>
                    <w:keepLines w:val="0"/>
                    <w:pageBreakBefore w:val="0"/>
                    <w:widowControl w:val="0"/>
                    <w:numPr>
                      <w:ilvl w:val="0"/>
                      <w:numId w:val="15"/>
                    </w:numPr>
                    <w:kinsoku/>
                    <w:wordWrap/>
                    <w:overflowPunct/>
                    <w:topLinePunct w:val="0"/>
                    <w:autoSpaceDE w:val="0"/>
                    <w:autoSpaceDN w:val="0"/>
                    <w:bidi w:val="0"/>
                    <w:adjustRightInd w:val="0"/>
                    <w:snapToGrid w:val="0"/>
                    <w:spacing w:line="240" w:lineRule="auto"/>
                    <w:ind w:left="-24" w:leftChars="-10" w:right="-24" w:rightChars="-10" w:firstLine="0" w:firstLineChars="0"/>
                    <w:jc w:val="center"/>
                    <w:textAlignment w:val="auto"/>
                    <w:rPr>
                      <w:rFonts w:hint="default" w:ascii="Times New Roman" w:hAnsi="Times New Roman" w:cs="Times New Roman"/>
                      <w:color w:val="auto"/>
                      <w:kern w:val="0"/>
                      <w:sz w:val="21"/>
                      <w:szCs w:val="21"/>
                      <w:highlight w:val="none"/>
                    </w:rPr>
                  </w:pPr>
                </w:p>
              </w:tc>
              <w:tc>
                <w:tcPr>
                  <w:tcW w:w="638" w:type="dxa"/>
                  <w:vMerge w:val="continue"/>
                  <w:vAlign w:val="center"/>
                </w:tcPr>
                <w:p>
                  <w:pPr>
                    <w:pStyle w:val="36"/>
                    <w:keepNext w:val="0"/>
                    <w:keepLines w:val="0"/>
                    <w:pageBreakBefore w:val="0"/>
                    <w:kinsoku/>
                    <w:wordWrap/>
                    <w:overflowPunct/>
                    <w:topLinePunct w:val="0"/>
                    <w:bidi w:val="0"/>
                    <w:spacing w:line="240" w:lineRule="auto"/>
                    <w:ind w:firstLine="0" w:firstLineChars="0"/>
                    <w:jc w:val="center"/>
                    <w:rPr>
                      <w:rFonts w:hint="eastAsia"/>
                      <w:color w:val="auto"/>
                      <w:highlight w:val="yellow"/>
                      <w:lang w:val="en-US" w:eastAsia="zh-CN"/>
                    </w:rPr>
                  </w:pPr>
                </w:p>
              </w:tc>
              <w:tc>
                <w:tcPr>
                  <w:tcW w:w="862" w:type="dxa"/>
                  <w:vAlign w:val="center"/>
                </w:tcPr>
                <w:p>
                  <w:pPr>
                    <w:pStyle w:val="36"/>
                    <w:keepNext w:val="0"/>
                    <w:keepLines w:val="0"/>
                    <w:pageBreakBefore w:val="0"/>
                    <w:kinsoku/>
                    <w:wordWrap/>
                    <w:overflowPunct/>
                    <w:topLinePunct w:val="0"/>
                    <w:bidi w:val="0"/>
                    <w:spacing w:line="240" w:lineRule="auto"/>
                    <w:ind w:firstLine="0" w:firstLineChars="0"/>
                    <w:jc w:val="center"/>
                    <w:rPr>
                      <w:rFonts w:hint="eastAsia"/>
                      <w:color w:val="auto"/>
                      <w:highlight w:val="yellow"/>
                      <w:lang w:val="en-US" w:eastAsia="zh-CN"/>
                    </w:rPr>
                  </w:pPr>
                  <w:r>
                    <w:rPr>
                      <w:rFonts w:hint="eastAsia" w:ascii="Times New Roman" w:hAnsi="Times New Roman" w:eastAsia="宋体" w:cs="Times New Roman"/>
                      <w:color w:val="auto"/>
                      <w:sz w:val="21"/>
                      <w:szCs w:val="21"/>
                      <w:highlight w:val="none"/>
                      <w:lang w:val="en-US" w:eastAsia="zh-CN"/>
                    </w:rPr>
                    <w:t>异氰酸酯固化剂</w:t>
                  </w:r>
                </w:p>
              </w:tc>
              <w:tc>
                <w:tcPr>
                  <w:tcW w:w="1133" w:type="dxa"/>
                  <w:vAlign w:val="center"/>
                </w:tcPr>
                <w:p>
                  <w:pPr>
                    <w:pStyle w:val="36"/>
                    <w:keepNext w:val="0"/>
                    <w:keepLines w:val="0"/>
                    <w:pageBreakBefore w:val="0"/>
                    <w:kinsoku/>
                    <w:wordWrap/>
                    <w:overflowPunct/>
                    <w:topLinePunct w:val="0"/>
                    <w:bidi w:val="0"/>
                    <w:spacing w:line="240" w:lineRule="auto"/>
                    <w:ind w:firstLine="0" w:firstLineChars="0"/>
                    <w:jc w:val="center"/>
                    <w:rPr>
                      <w:rFonts w:hint="default" w:ascii="Times New Roman" w:hAnsi="Times New Roman" w:eastAsia="宋体" w:cs="Times New Roman"/>
                      <w:snapToGrid w:val="0"/>
                      <w:color w:val="auto"/>
                      <w:spacing w:val="0"/>
                      <w:kern w:val="0"/>
                      <w:sz w:val="21"/>
                      <w:szCs w:val="21"/>
                      <w:highlight w:val="yellow"/>
                      <w:lang w:val="en-US" w:eastAsia="zh-CN" w:bidi="ar-SA"/>
                    </w:rPr>
                  </w:pPr>
                  <w:r>
                    <w:rPr>
                      <w:rFonts w:hint="eastAsia" w:ascii="Times New Roman" w:hAnsi="Times New Roman" w:eastAsia="宋体" w:cs="Times New Roman"/>
                      <w:color w:val="auto"/>
                      <w:sz w:val="21"/>
                      <w:szCs w:val="21"/>
                      <w:highlight w:val="none"/>
                      <w:lang w:val="en-US" w:eastAsia="zh-CN"/>
                    </w:rPr>
                    <w:t>kg/a</w:t>
                  </w:r>
                </w:p>
              </w:tc>
              <w:tc>
                <w:tcPr>
                  <w:tcW w:w="904" w:type="dxa"/>
                  <w:vAlign w:val="center"/>
                </w:tcPr>
                <w:p>
                  <w:pPr>
                    <w:pStyle w:val="36"/>
                    <w:keepNext w:val="0"/>
                    <w:keepLines w:val="0"/>
                    <w:pageBreakBefore w:val="0"/>
                    <w:kinsoku/>
                    <w:wordWrap/>
                    <w:overflowPunct/>
                    <w:topLinePunct w:val="0"/>
                    <w:bidi w:val="0"/>
                    <w:spacing w:line="240" w:lineRule="auto"/>
                    <w:ind w:firstLine="0" w:firstLineChars="0"/>
                    <w:jc w:val="center"/>
                    <w:rPr>
                      <w:rFonts w:hint="default" w:ascii="Times New Roman" w:hAnsi="Times New Roman" w:eastAsia="宋体" w:cs="Times New Roman"/>
                      <w:bCs/>
                      <w:snapToGrid w:val="0"/>
                      <w:color w:val="auto"/>
                      <w:spacing w:val="0"/>
                      <w:kern w:val="0"/>
                      <w:sz w:val="21"/>
                      <w:szCs w:val="21"/>
                      <w:highlight w:val="yellow"/>
                      <w:lang w:val="en-US" w:eastAsia="zh-CN" w:bidi="ar-SA"/>
                    </w:rPr>
                  </w:pPr>
                  <w:r>
                    <w:rPr>
                      <w:rFonts w:hint="eastAsia" w:cs="Times New Roman"/>
                      <w:bCs/>
                      <w:snapToGrid w:val="0"/>
                      <w:color w:val="auto"/>
                      <w:spacing w:val="0"/>
                      <w:kern w:val="0"/>
                      <w:sz w:val="21"/>
                      <w:szCs w:val="21"/>
                      <w:highlight w:val="none"/>
                      <w:lang w:val="en-US" w:eastAsia="zh-CN" w:bidi="ar-SA"/>
                    </w:rPr>
                    <w:t>0</w:t>
                  </w:r>
                </w:p>
              </w:tc>
              <w:tc>
                <w:tcPr>
                  <w:tcW w:w="1121" w:type="dxa"/>
                  <w:vAlign w:val="center"/>
                </w:tcPr>
                <w:p>
                  <w:pPr>
                    <w:pStyle w:val="36"/>
                    <w:keepNext w:val="0"/>
                    <w:keepLines w:val="0"/>
                    <w:pageBreakBefore w:val="0"/>
                    <w:kinsoku/>
                    <w:wordWrap/>
                    <w:overflowPunct/>
                    <w:topLinePunct w:val="0"/>
                    <w:bidi w:val="0"/>
                    <w:spacing w:line="240" w:lineRule="auto"/>
                    <w:ind w:firstLine="0" w:firstLineChars="0"/>
                    <w:jc w:val="center"/>
                    <w:rPr>
                      <w:rFonts w:hint="default" w:ascii="Times New Roman" w:hAnsi="Times New Roman" w:eastAsia="宋体" w:cs="Times New Roman"/>
                      <w:bCs/>
                      <w:snapToGrid w:val="0"/>
                      <w:color w:val="auto"/>
                      <w:spacing w:val="0"/>
                      <w:kern w:val="0"/>
                      <w:sz w:val="21"/>
                      <w:szCs w:val="21"/>
                      <w:highlight w:val="yellow"/>
                      <w:lang w:val="en-US" w:eastAsia="zh-CN" w:bidi="ar-SA"/>
                    </w:rPr>
                  </w:pPr>
                  <w:r>
                    <w:rPr>
                      <w:rFonts w:hint="eastAsia" w:ascii="Times New Roman" w:hAnsi="Times New Roman" w:eastAsia="宋体" w:cs="Times New Roman"/>
                      <w:color w:val="auto"/>
                      <w:sz w:val="21"/>
                      <w:szCs w:val="21"/>
                      <w:highlight w:val="none"/>
                      <w:lang w:val="en-US" w:eastAsia="zh-CN"/>
                    </w:rPr>
                    <w:t>16</w:t>
                  </w:r>
                </w:p>
              </w:tc>
              <w:tc>
                <w:tcPr>
                  <w:tcW w:w="960" w:type="dxa"/>
                  <w:vAlign w:val="center"/>
                </w:tcPr>
                <w:p>
                  <w:pPr>
                    <w:pStyle w:val="36"/>
                    <w:keepNext w:val="0"/>
                    <w:keepLines w:val="0"/>
                    <w:pageBreakBefore w:val="0"/>
                    <w:kinsoku/>
                    <w:wordWrap/>
                    <w:overflowPunct/>
                    <w:topLinePunct w:val="0"/>
                    <w:bidi w:val="0"/>
                    <w:spacing w:line="240" w:lineRule="auto"/>
                    <w:ind w:firstLine="0" w:firstLineChars="0"/>
                    <w:jc w:val="center"/>
                    <w:rPr>
                      <w:rFonts w:hint="default" w:ascii="Times New Roman" w:hAnsi="Times New Roman" w:cs="Times New Roman"/>
                      <w:color w:val="auto"/>
                      <w:kern w:val="0"/>
                      <w:sz w:val="21"/>
                      <w:szCs w:val="21"/>
                      <w:highlight w:val="yellow"/>
                      <w:lang w:val="en-US" w:eastAsia="zh-CN"/>
                    </w:rPr>
                  </w:pPr>
                  <w:r>
                    <w:rPr>
                      <w:rFonts w:hint="eastAsia"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16</w:t>
                  </w:r>
                </w:p>
              </w:tc>
              <w:tc>
                <w:tcPr>
                  <w:tcW w:w="2070" w:type="dxa"/>
                  <w:gridSpan w:val="2"/>
                  <w:vAlign w:val="center"/>
                </w:tcPr>
                <w:p>
                  <w:pPr>
                    <w:keepNext w:val="0"/>
                    <w:keepLines w:val="0"/>
                    <w:pageBreakBefore w:val="0"/>
                    <w:widowControl w:val="0"/>
                    <w:kinsoku/>
                    <w:wordWrap/>
                    <w:overflowPunct/>
                    <w:topLinePunct w:val="0"/>
                    <w:autoSpaceDE/>
                    <w:autoSpaceDN/>
                    <w:bidi w:val="0"/>
                    <w:spacing w:line="240" w:lineRule="auto"/>
                    <w:ind w:left="-24" w:leftChars="-10" w:right="-24" w:rightChars="-10" w:firstLine="0" w:firstLineChars="0"/>
                    <w:jc w:val="center"/>
                    <w:textAlignment w:val="auto"/>
                    <w:outlineLvl w:val="9"/>
                    <w:rPr>
                      <w:rFonts w:hint="default" w:ascii="Times New Roman" w:hAnsi="Times New Roman" w:eastAsia="宋体" w:cs="Times New Roman"/>
                      <w:color w:val="auto"/>
                      <w:spacing w:val="0"/>
                      <w:kern w:val="2"/>
                      <w:sz w:val="21"/>
                      <w:szCs w:val="21"/>
                      <w:highlight w:val="yellow"/>
                      <w:lang w:val="en-US" w:eastAsia="zh-CN" w:bidi="ar-SA"/>
                    </w:rPr>
                  </w:pPr>
                  <w:r>
                    <w:rPr>
                      <w:rFonts w:hint="eastAsia" w:cs="Times New Roman"/>
                      <w:color w:val="auto"/>
                      <w:spacing w:val="0"/>
                      <w:kern w:val="2"/>
                      <w:sz w:val="21"/>
                      <w:szCs w:val="21"/>
                      <w:highlight w:val="none"/>
                      <w:lang w:val="en-US" w:eastAsia="zh-CN" w:bidi="ar-SA"/>
                    </w:rPr>
                    <w:t>外购</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37" w:hRule="atLeast"/>
                <w:jc w:val="center"/>
              </w:trPr>
              <w:tc>
                <w:tcPr>
                  <w:tcW w:w="589" w:type="dxa"/>
                  <w:vAlign w:val="center"/>
                </w:tcPr>
                <w:p>
                  <w:pPr>
                    <w:keepNext w:val="0"/>
                    <w:keepLines w:val="0"/>
                    <w:pageBreakBefore w:val="0"/>
                    <w:widowControl w:val="0"/>
                    <w:numPr>
                      <w:ilvl w:val="0"/>
                      <w:numId w:val="15"/>
                    </w:numPr>
                    <w:kinsoku/>
                    <w:wordWrap/>
                    <w:overflowPunct/>
                    <w:topLinePunct w:val="0"/>
                    <w:autoSpaceDE w:val="0"/>
                    <w:autoSpaceDN w:val="0"/>
                    <w:bidi w:val="0"/>
                    <w:adjustRightInd w:val="0"/>
                    <w:snapToGrid w:val="0"/>
                    <w:spacing w:line="240" w:lineRule="auto"/>
                    <w:ind w:left="-24" w:leftChars="-10" w:right="-24" w:rightChars="-10" w:firstLine="0" w:firstLineChars="0"/>
                    <w:jc w:val="center"/>
                    <w:textAlignment w:val="auto"/>
                    <w:rPr>
                      <w:rFonts w:hint="default" w:ascii="Times New Roman" w:hAnsi="Times New Roman" w:cs="Times New Roman"/>
                      <w:color w:val="auto"/>
                      <w:kern w:val="0"/>
                      <w:sz w:val="21"/>
                      <w:szCs w:val="21"/>
                      <w:highlight w:val="none"/>
                    </w:rPr>
                  </w:pPr>
                </w:p>
              </w:tc>
              <w:tc>
                <w:tcPr>
                  <w:tcW w:w="1500" w:type="dxa"/>
                  <w:gridSpan w:val="2"/>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铜带</w:t>
                  </w:r>
                </w:p>
              </w:tc>
              <w:tc>
                <w:tcPr>
                  <w:tcW w:w="1133" w:type="dxa"/>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firstLine="0" w:firstLineChars="0"/>
                    <w:textAlignment w:val="auto"/>
                    <w:rPr>
                      <w:rFonts w:hint="default" w:ascii="Times New Roman" w:hAnsi="Times New Roman" w:eastAsia="宋体" w:cs="Times New Roman"/>
                      <w:bCs/>
                      <w:color w:val="auto"/>
                      <w:spacing w:val="0"/>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万m/a</w:t>
                  </w:r>
                </w:p>
              </w:tc>
              <w:tc>
                <w:tcPr>
                  <w:tcW w:w="904" w:type="dxa"/>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firstLine="0" w:firstLineChars="0"/>
                    <w:textAlignment w:val="auto"/>
                    <w:rPr>
                      <w:rFonts w:hint="default" w:ascii="Times New Roman" w:hAnsi="Times New Roman" w:eastAsia="宋体" w:cs="Times New Roman"/>
                      <w:bCs/>
                      <w:color w:val="auto"/>
                      <w:spacing w:val="0"/>
                      <w:kern w:val="2"/>
                      <w:sz w:val="21"/>
                      <w:szCs w:val="21"/>
                      <w:highlight w:val="none"/>
                      <w:lang w:val="en-US" w:eastAsia="zh-CN" w:bidi="ar-SA"/>
                    </w:rPr>
                  </w:pPr>
                  <w:r>
                    <w:rPr>
                      <w:rFonts w:hint="eastAsia" w:cs="Times New Roman"/>
                      <w:bCs/>
                      <w:color w:val="auto"/>
                      <w:spacing w:val="0"/>
                      <w:kern w:val="2"/>
                      <w:sz w:val="21"/>
                      <w:szCs w:val="21"/>
                      <w:highlight w:val="none"/>
                      <w:lang w:val="en-US" w:eastAsia="zh-CN" w:bidi="ar-SA"/>
                    </w:rPr>
                    <w:t>0</w:t>
                  </w:r>
                </w:p>
              </w:tc>
              <w:tc>
                <w:tcPr>
                  <w:tcW w:w="1121" w:type="dxa"/>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firstLine="0" w:firstLineChars="0"/>
                    <w:textAlignment w:val="auto"/>
                    <w:rPr>
                      <w:rFonts w:hint="default" w:ascii="Times New Roman" w:hAnsi="Times New Roman" w:eastAsia="宋体" w:cs="Times New Roman"/>
                      <w:bCs/>
                      <w:color w:val="auto"/>
                      <w:spacing w:val="0"/>
                      <w:kern w:val="2"/>
                      <w:sz w:val="21"/>
                      <w:szCs w:val="21"/>
                      <w:highlight w:val="none"/>
                      <w:lang w:val="en-US" w:eastAsia="zh-CN" w:bidi="ar-SA"/>
                    </w:rPr>
                  </w:pPr>
                  <w:r>
                    <w:rPr>
                      <w:rFonts w:hint="eastAsia" w:cs="Times New Roman"/>
                      <w:bCs/>
                      <w:color w:val="auto"/>
                      <w:spacing w:val="0"/>
                      <w:kern w:val="2"/>
                      <w:sz w:val="21"/>
                      <w:szCs w:val="21"/>
                      <w:highlight w:val="none"/>
                      <w:lang w:val="en-US" w:eastAsia="zh-CN" w:bidi="ar-SA"/>
                    </w:rPr>
                    <w:t>8</w:t>
                  </w:r>
                </w:p>
              </w:tc>
              <w:tc>
                <w:tcPr>
                  <w:tcW w:w="960"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24" w:leftChars="-10" w:right="-24" w:rightChars="-10" w:firstLine="0" w:firstLineChars="0"/>
                    <w:jc w:val="center"/>
                    <w:textAlignment w:val="auto"/>
                    <w:rPr>
                      <w:rFonts w:hint="default" w:ascii="Times New Roman" w:hAnsi="Times New Roman"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+8</w:t>
                  </w:r>
                </w:p>
              </w:tc>
              <w:tc>
                <w:tcPr>
                  <w:tcW w:w="2070" w:type="dxa"/>
                  <w:gridSpan w:val="2"/>
                  <w:vAlign w:val="center"/>
                </w:tcPr>
                <w:p>
                  <w:pPr>
                    <w:keepNext w:val="0"/>
                    <w:keepLines w:val="0"/>
                    <w:pageBreakBefore w:val="0"/>
                    <w:widowControl w:val="0"/>
                    <w:kinsoku/>
                    <w:wordWrap/>
                    <w:overflowPunct/>
                    <w:topLinePunct w:val="0"/>
                    <w:autoSpaceDE/>
                    <w:autoSpaceDN/>
                    <w:bidi w:val="0"/>
                    <w:spacing w:line="240" w:lineRule="auto"/>
                    <w:ind w:left="-24" w:leftChars="-10" w:right="-24" w:rightChars="-10" w:firstLine="0" w:firstLineChars="0"/>
                    <w:jc w:val="center"/>
                    <w:textAlignment w:val="auto"/>
                    <w:outlineLvl w:val="9"/>
                    <w:rPr>
                      <w:rFonts w:hint="default" w:ascii="Times New Roman" w:hAnsi="Times New Roman" w:eastAsia="宋体" w:cs="Times New Roman"/>
                      <w:color w:val="auto"/>
                      <w:kern w:val="24"/>
                      <w:sz w:val="21"/>
                      <w:szCs w:val="21"/>
                      <w:highlight w:val="none"/>
                      <w:lang w:val="en-US" w:eastAsia="zh-CN" w:bidi="ar-SA"/>
                    </w:rPr>
                  </w:pPr>
                  <w:r>
                    <w:rPr>
                      <w:rFonts w:hint="eastAsia" w:cs="Times New Roman"/>
                      <w:color w:val="auto"/>
                      <w:spacing w:val="0"/>
                      <w:kern w:val="2"/>
                      <w:sz w:val="21"/>
                      <w:szCs w:val="21"/>
                      <w:highlight w:val="none"/>
                      <w:lang w:val="en-US" w:eastAsia="zh-CN" w:bidi="ar-SA"/>
                    </w:rPr>
                    <w:t>外购</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37" w:hRule="atLeast"/>
                <w:jc w:val="center"/>
              </w:trPr>
              <w:tc>
                <w:tcPr>
                  <w:tcW w:w="589" w:type="dxa"/>
                  <w:vAlign w:val="center"/>
                </w:tcPr>
                <w:p>
                  <w:pPr>
                    <w:keepNext w:val="0"/>
                    <w:keepLines w:val="0"/>
                    <w:pageBreakBefore w:val="0"/>
                    <w:widowControl w:val="0"/>
                    <w:numPr>
                      <w:ilvl w:val="0"/>
                      <w:numId w:val="15"/>
                    </w:numPr>
                    <w:kinsoku/>
                    <w:wordWrap/>
                    <w:overflowPunct/>
                    <w:topLinePunct w:val="0"/>
                    <w:autoSpaceDE w:val="0"/>
                    <w:autoSpaceDN w:val="0"/>
                    <w:bidi w:val="0"/>
                    <w:adjustRightInd w:val="0"/>
                    <w:snapToGrid w:val="0"/>
                    <w:spacing w:line="240" w:lineRule="auto"/>
                    <w:ind w:left="-24" w:leftChars="-10" w:right="-24" w:rightChars="-10" w:firstLine="0" w:firstLineChars="0"/>
                    <w:jc w:val="center"/>
                    <w:textAlignment w:val="auto"/>
                    <w:rPr>
                      <w:rFonts w:hint="default" w:ascii="Times New Roman" w:hAnsi="Times New Roman" w:cs="Times New Roman"/>
                      <w:color w:val="auto"/>
                      <w:kern w:val="0"/>
                      <w:sz w:val="21"/>
                      <w:szCs w:val="21"/>
                      <w:highlight w:val="none"/>
                    </w:rPr>
                  </w:pPr>
                </w:p>
              </w:tc>
              <w:tc>
                <w:tcPr>
                  <w:tcW w:w="1500" w:type="dxa"/>
                  <w:gridSpan w:val="2"/>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firstLine="0" w:firstLineChars="0"/>
                    <w:textAlignment w:val="auto"/>
                    <w:rPr>
                      <w:rFonts w:hint="eastAsia" w:ascii="Times New Roman" w:hAnsi="Times New Roman" w:eastAsia="宋体" w:cs="Times New Roman"/>
                      <w:color w:val="auto"/>
                      <w:kern w:val="0"/>
                      <w:sz w:val="21"/>
                      <w:szCs w:val="21"/>
                      <w:highlight w:val="none"/>
                      <w:lang w:val="en-US" w:eastAsia="zh-CN" w:bidi="ar-SA"/>
                    </w:rPr>
                  </w:pPr>
                  <w:r>
                    <w:rPr>
                      <w:rFonts w:hint="eastAsia"/>
                      <w:color w:val="auto"/>
                    </w:rPr>
                    <w:t>氢氧化钠</w:t>
                  </w:r>
                </w:p>
              </w:tc>
              <w:tc>
                <w:tcPr>
                  <w:tcW w:w="1133" w:type="dxa"/>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firstLine="0" w:firstLineChars="0"/>
                    <w:textAlignment w:val="auto"/>
                    <w:rPr>
                      <w:rFonts w:hint="eastAsia" w:ascii="Times New Roman" w:hAnsi="Times New Roman" w:eastAsia="宋体" w:cs="Times New Roman"/>
                      <w:bCs/>
                      <w:color w:val="auto"/>
                      <w:spacing w:val="0"/>
                      <w:kern w:val="2"/>
                      <w:sz w:val="21"/>
                      <w:szCs w:val="21"/>
                      <w:highlight w:val="none"/>
                      <w:lang w:val="en-US" w:eastAsia="zh-CN" w:bidi="ar-SA"/>
                    </w:rPr>
                  </w:pPr>
                  <w:r>
                    <w:rPr>
                      <w:rFonts w:hint="eastAsia"/>
                      <w:color w:val="auto"/>
                    </w:rPr>
                    <w:t>袋</w:t>
                  </w:r>
                  <w:r>
                    <w:rPr>
                      <w:rFonts w:hint="eastAsia"/>
                      <w:color w:val="auto"/>
                      <w:lang w:val="en-US" w:eastAsia="zh-CN"/>
                    </w:rPr>
                    <w:t>/a</w:t>
                  </w:r>
                </w:p>
              </w:tc>
              <w:tc>
                <w:tcPr>
                  <w:tcW w:w="904" w:type="dxa"/>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firstLine="0" w:firstLineChars="0"/>
                    <w:textAlignment w:val="auto"/>
                    <w:rPr>
                      <w:rFonts w:hint="eastAsia" w:ascii="Times New Roman" w:hAnsi="Times New Roman" w:eastAsia="宋体" w:cs="Times New Roman"/>
                      <w:bCs/>
                      <w:color w:val="auto"/>
                      <w:spacing w:val="0"/>
                      <w:kern w:val="2"/>
                      <w:sz w:val="21"/>
                      <w:szCs w:val="21"/>
                      <w:highlight w:val="none"/>
                      <w:lang w:val="en-US" w:eastAsia="zh-CN" w:bidi="ar-SA"/>
                    </w:rPr>
                  </w:pPr>
                  <w:r>
                    <w:rPr>
                      <w:rFonts w:hint="eastAsia"/>
                      <w:color w:val="auto"/>
                    </w:rPr>
                    <w:t>4</w:t>
                  </w:r>
                </w:p>
              </w:tc>
              <w:tc>
                <w:tcPr>
                  <w:tcW w:w="1121" w:type="dxa"/>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firstLine="0" w:firstLineChars="0"/>
                    <w:textAlignment w:val="auto"/>
                    <w:rPr>
                      <w:rFonts w:hint="eastAsia" w:ascii="Times New Roman" w:hAnsi="Times New Roman" w:eastAsia="宋体" w:cs="Times New Roman"/>
                      <w:bCs/>
                      <w:color w:val="auto"/>
                      <w:spacing w:val="0"/>
                      <w:kern w:val="2"/>
                      <w:sz w:val="21"/>
                      <w:szCs w:val="21"/>
                      <w:highlight w:val="none"/>
                      <w:lang w:val="en-US" w:eastAsia="zh-CN" w:bidi="ar-SA"/>
                    </w:rPr>
                  </w:pPr>
                  <w:r>
                    <w:rPr>
                      <w:rFonts w:hint="eastAsia"/>
                      <w:color w:val="auto"/>
                    </w:rPr>
                    <w:t>4</w:t>
                  </w:r>
                </w:p>
              </w:tc>
              <w:tc>
                <w:tcPr>
                  <w:tcW w:w="960"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24" w:leftChars="-10" w:right="-24" w:rightChars="-10" w:firstLine="0" w:firstLineChars="0"/>
                    <w:jc w:val="center"/>
                    <w:textAlignment w:val="auto"/>
                    <w:rPr>
                      <w:rFonts w:hint="eastAsia"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rPr>
                    <w:t>0</w:t>
                  </w:r>
                </w:p>
              </w:tc>
              <w:tc>
                <w:tcPr>
                  <w:tcW w:w="2070" w:type="dxa"/>
                  <w:gridSpan w:val="2"/>
                  <w:vAlign w:val="center"/>
                </w:tcPr>
                <w:p>
                  <w:pPr>
                    <w:keepNext w:val="0"/>
                    <w:keepLines w:val="0"/>
                    <w:pageBreakBefore w:val="0"/>
                    <w:widowControl w:val="0"/>
                    <w:kinsoku/>
                    <w:wordWrap/>
                    <w:overflowPunct/>
                    <w:topLinePunct w:val="0"/>
                    <w:autoSpaceDE/>
                    <w:autoSpaceDN/>
                    <w:bidi w:val="0"/>
                    <w:spacing w:line="240" w:lineRule="auto"/>
                    <w:ind w:left="-24" w:leftChars="-10" w:right="-24" w:rightChars="-10" w:firstLine="0" w:firstLineChars="0"/>
                    <w:jc w:val="center"/>
                    <w:textAlignment w:val="auto"/>
                    <w:outlineLvl w:val="9"/>
                    <w:rPr>
                      <w:rFonts w:hint="eastAsia" w:ascii="Times New Roman" w:hAnsi="Times New Roman" w:eastAsia="宋体" w:cs="Times New Roman"/>
                      <w:color w:val="auto"/>
                      <w:kern w:val="24"/>
                      <w:sz w:val="21"/>
                      <w:szCs w:val="21"/>
                      <w:highlight w:val="none"/>
                      <w:lang w:val="en-US" w:eastAsia="zh-CN" w:bidi="ar-SA"/>
                    </w:rPr>
                  </w:pPr>
                  <w:r>
                    <w:rPr>
                      <w:rFonts w:hint="eastAsia" w:cs="Times New Roman"/>
                      <w:color w:val="auto"/>
                      <w:kern w:val="24"/>
                      <w:sz w:val="21"/>
                      <w:szCs w:val="21"/>
                      <w:highlight w:val="none"/>
                      <w:lang w:val="en-US" w:eastAsia="zh-CN" w:bidi="ar-SA"/>
                    </w:rPr>
                    <w:t>外购，25kg/袋</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09" w:hRule="atLeast"/>
                <w:jc w:val="center"/>
              </w:trPr>
              <w:tc>
                <w:tcPr>
                  <w:tcW w:w="589" w:type="dxa"/>
                  <w:vAlign w:val="center"/>
                </w:tcPr>
                <w:p>
                  <w:pPr>
                    <w:keepNext w:val="0"/>
                    <w:keepLines w:val="0"/>
                    <w:pageBreakBefore w:val="0"/>
                    <w:widowControl w:val="0"/>
                    <w:numPr>
                      <w:ilvl w:val="0"/>
                      <w:numId w:val="15"/>
                    </w:numPr>
                    <w:kinsoku/>
                    <w:wordWrap/>
                    <w:overflowPunct/>
                    <w:topLinePunct w:val="0"/>
                    <w:autoSpaceDE w:val="0"/>
                    <w:autoSpaceDN w:val="0"/>
                    <w:bidi w:val="0"/>
                    <w:adjustRightInd w:val="0"/>
                    <w:snapToGrid w:val="0"/>
                    <w:spacing w:line="240" w:lineRule="auto"/>
                    <w:ind w:left="-24" w:leftChars="-10" w:right="-24" w:rightChars="-10" w:firstLine="0" w:firstLineChars="0"/>
                    <w:jc w:val="center"/>
                    <w:textAlignment w:val="auto"/>
                    <w:rPr>
                      <w:rFonts w:hint="default" w:ascii="Times New Roman" w:hAnsi="Times New Roman" w:cs="Times New Roman"/>
                      <w:color w:val="auto"/>
                      <w:kern w:val="0"/>
                      <w:sz w:val="21"/>
                      <w:szCs w:val="21"/>
                      <w:highlight w:val="none"/>
                    </w:rPr>
                  </w:pPr>
                </w:p>
              </w:tc>
              <w:tc>
                <w:tcPr>
                  <w:tcW w:w="1500" w:type="dxa"/>
                  <w:gridSpan w:val="2"/>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olor w:val="auto"/>
                    </w:rPr>
                    <w:t>润滑油</w:t>
                  </w:r>
                </w:p>
              </w:tc>
              <w:tc>
                <w:tcPr>
                  <w:tcW w:w="1133" w:type="dxa"/>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firstLine="0" w:firstLineChars="0"/>
                    <w:textAlignment w:val="auto"/>
                    <w:rPr>
                      <w:rFonts w:hint="default" w:ascii="Times New Roman" w:hAnsi="Times New Roman" w:eastAsia="宋体" w:cs="Times New Roman"/>
                      <w:bCs/>
                      <w:color w:val="auto"/>
                      <w:spacing w:val="0"/>
                      <w:kern w:val="2"/>
                      <w:sz w:val="21"/>
                      <w:szCs w:val="21"/>
                      <w:highlight w:val="none"/>
                      <w:lang w:val="en-US" w:eastAsia="zh-CN" w:bidi="ar-SA"/>
                    </w:rPr>
                  </w:pPr>
                  <w:r>
                    <w:rPr>
                      <w:rFonts w:hint="eastAsia"/>
                      <w:color w:val="auto"/>
                      <w:lang w:val="en-US" w:eastAsia="zh-CN"/>
                    </w:rPr>
                    <w:t>kg/a</w:t>
                  </w:r>
                </w:p>
              </w:tc>
              <w:tc>
                <w:tcPr>
                  <w:tcW w:w="904" w:type="dxa"/>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firstLine="0" w:firstLineChars="0"/>
                    <w:textAlignment w:val="auto"/>
                    <w:rPr>
                      <w:rFonts w:hint="default" w:ascii="Times New Roman" w:hAnsi="Times New Roman" w:eastAsia="宋体" w:cs="Times New Roman"/>
                      <w:bCs/>
                      <w:color w:val="auto"/>
                      <w:spacing w:val="0"/>
                      <w:kern w:val="2"/>
                      <w:sz w:val="21"/>
                      <w:szCs w:val="21"/>
                      <w:highlight w:val="none"/>
                      <w:lang w:val="en-US" w:eastAsia="zh-CN" w:bidi="ar-SA"/>
                    </w:rPr>
                  </w:pPr>
                  <w:r>
                    <w:rPr>
                      <w:rFonts w:hint="eastAsia"/>
                      <w:color w:val="auto"/>
                      <w:lang w:val="en-US" w:eastAsia="zh-CN"/>
                    </w:rPr>
                    <w:t>10</w:t>
                  </w:r>
                </w:p>
              </w:tc>
              <w:tc>
                <w:tcPr>
                  <w:tcW w:w="1121" w:type="dxa"/>
                  <w:vAlign w:val="center"/>
                </w:tcPr>
                <w:p>
                  <w:pPr>
                    <w:keepNext w:val="0"/>
                    <w:keepLines w:val="0"/>
                    <w:pageBreakBefore w:val="0"/>
                    <w:widowControl w:val="0"/>
                    <w:kinsoku/>
                    <w:wordWrap/>
                    <w:overflowPunct/>
                    <w:topLinePunct w:val="0"/>
                    <w:autoSpaceDE/>
                    <w:autoSpaceDN/>
                    <w:bidi w:val="0"/>
                    <w:spacing w:line="240" w:lineRule="auto"/>
                    <w:ind w:left="-24" w:leftChars="-10" w:right="-24" w:rightChars="-10" w:firstLine="0" w:firstLineChars="0"/>
                    <w:jc w:val="center"/>
                    <w:textAlignment w:val="auto"/>
                    <w:outlineLvl w:val="9"/>
                    <w:rPr>
                      <w:rFonts w:hint="default" w:ascii="Times New Roman" w:hAnsi="Times New Roman" w:eastAsia="宋体" w:cs="Times New Roman"/>
                      <w:bCs/>
                      <w:color w:val="auto"/>
                      <w:spacing w:val="0"/>
                      <w:kern w:val="2"/>
                      <w:sz w:val="21"/>
                      <w:szCs w:val="21"/>
                      <w:highlight w:val="yellow"/>
                      <w:lang w:val="en-US" w:eastAsia="zh-CN" w:bidi="ar-SA"/>
                    </w:rPr>
                  </w:pPr>
                  <w:r>
                    <w:rPr>
                      <w:rFonts w:hint="eastAsia" w:cs="Times New Roman"/>
                      <w:bCs/>
                      <w:color w:val="auto"/>
                      <w:spacing w:val="0"/>
                      <w:kern w:val="2"/>
                      <w:sz w:val="21"/>
                      <w:szCs w:val="21"/>
                      <w:highlight w:val="none"/>
                      <w:lang w:val="en-US" w:eastAsia="zh-CN" w:bidi="ar-SA"/>
                    </w:rPr>
                    <w:t>20</w:t>
                  </w:r>
                </w:p>
              </w:tc>
              <w:tc>
                <w:tcPr>
                  <w:tcW w:w="960"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24" w:leftChars="-10" w:right="-24" w:rightChars="-10" w:firstLine="0" w:firstLineChars="0"/>
                    <w:jc w:val="center"/>
                    <w:textAlignment w:val="auto"/>
                    <w:rPr>
                      <w:rFonts w:hint="default" w:ascii="Times New Roman" w:hAnsi="Times New Roman" w:cs="Times New Roman"/>
                      <w:color w:val="auto"/>
                      <w:kern w:val="0"/>
                      <w:sz w:val="21"/>
                      <w:szCs w:val="21"/>
                      <w:highlight w:val="yellow"/>
                      <w:lang w:val="en-US" w:eastAsia="zh-CN"/>
                    </w:rPr>
                  </w:pPr>
                  <w:r>
                    <w:rPr>
                      <w:rFonts w:hint="eastAsia" w:cs="Times New Roman"/>
                      <w:color w:val="auto"/>
                      <w:kern w:val="0"/>
                      <w:sz w:val="21"/>
                      <w:szCs w:val="21"/>
                      <w:highlight w:val="none"/>
                      <w:lang w:val="en-US" w:eastAsia="zh-CN"/>
                    </w:rPr>
                    <w:t>+10</w:t>
                  </w:r>
                </w:p>
              </w:tc>
              <w:tc>
                <w:tcPr>
                  <w:tcW w:w="2070" w:type="dxa"/>
                  <w:gridSpan w:val="2"/>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24" w:leftChars="-10" w:right="-24" w:rightChars="-10" w:firstLine="0" w:firstLineChars="0"/>
                    <w:jc w:val="center"/>
                    <w:textAlignment w:val="auto"/>
                    <w:rPr>
                      <w:rFonts w:hint="default" w:ascii="Times New Roman" w:hAnsi="Times New Roman"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外购，5kg/桶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09" w:hRule="atLeast"/>
                <w:jc w:val="center"/>
              </w:trPr>
              <w:tc>
                <w:tcPr>
                  <w:tcW w:w="589" w:type="dxa"/>
                  <w:vAlign w:val="center"/>
                </w:tcPr>
                <w:p>
                  <w:pPr>
                    <w:keepNext w:val="0"/>
                    <w:keepLines w:val="0"/>
                    <w:pageBreakBefore w:val="0"/>
                    <w:widowControl w:val="0"/>
                    <w:numPr>
                      <w:ilvl w:val="0"/>
                      <w:numId w:val="15"/>
                    </w:numPr>
                    <w:kinsoku/>
                    <w:wordWrap/>
                    <w:overflowPunct/>
                    <w:topLinePunct w:val="0"/>
                    <w:autoSpaceDE w:val="0"/>
                    <w:autoSpaceDN w:val="0"/>
                    <w:bidi w:val="0"/>
                    <w:adjustRightInd w:val="0"/>
                    <w:snapToGrid w:val="0"/>
                    <w:spacing w:line="240" w:lineRule="auto"/>
                    <w:ind w:left="-24" w:leftChars="-10" w:right="-24" w:rightChars="-10" w:firstLine="0" w:firstLineChars="0"/>
                    <w:jc w:val="center"/>
                    <w:textAlignment w:val="auto"/>
                    <w:rPr>
                      <w:rFonts w:hint="default" w:ascii="Times New Roman" w:hAnsi="Times New Roman" w:cs="Times New Roman"/>
                      <w:color w:val="auto"/>
                      <w:kern w:val="0"/>
                      <w:sz w:val="21"/>
                      <w:szCs w:val="21"/>
                      <w:highlight w:val="none"/>
                    </w:rPr>
                  </w:pPr>
                </w:p>
              </w:tc>
              <w:tc>
                <w:tcPr>
                  <w:tcW w:w="1500" w:type="dxa"/>
                  <w:gridSpan w:val="2"/>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firstLine="0" w:firstLineChars="0"/>
                    <w:textAlignment w:val="auto"/>
                    <w:rPr>
                      <w:rFonts w:hint="eastAsia" w:eastAsia="宋体"/>
                      <w:color w:val="auto"/>
                      <w:lang w:val="en-US" w:eastAsia="zh-CN"/>
                    </w:rPr>
                  </w:pPr>
                  <w:r>
                    <w:rPr>
                      <w:rFonts w:hint="eastAsia"/>
                      <w:color w:val="auto"/>
                      <w:lang w:val="en-US" w:eastAsia="zh-CN"/>
                    </w:rPr>
                    <w:t>活性炭</w:t>
                  </w:r>
                </w:p>
              </w:tc>
              <w:tc>
                <w:tcPr>
                  <w:tcW w:w="1133" w:type="dxa"/>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firstLine="0" w:firstLineChars="0"/>
                    <w:textAlignment w:val="auto"/>
                    <w:rPr>
                      <w:rFonts w:hint="eastAsia"/>
                      <w:color w:val="auto"/>
                      <w:lang w:val="en-US" w:eastAsia="zh-CN"/>
                    </w:rPr>
                  </w:pPr>
                  <w:r>
                    <w:rPr>
                      <w:rFonts w:hint="eastAsia" w:cs="Times New Roman"/>
                      <w:color w:val="auto"/>
                      <w:sz w:val="21"/>
                      <w:szCs w:val="21"/>
                      <w:highlight w:val="none"/>
                      <w:lang w:val="en-US" w:eastAsia="zh-CN"/>
                    </w:rPr>
                    <w:t>t/2a</w:t>
                  </w:r>
                </w:p>
              </w:tc>
              <w:tc>
                <w:tcPr>
                  <w:tcW w:w="904" w:type="dxa"/>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firstLine="0" w:firstLineChars="0"/>
                    <w:textAlignment w:val="auto"/>
                    <w:rPr>
                      <w:rFonts w:hint="default"/>
                      <w:color w:val="auto"/>
                      <w:lang w:val="en-US" w:eastAsia="zh-CN"/>
                    </w:rPr>
                  </w:pPr>
                  <w:r>
                    <w:rPr>
                      <w:rFonts w:hint="eastAsia"/>
                      <w:color w:val="auto"/>
                      <w:lang w:val="en-US" w:eastAsia="zh-CN"/>
                    </w:rPr>
                    <w:t>0.2</w:t>
                  </w:r>
                </w:p>
              </w:tc>
              <w:tc>
                <w:tcPr>
                  <w:tcW w:w="1121" w:type="dxa"/>
                  <w:vAlign w:val="center"/>
                </w:tcPr>
                <w:p>
                  <w:pPr>
                    <w:keepNext w:val="0"/>
                    <w:keepLines w:val="0"/>
                    <w:pageBreakBefore w:val="0"/>
                    <w:widowControl w:val="0"/>
                    <w:kinsoku/>
                    <w:wordWrap/>
                    <w:overflowPunct/>
                    <w:topLinePunct w:val="0"/>
                    <w:autoSpaceDE/>
                    <w:autoSpaceDN/>
                    <w:bidi w:val="0"/>
                    <w:spacing w:line="240" w:lineRule="auto"/>
                    <w:ind w:left="-24" w:leftChars="-10" w:right="-24" w:rightChars="-10" w:firstLine="0" w:firstLineChars="0"/>
                    <w:jc w:val="center"/>
                    <w:textAlignment w:val="auto"/>
                    <w:outlineLvl w:val="9"/>
                    <w:rPr>
                      <w:rFonts w:hint="default" w:cs="Times New Roman"/>
                      <w:bCs/>
                      <w:color w:val="auto"/>
                      <w:spacing w:val="0"/>
                      <w:kern w:val="2"/>
                      <w:sz w:val="21"/>
                      <w:szCs w:val="21"/>
                      <w:highlight w:val="none"/>
                      <w:lang w:val="en-US" w:eastAsia="zh-CN" w:bidi="ar-SA"/>
                    </w:rPr>
                  </w:pPr>
                  <w:r>
                    <w:rPr>
                      <w:rFonts w:hint="eastAsia" w:cs="Times New Roman"/>
                      <w:bCs/>
                      <w:color w:val="auto"/>
                      <w:spacing w:val="0"/>
                      <w:kern w:val="2"/>
                      <w:sz w:val="21"/>
                      <w:szCs w:val="21"/>
                      <w:highlight w:val="none"/>
                      <w:lang w:val="en-US" w:eastAsia="zh-CN" w:bidi="ar-SA"/>
                    </w:rPr>
                    <w:t>1.5</w:t>
                  </w:r>
                </w:p>
              </w:tc>
              <w:tc>
                <w:tcPr>
                  <w:tcW w:w="960"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24" w:leftChars="-10" w:right="-24" w:rightChars="-10" w:firstLine="0" w:firstLineChars="0"/>
                    <w:jc w:val="center"/>
                    <w:textAlignment w:val="auto"/>
                    <w:rPr>
                      <w:rFonts w:hint="default"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+1.2</w:t>
                  </w:r>
                </w:p>
              </w:tc>
              <w:tc>
                <w:tcPr>
                  <w:tcW w:w="2070" w:type="dxa"/>
                  <w:gridSpan w:val="2"/>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24" w:leftChars="-10" w:right="-24" w:rightChars="-10" w:firstLine="0" w:firstLineChars="0"/>
                    <w:jc w:val="center"/>
                    <w:textAlignment w:val="auto"/>
                    <w:rPr>
                      <w:rFonts w:hint="eastAsia" w:cs="Times New Roman"/>
                      <w:color w:val="auto"/>
                      <w:kern w:val="0"/>
                      <w:sz w:val="21"/>
                      <w:szCs w:val="21"/>
                      <w:highlight w:val="none"/>
                      <w:lang w:val="en-US" w:eastAsia="zh-CN"/>
                    </w:rPr>
                  </w:pPr>
                  <w:r>
                    <w:rPr>
                      <w:rFonts w:hint="eastAsia" w:cs="Times New Roman"/>
                      <w:color w:val="auto"/>
                      <w:spacing w:val="0"/>
                      <w:kern w:val="2"/>
                      <w:sz w:val="21"/>
                      <w:szCs w:val="21"/>
                      <w:highlight w:val="none"/>
                      <w:lang w:val="en-US" w:eastAsia="zh-CN" w:bidi="ar-SA"/>
                    </w:rPr>
                    <w:t>外购</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67" w:hRule="atLeast"/>
                <w:jc w:val="center"/>
              </w:trPr>
              <w:tc>
                <w:tcPr>
                  <w:tcW w:w="589" w:type="dxa"/>
                  <w:vAlign w:val="center"/>
                </w:tcPr>
                <w:p>
                  <w:pPr>
                    <w:keepNext w:val="0"/>
                    <w:keepLines w:val="0"/>
                    <w:pageBreakBefore w:val="0"/>
                    <w:widowControl w:val="0"/>
                    <w:numPr>
                      <w:ilvl w:val="0"/>
                      <w:numId w:val="15"/>
                    </w:numPr>
                    <w:kinsoku/>
                    <w:wordWrap/>
                    <w:overflowPunct/>
                    <w:topLinePunct w:val="0"/>
                    <w:autoSpaceDE w:val="0"/>
                    <w:autoSpaceDN w:val="0"/>
                    <w:bidi w:val="0"/>
                    <w:adjustRightInd w:val="0"/>
                    <w:snapToGrid w:val="0"/>
                    <w:spacing w:line="240" w:lineRule="auto"/>
                    <w:ind w:left="-24" w:leftChars="-10" w:right="-24" w:rightChars="-10" w:firstLine="0" w:firstLineChars="0"/>
                    <w:jc w:val="center"/>
                    <w:textAlignment w:val="auto"/>
                    <w:rPr>
                      <w:rFonts w:hint="default" w:ascii="Times New Roman" w:hAnsi="Times New Roman" w:cs="Times New Roman"/>
                      <w:color w:val="auto"/>
                      <w:kern w:val="0"/>
                      <w:sz w:val="21"/>
                      <w:szCs w:val="21"/>
                      <w:highlight w:val="none"/>
                    </w:rPr>
                  </w:pPr>
                </w:p>
              </w:tc>
              <w:tc>
                <w:tcPr>
                  <w:tcW w:w="1500" w:type="dxa"/>
                  <w:gridSpan w:val="2"/>
                  <w:vAlign w:val="center"/>
                </w:tcPr>
                <w:p>
                  <w:pPr>
                    <w:pStyle w:val="36"/>
                    <w:keepNext w:val="0"/>
                    <w:keepLines w:val="0"/>
                    <w:pageBreakBefore w:val="0"/>
                    <w:widowControl w:val="0"/>
                    <w:kinsoku/>
                    <w:wordWrap/>
                    <w:overflowPunct/>
                    <w:topLinePunct w:val="0"/>
                    <w:bidi w:val="0"/>
                    <w:spacing w:line="240" w:lineRule="auto"/>
                    <w:ind w:left="-24" w:leftChars="-10" w:right="-24" w:rightChars="-10" w:firstLine="0" w:firstLineChars="0"/>
                    <w:jc w:val="center"/>
                    <w:rPr>
                      <w:rFonts w:hint="eastAsia" w:ascii="Times New Roman" w:hAnsi="Times New Roman" w:eastAsia="宋体" w:cs="Times New Roman"/>
                      <w:color w:val="auto"/>
                      <w:kern w:val="0"/>
                      <w:sz w:val="21"/>
                      <w:szCs w:val="21"/>
                      <w:highlight w:val="none"/>
                      <w:lang w:val="en-US" w:eastAsia="zh-CN" w:bidi="ar-SA"/>
                    </w:rPr>
                  </w:pPr>
                  <w:r>
                    <w:rPr>
                      <w:rFonts w:hint="eastAsia" w:cs="Times New Roman"/>
                      <w:color w:val="auto"/>
                      <w:sz w:val="21"/>
                      <w:szCs w:val="21"/>
                      <w:highlight w:val="none"/>
                      <w:lang w:val="en-US" w:eastAsia="zh-CN"/>
                    </w:rPr>
                    <w:t>水</w:t>
                  </w:r>
                </w:p>
              </w:tc>
              <w:tc>
                <w:tcPr>
                  <w:tcW w:w="1133" w:type="dxa"/>
                  <w:vAlign w:val="center"/>
                </w:tcPr>
                <w:p>
                  <w:pPr>
                    <w:keepNext w:val="0"/>
                    <w:keepLines w:val="0"/>
                    <w:pageBreakBefore w:val="0"/>
                    <w:widowControl w:val="0"/>
                    <w:kinsoku/>
                    <w:wordWrap/>
                    <w:overflowPunct/>
                    <w:topLinePunct w:val="0"/>
                    <w:autoSpaceDE/>
                    <w:autoSpaceDN/>
                    <w:bidi w:val="0"/>
                    <w:spacing w:line="240" w:lineRule="auto"/>
                    <w:ind w:left="-24" w:leftChars="-10" w:right="-24" w:rightChars="-10" w:firstLine="0" w:firstLineChars="0"/>
                    <w:jc w:val="center"/>
                    <w:textAlignment w:val="auto"/>
                    <w:outlineLvl w:val="9"/>
                    <w:rPr>
                      <w:rFonts w:hint="eastAsia" w:ascii="Times New Roman" w:hAnsi="Times New Roman" w:eastAsia="宋体" w:cs="Times New Roman"/>
                      <w:bCs/>
                      <w:color w:val="auto"/>
                      <w:spacing w:val="0"/>
                      <w:kern w:val="2"/>
                      <w:sz w:val="21"/>
                      <w:szCs w:val="21"/>
                      <w:highlight w:val="none"/>
                      <w:lang w:val="en-US" w:eastAsia="zh-CN" w:bidi="ar-SA"/>
                    </w:rPr>
                  </w:pPr>
                  <w:r>
                    <w:rPr>
                      <w:rFonts w:hint="eastAsia" w:cs="Times New Roman"/>
                      <w:bCs/>
                      <w:color w:val="auto"/>
                      <w:spacing w:val="0"/>
                      <w:sz w:val="21"/>
                      <w:szCs w:val="21"/>
                      <w:highlight w:val="none"/>
                      <w:lang w:val="en-US" w:eastAsia="zh-CN"/>
                    </w:rPr>
                    <w:t>m</w:t>
                  </w:r>
                  <w:r>
                    <w:rPr>
                      <w:rFonts w:hint="eastAsia" w:cs="Times New Roman"/>
                      <w:bCs/>
                      <w:color w:val="auto"/>
                      <w:spacing w:val="0"/>
                      <w:sz w:val="21"/>
                      <w:szCs w:val="21"/>
                      <w:highlight w:val="none"/>
                      <w:vertAlign w:val="superscript"/>
                      <w:lang w:val="en-US" w:eastAsia="zh-CN"/>
                    </w:rPr>
                    <w:t>3</w:t>
                  </w:r>
                  <w:r>
                    <w:rPr>
                      <w:rFonts w:hint="default" w:ascii="Times New Roman" w:hAnsi="Times New Roman" w:eastAsia="宋体" w:cs="Times New Roman"/>
                      <w:bCs/>
                      <w:color w:val="auto"/>
                      <w:spacing w:val="0"/>
                      <w:sz w:val="21"/>
                      <w:szCs w:val="21"/>
                      <w:highlight w:val="none"/>
                      <w:lang w:val="en-US" w:eastAsia="zh-CN"/>
                    </w:rPr>
                    <w:t>/a</w:t>
                  </w:r>
                </w:p>
              </w:tc>
              <w:tc>
                <w:tcPr>
                  <w:tcW w:w="904" w:type="dxa"/>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firstLine="0" w:firstLineChars="0"/>
                    <w:textAlignment w:val="auto"/>
                    <w:rPr>
                      <w:rFonts w:hint="default" w:eastAsia="宋体"/>
                      <w:color w:val="auto"/>
                      <w:lang w:val="en-US" w:eastAsia="zh-CN"/>
                    </w:rPr>
                  </w:pPr>
                  <w:r>
                    <w:rPr>
                      <w:rFonts w:hint="eastAsia"/>
                      <w:color w:val="auto"/>
                      <w:lang w:val="en-US" w:eastAsia="zh-CN"/>
                    </w:rPr>
                    <w:t>231</w:t>
                  </w:r>
                </w:p>
              </w:tc>
              <w:tc>
                <w:tcPr>
                  <w:tcW w:w="1121" w:type="dxa"/>
                  <w:vAlign w:val="center"/>
                </w:tcPr>
                <w:p>
                  <w:pPr>
                    <w:keepNext w:val="0"/>
                    <w:keepLines w:val="0"/>
                    <w:pageBreakBefore w:val="0"/>
                    <w:widowControl w:val="0"/>
                    <w:kinsoku/>
                    <w:wordWrap/>
                    <w:overflowPunct/>
                    <w:topLinePunct w:val="0"/>
                    <w:autoSpaceDE/>
                    <w:autoSpaceDN/>
                    <w:bidi w:val="0"/>
                    <w:spacing w:line="240" w:lineRule="auto"/>
                    <w:ind w:left="-24" w:leftChars="-10" w:right="-24" w:rightChars="-10" w:firstLine="0" w:firstLineChars="0"/>
                    <w:jc w:val="center"/>
                    <w:textAlignment w:val="auto"/>
                    <w:outlineLvl w:val="9"/>
                    <w:rPr>
                      <w:rFonts w:hint="default" w:ascii="Times New Roman" w:hAnsi="Times New Roman" w:eastAsia="宋体" w:cs="Times New Roman"/>
                      <w:bCs/>
                      <w:color w:val="auto"/>
                      <w:spacing w:val="0"/>
                      <w:kern w:val="2"/>
                      <w:sz w:val="21"/>
                      <w:szCs w:val="21"/>
                      <w:highlight w:val="none"/>
                      <w:lang w:val="en-US" w:eastAsia="zh-CN" w:bidi="ar-SA"/>
                    </w:rPr>
                  </w:pPr>
                  <w:r>
                    <w:rPr>
                      <w:rFonts w:hint="eastAsia" w:cs="Times New Roman"/>
                      <w:bCs/>
                      <w:color w:val="auto"/>
                      <w:spacing w:val="0"/>
                      <w:kern w:val="2"/>
                      <w:sz w:val="21"/>
                      <w:szCs w:val="21"/>
                      <w:highlight w:val="none"/>
                      <w:lang w:val="en-US" w:eastAsia="zh-CN" w:bidi="ar-SA"/>
                    </w:rPr>
                    <w:t>231</w:t>
                  </w:r>
                </w:p>
              </w:tc>
              <w:tc>
                <w:tcPr>
                  <w:tcW w:w="960"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24" w:leftChars="-10" w:right="-24" w:rightChars="-10" w:firstLine="0" w:firstLineChars="0"/>
                    <w:jc w:val="center"/>
                    <w:textAlignment w:val="auto"/>
                    <w:rPr>
                      <w:rFonts w:hint="default" w:ascii="Times New Roman" w:hAnsi="Times New Roman"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0</w:t>
                  </w:r>
                </w:p>
              </w:tc>
              <w:tc>
                <w:tcPr>
                  <w:tcW w:w="2070" w:type="dxa"/>
                  <w:gridSpan w:val="2"/>
                  <w:vAlign w:val="center"/>
                </w:tcPr>
                <w:p>
                  <w:pPr>
                    <w:keepNext w:val="0"/>
                    <w:keepLines w:val="0"/>
                    <w:pageBreakBefore w:val="0"/>
                    <w:widowControl w:val="0"/>
                    <w:kinsoku/>
                    <w:wordWrap/>
                    <w:overflowPunct/>
                    <w:topLinePunct w:val="0"/>
                    <w:autoSpaceDE/>
                    <w:autoSpaceDN/>
                    <w:bidi w:val="0"/>
                    <w:spacing w:line="240" w:lineRule="auto"/>
                    <w:ind w:left="-24" w:leftChars="-10" w:right="-24" w:rightChars="-10" w:firstLine="0" w:firstLineChars="0"/>
                    <w:jc w:val="center"/>
                    <w:textAlignment w:val="auto"/>
                    <w:outlineLvl w:val="9"/>
                    <w:rPr>
                      <w:rFonts w:hint="default" w:ascii="Times New Roman" w:hAnsi="Times New Roman" w:eastAsia="宋体" w:cs="Times New Roman"/>
                      <w:color w:val="auto"/>
                      <w:kern w:val="24"/>
                      <w:sz w:val="21"/>
                      <w:szCs w:val="21"/>
                      <w:highlight w:val="none"/>
                      <w:lang w:val="en-US" w:eastAsia="zh-CN" w:bidi="ar-SA"/>
                    </w:rPr>
                  </w:pPr>
                  <w:r>
                    <w:rPr>
                      <w:rFonts w:hint="eastAsia" w:cs="Times New Roman"/>
                      <w:color w:val="auto"/>
                      <w:kern w:val="24"/>
                      <w:sz w:val="21"/>
                      <w:szCs w:val="21"/>
                      <w:highlight w:val="none"/>
                      <w:lang w:val="en-US" w:eastAsia="zh-CN"/>
                    </w:rPr>
                    <w:t>取自供水管网</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07" w:hRule="atLeast"/>
                <w:jc w:val="center"/>
              </w:trPr>
              <w:tc>
                <w:tcPr>
                  <w:tcW w:w="589" w:type="dxa"/>
                  <w:vAlign w:val="center"/>
                </w:tcPr>
                <w:p>
                  <w:pPr>
                    <w:keepNext w:val="0"/>
                    <w:keepLines w:val="0"/>
                    <w:pageBreakBefore w:val="0"/>
                    <w:widowControl w:val="0"/>
                    <w:numPr>
                      <w:ilvl w:val="0"/>
                      <w:numId w:val="15"/>
                    </w:numPr>
                    <w:kinsoku/>
                    <w:wordWrap/>
                    <w:overflowPunct/>
                    <w:topLinePunct w:val="0"/>
                    <w:autoSpaceDE w:val="0"/>
                    <w:autoSpaceDN w:val="0"/>
                    <w:bidi w:val="0"/>
                    <w:adjustRightInd w:val="0"/>
                    <w:snapToGrid w:val="0"/>
                    <w:spacing w:line="240" w:lineRule="auto"/>
                    <w:ind w:left="-24" w:leftChars="-10" w:right="-24" w:rightChars="-10" w:firstLine="0" w:firstLineChars="0"/>
                    <w:jc w:val="center"/>
                    <w:textAlignment w:val="auto"/>
                    <w:rPr>
                      <w:rFonts w:hint="default" w:ascii="Times New Roman" w:hAnsi="Times New Roman" w:cs="Times New Roman"/>
                      <w:color w:val="auto"/>
                      <w:kern w:val="0"/>
                      <w:sz w:val="21"/>
                      <w:szCs w:val="21"/>
                      <w:highlight w:val="none"/>
                    </w:rPr>
                  </w:pPr>
                </w:p>
              </w:tc>
              <w:tc>
                <w:tcPr>
                  <w:tcW w:w="1500" w:type="dxa"/>
                  <w:gridSpan w:val="2"/>
                  <w:vAlign w:val="center"/>
                </w:tcPr>
                <w:p>
                  <w:pPr>
                    <w:pStyle w:val="36"/>
                    <w:keepNext w:val="0"/>
                    <w:keepLines w:val="0"/>
                    <w:pageBreakBefore w:val="0"/>
                    <w:widowControl w:val="0"/>
                    <w:kinsoku/>
                    <w:wordWrap/>
                    <w:overflowPunct/>
                    <w:topLinePunct w:val="0"/>
                    <w:bidi w:val="0"/>
                    <w:spacing w:line="240" w:lineRule="auto"/>
                    <w:ind w:left="-24" w:leftChars="-10" w:right="-24" w:rightChars="-10" w:firstLine="0" w:firstLineChars="0"/>
                    <w:jc w:val="center"/>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sz w:val="21"/>
                      <w:szCs w:val="21"/>
                      <w:highlight w:val="none"/>
                      <w:lang w:val="en-US" w:eastAsia="zh-CN"/>
                    </w:rPr>
                    <w:t>电</w:t>
                  </w:r>
                </w:p>
              </w:tc>
              <w:tc>
                <w:tcPr>
                  <w:tcW w:w="1133" w:type="dxa"/>
                  <w:vAlign w:val="center"/>
                </w:tcPr>
                <w:p>
                  <w:pPr>
                    <w:keepNext w:val="0"/>
                    <w:keepLines w:val="0"/>
                    <w:pageBreakBefore w:val="0"/>
                    <w:widowControl w:val="0"/>
                    <w:kinsoku/>
                    <w:wordWrap/>
                    <w:overflowPunct/>
                    <w:topLinePunct w:val="0"/>
                    <w:autoSpaceDE/>
                    <w:autoSpaceDN/>
                    <w:bidi w:val="0"/>
                    <w:spacing w:line="240" w:lineRule="auto"/>
                    <w:ind w:left="-24" w:leftChars="-10" w:right="-24" w:rightChars="-10" w:firstLine="0" w:firstLineChars="0"/>
                    <w:jc w:val="center"/>
                    <w:textAlignment w:val="auto"/>
                    <w:outlineLvl w:val="9"/>
                    <w:rPr>
                      <w:rFonts w:hint="default" w:ascii="Times New Roman" w:hAnsi="Times New Roman" w:eastAsia="宋体" w:cs="Times New Roman"/>
                      <w:bCs/>
                      <w:color w:val="auto"/>
                      <w:spacing w:val="0"/>
                      <w:kern w:val="2"/>
                      <w:sz w:val="21"/>
                      <w:szCs w:val="21"/>
                      <w:highlight w:val="none"/>
                      <w:lang w:val="en-US" w:eastAsia="zh-CN" w:bidi="ar-SA"/>
                    </w:rPr>
                  </w:pPr>
                  <w:r>
                    <w:rPr>
                      <w:rFonts w:hint="eastAsia" w:cs="Times New Roman"/>
                      <w:bCs/>
                      <w:color w:val="auto"/>
                      <w:spacing w:val="0"/>
                      <w:sz w:val="21"/>
                      <w:szCs w:val="21"/>
                      <w:highlight w:val="none"/>
                      <w:lang w:val="en-US" w:eastAsia="zh-CN"/>
                    </w:rPr>
                    <w:t>万kWh/a</w:t>
                  </w:r>
                </w:p>
              </w:tc>
              <w:tc>
                <w:tcPr>
                  <w:tcW w:w="904" w:type="dxa"/>
                  <w:vAlign w:val="center"/>
                </w:tcPr>
                <w:p>
                  <w:pPr>
                    <w:keepNext w:val="0"/>
                    <w:keepLines w:val="0"/>
                    <w:pageBreakBefore w:val="0"/>
                    <w:widowControl w:val="0"/>
                    <w:kinsoku/>
                    <w:wordWrap/>
                    <w:overflowPunct/>
                    <w:topLinePunct w:val="0"/>
                    <w:autoSpaceDE/>
                    <w:autoSpaceDN/>
                    <w:bidi w:val="0"/>
                    <w:spacing w:line="240" w:lineRule="auto"/>
                    <w:ind w:left="-24" w:leftChars="-10" w:right="-24" w:rightChars="-10" w:firstLine="0" w:firstLineChars="0"/>
                    <w:jc w:val="center"/>
                    <w:textAlignment w:val="auto"/>
                    <w:outlineLvl w:val="9"/>
                    <w:rPr>
                      <w:rFonts w:hint="default" w:ascii="Times New Roman" w:hAnsi="Times New Roman" w:eastAsia="宋体" w:cs="Times New Roman"/>
                      <w:bCs/>
                      <w:color w:val="auto"/>
                      <w:spacing w:val="0"/>
                      <w:kern w:val="2"/>
                      <w:sz w:val="21"/>
                      <w:szCs w:val="21"/>
                      <w:highlight w:val="none"/>
                      <w:lang w:val="en-US" w:eastAsia="zh-CN" w:bidi="ar-SA"/>
                    </w:rPr>
                  </w:pPr>
                  <w:r>
                    <w:rPr>
                      <w:rFonts w:hint="eastAsia" w:cs="Times New Roman"/>
                      <w:bCs/>
                      <w:color w:val="auto"/>
                      <w:spacing w:val="0"/>
                      <w:kern w:val="2"/>
                      <w:sz w:val="21"/>
                      <w:szCs w:val="21"/>
                      <w:highlight w:val="none"/>
                      <w:lang w:val="en-US" w:eastAsia="zh-CN" w:bidi="ar-SA"/>
                    </w:rPr>
                    <w:t>60</w:t>
                  </w:r>
                </w:p>
              </w:tc>
              <w:tc>
                <w:tcPr>
                  <w:tcW w:w="1121" w:type="dxa"/>
                  <w:vAlign w:val="center"/>
                </w:tcPr>
                <w:p>
                  <w:pPr>
                    <w:keepNext w:val="0"/>
                    <w:keepLines w:val="0"/>
                    <w:pageBreakBefore w:val="0"/>
                    <w:widowControl w:val="0"/>
                    <w:kinsoku/>
                    <w:wordWrap/>
                    <w:overflowPunct/>
                    <w:topLinePunct w:val="0"/>
                    <w:autoSpaceDE/>
                    <w:autoSpaceDN/>
                    <w:bidi w:val="0"/>
                    <w:spacing w:line="240" w:lineRule="auto"/>
                    <w:ind w:left="-24" w:leftChars="-10" w:right="-24" w:rightChars="-10" w:firstLine="0" w:firstLineChars="0"/>
                    <w:jc w:val="center"/>
                    <w:textAlignment w:val="auto"/>
                    <w:outlineLvl w:val="9"/>
                    <w:rPr>
                      <w:rFonts w:hint="default" w:ascii="Times New Roman" w:hAnsi="Times New Roman" w:eastAsia="宋体" w:cs="Times New Roman"/>
                      <w:bCs/>
                      <w:color w:val="auto"/>
                      <w:spacing w:val="0"/>
                      <w:kern w:val="2"/>
                      <w:sz w:val="21"/>
                      <w:szCs w:val="21"/>
                      <w:highlight w:val="none"/>
                      <w:lang w:val="en-US" w:eastAsia="zh-CN" w:bidi="ar-SA"/>
                    </w:rPr>
                  </w:pPr>
                  <w:r>
                    <w:rPr>
                      <w:rFonts w:hint="eastAsia" w:cs="Times New Roman"/>
                      <w:bCs/>
                      <w:color w:val="auto"/>
                      <w:spacing w:val="0"/>
                      <w:kern w:val="2"/>
                      <w:sz w:val="21"/>
                      <w:szCs w:val="21"/>
                      <w:highlight w:val="none"/>
                      <w:lang w:val="en-US" w:eastAsia="zh-CN" w:bidi="ar-SA"/>
                    </w:rPr>
                    <w:t>70</w:t>
                  </w:r>
                </w:p>
              </w:tc>
              <w:tc>
                <w:tcPr>
                  <w:tcW w:w="960"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24" w:leftChars="-10" w:right="-24" w:rightChars="-10" w:firstLine="0" w:firstLineChars="0"/>
                    <w:jc w:val="center"/>
                    <w:textAlignment w:val="auto"/>
                    <w:rPr>
                      <w:rFonts w:hint="default" w:ascii="Times New Roman" w:hAnsi="Times New Roman"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+10</w:t>
                  </w:r>
                </w:p>
              </w:tc>
              <w:tc>
                <w:tcPr>
                  <w:tcW w:w="2070" w:type="dxa"/>
                  <w:gridSpan w:val="2"/>
                  <w:vAlign w:val="center"/>
                </w:tcPr>
                <w:p>
                  <w:pPr>
                    <w:keepNext w:val="0"/>
                    <w:keepLines w:val="0"/>
                    <w:pageBreakBefore w:val="0"/>
                    <w:widowControl w:val="0"/>
                    <w:kinsoku/>
                    <w:wordWrap/>
                    <w:overflowPunct/>
                    <w:topLinePunct w:val="0"/>
                    <w:autoSpaceDE/>
                    <w:autoSpaceDN/>
                    <w:bidi w:val="0"/>
                    <w:spacing w:line="240" w:lineRule="auto"/>
                    <w:ind w:left="-24" w:leftChars="-10" w:right="-24" w:rightChars="-10" w:firstLine="0" w:firstLineChars="0"/>
                    <w:jc w:val="center"/>
                    <w:textAlignment w:val="auto"/>
                    <w:outlineLvl w:val="9"/>
                    <w:rPr>
                      <w:rFonts w:hint="default" w:ascii="Times New Roman" w:hAnsi="Times New Roman" w:eastAsia="宋体" w:cs="Times New Roman"/>
                      <w:color w:val="auto"/>
                      <w:kern w:val="24"/>
                      <w:sz w:val="21"/>
                      <w:szCs w:val="21"/>
                      <w:highlight w:val="none"/>
                      <w:lang w:val="en-US" w:eastAsia="zh-CN" w:bidi="ar-SA"/>
                    </w:rPr>
                  </w:pPr>
                  <w:r>
                    <w:rPr>
                      <w:rFonts w:hint="eastAsia" w:cs="Times New Roman"/>
                      <w:color w:val="auto"/>
                      <w:kern w:val="24"/>
                      <w:sz w:val="21"/>
                      <w:szCs w:val="21"/>
                      <w:highlight w:val="none"/>
                      <w:lang w:val="en-US" w:eastAsia="zh-CN"/>
                    </w:rPr>
                    <w:t>取自本地电网</w:t>
                  </w:r>
                </w:p>
              </w:tc>
            </w:tr>
          </w:tbl>
          <w:p>
            <w:pPr>
              <w:numPr>
                <w:ilvl w:val="0"/>
                <w:numId w:val="16"/>
              </w:numPr>
              <w:bidi w:val="0"/>
              <w:rPr>
                <w:rFonts w:hint="default"/>
                <w:color w:val="auto"/>
                <w:sz w:val="24"/>
                <w:szCs w:val="24"/>
                <w:highlight w:val="none"/>
              </w:rPr>
            </w:pPr>
            <w:r>
              <w:rPr>
                <w:rFonts w:hint="eastAsia"/>
                <w:color w:val="auto"/>
                <w:sz w:val="24"/>
                <w:szCs w:val="24"/>
                <w:highlight w:val="none"/>
                <w:lang w:val="en-US" w:eastAsia="zh-CN"/>
              </w:rPr>
              <w:t>本项目</w:t>
            </w:r>
            <w:r>
              <w:rPr>
                <w:rFonts w:hint="default"/>
                <w:color w:val="auto"/>
                <w:sz w:val="24"/>
                <w:szCs w:val="24"/>
                <w:highlight w:val="none"/>
              </w:rPr>
              <w:t>主要生产设备见下表。</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auto"/>
                <w:sz w:val="21"/>
                <w:szCs w:val="21"/>
                <w:highlight w:val="none"/>
                <w:lang w:val="en-US" w:eastAsia="zh-CN"/>
              </w:rPr>
            </w:pPr>
            <w:r>
              <w:rPr>
                <w:rFonts w:hint="eastAsia"/>
                <w:b/>
                <w:bCs/>
                <w:color w:val="auto"/>
                <w:sz w:val="21"/>
                <w:szCs w:val="21"/>
                <w:highlight w:val="none"/>
                <w:lang w:val="en-US" w:eastAsia="zh-CN"/>
              </w:rPr>
              <w:t>表17  本项目主要生产设备一览表</w:t>
            </w:r>
          </w:p>
          <w:tbl>
            <w:tblPr>
              <w:tblStyle w:val="25"/>
              <w:tblW w:w="827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39"/>
              <w:gridCol w:w="797"/>
              <w:gridCol w:w="811"/>
              <w:gridCol w:w="1260"/>
              <w:gridCol w:w="1200"/>
              <w:gridCol w:w="1215"/>
              <w:gridCol w:w="885"/>
              <w:gridCol w:w="157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539"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hint="eastAsia" w:ascii="Times New Roman" w:hAnsi="Times New Roman" w:eastAsia="宋体" w:cs="Times New Roman"/>
                      <w:bCs/>
                      <w:color w:val="auto"/>
                      <w:sz w:val="21"/>
                      <w:szCs w:val="21"/>
                      <w:highlight w:val="none"/>
                      <w:lang w:eastAsia="zh-CN"/>
                    </w:rPr>
                  </w:pPr>
                  <w:r>
                    <w:rPr>
                      <w:rFonts w:hint="eastAsia" w:ascii="Times New Roman" w:hAnsi="Times New Roman" w:cs="Times New Roman"/>
                      <w:bCs/>
                      <w:color w:val="auto"/>
                      <w:sz w:val="21"/>
                      <w:szCs w:val="21"/>
                      <w:highlight w:val="none"/>
                      <w:lang w:val="en-US" w:eastAsia="zh-CN"/>
                    </w:rPr>
                    <w:t>序号</w:t>
                  </w:r>
                </w:p>
              </w:tc>
              <w:tc>
                <w:tcPr>
                  <w:tcW w:w="797"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eastAsia="zh-CN"/>
                    </w:rPr>
                    <w:t>主要</w:t>
                  </w:r>
                  <w:r>
                    <w:rPr>
                      <w:rFonts w:hint="eastAsia" w:ascii="Times New Roman" w:hAnsi="Times New Roman" w:cs="Times New Roman"/>
                      <w:bCs/>
                      <w:color w:val="auto"/>
                      <w:sz w:val="21"/>
                      <w:szCs w:val="21"/>
                      <w:highlight w:val="none"/>
                      <w:lang w:val="en-US" w:eastAsia="zh-CN"/>
                    </w:rPr>
                    <w:t>生产单元</w:t>
                  </w:r>
                </w:p>
              </w:tc>
              <w:tc>
                <w:tcPr>
                  <w:tcW w:w="811"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主要工艺</w:t>
                  </w:r>
                </w:p>
              </w:tc>
              <w:tc>
                <w:tcPr>
                  <w:tcW w:w="1260"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hint="eastAsia" w:ascii="Times New Roman" w:hAnsi="Times New Roman" w:cs="Times New Roman"/>
                      <w:bCs/>
                      <w:color w:val="auto"/>
                      <w:sz w:val="21"/>
                      <w:szCs w:val="21"/>
                      <w:highlight w:val="none"/>
                    </w:rPr>
                  </w:pPr>
                  <w:r>
                    <w:rPr>
                      <w:rFonts w:hint="eastAsia" w:ascii="Times New Roman" w:hAnsi="Times New Roman" w:cs="Times New Roman"/>
                      <w:bCs/>
                      <w:color w:val="auto"/>
                      <w:sz w:val="21"/>
                      <w:szCs w:val="21"/>
                      <w:highlight w:val="none"/>
                    </w:rPr>
                    <w:t>名称</w:t>
                  </w:r>
                </w:p>
              </w:tc>
              <w:tc>
                <w:tcPr>
                  <w:tcW w:w="1200"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hint="eastAsia" w:ascii="Times New Roman" w:hAnsi="Times New Roman" w:eastAsia="宋体" w:cs="Times New Roman"/>
                      <w:bCs/>
                      <w:color w:val="auto"/>
                      <w:sz w:val="21"/>
                      <w:szCs w:val="21"/>
                      <w:highlight w:val="none"/>
                      <w:lang w:eastAsia="zh-CN"/>
                    </w:rPr>
                  </w:pPr>
                  <w:r>
                    <w:rPr>
                      <w:rFonts w:hint="eastAsia" w:ascii="Times New Roman" w:hAnsi="Times New Roman" w:cs="Times New Roman"/>
                      <w:bCs/>
                      <w:color w:val="auto"/>
                      <w:sz w:val="21"/>
                      <w:szCs w:val="21"/>
                      <w:highlight w:val="none"/>
                      <w:lang w:val="en-US" w:eastAsia="zh-CN"/>
                    </w:rPr>
                    <w:t>规格型号</w:t>
                  </w:r>
                </w:p>
              </w:tc>
              <w:tc>
                <w:tcPr>
                  <w:tcW w:w="1215"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设备参数</w:t>
                  </w:r>
                </w:p>
              </w:tc>
              <w:tc>
                <w:tcPr>
                  <w:tcW w:w="885"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hint="eastAsia" w:ascii="Times New Roman" w:hAnsi="Times New Roman" w:eastAsia="宋体" w:cs="Times New Roman"/>
                      <w:bCs/>
                      <w:color w:val="auto"/>
                      <w:kern w:val="2"/>
                      <w:sz w:val="21"/>
                      <w:szCs w:val="21"/>
                      <w:highlight w:val="none"/>
                      <w:lang w:val="en-US" w:eastAsia="zh-CN" w:bidi="ar-SA"/>
                    </w:rPr>
                  </w:pPr>
                  <w:r>
                    <w:rPr>
                      <w:rFonts w:ascii="Times New Roman" w:hAnsi="Times New Roman" w:cs="Times New Roman"/>
                      <w:bCs/>
                      <w:color w:val="auto"/>
                      <w:sz w:val="21"/>
                      <w:szCs w:val="21"/>
                      <w:highlight w:val="none"/>
                    </w:rPr>
                    <w:t>数量</w:t>
                  </w:r>
                  <w:r>
                    <w:rPr>
                      <w:rFonts w:hint="eastAsia" w:ascii="Times New Roman" w:hAnsi="Times New Roman" w:cs="Times New Roman"/>
                      <w:bCs/>
                      <w:color w:val="auto"/>
                      <w:sz w:val="21"/>
                      <w:szCs w:val="21"/>
                      <w:highlight w:val="none"/>
                      <w:lang w:eastAsia="zh-CN"/>
                    </w:rPr>
                    <w:t>（</w:t>
                  </w:r>
                  <w:r>
                    <w:rPr>
                      <w:rFonts w:hint="eastAsia" w:ascii="Times New Roman" w:hAnsi="Times New Roman" w:cs="Times New Roman"/>
                      <w:bCs/>
                      <w:color w:val="auto"/>
                      <w:sz w:val="21"/>
                      <w:szCs w:val="21"/>
                      <w:highlight w:val="none"/>
                      <w:lang w:val="en-US" w:eastAsia="zh-CN"/>
                    </w:rPr>
                    <w:t>台/套</w:t>
                  </w:r>
                  <w:r>
                    <w:rPr>
                      <w:rFonts w:hint="eastAsia" w:ascii="Times New Roman" w:hAnsi="Times New Roman" w:cs="Times New Roman"/>
                      <w:bCs/>
                      <w:color w:val="auto"/>
                      <w:sz w:val="21"/>
                      <w:szCs w:val="21"/>
                      <w:highlight w:val="none"/>
                      <w:lang w:eastAsia="zh-CN"/>
                    </w:rPr>
                    <w:t>）</w:t>
                  </w:r>
                </w:p>
              </w:tc>
              <w:tc>
                <w:tcPr>
                  <w:tcW w:w="1570"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hint="eastAsia" w:ascii="Times New Roman" w:hAnsi="Times New Roman" w:eastAsia="宋体"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539" w:type="dxa"/>
                  <w:tcBorders>
                    <w:tl2br w:val="nil"/>
                    <w:tr2bl w:val="nil"/>
                  </w:tcBorders>
                  <w:noWrap w:val="0"/>
                  <w:vAlign w:val="center"/>
                </w:tcPr>
                <w:p>
                  <w:pPr>
                    <w:pStyle w:val="40"/>
                    <w:keepNext w:val="0"/>
                    <w:keepLines w:val="0"/>
                    <w:pageBreakBefore w:val="0"/>
                    <w:widowControl w:val="0"/>
                    <w:numPr>
                      <w:ilvl w:val="0"/>
                      <w:numId w:val="17"/>
                    </w:numPr>
                    <w:kinsoku/>
                    <w:wordWrap/>
                    <w:overflowPunct/>
                    <w:topLinePunct w:val="0"/>
                    <w:autoSpaceDE/>
                    <w:autoSpaceDN/>
                    <w:bidi w:val="0"/>
                    <w:adjustRightInd/>
                    <w:snapToGrid/>
                    <w:spacing w:line="240" w:lineRule="auto"/>
                    <w:ind w:left="0" w:leftChars="0" w:right="-48" w:rightChars="-20"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797" w:type="dxa"/>
                  <w:vMerge w:val="restart"/>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主体工程</w:t>
                  </w:r>
                </w:p>
              </w:tc>
              <w:tc>
                <w:tcPr>
                  <w:tcW w:w="811" w:type="dxa"/>
                  <w:vMerge w:val="restart"/>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石墨烯电发热膜生产线</w:t>
                  </w:r>
                </w:p>
              </w:tc>
              <w:tc>
                <w:tcPr>
                  <w:tcW w:w="1260"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覆膜印刷机</w:t>
                  </w:r>
                </w:p>
              </w:tc>
              <w:tc>
                <w:tcPr>
                  <w:tcW w:w="1200"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hint="eastAsia" w:ascii="Times New Roman" w:hAnsi="Times New Roman" w:cs="Times New Roman"/>
                      <w:bCs/>
                      <w:color w:val="auto"/>
                      <w:sz w:val="21"/>
                      <w:szCs w:val="21"/>
                      <w:highlight w:val="none"/>
                      <w:lang w:val="en-US" w:eastAsia="zh-CN"/>
                    </w:rPr>
                  </w:pPr>
                  <w:r>
                    <w:rPr>
                      <w:rFonts w:hint="eastAsia" w:ascii="Times New Roman" w:hAnsi="Times New Roman" w:eastAsia="宋体" w:cs="Times New Roman"/>
                      <w:color w:val="auto"/>
                      <w:sz w:val="21"/>
                      <w:szCs w:val="21"/>
                    </w:rPr>
                    <w:t>LP1700-R1</w:t>
                  </w:r>
                </w:p>
              </w:tc>
              <w:tc>
                <w:tcPr>
                  <w:tcW w:w="1215"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功率：5kW</w:t>
                  </w:r>
                </w:p>
              </w:tc>
              <w:tc>
                <w:tcPr>
                  <w:tcW w:w="885"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1</w:t>
                  </w:r>
                </w:p>
              </w:tc>
              <w:tc>
                <w:tcPr>
                  <w:tcW w:w="1570"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宋体" w:hAnsi="宋体" w:cs="宋体"/>
                      <w:bCs/>
                      <w:color w:val="auto"/>
                      <w:sz w:val="21"/>
                      <w:szCs w:val="21"/>
                      <w:highlight w:val="none"/>
                      <w:lang w:val="en-US" w:eastAsia="zh-CN"/>
                    </w:rPr>
                    <w:t>本项目新增</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539" w:type="dxa"/>
                  <w:tcBorders>
                    <w:tl2br w:val="nil"/>
                    <w:tr2bl w:val="nil"/>
                  </w:tcBorders>
                  <w:noWrap w:val="0"/>
                  <w:vAlign w:val="center"/>
                </w:tcPr>
                <w:p>
                  <w:pPr>
                    <w:pStyle w:val="40"/>
                    <w:keepNext w:val="0"/>
                    <w:keepLines w:val="0"/>
                    <w:pageBreakBefore w:val="0"/>
                    <w:widowControl w:val="0"/>
                    <w:numPr>
                      <w:ilvl w:val="0"/>
                      <w:numId w:val="17"/>
                    </w:numPr>
                    <w:kinsoku/>
                    <w:wordWrap/>
                    <w:overflowPunct/>
                    <w:topLinePunct w:val="0"/>
                    <w:autoSpaceDE/>
                    <w:autoSpaceDN/>
                    <w:bidi w:val="0"/>
                    <w:adjustRightInd/>
                    <w:snapToGrid/>
                    <w:spacing w:line="240" w:lineRule="auto"/>
                    <w:ind w:left="0" w:leftChars="0" w:right="-48" w:rightChars="-20"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797" w:type="dxa"/>
                  <w:vMerge w:val="continue"/>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811" w:type="dxa"/>
                  <w:vMerge w:val="continue"/>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260"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宋体" w:hAnsi="宋体" w:eastAsia="宋体" w:cs="宋体"/>
                      <w:color w:val="auto"/>
                      <w:sz w:val="21"/>
                      <w:szCs w:val="21"/>
                      <w:lang w:val="en-US" w:eastAsia="zh-CN"/>
                    </w:rPr>
                    <w:t>覆膜烘干机</w:t>
                  </w:r>
                </w:p>
              </w:tc>
              <w:tc>
                <w:tcPr>
                  <w:tcW w:w="1200"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hint="eastAsia" w:ascii="Times New Roman" w:hAnsi="Times New Roman" w:cs="Times New Roman"/>
                      <w:bCs/>
                      <w:color w:val="auto"/>
                      <w:sz w:val="21"/>
                      <w:szCs w:val="21"/>
                      <w:highlight w:val="none"/>
                      <w:lang w:val="en-US" w:eastAsia="zh-CN"/>
                    </w:rPr>
                  </w:pPr>
                  <w:r>
                    <w:rPr>
                      <w:rFonts w:hint="eastAsia" w:ascii="Times New Roman" w:hAnsi="Times New Roman" w:eastAsia="宋体" w:cs="Times New Roman"/>
                      <w:color w:val="auto"/>
                      <w:sz w:val="21"/>
                      <w:szCs w:val="21"/>
                      <w:lang w:val="en-US" w:eastAsia="zh-CN"/>
                    </w:rPr>
                    <w:t>LSN05</w:t>
                  </w:r>
                </w:p>
              </w:tc>
              <w:tc>
                <w:tcPr>
                  <w:tcW w:w="1215"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hint="eastAsia"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功率：15kW</w:t>
                  </w:r>
                </w:p>
              </w:tc>
              <w:tc>
                <w:tcPr>
                  <w:tcW w:w="885"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1</w:t>
                  </w:r>
                </w:p>
              </w:tc>
              <w:tc>
                <w:tcPr>
                  <w:tcW w:w="1570"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hint="eastAsia" w:ascii="宋体" w:hAnsi="宋体" w:eastAsia="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本项目新增</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539" w:type="dxa"/>
                  <w:tcBorders>
                    <w:tl2br w:val="nil"/>
                    <w:tr2bl w:val="nil"/>
                  </w:tcBorders>
                  <w:noWrap w:val="0"/>
                  <w:vAlign w:val="center"/>
                </w:tcPr>
                <w:p>
                  <w:pPr>
                    <w:pStyle w:val="40"/>
                    <w:keepNext w:val="0"/>
                    <w:keepLines w:val="0"/>
                    <w:pageBreakBefore w:val="0"/>
                    <w:widowControl w:val="0"/>
                    <w:numPr>
                      <w:ilvl w:val="0"/>
                      <w:numId w:val="17"/>
                    </w:numPr>
                    <w:kinsoku/>
                    <w:wordWrap/>
                    <w:overflowPunct/>
                    <w:topLinePunct w:val="0"/>
                    <w:autoSpaceDE/>
                    <w:autoSpaceDN/>
                    <w:bidi w:val="0"/>
                    <w:adjustRightInd/>
                    <w:snapToGrid/>
                    <w:spacing w:line="240" w:lineRule="auto"/>
                    <w:ind w:left="0" w:leftChars="0" w:right="-48" w:rightChars="-20"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797" w:type="dxa"/>
                  <w:vMerge w:val="continue"/>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811" w:type="dxa"/>
                  <w:vMerge w:val="continue"/>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260"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自动覆膜机</w:t>
                  </w:r>
                </w:p>
              </w:tc>
              <w:tc>
                <w:tcPr>
                  <w:tcW w:w="1200"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hint="eastAsia" w:ascii="Times New Roman" w:hAnsi="Times New Roman" w:cs="Times New Roman"/>
                      <w:bCs/>
                      <w:color w:val="auto"/>
                      <w:sz w:val="21"/>
                      <w:szCs w:val="21"/>
                      <w:highlight w:val="none"/>
                      <w:lang w:val="en-US" w:eastAsia="zh-CN"/>
                    </w:rPr>
                  </w:pPr>
                  <w:r>
                    <w:rPr>
                      <w:rFonts w:hint="eastAsia" w:ascii="Times New Roman" w:hAnsi="Times New Roman" w:eastAsia="宋体" w:cs="Times New Roman"/>
                      <w:color w:val="auto"/>
                      <w:sz w:val="21"/>
                      <w:szCs w:val="21"/>
                      <w:lang w:val="en-US" w:eastAsia="zh-CN"/>
                    </w:rPr>
                    <w:t>FM-C900300YCR</w:t>
                  </w:r>
                </w:p>
              </w:tc>
              <w:tc>
                <w:tcPr>
                  <w:tcW w:w="1215"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hint="eastAsia"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功率：7kW</w:t>
                  </w:r>
                </w:p>
              </w:tc>
              <w:tc>
                <w:tcPr>
                  <w:tcW w:w="885"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1</w:t>
                  </w:r>
                </w:p>
              </w:tc>
              <w:tc>
                <w:tcPr>
                  <w:tcW w:w="1570"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hint="default" w:ascii="宋体" w:hAnsi="宋体" w:eastAsia="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依托现有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539" w:type="dxa"/>
                  <w:tcBorders>
                    <w:tl2br w:val="nil"/>
                    <w:tr2bl w:val="nil"/>
                  </w:tcBorders>
                  <w:noWrap w:val="0"/>
                  <w:vAlign w:val="center"/>
                </w:tcPr>
                <w:p>
                  <w:pPr>
                    <w:pStyle w:val="40"/>
                    <w:keepNext w:val="0"/>
                    <w:keepLines w:val="0"/>
                    <w:pageBreakBefore w:val="0"/>
                    <w:widowControl w:val="0"/>
                    <w:numPr>
                      <w:ilvl w:val="0"/>
                      <w:numId w:val="17"/>
                    </w:numPr>
                    <w:kinsoku/>
                    <w:wordWrap/>
                    <w:overflowPunct/>
                    <w:topLinePunct w:val="0"/>
                    <w:autoSpaceDE/>
                    <w:autoSpaceDN/>
                    <w:bidi w:val="0"/>
                    <w:adjustRightInd/>
                    <w:snapToGrid/>
                    <w:spacing w:line="240" w:lineRule="auto"/>
                    <w:ind w:left="0" w:leftChars="0" w:right="-48" w:rightChars="-20"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797" w:type="dxa"/>
                  <w:vMerge w:val="continue"/>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811" w:type="dxa"/>
                  <w:vMerge w:val="continue"/>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260"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自动高周波塑胶熔接机</w:t>
                  </w:r>
                </w:p>
              </w:tc>
              <w:tc>
                <w:tcPr>
                  <w:tcW w:w="1200"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hint="eastAsia" w:ascii="Times New Roman" w:hAnsi="Times New Roman" w:cs="Times New Roman"/>
                      <w:bCs/>
                      <w:color w:val="auto"/>
                      <w:sz w:val="21"/>
                      <w:szCs w:val="21"/>
                      <w:highlight w:val="none"/>
                      <w:lang w:val="en-US" w:eastAsia="zh-CN"/>
                    </w:rPr>
                  </w:pPr>
                  <w:r>
                    <w:rPr>
                      <w:rFonts w:hint="eastAsia" w:ascii="Times New Roman" w:hAnsi="Times New Roman" w:eastAsia="宋体" w:cs="Times New Roman"/>
                      <w:color w:val="auto"/>
                      <w:sz w:val="21"/>
                      <w:szCs w:val="21"/>
                      <w:lang w:val="en-US" w:eastAsia="zh-CN"/>
                    </w:rPr>
                    <w:t>HS-100007A</w:t>
                  </w:r>
                </w:p>
              </w:tc>
              <w:tc>
                <w:tcPr>
                  <w:tcW w:w="1215"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hint="eastAsia"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功率：10kW</w:t>
                  </w:r>
                </w:p>
              </w:tc>
              <w:tc>
                <w:tcPr>
                  <w:tcW w:w="885"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1</w:t>
                  </w:r>
                </w:p>
              </w:tc>
              <w:tc>
                <w:tcPr>
                  <w:tcW w:w="1570"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本项目新增</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539" w:type="dxa"/>
                  <w:tcBorders>
                    <w:tl2br w:val="nil"/>
                    <w:tr2bl w:val="nil"/>
                  </w:tcBorders>
                  <w:noWrap w:val="0"/>
                  <w:vAlign w:val="center"/>
                </w:tcPr>
                <w:p>
                  <w:pPr>
                    <w:pStyle w:val="40"/>
                    <w:keepNext w:val="0"/>
                    <w:keepLines w:val="0"/>
                    <w:pageBreakBefore w:val="0"/>
                    <w:widowControl w:val="0"/>
                    <w:numPr>
                      <w:ilvl w:val="0"/>
                      <w:numId w:val="17"/>
                    </w:numPr>
                    <w:kinsoku/>
                    <w:wordWrap/>
                    <w:overflowPunct/>
                    <w:topLinePunct w:val="0"/>
                    <w:autoSpaceDE/>
                    <w:autoSpaceDN/>
                    <w:bidi w:val="0"/>
                    <w:adjustRightInd/>
                    <w:snapToGrid/>
                    <w:spacing w:line="240" w:lineRule="auto"/>
                    <w:ind w:left="0" w:leftChars="0" w:right="-48" w:rightChars="-20"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797" w:type="dxa"/>
                  <w:vMerge w:val="continue"/>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811" w:type="dxa"/>
                  <w:vMerge w:val="continue"/>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260"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hint="eastAsia"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半自动高周波塑胶熔接机</w:t>
                  </w:r>
                </w:p>
              </w:tc>
              <w:tc>
                <w:tcPr>
                  <w:tcW w:w="1200"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ascii="宋体" w:hAnsi="宋体" w:eastAsia="宋体" w:cs="宋体"/>
                      <w:color w:val="auto"/>
                      <w:sz w:val="21"/>
                      <w:szCs w:val="21"/>
                      <w:lang w:val="en-US" w:eastAsia="zh-CN"/>
                    </w:rPr>
                    <w:t>－</w:t>
                  </w:r>
                </w:p>
              </w:tc>
              <w:tc>
                <w:tcPr>
                  <w:tcW w:w="1215"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hint="eastAsia"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功率：8kW</w:t>
                  </w:r>
                </w:p>
              </w:tc>
              <w:tc>
                <w:tcPr>
                  <w:tcW w:w="885"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1</w:t>
                  </w:r>
                </w:p>
              </w:tc>
              <w:tc>
                <w:tcPr>
                  <w:tcW w:w="1570"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本项目新增</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539" w:type="dxa"/>
                  <w:tcBorders>
                    <w:tl2br w:val="nil"/>
                    <w:tr2bl w:val="nil"/>
                  </w:tcBorders>
                  <w:noWrap w:val="0"/>
                  <w:vAlign w:val="center"/>
                </w:tcPr>
                <w:p>
                  <w:pPr>
                    <w:pStyle w:val="40"/>
                    <w:keepNext w:val="0"/>
                    <w:keepLines w:val="0"/>
                    <w:pageBreakBefore w:val="0"/>
                    <w:widowControl w:val="0"/>
                    <w:numPr>
                      <w:ilvl w:val="0"/>
                      <w:numId w:val="17"/>
                    </w:numPr>
                    <w:kinsoku/>
                    <w:wordWrap/>
                    <w:overflowPunct/>
                    <w:topLinePunct w:val="0"/>
                    <w:autoSpaceDE/>
                    <w:autoSpaceDN/>
                    <w:bidi w:val="0"/>
                    <w:adjustRightInd/>
                    <w:snapToGrid/>
                    <w:spacing w:line="240" w:lineRule="auto"/>
                    <w:ind w:left="0" w:leftChars="0" w:right="-48" w:rightChars="-20"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797" w:type="dxa"/>
                  <w:vMerge w:val="continue"/>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811" w:type="dxa"/>
                  <w:vMerge w:val="continue"/>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260"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研磨机</w:t>
                  </w:r>
                </w:p>
              </w:tc>
              <w:tc>
                <w:tcPr>
                  <w:tcW w:w="1200"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rPr>
                    <w:t>LSN05</w:t>
                  </w:r>
                </w:p>
              </w:tc>
              <w:tc>
                <w:tcPr>
                  <w:tcW w:w="1215"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hint="eastAsia"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功率：18.5kW</w:t>
                  </w:r>
                </w:p>
              </w:tc>
              <w:tc>
                <w:tcPr>
                  <w:tcW w:w="885"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2</w:t>
                  </w:r>
                </w:p>
              </w:tc>
              <w:tc>
                <w:tcPr>
                  <w:tcW w:w="1570"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依托现有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04" w:hRule="exact"/>
                <w:jc w:val="center"/>
              </w:trPr>
              <w:tc>
                <w:tcPr>
                  <w:tcW w:w="539" w:type="dxa"/>
                  <w:tcBorders>
                    <w:tl2br w:val="nil"/>
                    <w:tr2bl w:val="nil"/>
                  </w:tcBorders>
                  <w:noWrap w:val="0"/>
                  <w:vAlign w:val="center"/>
                </w:tcPr>
                <w:p>
                  <w:pPr>
                    <w:pStyle w:val="40"/>
                    <w:keepNext w:val="0"/>
                    <w:keepLines w:val="0"/>
                    <w:pageBreakBefore w:val="0"/>
                    <w:widowControl w:val="0"/>
                    <w:numPr>
                      <w:ilvl w:val="0"/>
                      <w:numId w:val="17"/>
                    </w:numPr>
                    <w:kinsoku/>
                    <w:wordWrap/>
                    <w:overflowPunct/>
                    <w:topLinePunct w:val="0"/>
                    <w:autoSpaceDE/>
                    <w:autoSpaceDN/>
                    <w:bidi w:val="0"/>
                    <w:adjustRightInd/>
                    <w:snapToGrid/>
                    <w:spacing w:line="240" w:lineRule="auto"/>
                    <w:ind w:left="0" w:leftChars="0" w:right="-48" w:rightChars="-20"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797" w:type="dxa"/>
                  <w:vMerge w:val="continue"/>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811" w:type="dxa"/>
                  <w:vMerge w:val="continue"/>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260"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数显高速分散机</w:t>
                  </w:r>
                </w:p>
              </w:tc>
              <w:tc>
                <w:tcPr>
                  <w:tcW w:w="1200"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default" w:ascii="Times New Roman" w:hAnsi="Times New Roman" w:eastAsia="宋体" w:cs="Times New Roman"/>
                      <w:color w:val="auto"/>
                      <w:sz w:val="21"/>
                      <w:szCs w:val="21"/>
                      <w:lang w:val="en-US" w:eastAsia="zh-CN"/>
                    </w:rPr>
                    <w:t>FS-1100D</w:t>
                  </w:r>
                </w:p>
              </w:tc>
              <w:tc>
                <w:tcPr>
                  <w:tcW w:w="1215"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hint="eastAsia"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功率：2.5kW</w:t>
                  </w:r>
                </w:p>
              </w:tc>
              <w:tc>
                <w:tcPr>
                  <w:tcW w:w="885"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2</w:t>
                  </w:r>
                </w:p>
              </w:tc>
              <w:tc>
                <w:tcPr>
                  <w:tcW w:w="1570"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本项目新增，用于导电碳浆混合分散</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539" w:type="dxa"/>
                  <w:tcBorders>
                    <w:tl2br w:val="nil"/>
                    <w:tr2bl w:val="nil"/>
                  </w:tcBorders>
                  <w:noWrap w:val="0"/>
                  <w:vAlign w:val="center"/>
                </w:tcPr>
                <w:p>
                  <w:pPr>
                    <w:pStyle w:val="40"/>
                    <w:keepNext w:val="0"/>
                    <w:keepLines w:val="0"/>
                    <w:pageBreakBefore w:val="0"/>
                    <w:widowControl w:val="0"/>
                    <w:numPr>
                      <w:ilvl w:val="0"/>
                      <w:numId w:val="17"/>
                    </w:numPr>
                    <w:kinsoku/>
                    <w:wordWrap/>
                    <w:overflowPunct/>
                    <w:topLinePunct w:val="0"/>
                    <w:autoSpaceDE/>
                    <w:autoSpaceDN/>
                    <w:bidi w:val="0"/>
                    <w:adjustRightInd/>
                    <w:snapToGrid/>
                    <w:spacing w:line="240" w:lineRule="auto"/>
                    <w:ind w:left="0" w:leftChars="0" w:right="-48" w:rightChars="-20"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797" w:type="dxa"/>
                  <w:vMerge w:val="continue"/>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811" w:type="dxa"/>
                  <w:vMerge w:val="continue"/>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260"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多功能检测台</w:t>
                  </w:r>
                </w:p>
              </w:tc>
              <w:tc>
                <w:tcPr>
                  <w:tcW w:w="1200"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hint="eastAsia" w:ascii="Times New Roman" w:hAnsi="Times New Roman" w:cs="Times New Roman"/>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w:t>
                  </w:r>
                </w:p>
              </w:tc>
              <w:tc>
                <w:tcPr>
                  <w:tcW w:w="1215"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功率：5kW</w:t>
                  </w:r>
                </w:p>
              </w:tc>
              <w:tc>
                <w:tcPr>
                  <w:tcW w:w="885"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3</w:t>
                  </w:r>
                </w:p>
              </w:tc>
              <w:tc>
                <w:tcPr>
                  <w:tcW w:w="1570"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依托现有，进行电气性能检测</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539" w:type="dxa"/>
                  <w:tcBorders>
                    <w:tl2br w:val="nil"/>
                    <w:tr2bl w:val="nil"/>
                  </w:tcBorders>
                  <w:noWrap w:val="0"/>
                  <w:vAlign w:val="center"/>
                </w:tcPr>
                <w:p>
                  <w:pPr>
                    <w:pStyle w:val="40"/>
                    <w:keepNext w:val="0"/>
                    <w:keepLines w:val="0"/>
                    <w:pageBreakBefore w:val="0"/>
                    <w:widowControl w:val="0"/>
                    <w:numPr>
                      <w:ilvl w:val="0"/>
                      <w:numId w:val="17"/>
                    </w:numPr>
                    <w:kinsoku/>
                    <w:wordWrap/>
                    <w:overflowPunct/>
                    <w:topLinePunct w:val="0"/>
                    <w:autoSpaceDE/>
                    <w:autoSpaceDN/>
                    <w:bidi w:val="0"/>
                    <w:adjustRightInd/>
                    <w:snapToGrid/>
                    <w:spacing w:line="240" w:lineRule="auto"/>
                    <w:ind w:left="0" w:leftChars="0" w:right="-48" w:rightChars="-20"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797"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辅助工程</w:t>
                  </w:r>
                </w:p>
              </w:tc>
              <w:tc>
                <w:tcPr>
                  <w:tcW w:w="811"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废气治理设施</w:t>
                  </w:r>
                </w:p>
              </w:tc>
              <w:tc>
                <w:tcPr>
                  <w:tcW w:w="1260"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两级活性炭吸附装置</w:t>
                  </w:r>
                </w:p>
              </w:tc>
              <w:tc>
                <w:tcPr>
                  <w:tcW w:w="2415" w:type="dxa"/>
                  <w:gridSpan w:val="2"/>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hint="eastAsia" w:ascii="Times New Roman" w:hAnsi="Times New Roman" w:cs="Times New Roman"/>
                      <w:bCs/>
                      <w:color w:val="auto"/>
                      <w:sz w:val="21"/>
                      <w:szCs w:val="21"/>
                      <w:highlight w:val="yellow"/>
                      <w:lang w:val="en-US" w:eastAsia="zh-CN"/>
                    </w:rPr>
                  </w:pPr>
                  <w:r>
                    <w:rPr>
                      <w:rFonts w:hint="eastAsia" w:ascii="Times New Roman" w:hAnsi="Times New Roman" w:cs="Times New Roman"/>
                      <w:bCs/>
                      <w:color w:val="auto"/>
                      <w:sz w:val="21"/>
                      <w:szCs w:val="21"/>
                      <w:highlight w:val="none"/>
                      <w:lang w:val="en-US" w:eastAsia="zh-CN"/>
                    </w:rPr>
                    <w:t>风机风量：15000m</w:t>
                  </w:r>
                  <w:r>
                    <w:rPr>
                      <w:rFonts w:hint="eastAsia" w:ascii="Times New Roman" w:hAnsi="Times New Roman" w:cs="Times New Roman"/>
                      <w:bCs/>
                      <w:color w:val="auto"/>
                      <w:sz w:val="21"/>
                      <w:szCs w:val="21"/>
                      <w:highlight w:val="none"/>
                      <w:vertAlign w:val="superscript"/>
                      <w:lang w:val="en-US" w:eastAsia="zh-CN"/>
                    </w:rPr>
                    <w:t>3</w:t>
                  </w:r>
                  <w:r>
                    <w:rPr>
                      <w:rFonts w:hint="eastAsia" w:ascii="Times New Roman" w:hAnsi="Times New Roman" w:cs="Times New Roman"/>
                      <w:bCs/>
                      <w:color w:val="auto"/>
                      <w:sz w:val="21"/>
                      <w:szCs w:val="21"/>
                      <w:highlight w:val="none"/>
                      <w:lang w:val="en-US" w:eastAsia="zh-CN"/>
                    </w:rPr>
                    <w:t>/h</w:t>
                  </w:r>
                </w:p>
              </w:tc>
              <w:tc>
                <w:tcPr>
                  <w:tcW w:w="885"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1</w:t>
                  </w:r>
                </w:p>
              </w:tc>
              <w:tc>
                <w:tcPr>
                  <w:tcW w:w="1570"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本项目新增</w:t>
                  </w:r>
                </w:p>
              </w:tc>
            </w:tr>
          </w:tbl>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eastAsia="宋体"/>
                <w:b/>
                <w:bCs/>
                <w:color w:val="auto"/>
                <w:sz w:val="21"/>
                <w:szCs w:val="21"/>
                <w:highlight w:val="none"/>
                <w:lang w:val="en-US" w:eastAsia="zh-CN"/>
              </w:rPr>
            </w:pPr>
            <w:r>
              <w:rPr>
                <w:rFonts w:hint="eastAsia" w:ascii="Times New Roman" w:eastAsia="宋体"/>
                <w:b/>
                <w:bCs/>
                <w:color w:val="auto"/>
                <w:sz w:val="21"/>
                <w:szCs w:val="21"/>
                <w:highlight w:val="none"/>
                <w:lang w:val="en-US" w:eastAsia="zh-CN"/>
              </w:rPr>
              <w:t>表</w:t>
            </w:r>
            <w:r>
              <w:rPr>
                <w:rFonts w:hint="eastAsia"/>
                <w:b/>
                <w:bCs/>
                <w:color w:val="auto"/>
                <w:sz w:val="21"/>
                <w:szCs w:val="21"/>
                <w:highlight w:val="none"/>
                <w:lang w:val="en-US" w:eastAsia="zh-CN"/>
              </w:rPr>
              <w:t>18</w:t>
            </w:r>
            <w:r>
              <w:rPr>
                <w:rFonts w:hint="eastAsia" w:ascii="Times New Roman" w:eastAsia="宋体"/>
                <w:b/>
                <w:bCs/>
                <w:color w:val="auto"/>
                <w:sz w:val="21"/>
                <w:szCs w:val="21"/>
                <w:highlight w:val="none"/>
                <w:lang w:val="en-US" w:eastAsia="zh-CN"/>
              </w:rPr>
              <w:t xml:space="preserve">  </w:t>
            </w:r>
            <w:r>
              <w:rPr>
                <w:rFonts w:hint="eastAsia"/>
                <w:b/>
                <w:bCs/>
                <w:color w:val="auto"/>
                <w:sz w:val="21"/>
                <w:szCs w:val="21"/>
                <w:highlight w:val="none"/>
                <w:lang w:val="en-US" w:eastAsia="zh-CN"/>
              </w:rPr>
              <w:t>本项目建成后全厂</w:t>
            </w:r>
            <w:r>
              <w:rPr>
                <w:rFonts w:hint="eastAsia" w:ascii="Times New Roman" w:eastAsia="宋体"/>
                <w:b/>
                <w:bCs/>
                <w:color w:val="auto"/>
                <w:sz w:val="21"/>
                <w:szCs w:val="21"/>
                <w:highlight w:val="none"/>
                <w:lang w:val="en-US" w:eastAsia="zh-CN"/>
              </w:rPr>
              <w:t>主要生产设备</w:t>
            </w:r>
            <w:r>
              <w:rPr>
                <w:rFonts w:hint="eastAsia"/>
                <w:b/>
                <w:bCs/>
                <w:color w:val="auto"/>
                <w:sz w:val="21"/>
                <w:szCs w:val="21"/>
                <w:highlight w:val="none"/>
                <w:lang w:val="en-US" w:eastAsia="zh-CN"/>
              </w:rPr>
              <w:t>、设施</w:t>
            </w:r>
            <w:r>
              <w:rPr>
                <w:rFonts w:hint="eastAsia" w:ascii="Times New Roman" w:eastAsia="宋体"/>
                <w:b/>
                <w:bCs/>
                <w:color w:val="auto"/>
                <w:sz w:val="21"/>
                <w:szCs w:val="21"/>
                <w:highlight w:val="none"/>
                <w:lang w:val="en-US" w:eastAsia="zh-CN"/>
              </w:rPr>
              <w:t>一览表</w:t>
            </w:r>
          </w:p>
          <w:tbl>
            <w:tblPr>
              <w:tblStyle w:val="25"/>
              <w:tblW w:w="827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83"/>
              <w:gridCol w:w="1607"/>
              <w:gridCol w:w="1642"/>
              <w:gridCol w:w="1293"/>
              <w:gridCol w:w="1934"/>
              <w:gridCol w:w="101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9" w:hRule="atLeast"/>
                <w:jc w:val="center"/>
              </w:trPr>
              <w:tc>
                <w:tcPr>
                  <w:tcW w:w="783"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eastAsia" w:ascii="Times New Roman" w:hAnsi="Times New Roman" w:eastAsia="宋体" w:cs="Times New Roman"/>
                      <w:bCs/>
                      <w:color w:val="auto"/>
                      <w:sz w:val="21"/>
                      <w:szCs w:val="21"/>
                      <w:highlight w:val="none"/>
                      <w:lang w:eastAsia="zh-CN"/>
                    </w:rPr>
                  </w:pPr>
                  <w:r>
                    <w:rPr>
                      <w:rFonts w:hint="eastAsia" w:ascii="Times New Roman" w:hAnsi="Times New Roman" w:cs="Times New Roman"/>
                      <w:bCs/>
                      <w:color w:val="auto"/>
                      <w:sz w:val="21"/>
                      <w:szCs w:val="21"/>
                      <w:highlight w:val="none"/>
                      <w:lang w:val="en-US" w:eastAsia="zh-CN"/>
                    </w:rPr>
                    <w:t>序号</w:t>
                  </w:r>
                </w:p>
              </w:tc>
              <w:tc>
                <w:tcPr>
                  <w:tcW w:w="1607"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eastAsia" w:ascii="Times New Roman" w:hAnsi="Times New Roman" w:cs="Times New Roman"/>
                      <w:bCs/>
                      <w:color w:val="auto"/>
                      <w:sz w:val="21"/>
                      <w:szCs w:val="21"/>
                      <w:highlight w:val="none"/>
                    </w:rPr>
                  </w:pPr>
                  <w:r>
                    <w:rPr>
                      <w:rFonts w:hint="eastAsia" w:ascii="Times New Roman" w:hAnsi="Times New Roman" w:cs="Times New Roman"/>
                      <w:bCs/>
                      <w:color w:val="auto"/>
                      <w:sz w:val="21"/>
                      <w:szCs w:val="21"/>
                      <w:highlight w:val="none"/>
                    </w:rPr>
                    <w:t>名称</w:t>
                  </w:r>
                </w:p>
              </w:tc>
              <w:tc>
                <w:tcPr>
                  <w:tcW w:w="1642"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规格型号</w:t>
                  </w:r>
                </w:p>
              </w:tc>
              <w:tc>
                <w:tcPr>
                  <w:tcW w:w="1293"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120" w:rightChars="-50" w:firstLine="0" w:firstLineChars="0"/>
                    <w:jc w:val="center"/>
                    <w:textAlignment w:val="auto"/>
                    <w:rPr>
                      <w:rFonts w:ascii="Times New Roman" w:hAnsi="Times New Roman" w:cs="Times New Roman"/>
                      <w:bCs/>
                      <w:color w:val="auto"/>
                      <w:sz w:val="21"/>
                      <w:szCs w:val="21"/>
                      <w:highlight w:val="none"/>
                    </w:rPr>
                  </w:pPr>
                  <w:r>
                    <w:rPr>
                      <w:rFonts w:hint="eastAsia" w:ascii="Times New Roman" w:hAnsi="Times New Roman" w:cs="Times New Roman"/>
                      <w:bCs/>
                      <w:color w:val="auto"/>
                      <w:sz w:val="21"/>
                      <w:szCs w:val="21"/>
                      <w:highlight w:val="none"/>
                      <w:lang w:val="en-US" w:eastAsia="zh-CN"/>
                    </w:rPr>
                    <w:t>现有工程</w:t>
                  </w:r>
                  <w:r>
                    <w:rPr>
                      <w:rFonts w:ascii="Times New Roman" w:hAnsi="Times New Roman" w:cs="Times New Roman"/>
                      <w:bCs/>
                      <w:color w:val="auto"/>
                      <w:sz w:val="21"/>
                      <w:szCs w:val="21"/>
                      <w:highlight w:val="none"/>
                    </w:rPr>
                    <w:t>数量</w:t>
                  </w:r>
                  <w:r>
                    <w:rPr>
                      <w:color w:val="auto"/>
                      <w:sz w:val="21"/>
                      <w:szCs w:val="21"/>
                      <w:highlight w:val="none"/>
                    </w:rPr>
                    <w:t>（台</w:t>
                  </w:r>
                  <w:r>
                    <w:rPr>
                      <w:rFonts w:hint="default" w:ascii="Times New Roman" w:hAnsi="Times New Roman" w:cs="Times New Roman"/>
                      <w:color w:val="auto"/>
                      <w:sz w:val="21"/>
                      <w:szCs w:val="21"/>
                      <w:highlight w:val="none"/>
                    </w:rPr>
                    <w:t>/</w:t>
                  </w:r>
                  <w:r>
                    <w:rPr>
                      <w:color w:val="auto"/>
                      <w:sz w:val="21"/>
                      <w:szCs w:val="21"/>
                      <w:highlight w:val="none"/>
                    </w:rPr>
                    <w:t>套）</w:t>
                  </w:r>
                </w:p>
              </w:tc>
              <w:tc>
                <w:tcPr>
                  <w:tcW w:w="1934"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120" w:rightChars="-50" w:firstLine="0" w:firstLineChars="0"/>
                    <w:jc w:val="center"/>
                    <w:textAlignment w:val="auto"/>
                    <w:rPr>
                      <w:rFonts w:hint="eastAsia" w:ascii="Times New Roman" w:hAnsi="Times New Roman" w:eastAsia="宋体"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本项目完成后全厂</w:t>
                  </w:r>
                  <w:r>
                    <w:rPr>
                      <w:rFonts w:ascii="Times New Roman" w:hAnsi="Times New Roman" w:cs="Times New Roman"/>
                      <w:bCs/>
                      <w:color w:val="auto"/>
                      <w:sz w:val="21"/>
                      <w:szCs w:val="21"/>
                      <w:highlight w:val="none"/>
                    </w:rPr>
                    <w:t>数量</w:t>
                  </w:r>
                  <w:r>
                    <w:rPr>
                      <w:color w:val="auto"/>
                      <w:sz w:val="21"/>
                      <w:szCs w:val="21"/>
                      <w:highlight w:val="none"/>
                    </w:rPr>
                    <w:t>（台</w:t>
                  </w:r>
                  <w:r>
                    <w:rPr>
                      <w:rFonts w:hint="default" w:ascii="Times New Roman" w:hAnsi="Times New Roman" w:cs="Times New Roman"/>
                      <w:color w:val="auto"/>
                      <w:sz w:val="21"/>
                      <w:szCs w:val="21"/>
                      <w:highlight w:val="none"/>
                    </w:rPr>
                    <w:t>/</w:t>
                  </w:r>
                  <w:r>
                    <w:rPr>
                      <w:color w:val="auto"/>
                      <w:sz w:val="21"/>
                      <w:szCs w:val="21"/>
                      <w:highlight w:val="none"/>
                    </w:rPr>
                    <w:t>套</w:t>
                  </w:r>
                  <w:r>
                    <w:rPr>
                      <w:rFonts w:hint="eastAsia"/>
                      <w:color w:val="auto"/>
                      <w:sz w:val="21"/>
                      <w:szCs w:val="21"/>
                      <w:highlight w:val="none"/>
                      <w:lang w:eastAsia="zh-CN"/>
                    </w:rPr>
                    <w:t>）</w:t>
                  </w:r>
                </w:p>
              </w:tc>
              <w:tc>
                <w:tcPr>
                  <w:tcW w:w="1018"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120" w:rightChars="-50" w:firstLine="0" w:firstLineChars="0"/>
                    <w:jc w:val="center"/>
                    <w:textAlignment w:val="auto"/>
                    <w:rPr>
                      <w:rFonts w:hint="eastAsia" w:ascii="Times New Roman" w:hAnsi="Times New Roman" w:eastAsia="宋体"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变化量</w:t>
                  </w:r>
                  <w:r>
                    <w:rPr>
                      <w:color w:val="auto"/>
                      <w:sz w:val="21"/>
                      <w:szCs w:val="21"/>
                      <w:highlight w:val="none"/>
                    </w:rPr>
                    <w:t>（台</w:t>
                  </w:r>
                  <w:r>
                    <w:rPr>
                      <w:rFonts w:hint="default" w:ascii="Times New Roman" w:hAnsi="Times New Roman" w:cs="Times New Roman"/>
                      <w:color w:val="auto"/>
                      <w:sz w:val="21"/>
                      <w:szCs w:val="21"/>
                      <w:highlight w:val="none"/>
                    </w:rPr>
                    <w:t>/</w:t>
                  </w:r>
                  <w:r>
                    <w:rPr>
                      <w:color w:val="auto"/>
                      <w:sz w:val="21"/>
                      <w:szCs w:val="21"/>
                      <w:highlight w:val="none"/>
                    </w:rPr>
                    <w:t>套</w:t>
                  </w:r>
                  <w:r>
                    <w:rPr>
                      <w:rFonts w:hint="eastAsia"/>
                      <w:color w:val="auto"/>
                      <w:sz w:val="21"/>
                      <w:szCs w:val="21"/>
                      <w:highlight w:val="none"/>
                      <w:lang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83" w:type="dxa"/>
                  <w:tcBorders>
                    <w:tl2br w:val="nil"/>
                    <w:tr2bl w:val="nil"/>
                  </w:tcBorders>
                  <w:noWrap w:val="0"/>
                  <w:vAlign w:val="center"/>
                </w:tcPr>
                <w:p>
                  <w:pPr>
                    <w:pStyle w:val="40"/>
                    <w:keepNext w:val="0"/>
                    <w:keepLines w:val="0"/>
                    <w:pageBreakBefore w:val="0"/>
                    <w:widowControl w:val="0"/>
                    <w:numPr>
                      <w:ilvl w:val="0"/>
                      <w:numId w:val="18"/>
                    </w:numPr>
                    <w:kinsoku/>
                    <w:wordWrap/>
                    <w:overflowPunct/>
                    <w:topLinePunct w:val="0"/>
                    <w:autoSpaceDE/>
                    <w:autoSpaceDN/>
                    <w:bidi w:val="0"/>
                    <w:adjustRightInd/>
                    <w:snapToGrid/>
                    <w:spacing w:line="240" w:lineRule="auto"/>
                    <w:ind w:left="0" w:leftChars="0" w:right="-24" w:rightChars="-10"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607"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eastAsia" w:ascii="Times New Roman" w:hAnsi="Times New Roman" w:cs="Times New Roman"/>
                      <w:bCs/>
                      <w:color w:val="auto"/>
                      <w:sz w:val="21"/>
                      <w:szCs w:val="21"/>
                      <w:highlight w:val="yellow"/>
                    </w:rPr>
                  </w:pPr>
                  <w:r>
                    <w:rPr>
                      <w:rFonts w:hint="eastAsia"/>
                      <w:color w:val="auto"/>
                    </w:rPr>
                    <w:t>喷镀炉</w:t>
                  </w:r>
                </w:p>
              </w:tc>
              <w:tc>
                <w:tcPr>
                  <w:tcW w:w="1642"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eastAsia" w:ascii="Times New Roman" w:hAnsi="Times New Roman" w:cs="Times New Roman"/>
                      <w:bCs/>
                      <w:color w:val="auto"/>
                      <w:sz w:val="21"/>
                      <w:szCs w:val="21"/>
                      <w:highlight w:val="yellow"/>
                      <w:lang w:val="en-US" w:eastAsia="zh-CN"/>
                    </w:rPr>
                  </w:pPr>
                  <w:r>
                    <w:rPr>
                      <w:rFonts w:hint="eastAsia"/>
                      <w:color w:val="auto"/>
                    </w:rPr>
                    <w:t>MX-P</w:t>
                  </w:r>
                </w:p>
              </w:tc>
              <w:tc>
                <w:tcPr>
                  <w:tcW w:w="1293"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eastAsia" w:ascii="Times New Roman" w:hAnsi="Times New Roman" w:cs="Times New Roman"/>
                      <w:bCs/>
                      <w:color w:val="auto"/>
                      <w:sz w:val="21"/>
                      <w:szCs w:val="21"/>
                      <w:highlight w:val="yellow"/>
                      <w:lang w:val="en-US" w:eastAsia="zh-CN"/>
                    </w:rPr>
                  </w:pPr>
                  <w:r>
                    <w:rPr>
                      <w:rFonts w:hint="eastAsia"/>
                      <w:color w:val="auto"/>
                      <w:lang w:val="en-US" w:eastAsia="zh-CN"/>
                    </w:rPr>
                    <w:t>4</w:t>
                  </w:r>
                </w:p>
              </w:tc>
              <w:tc>
                <w:tcPr>
                  <w:tcW w:w="1934"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120" w:rightChars="-50"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2</w:t>
                  </w:r>
                </w:p>
              </w:tc>
              <w:tc>
                <w:tcPr>
                  <w:tcW w:w="1018"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120" w:rightChars="-50"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783" w:type="dxa"/>
                  <w:tcBorders>
                    <w:tl2br w:val="nil"/>
                    <w:tr2bl w:val="nil"/>
                  </w:tcBorders>
                  <w:noWrap w:val="0"/>
                  <w:vAlign w:val="center"/>
                </w:tcPr>
                <w:p>
                  <w:pPr>
                    <w:pStyle w:val="40"/>
                    <w:keepNext w:val="0"/>
                    <w:keepLines w:val="0"/>
                    <w:pageBreakBefore w:val="0"/>
                    <w:widowControl w:val="0"/>
                    <w:numPr>
                      <w:ilvl w:val="0"/>
                      <w:numId w:val="18"/>
                    </w:numPr>
                    <w:kinsoku/>
                    <w:wordWrap/>
                    <w:overflowPunct/>
                    <w:topLinePunct w:val="0"/>
                    <w:autoSpaceDE/>
                    <w:autoSpaceDN/>
                    <w:bidi w:val="0"/>
                    <w:adjustRightInd/>
                    <w:snapToGrid/>
                    <w:spacing w:line="240" w:lineRule="auto"/>
                    <w:ind w:left="0" w:leftChars="0" w:right="-24" w:rightChars="-10"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607"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eastAsia" w:ascii="Times New Roman" w:hAnsi="Times New Roman" w:cs="Times New Roman"/>
                      <w:bCs/>
                      <w:color w:val="auto"/>
                      <w:sz w:val="21"/>
                      <w:szCs w:val="21"/>
                      <w:highlight w:val="yellow"/>
                    </w:rPr>
                  </w:pPr>
                  <w:r>
                    <w:rPr>
                      <w:rFonts w:hint="eastAsia"/>
                      <w:color w:val="auto"/>
                    </w:rPr>
                    <w:t>蒸镀炉</w:t>
                  </w:r>
                </w:p>
              </w:tc>
              <w:tc>
                <w:tcPr>
                  <w:tcW w:w="1642"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eastAsia" w:ascii="Times New Roman" w:hAnsi="Times New Roman" w:cs="Times New Roman"/>
                      <w:bCs/>
                      <w:color w:val="auto"/>
                      <w:sz w:val="21"/>
                      <w:szCs w:val="21"/>
                      <w:highlight w:val="yellow"/>
                      <w:lang w:val="en-US" w:eastAsia="zh-CN"/>
                    </w:rPr>
                  </w:pPr>
                  <w:r>
                    <w:rPr>
                      <w:rFonts w:hint="eastAsia"/>
                      <w:color w:val="auto"/>
                    </w:rPr>
                    <w:t>MX-Z</w:t>
                  </w:r>
                </w:p>
              </w:tc>
              <w:tc>
                <w:tcPr>
                  <w:tcW w:w="1293"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eastAsia" w:ascii="Times New Roman" w:hAnsi="Times New Roman" w:cs="Times New Roman"/>
                      <w:bCs/>
                      <w:color w:val="auto"/>
                      <w:sz w:val="21"/>
                      <w:szCs w:val="21"/>
                      <w:highlight w:val="yellow"/>
                      <w:lang w:val="en-US" w:eastAsia="zh-CN"/>
                    </w:rPr>
                  </w:pPr>
                  <w:r>
                    <w:rPr>
                      <w:rFonts w:hint="eastAsia"/>
                      <w:color w:val="auto"/>
                      <w:lang w:val="en-US" w:eastAsia="zh-CN"/>
                    </w:rPr>
                    <w:t>2</w:t>
                  </w:r>
                </w:p>
              </w:tc>
              <w:tc>
                <w:tcPr>
                  <w:tcW w:w="1934"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120" w:rightChars="-50"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1</w:t>
                  </w:r>
                </w:p>
              </w:tc>
              <w:tc>
                <w:tcPr>
                  <w:tcW w:w="1018"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120" w:rightChars="-50"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783" w:type="dxa"/>
                  <w:tcBorders>
                    <w:tl2br w:val="nil"/>
                    <w:tr2bl w:val="nil"/>
                  </w:tcBorders>
                  <w:noWrap w:val="0"/>
                  <w:vAlign w:val="center"/>
                </w:tcPr>
                <w:p>
                  <w:pPr>
                    <w:pStyle w:val="40"/>
                    <w:keepNext w:val="0"/>
                    <w:keepLines w:val="0"/>
                    <w:pageBreakBefore w:val="0"/>
                    <w:widowControl w:val="0"/>
                    <w:numPr>
                      <w:ilvl w:val="0"/>
                      <w:numId w:val="18"/>
                    </w:numPr>
                    <w:kinsoku/>
                    <w:wordWrap/>
                    <w:overflowPunct/>
                    <w:topLinePunct w:val="0"/>
                    <w:autoSpaceDE/>
                    <w:autoSpaceDN/>
                    <w:bidi w:val="0"/>
                    <w:adjustRightInd/>
                    <w:snapToGrid/>
                    <w:spacing w:line="240" w:lineRule="auto"/>
                    <w:ind w:left="0" w:leftChars="0" w:right="-24" w:rightChars="-10"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607"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eastAsia" w:ascii="Times New Roman" w:hAnsi="Times New Roman" w:cs="Times New Roman"/>
                      <w:bCs/>
                      <w:color w:val="auto"/>
                      <w:sz w:val="21"/>
                      <w:szCs w:val="21"/>
                      <w:highlight w:val="yellow"/>
                    </w:rPr>
                  </w:pPr>
                  <w:r>
                    <w:rPr>
                      <w:rFonts w:hint="eastAsia"/>
                      <w:color w:val="auto"/>
                    </w:rPr>
                    <w:t>空压机</w:t>
                  </w:r>
                </w:p>
              </w:tc>
              <w:tc>
                <w:tcPr>
                  <w:tcW w:w="1642"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eastAsia" w:ascii="Times New Roman" w:hAnsi="Times New Roman" w:cs="Times New Roman"/>
                      <w:bCs/>
                      <w:color w:val="auto"/>
                      <w:sz w:val="21"/>
                      <w:szCs w:val="21"/>
                      <w:highlight w:val="yellow"/>
                      <w:lang w:val="en-US" w:eastAsia="zh-CN"/>
                    </w:rPr>
                  </w:pPr>
                  <w:r>
                    <w:rPr>
                      <w:rFonts w:hint="eastAsia"/>
                      <w:color w:val="auto"/>
                    </w:rPr>
                    <w:t>BD-10A</w:t>
                  </w:r>
                </w:p>
              </w:tc>
              <w:tc>
                <w:tcPr>
                  <w:tcW w:w="1293"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eastAsia" w:ascii="Times New Roman" w:hAnsi="Times New Roman" w:cs="Times New Roman"/>
                      <w:bCs/>
                      <w:color w:val="auto"/>
                      <w:sz w:val="21"/>
                      <w:szCs w:val="21"/>
                      <w:highlight w:val="yellow"/>
                      <w:lang w:val="en-US" w:eastAsia="zh-CN"/>
                    </w:rPr>
                  </w:pPr>
                  <w:r>
                    <w:rPr>
                      <w:rFonts w:hint="eastAsia"/>
                      <w:color w:val="auto"/>
                    </w:rPr>
                    <w:t>1</w:t>
                  </w:r>
                </w:p>
              </w:tc>
              <w:tc>
                <w:tcPr>
                  <w:tcW w:w="1934"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120" w:rightChars="-50"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1</w:t>
                  </w:r>
                </w:p>
              </w:tc>
              <w:tc>
                <w:tcPr>
                  <w:tcW w:w="1018"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120" w:rightChars="-50"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783" w:type="dxa"/>
                  <w:tcBorders>
                    <w:tl2br w:val="nil"/>
                    <w:tr2bl w:val="nil"/>
                  </w:tcBorders>
                  <w:noWrap w:val="0"/>
                  <w:vAlign w:val="center"/>
                </w:tcPr>
                <w:p>
                  <w:pPr>
                    <w:pStyle w:val="40"/>
                    <w:keepNext w:val="0"/>
                    <w:keepLines w:val="0"/>
                    <w:pageBreakBefore w:val="0"/>
                    <w:widowControl w:val="0"/>
                    <w:numPr>
                      <w:ilvl w:val="0"/>
                      <w:numId w:val="18"/>
                    </w:numPr>
                    <w:kinsoku/>
                    <w:wordWrap/>
                    <w:overflowPunct/>
                    <w:topLinePunct w:val="0"/>
                    <w:autoSpaceDE/>
                    <w:autoSpaceDN/>
                    <w:bidi w:val="0"/>
                    <w:adjustRightInd/>
                    <w:snapToGrid/>
                    <w:spacing w:line="240" w:lineRule="auto"/>
                    <w:ind w:left="0" w:leftChars="0" w:right="-24" w:rightChars="-10"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607"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eastAsia" w:ascii="Times New Roman" w:hAnsi="Times New Roman" w:cs="Times New Roman"/>
                      <w:bCs/>
                      <w:color w:val="auto"/>
                      <w:sz w:val="21"/>
                      <w:szCs w:val="21"/>
                      <w:highlight w:val="yellow"/>
                    </w:rPr>
                  </w:pPr>
                  <w:r>
                    <w:rPr>
                      <w:rFonts w:hint="eastAsia"/>
                      <w:color w:val="auto"/>
                    </w:rPr>
                    <w:t>丝印机</w:t>
                  </w:r>
                </w:p>
              </w:tc>
              <w:tc>
                <w:tcPr>
                  <w:tcW w:w="1642"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eastAsia" w:ascii="Times New Roman" w:hAnsi="Times New Roman" w:cs="Times New Roman"/>
                      <w:bCs/>
                      <w:color w:val="auto"/>
                      <w:sz w:val="21"/>
                      <w:szCs w:val="21"/>
                      <w:highlight w:val="yellow"/>
                      <w:lang w:val="en-US" w:eastAsia="zh-CN"/>
                    </w:rPr>
                  </w:pPr>
                  <w:r>
                    <w:rPr>
                      <w:rFonts w:hint="eastAsia"/>
                      <w:color w:val="auto"/>
                    </w:rPr>
                    <w:t>非标定制</w:t>
                  </w:r>
                </w:p>
              </w:tc>
              <w:tc>
                <w:tcPr>
                  <w:tcW w:w="1293"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eastAsia" w:ascii="Times New Roman" w:hAnsi="Times New Roman" w:cs="Times New Roman"/>
                      <w:bCs/>
                      <w:color w:val="auto"/>
                      <w:sz w:val="21"/>
                      <w:szCs w:val="21"/>
                      <w:highlight w:val="yellow"/>
                      <w:lang w:val="en-US" w:eastAsia="zh-CN"/>
                    </w:rPr>
                  </w:pPr>
                  <w:r>
                    <w:rPr>
                      <w:rFonts w:hint="eastAsia"/>
                      <w:color w:val="auto"/>
                      <w:lang w:val="en-US" w:eastAsia="zh-CN"/>
                    </w:rPr>
                    <w:t>3</w:t>
                  </w:r>
                </w:p>
              </w:tc>
              <w:tc>
                <w:tcPr>
                  <w:tcW w:w="1934"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120" w:rightChars="-50"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2</w:t>
                  </w:r>
                </w:p>
              </w:tc>
              <w:tc>
                <w:tcPr>
                  <w:tcW w:w="1018"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120" w:rightChars="-50"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783" w:type="dxa"/>
                  <w:tcBorders>
                    <w:tl2br w:val="nil"/>
                    <w:tr2bl w:val="nil"/>
                  </w:tcBorders>
                  <w:noWrap w:val="0"/>
                  <w:vAlign w:val="center"/>
                </w:tcPr>
                <w:p>
                  <w:pPr>
                    <w:pStyle w:val="40"/>
                    <w:keepNext w:val="0"/>
                    <w:keepLines w:val="0"/>
                    <w:pageBreakBefore w:val="0"/>
                    <w:widowControl w:val="0"/>
                    <w:numPr>
                      <w:ilvl w:val="0"/>
                      <w:numId w:val="18"/>
                    </w:numPr>
                    <w:kinsoku/>
                    <w:wordWrap/>
                    <w:overflowPunct/>
                    <w:topLinePunct w:val="0"/>
                    <w:autoSpaceDE/>
                    <w:autoSpaceDN/>
                    <w:bidi w:val="0"/>
                    <w:adjustRightInd/>
                    <w:snapToGrid/>
                    <w:spacing w:line="240" w:lineRule="auto"/>
                    <w:ind w:left="0" w:leftChars="0" w:right="-24" w:rightChars="-10"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607"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eastAsia" w:ascii="Times New Roman" w:hAnsi="Times New Roman" w:cs="Times New Roman"/>
                      <w:bCs/>
                      <w:color w:val="auto"/>
                      <w:sz w:val="21"/>
                      <w:szCs w:val="21"/>
                      <w:highlight w:val="yellow"/>
                    </w:rPr>
                  </w:pPr>
                  <w:r>
                    <w:rPr>
                      <w:rFonts w:hint="eastAsia"/>
                      <w:color w:val="auto"/>
                    </w:rPr>
                    <w:t>烘干炉</w:t>
                  </w:r>
                </w:p>
              </w:tc>
              <w:tc>
                <w:tcPr>
                  <w:tcW w:w="1642"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eastAsia" w:ascii="Times New Roman" w:hAnsi="Times New Roman" w:cs="Times New Roman"/>
                      <w:bCs/>
                      <w:color w:val="auto"/>
                      <w:sz w:val="21"/>
                      <w:szCs w:val="21"/>
                      <w:highlight w:val="yellow"/>
                      <w:lang w:val="en-US" w:eastAsia="zh-CN"/>
                    </w:rPr>
                  </w:pPr>
                  <w:r>
                    <w:rPr>
                      <w:rFonts w:hint="eastAsia"/>
                      <w:color w:val="auto"/>
                    </w:rPr>
                    <w:t>MX-HGL</w:t>
                  </w:r>
                </w:p>
              </w:tc>
              <w:tc>
                <w:tcPr>
                  <w:tcW w:w="1293"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eastAsia" w:ascii="Times New Roman" w:hAnsi="Times New Roman" w:cs="Times New Roman"/>
                      <w:bCs/>
                      <w:color w:val="auto"/>
                      <w:sz w:val="21"/>
                      <w:szCs w:val="21"/>
                      <w:highlight w:val="yellow"/>
                      <w:lang w:val="en-US" w:eastAsia="zh-CN"/>
                    </w:rPr>
                  </w:pPr>
                  <w:r>
                    <w:rPr>
                      <w:rFonts w:hint="eastAsia"/>
                      <w:color w:val="auto"/>
                      <w:lang w:val="en-US" w:eastAsia="zh-CN"/>
                    </w:rPr>
                    <w:t>2</w:t>
                  </w:r>
                </w:p>
              </w:tc>
              <w:tc>
                <w:tcPr>
                  <w:tcW w:w="1934"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120" w:rightChars="-50"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2</w:t>
                  </w:r>
                </w:p>
              </w:tc>
              <w:tc>
                <w:tcPr>
                  <w:tcW w:w="1018"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120" w:rightChars="-50"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783" w:type="dxa"/>
                  <w:tcBorders>
                    <w:tl2br w:val="nil"/>
                    <w:tr2bl w:val="nil"/>
                  </w:tcBorders>
                  <w:noWrap w:val="0"/>
                  <w:vAlign w:val="center"/>
                </w:tcPr>
                <w:p>
                  <w:pPr>
                    <w:pStyle w:val="40"/>
                    <w:keepNext w:val="0"/>
                    <w:keepLines w:val="0"/>
                    <w:pageBreakBefore w:val="0"/>
                    <w:widowControl w:val="0"/>
                    <w:numPr>
                      <w:ilvl w:val="0"/>
                      <w:numId w:val="18"/>
                    </w:numPr>
                    <w:kinsoku/>
                    <w:wordWrap/>
                    <w:overflowPunct/>
                    <w:topLinePunct w:val="0"/>
                    <w:autoSpaceDE/>
                    <w:autoSpaceDN/>
                    <w:bidi w:val="0"/>
                    <w:adjustRightInd/>
                    <w:snapToGrid/>
                    <w:spacing w:line="240" w:lineRule="auto"/>
                    <w:ind w:left="0" w:leftChars="0" w:right="-24" w:rightChars="-10"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607"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eastAsia" w:ascii="Times New Roman" w:hAnsi="Times New Roman" w:cs="Times New Roman"/>
                      <w:bCs/>
                      <w:color w:val="auto"/>
                      <w:sz w:val="21"/>
                      <w:szCs w:val="21"/>
                      <w:highlight w:val="yellow"/>
                    </w:rPr>
                  </w:pPr>
                  <w:r>
                    <w:rPr>
                      <w:rFonts w:hint="eastAsia"/>
                      <w:color w:val="auto"/>
                    </w:rPr>
                    <w:t>烧熔炉</w:t>
                  </w:r>
                </w:p>
              </w:tc>
              <w:tc>
                <w:tcPr>
                  <w:tcW w:w="1642"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eastAsia" w:ascii="Times New Roman" w:hAnsi="Times New Roman" w:cs="Times New Roman"/>
                      <w:bCs/>
                      <w:color w:val="auto"/>
                      <w:sz w:val="21"/>
                      <w:szCs w:val="21"/>
                      <w:highlight w:val="yellow"/>
                      <w:lang w:val="en-US" w:eastAsia="zh-CN"/>
                    </w:rPr>
                  </w:pPr>
                  <w:r>
                    <w:rPr>
                      <w:rFonts w:hint="eastAsia"/>
                      <w:color w:val="auto"/>
                    </w:rPr>
                    <w:t>MX-HYL</w:t>
                  </w:r>
                </w:p>
              </w:tc>
              <w:tc>
                <w:tcPr>
                  <w:tcW w:w="1293"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eastAsia" w:ascii="Times New Roman" w:hAnsi="Times New Roman" w:cs="Times New Roman"/>
                      <w:bCs/>
                      <w:color w:val="auto"/>
                      <w:sz w:val="21"/>
                      <w:szCs w:val="21"/>
                      <w:highlight w:val="yellow"/>
                      <w:lang w:val="en-US" w:eastAsia="zh-CN"/>
                    </w:rPr>
                  </w:pPr>
                  <w:r>
                    <w:rPr>
                      <w:rFonts w:hint="eastAsia"/>
                      <w:color w:val="auto"/>
                      <w:lang w:val="en-US" w:eastAsia="zh-CN"/>
                    </w:rPr>
                    <w:t>4</w:t>
                  </w:r>
                </w:p>
              </w:tc>
              <w:tc>
                <w:tcPr>
                  <w:tcW w:w="1934"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120" w:rightChars="-50"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3</w:t>
                  </w:r>
                </w:p>
              </w:tc>
              <w:tc>
                <w:tcPr>
                  <w:tcW w:w="1018"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120" w:rightChars="-50"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783" w:type="dxa"/>
                  <w:tcBorders>
                    <w:tl2br w:val="nil"/>
                    <w:tr2bl w:val="nil"/>
                  </w:tcBorders>
                  <w:noWrap w:val="0"/>
                  <w:vAlign w:val="center"/>
                </w:tcPr>
                <w:p>
                  <w:pPr>
                    <w:pStyle w:val="40"/>
                    <w:keepNext w:val="0"/>
                    <w:keepLines w:val="0"/>
                    <w:pageBreakBefore w:val="0"/>
                    <w:widowControl w:val="0"/>
                    <w:numPr>
                      <w:ilvl w:val="0"/>
                      <w:numId w:val="18"/>
                    </w:numPr>
                    <w:kinsoku/>
                    <w:wordWrap/>
                    <w:overflowPunct/>
                    <w:topLinePunct w:val="0"/>
                    <w:autoSpaceDE/>
                    <w:autoSpaceDN/>
                    <w:bidi w:val="0"/>
                    <w:adjustRightInd/>
                    <w:snapToGrid/>
                    <w:spacing w:line="240" w:lineRule="auto"/>
                    <w:ind w:left="0" w:leftChars="0" w:right="-24" w:rightChars="-10"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607"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eastAsia" w:ascii="Times New Roman" w:hAnsi="Times New Roman" w:cs="Times New Roman"/>
                      <w:bCs/>
                      <w:color w:val="auto"/>
                      <w:sz w:val="21"/>
                      <w:szCs w:val="21"/>
                      <w:highlight w:val="yellow"/>
                    </w:rPr>
                  </w:pPr>
                  <w:r>
                    <w:rPr>
                      <w:rFonts w:hint="eastAsia"/>
                      <w:color w:val="auto"/>
                      <w:lang w:val="en-US" w:eastAsia="zh-CN"/>
                    </w:rPr>
                    <w:t>自动</w:t>
                  </w:r>
                  <w:r>
                    <w:rPr>
                      <w:rFonts w:hint="eastAsia"/>
                      <w:color w:val="auto"/>
                    </w:rPr>
                    <w:t>覆膜机</w:t>
                  </w:r>
                </w:p>
              </w:tc>
              <w:tc>
                <w:tcPr>
                  <w:tcW w:w="1642"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eastAsia" w:ascii="Times New Roman" w:hAnsi="Times New Roman" w:cs="Times New Roman"/>
                      <w:bCs/>
                      <w:color w:val="auto"/>
                      <w:sz w:val="21"/>
                      <w:szCs w:val="21"/>
                      <w:highlight w:val="yellow"/>
                      <w:lang w:val="en-US" w:eastAsia="zh-CN"/>
                    </w:rPr>
                  </w:pPr>
                  <w:r>
                    <w:rPr>
                      <w:rFonts w:hint="eastAsia"/>
                      <w:color w:val="auto"/>
                      <w:lang w:val="en-US" w:eastAsia="zh-CN"/>
                    </w:rPr>
                    <w:t>FM-C900300YCR</w:t>
                  </w:r>
                </w:p>
              </w:tc>
              <w:tc>
                <w:tcPr>
                  <w:tcW w:w="1293"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eastAsia" w:ascii="Times New Roman" w:hAnsi="Times New Roman" w:cs="Times New Roman"/>
                      <w:bCs/>
                      <w:color w:val="auto"/>
                      <w:sz w:val="21"/>
                      <w:szCs w:val="21"/>
                      <w:highlight w:val="yellow"/>
                      <w:lang w:val="en-US" w:eastAsia="zh-CN"/>
                    </w:rPr>
                  </w:pPr>
                  <w:r>
                    <w:rPr>
                      <w:rFonts w:hint="eastAsia"/>
                      <w:color w:val="auto"/>
                      <w:lang w:val="en-US" w:eastAsia="zh-CN"/>
                    </w:rPr>
                    <w:t>1</w:t>
                  </w:r>
                </w:p>
              </w:tc>
              <w:tc>
                <w:tcPr>
                  <w:tcW w:w="1934"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120" w:rightChars="-50"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1</w:t>
                  </w:r>
                </w:p>
              </w:tc>
              <w:tc>
                <w:tcPr>
                  <w:tcW w:w="1018"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120" w:rightChars="-50"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783" w:type="dxa"/>
                  <w:tcBorders>
                    <w:tl2br w:val="nil"/>
                    <w:tr2bl w:val="nil"/>
                  </w:tcBorders>
                  <w:noWrap w:val="0"/>
                  <w:vAlign w:val="center"/>
                </w:tcPr>
                <w:p>
                  <w:pPr>
                    <w:pStyle w:val="40"/>
                    <w:keepNext w:val="0"/>
                    <w:keepLines w:val="0"/>
                    <w:pageBreakBefore w:val="0"/>
                    <w:widowControl w:val="0"/>
                    <w:numPr>
                      <w:ilvl w:val="0"/>
                      <w:numId w:val="18"/>
                    </w:numPr>
                    <w:kinsoku/>
                    <w:wordWrap/>
                    <w:overflowPunct/>
                    <w:topLinePunct w:val="0"/>
                    <w:autoSpaceDE/>
                    <w:autoSpaceDN/>
                    <w:bidi w:val="0"/>
                    <w:adjustRightInd/>
                    <w:snapToGrid/>
                    <w:spacing w:line="240" w:lineRule="auto"/>
                    <w:ind w:left="0" w:leftChars="0" w:right="-24" w:rightChars="-10"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607"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eastAsia" w:ascii="Times New Roman" w:hAnsi="Times New Roman" w:cs="Times New Roman"/>
                      <w:bCs/>
                      <w:color w:val="auto"/>
                      <w:sz w:val="21"/>
                      <w:szCs w:val="21"/>
                      <w:highlight w:val="yellow"/>
                    </w:rPr>
                  </w:pPr>
                  <w:r>
                    <w:rPr>
                      <w:rFonts w:hint="eastAsia"/>
                      <w:color w:val="auto"/>
                    </w:rPr>
                    <w:t>研磨机</w:t>
                  </w:r>
                </w:p>
              </w:tc>
              <w:tc>
                <w:tcPr>
                  <w:tcW w:w="1642"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eastAsia" w:ascii="Times New Roman" w:hAnsi="Times New Roman" w:cs="Times New Roman"/>
                      <w:bCs/>
                      <w:color w:val="auto"/>
                      <w:sz w:val="21"/>
                      <w:szCs w:val="21"/>
                      <w:highlight w:val="yellow"/>
                      <w:lang w:val="en-US" w:eastAsia="zh-CN"/>
                    </w:rPr>
                  </w:pPr>
                  <w:r>
                    <w:rPr>
                      <w:rFonts w:hint="eastAsia"/>
                      <w:color w:val="auto"/>
                    </w:rPr>
                    <w:t>LSN05</w:t>
                  </w:r>
                </w:p>
              </w:tc>
              <w:tc>
                <w:tcPr>
                  <w:tcW w:w="1293"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eastAsia" w:ascii="Times New Roman" w:hAnsi="Times New Roman" w:cs="Times New Roman"/>
                      <w:bCs/>
                      <w:color w:val="auto"/>
                      <w:sz w:val="21"/>
                      <w:szCs w:val="21"/>
                      <w:highlight w:val="yellow"/>
                      <w:lang w:val="en-US" w:eastAsia="zh-CN"/>
                    </w:rPr>
                  </w:pPr>
                  <w:r>
                    <w:rPr>
                      <w:rFonts w:hint="eastAsia"/>
                      <w:color w:val="auto"/>
                    </w:rPr>
                    <w:t>2</w:t>
                  </w:r>
                </w:p>
              </w:tc>
              <w:tc>
                <w:tcPr>
                  <w:tcW w:w="1934"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120" w:rightChars="-50"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2</w:t>
                  </w:r>
                </w:p>
              </w:tc>
              <w:tc>
                <w:tcPr>
                  <w:tcW w:w="1018"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120" w:rightChars="-50"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783" w:type="dxa"/>
                  <w:tcBorders>
                    <w:tl2br w:val="nil"/>
                    <w:tr2bl w:val="nil"/>
                  </w:tcBorders>
                  <w:noWrap w:val="0"/>
                  <w:vAlign w:val="center"/>
                </w:tcPr>
                <w:p>
                  <w:pPr>
                    <w:pStyle w:val="40"/>
                    <w:keepNext w:val="0"/>
                    <w:keepLines w:val="0"/>
                    <w:pageBreakBefore w:val="0"/>
                    <w:widowControl w:val="0"/>
                    <w:numPr>
                      <w:ilvl w:val="0"/>
                      <w:numId w:val="18"/>
                    </w:numPr>
                    <w:kinsoku/>
                    <w:wordWrap/>
                    <w:overflowPunct/>
                    <w:topLinePunct w:val="0"/>
                    <w:autoSpaceDE/>
                    <w:autoSpaceDN/>
                    <w:bidi w:val="0"/>
                    <w:adjustRightInd/>
                    <w:snapToGrid/>
                    <w:spacing w:line="240" w:lineRule="auto"/>
                    <w:ind w:left="0" w:leftChars="0" w:right="-24" w:rightChars="-10"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607"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eastAsia" w:ascii="Times New Roman" w:hAnsi="Times New Roman" w:cs="Times New Roman"/>
                      <w:bCs/>
                      <w:color w:val="auto"/>
                      <w:sz w:val="21"/>
                      <w:szCs w:val="21"/>
                      <w:highlight w:val="yellow"/>
                    </w:rPr>
                  </w:pPr>
                  <w:r>
                    <w:rPr>
                      <w:rFonts w:hint="eastAsia"/>
                      <w:color w:val="auto"/>
                      <w:lang w:val="en-US" w:eastAsia="zh-CN"/>
                    </w:rPr>
                    <w:t>功率测试</w:t>
                  </w:r>
                  <w:r>
                    <w:rPr>
                      <w:rFonts w:hint="eastAsia"/>
                      <w:color w:val="auto"/>
                    </w:rPr>
                    <w:t>台</w:t>
                  </w:r>
                </w:p>
              </w:tc>
              <w:tc>
                <w:tcPr>
                  <w:tcW w:w="1642"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eastAsia" w:ascii="Times New Roman" w:hAnsi="Times New Roman" w:cs="Times New Roman"/>
                      <w:bCs/>
                      <w:color w:val="auto"/>
                      <w:sz w:val="21"/>
                      <w:szCs w:val="21"/>
                      <w:highlight w:val="yellow"/>
                      <w:lang w:val="en-US" w:eastAsia="zh-CN"/>
                    </w:rPr>
                  </w:pPr>
                  <w:r>
                    <w:rPr>
                      <w:rFonts w:hint="eastAsia"/>
                      <w:color w:val="auto"/>
                    </w:rPr>
                    <w:t>非标定制</w:t>
                  </w:r>
                </w:p>
              </w:tc>
              <w:tc>
                <w:tcPr>
                  <w:tcW w:w="1293"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eastAsia" w:ascii="Times New Roman" w:hAnsi="Times New Roman" w:cs="Times New Roman"/>
                      <w:bCs/>
                      <w:color w:val="auto"/>
                      <w:sz w:val="21"/>
                      <w:szCs w:val="21"/>
                      <w:highlight w:val="yellow"/>
                      <w:lang w:val="en-US" w:eastAsia="zh-CN"/>
                    </w:rPr>
                  </w:pPr>
                  <w:r>
                    <w:rPr>
                      <w:rFonts w:hint="eastAsia"/>
                      <w:color w:val="auto"/>
                      <w:lang w:val="en-US" w:eastAsia="zh-CN"/>
                    </w:rPr>
                    <w:t>4</w:t>
                  </w:r>
                </w:p>
              </w:tc>
              <w:tc>
                <w:tcPr>
                  <w:tcW w:w="1934"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120" w:rightChars="-50"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4</w:t>
                  </w:r>
                </w:p>
              </w:tc>
              <w:tc>
                <w:tcPr>
                  <w:tcW w:w="1018"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120" w:rightChars="-50"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783" w:type="dxa"/>
                  <w:tcBorders>
                    <w:tl2br w:val="nil"/>
                    <w:tr2bl w:val="nil"/>
                  </w:tcBorders>
                  <w:noWrap w:val="0"/>
                  <w:vAlign w:val="center"/>
                </w:tcPr>
                <w:p>
                  <w:pPr>
                    <w:pStyle w:val="40"/>
                    <w:keepNext w:val="0"/>
                    <w:keepLines w:val="0"/>
                    <w:pageBreakBefore w:val="0"/>
                    <w:widowControl w:val="0"/>
                    <w:numPr>
                      <w:ilvl w:val="0"/>
                      <w:numId w:val="18"/>
                    </w:numPr>
                    <w:kinsoku/>
                    <w:wordWrap/>
                    <w:overflowPunct/>
                    <w:topLinePunct w:val="0"/>
                    <w:autoSpaceDE/>
                    <w:autoSpaceDN/>
                    <w:bidi w:val="0"/>
                    <w:adjustRightInd/>
                    <w:snapToGrid/>
                    <w:spacing w:line="240" w:lineRule="auto"/>
                    <w:ind w:left="0" w:leftChars="0" w:right="-24" w:rightChars="-10"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607"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eastAsia" w:ascii="Times New Roman" w:hAnsi="Times New Roman" w:cs="Times New Roman"/>
                      <w:bCs/>
                      <w:color w:val="auto"/>
                      <w:sz w:val="21"/>
                      <w:szCs w:val="21"/>
                      <w:highlight w:val="yellow"/>
                    </w:rPr>
                  </w:pPr>
                  <w:r>
                    <w:rPr>
                      <w:rFonts w:hint="eastAsia"/>
                      <w:color w:val="auto"/>
                    </w:rPr>
                    <w:t>多功能检测台</w:t>
                  </w:r>
                </w:p>
              </w:tc>
              <w:tc>
                <w:tcPr>
                  <w:tcW w:w="1642"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eastAsia" w:ascii="Times New Roman" w:hAnsi="Times New Roman" w:cs="Times New Roman"/>
                      <w:bCs/>
                      <w:color w:val="auto"/>
                      <w:sz w:val="21"/>
                      <w:szCs w:val="21"/>
                      <w:highlight w:val="yellow"/>
                      <w:lang w:val="en-US" w:eastAsia="zh-CN"/>
                    </w:rPr>
                  </w:pPr>
                  <w:r>
                    <w:rPr>
                      <w:rFonts w:hint="eastAsia"/>
                      <w:color w:val="auto"/>
                    </w:rPr>
                    <w:t>MX-CST</w:t>
                  </w:r>
                </w:p>
              </w:tc>
              <w:tc>
                <w:tcPr>
                  <w:tcW w:w="1293"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eastAsia" w:ascii="Times New Roman" w:hAnsi="Times New Roman" w:cs="Times New Roman"/>
                      <w:bCs/>
                      <w:color w:val="auto"/>
                      <w:sz w:val="21"/>
                      <w:szCs w:val="21"/>
                      <w:highlight w:val="yellow"/>
                      <w:lang w:val="en-US" w:eastAsia="zh-CN"/>
                    </w:rPr>
                  </w:pPr>
                  <w:r>
                    <w:rPr>
                      <w:rFonts w:hint="eastAsia"/>
                      <w:color w:val="auto"/>
                      <w:lang w:val="en-US" w:eastAsia="zh-CN"/>
                    </w:rPr>
                    <w:t>3</w:t>
                  </w:r>
                </w:p>
              </w:tc>
              <w:tc>
                <w:tcPr>
                  <w:tcW w:w="1934"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120" w:rightChars="-50"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3</w:t>
                  </w:r>
                </w:p>
              </w:tc>
              <w:tc>
                <w:tcPr>
                  <w:tcW w:w="1018"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120" w:rightChars="-50"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783" w:type="dxa"/>
                  <w:tcBorders>
                    <w:tl2br w:val="nil"/>
                    <w:tr2bl w:val="nil"/>
                  </w:tcBorders>
                  <w:noWrap w:val="0"/>
                  <w:vAlign w:val="center"/>
                </w:tcPr>
                <w:p>
                  <w:pPr>
                    <w:pStyle w:val="40"/>
                    <w:keepNext w:val="0"/>
                    <w:keepLines w:val="0"/>
                    <w:pageBreakBefore w:val="0"/>
                    <w:widowControl w:val="0"/>
                    <w:numPr>
                      <w:ilvl w:val="0"/>
                      <w:numId w:val="18"/>
                    </w:numPr>
                    <w:kinsoku/>
                    <w:wordWrap/>
                    <w:overflowPunct/>
                    <w:topLinePunct w:val="0"/>
                    <w:autoSpaceDE/>
                    <w:autoSpaceDN/>
                    <w:bidi w:val="0"/>
                    <w:adjustRightInd/>
                    <w:snapToGrid/>
                    <w:spacing w:line="240" w:lineRule="auto"/>
                    <w:ind w:left="0" w:leftChars="0" w:right="-24" w:rightChars="-10"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607"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eastAsia" w:ascii="Times New Roman" w:hAnsi="Times New Roman" w:cs="Times New Roman"/>
                      <w:bCs/>
                      <w:color w:val="auto"/>
                      <w:sz w:val="21"/>
                      <w:szCs w:val="21"/>
                      <w:highlight w:val="yellow"/>
                    </w:rPr>
                  </w:pPr>
                  <w:r>
                    <w:rPr>
                      <w:rFonts w:hint="eastAsia"/>
                      <w:color w:val="auto"/>
                    </w:rPr>
                    <w:t>3级喷淋塔</w:t>
                  </w:r>
                </w:p>
              </w:tc>
              <w:tc>
                <w:tcPr>
                  <w:tcW w:w="1642"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default" w:ascii="Times New Roman" w:hAnsi="Times New Roman" w:eastAsia="宋体" w:cs="Times New Roman"/>
                      <w:bCs/>
                      <w:color w:val="auto"/>
                      <w:sz w:val="21"/>
                      <w:szCs w:val="21"/>
                      <w:highlight w:val="yellow"/>
                      <w:lang w:val="en-US" w:eastAsia="zh-CN"/>
                    </w:rPr>
                  </w:pPr>
                  <w:r>
                    <w:rPr>
                      <w:rFonts w:hint="eastAsia"/>
                      <w:color w:val="auto"/>
                      <w:lang w:val="en-US" w:eastAsia="zh-CN"/>
                    </w:rPr>
                    <w:t>风机风量</w:t>
                  </w:r>
                  <w:r>
                    <w:rPr>
                      <w:rFonts w:hint="eastAsia"/>
                      <w:color w:val="auto"/>
                      <w:highlight w:val="none"/>
                    </w:rPr>
                    <w:t>1800</w:t>
                  </w:r>
                  <w:r>
                    <w:rPr>
                      <w:color w:val="auto"/>
                      <w:highlight w:val="none"/>
                    </w:rPr>
                    <w:t>m</w:t>
                  </w:r>
                  <w:r>
                    <w:rPr>
                      <w:color w:val="auto"/>
                      <w:highlight w:val="none"/>
                      <w:vertAlign w:val="superscript"/>
                    </w:rPr>
                    <w:t>3</w:t>
                  </w:r>
                  <w:r>
                    <w:rPr>
                      <w:color w:val="auto"/>
                      <w:highlight w:val="none"/>
                    </w:rPr>
                    <w:t>/h</w:t>
                  </w:r>
                </w:p>
              </w:tc>
              <w:tc>
                <w:tcPr>
                  <w:tcW w:w="1293"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eastAsia" w:ascii="Times New Roman" w:hAnsi="Times New Roman" w:cs="Times New Roman"/>
                      <w:bCs/>
                      <w:color w:val="auto"/>
                      <w:sz w:val="21"/>
                      <w:szCs w:val="21"/>
                      <w:highlight w:val="yellow"/>
                      <w:lang w:val="en-US" w:eastAsia="zh-CN"/>
                    </w:rPr>
                  </w:pPr>
                  <w:r>
                    <w:rPr>
                      <w:rFonts w:hint="eastAsia"/>
                      <w:color w:val="auto"/>
                    </w:rPr>
                    <w:t>1</w:t>
                  </w:r>
                </w:p>
              </w:tc>
              <w:tc>
                <w:tcPr>
                  <w:tcW w:w="1934"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120" w:rightChars="-50"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1</w:t>
                  </w:r>
                </w:p>
              </w:tc>
              <w:tc>
                <w:tcPr>
                  <w:tcW w:w="1018"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120" w:rightChars="-50"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783" w:type="dxa"/>
                  <w:tcBorders>
                    <w:tl2br w:val="nil"/>
                    <w:tr2bl w:val="nil"/>
                  </w:tcBorders>
                  <w:noWrap w:val="0"/>
                  <w:vAlign w:val="center"/>
                </w:tcPr>
                <w:p>
                  <w:pPr>
                    <w:pStyle w:val="40"/>
                    <w:keepNext w:val="0"/>
                    <w:keepLines w:val="0"/>
                    <w:pageBreakBefore w:val="0"/>
                    <w:widowControl w:val="0"/>
                    <w:numPr>
                      <w:ilvl w:val="0"/>
                      <w:numId w:val="18"/>
                    </w:numPr>
                    <w:kinsoku/>
                    <w:wordWrap/>
                    <w:overflowPunct/>
                    <w:topLinePunct w:val="0"/>
                    <w:autoSpaceDE/>
                    <w:autoSpaceDN/>
                    <w:bidi w:val="0"/>
                    <w:adjustRightInd/>
                    <w:snapToGrid/>
                    <w:spacing w:line="240" w:lineRule="auto"/>
                    <w:ind w:left="0" w:leftChars="0" w:right="-24" w:rightChars="-10"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607"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eastAsia"/>
                      <w:color w:val="auto"/>
                    </w:rPr>
                  </w:pPr>
                  <w:r>
                    <w:rPr>
                      <w:rFonts w:hint="eastAsia"/>
                      <w:color w:val="auto"/>
                    </w:rPr>
                    <w:t>活性炭吸附装置</w:t>
                  </w:r>
                </w:p>
              </w:tc>
              <w:tc>
                <w:tcPr>
                  <w:tcW w:w="1642"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eastAsia"/>
                      <w:color w:val="auto"/>
                      <w:lang w:val="en-US" w:eastAsia="zh-CN"/>
                    </w:rPr>
                  </w:pPr>
                  <w:r>
                    <w:rPr>
                      <w:rFonts w:hint="eastAsia"/>
                      <w:color w:val="auto"/>
                      <w:lang w:val="en-US" w:eastAsia="zh-CN"/>
                    </w:rPr>
                    <w:t>风机风量</w:t>
                  </w:r>
                  <w:r>
                    <w:rPr>
                      <w:rFonts w:hint="eastAsia"/>
                      <w:color w:val="auto"/>
                      <w:highlight w:val="none"/>
                      <w:lang w:val="en-US" w:eastAsia="zh-CN"/>
                    </w:rPr>
                    <w:t>18</w:t>
                  </w:r>
                  <w:r>
                    <w:rPr>
                      <w:rFonts w:hint="eastAsia"/>
                      <w:color w:val="auto"/>
                      <w:highlight w:val="none"/>
                    </w:rPr>
                    <w:t>00</w:t>
                  </w:r>
                  <w:r>
                    <w:rPr>
                      <w:color w:val="auto"/>
                      <w:highlight w:val="none"/>
                    </w:rPr>
                    <w:t>m</w:t>
                  </w:r>
                  <w:r>
                    <w:rPr>
                      <w:color w:val="auto"/>
                      <w:highlight w:val="none"/>
                      <w:vertAlign w:val="superscript"/>
                    </w:rPr>
                    <w:t>3</w:t>
                  </w:r>
                  <w:r>
                    <w:rPr>
                      <w:color w:val="auto"/>
                      <w:highlight w:val="none"/>
                    </w:rPr>
                    <w:t>/h</w:t>
                  </w:r>
                </w:p>
              </w:tc>
              <w:tc>
                <w:tcPr>
                  <w:tcW w:w="1293"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eastAsia" w:eastAsia="宋体"/>
                      <w:color w:val="auto"/>
                      <w:lang w:val="en-US" w:eastAsia="zh-CN"/>
                    </w:rPr>
                  </w:pPr>
                  <w:r>
                    <w:rPr>
                      <w:rFonts w:hint="eastAsia"/>
                      <w:color w:val="auto"/>
                      <w:lang w:val="en-US" w:eastAsia="zh-CN"/>
                    </w:rPr>
                    <w:t>1</w:t>
                  </w:r>
                </w:p>
              </w:tc>
              <w:tc>
                <w:tcPr>
                  <w:tcW w:w="1934"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120" w:rightChars="-50"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0</w:t>
                  </w:r>
                </w:p>
              </w:tc>
              <w:tc>
                <w:tcPr>
                  <w:tcW w:w="1018"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120" w:rightChars="-50"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783" w:type="dxa"/>
                  <w:tcBorders>
                    <w:tl2br w:val="nil"/>
                    <w:tr2bl w:val="nil"/>
                  </w:tcBorders>
                  <w:noWrap w:val="0"/>
                  <w:vAlign w:val="center"/>
                </w:tcPr>
                <w:p>
                  <w:pPr>
                    <w:pStyle w:val="40"/>
                    <w:keepNext w:val="0"/>
                    <w:keepLines w:val="0"/>
                    <w:pageBreakBefore w:val="0"/>
                    <w:widowControl w:val="0"/>
                    <w:numPr>
                      <w:ilvl w:val="0"/>
                      <w:numId w:val="18"/>
                    </w:numPr>
                    <w:kinsoku/>
                    <w:wordWrap/>
                    <w:overflowPunct/>
                    <w:topLinePunct w:val="0"/>
                    <w:autoSpaceDE/>
                    <w:autoSpaceDN/>
                    <w:bidi w:val="0"/>
                    <w:adjustRightInd/>
                    <w:snapToGrid/>
                    <w:spacing w:line="240" w:lineRule="auto"/>
                    <w:ind w:left="0" w:leftChars="0" w:right="-24" w:rightChars="-10"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607"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eastAsia" w:ascii="Times New Roman" w:hAnsi="Times New Roman" w:cs="Times New Roman"/>
                      <w:bCs/>
                      <w:color w:val="auto"/>
                      <w:sz w:val="21"/>
                      <w:szCs w:val="21"/>
                      <w:highlight w:val="yellow"/>
                    </w:rPr>
                  </w:pPr>
                  <w:r>
                    <w:rPr>
                      <w:rFonts w:hint="eastAsia"/>
                      <w:color w:val="auto"/>
                      <w:lang w:val="en-US" w:eastAsia="zh-CN"/>
                    </w:rPr>
                    <w:t>两级</w:t>
                  </w:r>
                  <w:r>
                    <w:rPr>
                      <w:rFonts w:hint="eastAsia"/>
                      <w:color w:val="auto"/>
                    </w:rPr>
                    <w:t>活性炭吸附装置</w:t>
                  </w:r>
                </w:p>
              </w:tc>
              <w:tc>
                <w:tcPr>
                  <w:tcW w:w="1642"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eastAsia" w:ascii="Times New Roman" w:hAnsi="Times New Roman" w:cs="Times New Roman"/>
                      <w:bCs/>
                      <w:color w:val="auto"/>
                      <w:sz w:val="21"/>
                      <w:szCs w:val="21"/>
                      <w:highlight w:val="yellow"/>
                      <w:lang w:val="en-US" w:eastAsia="zh-CN"/>
                    </w:rPr>
                  </w:pPr>
                  <w:r>
                    <w:rPr>
                      <w:rFonts w:hint="eastAsia"/>
                      <w:color w:val="auto"/>
                      <w:lang w:val="en-US" w:eastAsia="zh-CN"/>
                    </w:rPr>
                    <w:t>风机风量</w:t>
                  </w:r>
                  <w:r>
                    <w:rPr>
                      <w:rFonts w:hint="eastAsia"/>
                      <w:color w:val="auto"/>
                      <w:highlight w:val="none"/>
                      <w:lang w:val="en-US" w:eastAsia="zh-CN"/>
                    </w:rPr>
                    <w:t>150</w:t>
                  </w:r>
                  <w:r>
                    <w:rPr>
                      <w:rFonts w:hint="eastAsia"/>
                      <w:color w:val="auto"/>
                      <w:highlight w:val="none"/>
                    </w:rPr>
                    <w:t>00</w:t>
                  </w:r>
                  <w:r>
                    <w:rPr>
                      <w:color w:val="auto"/>
                      <w:highlight w:val="none"/>
                    </w:rPr>
                    <w:t>m</w:t>
                  </w:r>
                  <w:r>
                    <w:rPr>
                      <w:color w:val="auto"/>
                      <w:highlight w:val="none"/>
                      <w:vertAlign w:val="superscript"/>
                    </w:rPr>
                    <w:t>3</w:t>
                  </w:r>
                  <w:r>
                    <w:rPr>
                      <w:color w:val="auto"/>
                      <w:highlight w:val="none"/>
                    </w:rPr>
                    <w:t>/h</w:t>
                  </w:r>
                </w:p>
              </w:tc>
              <w:tc>
                <w:tcPr>
                  <w:tcW w:w="1293"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eastAsia" w:ascii="Times New Roman" w:hAnsi="Times New Roman" w:cs="Times New Roman"/>
                      <w:bCs/>
                      <w:color w:val="auto"/>
                      <w:sz w:val="21"/>
                      <w:szCs w:val="21"/>
                      <w:highlight w:val="yellow"/>
                      <w:lang w:val="en-US" w:eastAsia="zh-CN"/>
                    </w:rPr>
                  </w:pPr>
                  <w:r>
                    <w:rPr>
                      <w:rFonts w:hint="eastAsia"/>
                      <w:color w:val="auto"/>
                    </w:rPr>
                    <w:t>1</w:t>
                  </w:r>
                </w:p>
              </w:tc>
              <w:tc>
                <w:tcPr>
                  <w:tcW w:w="1934"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120" w:rightChars="-50"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1</w:t>
                  </w:r>
                </w:p>
              </w:tc>
              <w:tc>
                <w:tcPr>
                  <w:tcW w:w="1018"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120" w:rightChars="-50"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783" w:type="dxa"/>
                  <w:tcBorders>
                    <w:tl2br w:val="nil"/>
                    <w:tr2bl w:val="nil"/>
                  </w:tcBorders>
                  <w:noWrap w:val="0"/>
                  <w:vAlign w:val="center"/>
                </w:tcPr>
                <w:p>
                  <w:pPr>
                    <w:pStyle w:val="40"/>
                    <w:keepNext w:val="0"/>
                    <w:keepLines w:val="0"/>
                    <w:pageBreakBefore w:val="0"/>
                    <w:widowControl w:val="0"/>
                    <w:numPr>
                      <w:ilvl w:val="0"/>
                      <w:numId w:val="18"/>
                    </w:numPr>
                    <w:kinsoku/>
                    <w:wordWrap/>
                    <w:overflowPunct/>
                    <w:topLinePunct w:val="0"/>
                    <w:autoSpaceDE/>
                    <w:autoSpaceDN/>
                    <w:bidi w:val="0"/>
                    <w:adjustRightInd/>
                    <w:snapToGrid/>
                    <w:spacing w:line="240" w:lineRule="auto"/>
                    <w:ind w:left="0" w:leftChars="0" w:right="-24" w:rightChars="-10"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607"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hint="eastAsia" w:ascii="Times New Roman" w:hAnsi="Times New Roman" w:cs="Times New Roman"/>
                      <w:bCs/>
                      <w:color w:val="auto"/>
                      <w:sz w:val="21"/>
                      <w:szCs w:val="21"/>
                      <w:highlight w:val="yellow"/>
                    </w:rPr>
                  </w:pPr>
                  <w:r>
                    <w:rPr>
                      <w:rFonts w:hint="eastAsia" w:ascii="Times New Roman" w:hAnsi="Times New Roman" w:cs="Times New Roman"/>
                      <w:bCs/>
                      <w:color w:val="auto"/>
                      <w:sz w:val="21"/>
                      <w:szCs w:val="21"/>
                      <w:highlight w:val="none"/>
                      <w:lang w:val="en-US" w:eastAsia="zh-CN"/>
                    </w:rPr>
                    <w:t>覆膜印刷机</w:t>
                  </w:r>
                </w:p>
              </w:tc>
              <w:tc>
                <w:tcPr>
                  <w:tcW w:w="1642"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hint="eastAsia" w:ascii="Times New Roman" w:hAnsi="Times New Roman" w:cs="Times New Roman"/>
                      <w:bCs/>
                      <w:color w:val="auto"/>
                      <w:sz w:val="21"/>
                      <w:szCs w:val="21"/>
                      <w:highlight w:val="yellow"/>
                      <w:lang w:val="en-US" w:eastAsia="zh-CN"/>
                    </w:rPr>
                  </w:pPr>
                  <w:r>
                    <w:rPr>
                      <w:rFonts w:hint="eastAsia" w:ascii="Times New Roman" w:hAnsi="Times New Roman" w:eastAsia="宋体" w:cs="Times New Roman"/>
                      <w:color w:val="auto"/>
                      <w:sz w:val="21"/>
                      <w:szCs w:val="21"/>
                    </w:rPr>
                    <w:t>LP1700-R1</w:t>
                  </w:r>
                </w:p>
              </w:tc>
              <w:tc>
                <w:tcPr>
                  <w:tcW w:w="1293"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default" w:ascii="Times New Roman" w:hAnsi="Times New Roman" w:cs="Times New Roman"/>
                      <w:bCs/>
                      <w:color w:val="auto"/>
                      <w:sz w:val="21"/>
                      <w:szCs w:val="21"/>
                      <w:highlight w:val="none"/>
                      <w:lang w:val="en-US" w:eastAsia="zh-CN"/>
                    </w:rPr>
                  </w:pPr>
                  <w:r>
                    <w:rPr>
                      <w:rFonts w:hint="eastAsia" w:cs="Times New Roman"/>
                      <w:bCs/>
                      <w:color w:val="auto"/>
                      <w:sz w:val="21"/>
                      <w:szCs w:val="21"/>
                      <w:highlight w:val="none"/>
                      <w:lang w:val="en-US" w:eastAsia="zh-CN"/>
                    </w:rPr>
                    <w:t>0</w:t>
                  </w:r>
                </w:p>
              </w:tc>
              <w:tc>
                <w:tcPr>
                  <w:tcW w:w="1934"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120" w:rightChars="-50"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1</w:t>
                  </w:r>
                </w:p>
              </w:tc>
              <w:tc>
                <w:tcPr>
                  <w:tcW w:w="1018"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120" w:rightChars="-50" w:firstLine="0" w:firstLineChars="0"/>
                    <w:jc w:val="center"/>
                    <w:textAlignment w:val="auto"/>
                    <w:rPr>
                      <w:rFonts w:hint="eastAsia"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783" w:type="dxa"/>
                  <w:tcBorders>
                    <w:tl2br w:val="nil"/>
                    <w:tr2bl w:val="nil"/>
                  </w:tcBorders>
                  <w:noWrap w:val="0"/>
                  <w:vAlign w:val="center"/>
                </w:tcPr>
                <w:p>
                  <w:pPr>
                    <w:pStyle w:val="40"/>
                    <w:keepNext w:val="0"/>
                    <w:keepLines w:val="0"/>
                    <w:pageBreakBefore w:val="0"/>
                    <w:widowControl w:val="0"/>
                    <w:numPr>
                      <w:ilvl w:val="0"/>
                      <w:numId w:val="18"/>
                    </w:numPr>
                    <w:kinsoku/>
                    <w:wordWrap/>
                    <w:overflowPunct/>
                    <w:topLinePunct w:val="0"/>
                    <w:autoSpaceDE/>
                    <w:autoSpaceDN/>
                    <w:bidi w:val="0"/>
                    <w:adjustRightInd/>
                    <w:snapToGrid/>
                    <w:spacing w:line="240" w:lineRule="auto"/>
                    <w:ind w:left="0" w:leftChars="0" w:right="-24" w:rightChars="-10"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607"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hint="eastAsia" w:ascii="Times New Roman" w:hAnsi="Times New Roman" w:cs="Times New Roman"/>
                      <w:bCs/>
                      <w:color w:val="auto"/>
                      <w:sz w:val="21"/>
                      <w:szCs w:val="21"/>
                      <w:highlight w:val="yellow"/>
                    </w:rPr>
                  </w:pPr>
                  <w:r>
                    <w:rPr>
                      <w:rFonts w:hint="eastAsia" w:ascii="宋体" w:hAnsi="宋体" w:eastAsia="宋体" w:cs="宋体"/>
                      <w:color w:val="auto"/>
                      <w:sz w:val="21"/>
                      <w:szCs w:val="21"/>
                      <w:lang w:val="en-US" w:eastAsia="zh-CN"/>
                    </w:rPr>
                    <w:t>覆膜烘干机</w:t>
                  </w:r>
                </w:p>
              </w:tc>
              <w:tc>
                <w:tcPr>
                  <w:tcW w:w="1642"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hint="eastAsia" w:ascii="Times New Roman" w:hAnsi="Times New Roman" w:cs="Times New Roman"/>
                      <w:bCs/>
                      <w:color w:val="auto"/>
                      <w:sz w:val="21"/>
                      <w:szCs w:val="21"/>
                      <w:highlight w:val="yellow"/>
                      <w:lang w:val="en-US" w:eastAsia="zh-CN"/>
                    </w:rPr>
                  </w:pPr>
                  <w:r>
                    <w:rPr>
                      <w:rFonts w:hint="eastAsia" w:ascii="Times New Roman" w:hAnsi="Times New Roman" w:eastAsia="宋体" w:cs="Times New Roman"/>
                      <w:color w:val="auto"/>
                      <w:sz w:val="21"/>
                      <w:szCs w:val="21"/>
                      <w:lang w:val="en-US" w:eastAsia="zh-CN"/>
                    </w:rPr>
                    <w:t>LSN05</w:t>
                  </w:r>
                </w:p>
              </w:tc>
              <w:tc>
                <w:tcPr>
                  <w:tcW w:w="1293"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default" w:ascii="Times New Roman" w:hAnsi="Times New Roman" w:cs="Times New Roman"/>
                      <w:bCs/>
                      <w:color w:val="auto"/>
                      <w:sz w:val="21"/>
                      <w:szCs w:val="21"/>
                      <w:highlight w:val="none"/>
                      <w:lang w:val="en-US" w:eastAsia="zh-CN"/>
                    </w:rPr>
                  </w:pPr>
                  <w:r>
                    <w:rPr>
                      <w:rFonts w:hint="eastAsia" w:cs="Times New Roman"/>
                      <w:bCs/>
                      <w:color w:val="auto"/>
                      <w:sz w:val="21"/>
                      <w:szCs w:val="21"/>
                      <w:highlight w:val="none"/>
                      <w:lang w:val="en-US" w:eastAsia="zh-CN"/>
                    </w:rPr>
                    <w:t>0</w:t>
                  </w:r>
                </w:p>
              </w:tc>
              <w:tc>
                <w:tcPr>
                  <w:tcW w:w="1934"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120" w:rightChars="-50"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1</w:t>
                  </w:r>
                </w:p>
              </w:tc>
              <w:tc>
                <w:tcPr>
                  <w:tcW w:w="1018"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120" w:rightChars="-50" w:firstLine="0" w:firstLineChars="0"/>
                    <w:jc w:val="center"/>
                    <w:textAlignment w:val="auto"/>
                    <w:rPr>
                      <w:rFonts w:hint="eastAsia"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783" w:type="dxa"/>
                  <w:tcBorders>
                    <w:tl2br w:val="nil"/>
                    <w:tr2bl w:val="nil"/>
                  </w:tcBorders>
                  <w:noWrap w:val="0"/>
                  <w:vAlign w:val="center"/>
                </w:tcPr>
                <w:p>
                  <w:pPr>
                    <w:pStyle w:val="40"/>
                    <w:keepNext w:val="0"/>
                    <w:keepLines w:val="0"/>
                    <w:pageBreakBefore w:val="0"/>
                    <w:widowControl w:val="0"/>
                    <w:numPr>
                      <w:ilvl w:val="0"/>
                      <w:numId w:val="18"/>
                    </w:numPr>
                    <w:kinsoku/>
                    <w:wordWrap/>
                    <w:overflowPunct/>
                    <w:topLinePunct w:val="0"/>
                    <w:autoSpaceDE/>
                    <w:autoSpaceDN/>
                    <w:bidi w:val="0"/>
                    <w:adjustRightInd/>
                    <w:snapToGrid/>
                    <w:spacing w:line="240" w:lineRule="auto"/>
                    <w:ind w:left="0" w:leftChars="0" w:right="-24" w:rightChars="-10"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607"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hint="eastAsia" w:ascii="宋体" w:hAnsi="宋体" w:eastAsia="宋体" w:cs="宋体"/>
                      <w:color w:val="auto"/>
                      <w:sz w:val="21"/>
                      <w:szCs w:val="21"/>
                      <w:lang w:val="en-US" w:eastAsia="zh-CN"/>
                    </w:rPr>
                  </w:pPr>
                  <w:r>
                    <w:rPr>
                      <w:rFonts w:hint="eastAsia" w:ascii="Times New Roman" w:hAnsi="Times New Roman" w:cs="Times New Roman"/>
                      <w:bCs/>
                      <w:color w:val="auto"/>
                      <w:sz w:val="21"/>
                      <w:szCs w:val="21"/>
                      <w:highlight w:val="none"/>
                      <w:lang w:val="en-US" w:eastAsia="zh-CN"/>
                    </w:rPr>
                    <w:t>自动高周波塑胶熔接机</w:t>
                  </w:r>
                </w:p>
              </w:tc>
              <w:tc>
                <w:tcPr>
                  <w:tcW w:w="1642"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HS-100007A</w:t>
                  </w:r>
                </w:p>
              </w:tc>
              <w:tc>
                <w:tcPr>
                  <w:tcW w:w="1293"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default" w:ascii="Times New Roman" w:hAnsi="Times New Roman" w:cs="Times New Roman"/>
                      <w:bCs/>
                      <w:color w:val="auto"/>
                      <w:sz w:val="21"/>
                      <w:szCs w:val="21"/>
                      <w:highlight w:val="none"/>
                      <w:lang w:val="en-US" w:eastAsia="zh-CN"/>
                    </w:rPr>
                  </w:pPr>
                  <w:r>
                    <w:rPr>
                      <w:rFonts w:hint="eastAsia" w:cs="Times New Roman"/>
                      <w:bCs/>
                      <w:color w:val="auto"/>
                      <w:sz w:val="21"/>
                      <w:szCs w:val="21"/>
                      <w:highlight w:val="none"/>
                      <w:lang w:val="en-US" w:eastAsia="zh-CN"/>
                    </w:rPr>
                    <w:t>0</w:t>
                  </w:r>
                </w:p>
              </w:tc>
              <w:tc>
                <w:tcPr>
                  <w:tcW w:w="1934"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120" w:rightChars="-50"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1</w:t>
                  </w:r>
                </w:p>
              </w:tc>
              <w:tc>
                <w:tcPr>
                  <w:tcW w:w="1018"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120" w:rightChars="-50" w:firstLine="0" w:firstLineChars="0"/>
                    <w:jc w:val="center"/>
                    <w:textAlignment w:val="auto"/>
                    <w:rPr>
                      <w:rFonts w:hint="eastAsia"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783" w:type="dxa"/>
                  <w:tcBorders>
                    <w:tl2br w:val="nil"/>
                    <w:tr2bl w:val="nil"/>
                  </w:tcBorders>
                  <w:noWrap w:val="0"/>
                  <w:vAlign w:val="center"/>
                </w:tcPr>
                <w:p>
                  <w:pPr>
                    <w:pStyle w:val="40"/>
                    <w:keepNext w:val="0"/>
                    <w:keepLines w:val="0"/>
                    <w:pageBreakBefore w:val="0"/>
                    <w:widowControl w:val="0"/>
                    <w:numPr>
                      <w:ilvl w:val="0"/>
                      <w:numId w:val="18"/>
                    </w:numPr>
                    <w:kinsoku/>
                    <w:wordWrap/>
                    <w:overflowPunct/>
                    <w:topLinePunct w:val="0"/>
                    <w:autoSpaceDE/>
                    <w:autoSpaceDN/>
                    <w:bidi w:val="0"/>
                    <w:adjustRightInd/>
                    <w:snapToGrid/>
                    <w:spacing w:line="240" w:lineRule="auto"/>
                    <w:ind w:left="0" w:leftChars="0" w:right="-24" w:rightChars="-10"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607"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hint="eastAsia" w:ascii="宋体" w:hAnsi="宋体" w:eastAsia="宋体" w:cs="宋体"/>
                      <w:color w:val="auto"/>
                      <w:sz w:val="21"/>
                      <w:szCs w:val="21"/>
                      <w:lang w:val="en-US" w:eastAsia="zh-CN"/>
                    </w:rPr>
                  </w:pPr>
                  <w:r>
                    <w:rPr>
                      <w:rFonts w:hint="eastAsia" w:ascii="Times New Roman" w:hAnsi="Times New Roman" w:cs="Times New Roman"/>
                      <w:bCs/>
                      <w:color w:val="auto"/>
                      <w:sz w:val="21"/>
                      <w:szCs w:val="21"/>
                      <w:highlight w:val="none"/>
                      <w:lang w:val="en-US" w:eastAsia="zh-CN"/>
                    </w:rPr>
                    <w:t>半自动高周波塑胶熔接机</w:t>
                  </w:r>
                </w:p>
              </w:tc>
              <w:tc>
                <w:tcPr>
                  <w:tcW w:w="1642"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ascii="宋体" w:hAnsi="宋体" w:eastAsia="宋体" w:cs="宋体"/>
                      <w:color w:val="auto"/>
                      <w:sz w:val="21"/>
                      <w:szCs w:val="21"/>
                      <w:lang w:val="en-US" w:eastAsia="zh-CN"/>
                    </w:rPr>
                    <w:t>－</w:t>
                  </w:r>
                </w:p>
              </w:tc>
              <w:tc>
                <w:tcPr>
                  <w:tcW w:w="1293"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default" w:ascii="Times New Roman" w:hAnsi="Times New Roman" w:cs="Times New Roman"/>
                      <w:bCs/>
                      <w:color w:val="auto"/>
                      <w:sz w:val="21"/>
                      <w:szCs w:val="21"/>
                      <w:highlight w:val="none"/>
                      <w:lang w:val="en-US" w:eastAsia="zh-CN"/>
                    </w:rPr>
                  </w:pPr>
                  <w:r>
                    <w:rPr>
                      <w:rFonts w:hint="eastAsia" w:cs="Times New Roman"/>
                      <w:bCs/>
                      <w:color w:val="auto"/>
                      <w:sz w:val="21"/>
                      <w:szCs w:val="21"/>
                      <w:highlight w:val="none"/>
                      <w:lang w:val="en-US" w:eastAsia="zh-CN"/>
                    </w:rPr>
                    <w:t>0</w:t>
                  </w:r>
                </w:p>
              </w:tc>
              <w:tc>
                <w:tcPr>
                  <w:tcW w:w="1934"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120" w:rightChars="-50"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1</w:t>
                  </w:r>
                </w:p>
              </w:tc>
              <w:tc>
                <w:tcPr>
                  <w:tcW w:w="1018"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120" w:rightChars="-50" w:firstLine="0" w:firstLineChars="0"/>
                    <w:jc w:val="center"/>
                    <w:textAlignment w:val="auto"/>
                    <w:rPr>
                      <w:rFonts w:hint="eastAsia"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783" w:type="dxa"/>
                  <w:tcBorders>
                    <w:tl2br w:val="nil"/>
                    <w:tr2bl w:val="nil"/>
                  </w:tcBorders>
                  <w:noWrap w:val="0"/>
                  <w:vAlign w:val="center"/>
                </w:tcPr>
                <w:p>
                  <w:pPr>
                    <w:pStyle w:val="40"/>
                    <w:keepNext w:val="0"/>
                    <w:keepLines w:val="0"/>
                    <w:pageBreakBefore w:val="0"/>
                    <w:widowControl w:val="0"/>
                    <w:numPr>
                      <w:ilvl w:val="0"/>
                      <w:numId w:val="18"/>
                    </w:numPr>
                    <w:kinsoku/>
                    <w:wordWrap/>
                    <w:overflowPunct/>
                    <w:topLinePunct w:val="0"/>
                    <w:autoSpaceDE/>
                    <w:autoSpaceDN/>
                    <w:bidi w:val="0"/>
                    <w:adjustRightInd/>
                    <w:snapToGrid/>
                    <w:spacing w:line="240" w:lineRule="auto"/>
                    <w:ind w:left="0" w:leftChars="0" w:right="-24" w:rightChars="-10"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607"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hint="eastAsia"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数显高速分散机</w:t>
                  </w:r>
                </w:p>
              </w:tc>
              <w:tc>
                <w:tcPr>
                  <w:tcW w:w="1642"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hint="eastAsia" w:ascii="宋体" w:hAnsi="宋体" w:eastAsia="宋体" w:cs="宋体"/>
                      <w:color w:val="auto"/>
                      <w:sz w:val="21"/>
                      <w:szCs w:val="21"/>
                      <w:lang w:val="en-US" w:eastAsia="zh-CN"/>
                    </w:rPr>
                  </w:pPr>
                  <w:r>
                    <w:rPr>
                      <w:rFonts w:hint="default" w:ascii="Times New Roman" w:hAnsi="Times New Roman" w:eastAsia="宋体" w:cs="Times New Roman"/>
                      <w:color w:val="auto"/>
                      <w:sz w:val="21"/>
                      <w:szCs w:val="21"/>
                      <w:lang w:val="en-US" w:eastAsia="zh-CN"/>
                    </w:rPr>
                    <w:t>FS-1100D</w:t>
                  </w:r>
                </w:p>
              </w:tc>
              <w:tc>
                <w:tcPr>
                  <w:tcW w:w="1293"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default" w:ascii="Times New Roman" w:hAnsi="Times New Roman" w:cs="Times New Roman"/>
                      <w:bCs/>
                      <w:color w:val="auto"/>
                      <w:sz w:val="21"/>
                      <w:szCs w:val="21"/>
                      <w:highlight w:val="none"/>
                      <w:lang w:val="en-US" w:eastAsia="zh-CN"/>
                    </w:rPr>
                  </w:pPr>
                  <w:r>
                    <w:rPr>
                      <w:rFonts w:hint="eastAsia" w:cs="Times New Roman"/>
                      <w:bCs/>
                      <w:color w:val="auto"/>
                      <w:sz w:val="21"/>
                      <w:szCs w:val="21"/>
                      <w:highlight w:val="none"/>
                      <w:lang w:val="en-US" w:eastAsia="zh-CN"/>
                    </w:rPr>
                    <w:t>0</w:t>
                  </w:r>
                </w:p>
              </w:tc>
              <w:tc>
                <w:tcPr>
                  <w:tcW w:w="1934"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120" w:rightChars="-50"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2</w:t>
                  </w:r>
                </w:p>
              </w:tc>
              <w:tc>
                <w:tcPr>
                  <w:tcW w:w="1018" w:type="dxa"/>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120" w:rightChars="-50" w:firstLine="0" w:firstLineChars="0"/>
                    <w:jc w:val="center"/>
                    <w:textAlignment w:val="auto"/>
                    <w:rPr>
                      <w:rFonts w:hint="eastAsia"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8277" w:type="dxa"/>
                  <w:gridSpan w:val="6"/>
                  <w:tcBorders>
                    <w:tl2br w:val="nil"/>
                    <w:tr2bl w:val="nil"/>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0" w:leftChars="0" w:right="-120" w:rightChars="-50" w:firstLine="0" w:firstLineChars="0"/>
                    <w:jc w:val="left"/>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备注：本项目建成后，调整产品方案，增加部分石墨烯电发热膜生产设备，同时淘汰部分石墨烯电发热体设备。</w:t>
                  </w:r>
                </w:p>
              </w:tc>
            </w:tr>
          </w:tbl>
          <w:p>
            <w:pPr>
              <w:bidi w:val="0"/>
              <w:rPr>
                <w:rFonts w:hint="default"/>
                <w:color w:val="auto"/>
                <w:sz w:val="24"/>
                <w:szCs w:val="24"/>
                <w:highlight w:val="none"/>
              </w:rPr>
            </w:pPr>
            <w:r>
              <w:rPr>
                <w:rFonts w:hint="eastAsia"/>
                <w:color w:val="auto"/>
                <w:highlight w:val="none"/>
                <w:lang w:val="en-US" w:eastAsia="zh-CN"/>
              </w:rPr>
              <w:t>10、</w:t>
            </w:r>
            <w:r>
              <w:rPr>
                <w:rFonts w:hint="default"/>
                <w:color w:val="auto"/>
                <w:sz w:val="24"/>
                <w:szCs w:val="24"/>
                <w:highlight w:val="none"/>
              </w:rPr>
              <w:t>给排水及采暖</w:t>
            </w:r>
          </w:p>
          <w:p>
            <w:pPr>
              <w:bidi w:val="0"/>
              <w:rPr>
                <w:rFonts w:hint="default" w:eastAsia="宋体"/>
                <w:color w:val="auto"/>
                <w:sz w:val="24"/>
                <w:szCs w:val="24"/>
                <w:highlight w:val="none"/>
                <w:lang w:val="en-US" w:eastAsia="zh-CN"/>
              </w:rPr>
            </w:pPr>
            <w:r>
              <w:rPr>
                <w:rFonts w:hint="eastAsia"/>
                <w:color w:val="auto"/>
                <w:sz w:val="24"/>
                <w:szCs w:val="24"/>
                <w:highlight w:val="none"/>
                <w:lang w:val="en-US" w:eastAsia="zh-CN"/>
              </w:rPr>
              <w:t>给排水：本项目不新增用水，无废水产生。</w:t>
            </w:r>
          </w:p>
          <w:p>
            <w:pPr>
              <w:bidi w:val="0"/>
              <w:rPr>
                <w:rFonts w:hint="default"/>
                <w:color w:val="auto"/>
                <w:sz w:val="24"/>
                <w:szCs w:val="24"/>
                <w:highlight w:val="none"/>
                <w:lang w:val="en-US"/>
              </w:rPr>
            </w:pPr>
            <w:r>
              <w:rPr>
                <w:rFonts w:hint="default"/>
                <w:color w:val="auto"/>
                <w:sz w:val="24"/>
                <w:szCs w:val="24"/>
                <w:highlight w:val="none"/>
              </w:rPr>
              <w:t>取暖：</w:t>
            </w:r>
            <w:r>
              <w:rPr>
                <w:rFonts w:hint="default"/>
                <w:color w:val="auto"/>
                <w:highlight w:val="none"/>
              </w:rPr>
              <w:t>本项目</w:t>
            </w:r>
            <w:r>
              <w:rPr>
                <w:rFonts w:hint="eastAsia"/>
                <w:color w:val="auto"/>
                <w:highlight w:val="none"/>
                <w:lang w:val="en-US" w:eastAsia="zh-CN"/>
              </w:rPr>
              <w:t>生产区域不设取暖设施，办公取暖依托现有取暖设施，采用单体空调取暖，以电为能源。</w:t>
            </w:r>
          </w:p>
          <w:p>
            <w:pPr>
              <w:bidi w:val="0"/>
              <w:rPr>
                <w:rFonts w:hint="default" w:eastAsia="宋体"/>
                <w:color w:val="auto"/>
                <w:sz w:val="24"/>
                <w:szCs w:val="24"/>
                <w:highlight w:val="none"/>
                <w:lang w:val="en-US" w:eastAsia="zh-CN"/>
              </w:rPr>
            </w:pPr>
            <w:r>
              <w:rPr>
                <w:rFonts w:hint="eastAsia"/>
                <w:color w:val="auto"/>
                <w:sz w:val="24"/>
                <w:szCs w:val="24"/>
                <w:highlight w:val="none"/>
                <w:lang w:val="en-US" w:eastAsia="zh-CN"/>
              </w:rPr>
              <w:t>11、</w:t>
            </w:r>
            <w:r>
              <w:rPr>
                <w:rFonts w:hint="default"/>
                <w:color w:val="auto"/>
                <w:sz w:val="24"/>
                <w:szCs w:val="24"/>
                <w:highlight w:val="none"/>
              </w:rPr>
              <w:t>项目的地理位置、平面布置与周边关系</w:t>
            </w:r>
          </w:p>
          <w:p>
            <w:pPr>
              <w:bidi w:val="0"/>
              <w:rPr>
                <w:rFonts w:hint="default"/>
                <w:color w:val="auto"/>
                <w:sz w:val="24"/>
                <w:szCs w:val="24"/>
                <w:highlight w:val="none"/>
              </w:rPr>
            </w:pPr>
            <w:r>
              <w:rPr>
                <w:rFonts w:hint="default"/>
                <w:color w:val="auto"/>
                <w:sz w:val="24"/>
                <w:szCs w:val="24"/>
                <w:highlight w:val="none"/>
              </w:rPr>
              <w:t>地理位置：本项目位于</w:t>
            </w:r>
            <w:r>
              <w:rPr>
                <w:rFonts w:hint="eastAsia"/>
                <w:color w:val="auto"/>
                <w:sz w:val="24"/>
                <w:szCs w:val="24"/>
                <w:highlight w:val="none"/>
                <w:lang w:val="en-US" w:eastAsia="zh-CN"/>
              </w:rPr>
              <w:t>唐山市高新区学院北路1718-1号，唐山烯彤科技有限公司院内</w:t>
            </w:r>
            <w:r>
              <w:rPr>
                <w:rFonts w:hint="default"/>
                <w:color w:val="auto"/>
                <w:sz w:val="24"/>
                <w:szCs w:val="24"/>
                <w:highlight w:val="none"/>
              </w:rPr>
              <w:t>（用地中心坐标为</w:t>
            </w:r>
            <w:r>
              <w:rPr>
                <w:rFonts w:hint="default" w:ascii="Times New Roman" w:hAnsi="Times New Roman" w:cs="Times New Roman"/>
                <w:color w:val="auto"/>
                <w:sz w:val="24"/>
                <w:szCs w:val="24"/>
                <w:highlight w:val="none"/>
                <w:lang w:val="en-US" w:eastAsia="zh-CN"/>
              </w:rPr>
              <w:t>东经：118°08'52.641"</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lang w:val="en-US" w:eastAsia="zh-CN"/>
              </w:rPr>
              <w:t>北纬：</w:t>
            </w:r>
            <w:r>
              <w:rPr>
                <w:rFonts w:hint="default" w:ascii="Times New Roman" w:hAnsi="Times New Roman" w:cs="Times New Roman"/>
                <w:color w:val="auto"/>
                <w:sz w:val="24"/>
                <w:szCs w:val="24"/>
                <w:highlight w:val="none"/>
                <w:lang w:eastAsia="zh-CN"/>
              </w:rPr>
              <w:t>39°42'19.603"</w:t>
            </w:r>
            <w:r>
              <w:rPr>
                <w:rFonts w:hint="default"/>
                <w:color w:val="auto"/>
                <w:sz w:val="24"/>
                <w:szCs w:val="24"/>
                <w:highlight w:val="none"/>
              </w:rPr>
              <w:t>），地理位置图详见附图1。</w:t>
            </w:r>
          </w:p>
          <w:p>
            <w:pPr>
              <w:bidi w:val="0"/>
              <w:rPr>
                <w:rFonts w:hint="default" w:eastAsia="宋体"/>
                <w:color w:val="auto"/>
                <w:sz w:val="24"/>
                <w:szCs w:val="24"/>
                <w:highlight w:val="none"/>
                <w:shd w:val="clear" w:color="auto" w:fill="auto"/>
                <w:lang w:val="en-US" w:eastAsia="zh-CN"/>
              </w:rPr>
            </w:pPr>
            <w:r>
              <w:rPr>
                <w:rFonts w:hint="default"/>
                <w:color w:val="auto"/>
                <w:sz w:val="24"/>
                <w:szCs w:val="24"/>
                <w:highlight w:val="none"/>
                <w:shd w:val="clear" w:color="auto" w:fill="auto"/>
              </w:rPr>
              <w:t>平面布置：</w:t>
            </w:r>
            <w:r>
              <w:rPr>
                <w:rFonts w:hint="eastAsia"/>
                <w:color w:val="auto"/>
                <w:sz w:val="24"/>
                <w:szCs w:val="24"/>
                <w:highlight w:val="none"/>
                <w:shd w:val="clear" w:color="auto" w:fill="auto"/>
                <w:lang w:val="en-US" w:eastAsia="zh-CN"/>
              </w:rPr>
              <w:t>生产车间位于厂区中部，生产车间南侧为办公区，北侧为生产区，生产区一层主要用于生产，二层主要用于原料、成品储存，危废间位于生产区一层西北侧，生产车间北侧为停车场，厂区大门口位于南侧</w:t>
            </w:r>
            <w:r>
              <w:rPr>
                <w:rFonts w:hint="eastAsia"/>
                <w:color w:val="auto"/>
                <w:kern w:val="0"/>
                <w:sz w:val="24"/>
                <w:highlight w:val="none"/>
                <w:shd w:val="clear" w:color="auto" w:fill="FFFFFF"/>
                <w:lang w:eastAsia="zh-CN" w:bidi="ar"/>
              </w:rPr>
              <w:t>。</w:t>
            </w:r>
            <w:r>
              <w:rPr>
                <w:rFonts w:hint="eastAsia"/>
                <w:color w:val="auto"/>
                <w:kern w:val="0"/>
                <w:sz w:val="24"/>
                <w:highlight w:val="none"/>
                <w:shd w:val="clear" w:color="auto" w:fill="FFFFFF"/>
                <w:lang w:val="en-US" w:eastAsia="zh-CN" w:bidi="ar"/>
              </w:rPr>
              <w:t>本项目新增覆膜印刷机、覆膜烘干机、数显高速分散机位于生产车间一层上生产区南侧，全自动高周波塑胶熔接机、半自动高周波塑胶熔接机位于生产车间生产区二层南侧。</w:t>
            </w:r>
          </w:p>
          <w:p>
            <w:pPr>
              <w:keepNext w:val="0"/>
              <w:keepLines w:val="0"/>
              <w:pageBreakBefore w:val="0"/>
              <w:widowControl w:val="0"/>
              <w:tabs>
                <w:tab w:val="left" w:pos="6310"/>
              </w:tabs>
              <w:kinsoku/>
              <w:wordWrap/>
              <w:overflowPunct/>
              <w:topLinePunct w:val="0"/>
              <w:autoSpaceDE/>
              <w:autoSpaceDN/>
              <w:bidi w:val="0"/>
              <w:spacing w:line="480" w:lineRule="exact"/>
              <w:ind w:right="0" w:rightChars="0" w:firstLine="480" w:firstLineChars="200"/>
              <w:textAlignment w:val="auto"/>
              <w:outlineLvl w:val="9"/>
              <w:rPr>
                <w:rFonts w:hint="default" w:ascii="Times New Roman" w:hAnsi="Times New Roman" w:eastAsia="宋体" w:cs="Times New Roman"/>
                <w:color w:val="auto"/>
                <w:kern w:val="2"/>
                <w:sz w:val="24"/>
                <w:szCs w:val="24"/>
                <w:highlight w:val="none"/>
                <w:lang w:val="en-US" w:eastAsia="zh-CN" w:bidi="ar-SA"/>
              </w:rPr>
            </w:pPr>
            <w:r>
              <w:rPr>
                <w:rFonts w:hint="default"/>
                <w:color w:val="auto"/>
                <w:sz w:val="24"/>
                <w:szCs w:val="24"/>
                <w:highlight w:val="none"/>
              </w:rPr>
              <w:t>周边关系：本项目位于</w:t>
            </w:r>
            <w:r>
              <w:rPr>
                <w:rFonts w:hint="eastAsia"/>
                <w:color w:val="auto"/>
                <w:sz w:val="24"/>
                <w:szCs w:val="24"/>
                <w:highlight w:val="none"/>
                <w:lang w:val="en-US" w:eastAsia="zh-CN"/>
              </w:rPr>
              <w:t>唐山市高新区学院北路1718-1号，唐山烯彤科技有限公司院内，周边关系不发生变化，东侧为在建企业和河北北上节能科技有限公司，南侧为创新大道，西侧为垃圾转运站，北侧为唐山德筑医药有限公司。</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40" w:type="dxa"/>
            <w:noWrap w:val="0"/>
            <w:vAlign w:val="center"/>
          </w:tcPr>
          <w:p>
            <w:pPr>
              <w:pStyle w:val="3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eastAsia="宋体"/>
                <w:color w:val="auto"/>
                <w:sz w:val="24"/>
                <w:szCs w:val="24"/>
                <w:highlight w:val="none"/>
              </w:rPr>
              <w:t>工艺流程和产排污环节</w:t>
            </w:r>
          </w:p>
        </w:tc>
        <w:tc>
          <w:tcPr>
            <w:tcW w:w="8514" w:type="dxa"/>
            <w:noWrap w:val="0"/>
            <w:vAlign w:val="top"/>
          </w:tcPr>
          <w:p>
            <w:pPr>
              <w:numPr>
                <w:ilvl w:val="0"/>
                <w:numId w:val="19"/>
              </w:numPr>
              <w:bidi w:val="0"/>
              <w:ind w:left="0" w:leftChars="0" w:firstLine="0" w:firstLineChars="0"/>
              <w:rPr>
                <w:rFonts w:hint="default"/>
                <w:b/>
                <w:bCs/>
                <w:color w:val="auto"/>
                <w:highlight w:val="none"/>
              </w:rPr>
            </w:pPr>
            <w:r>
              <w:rPr>
                <w:rFonts w:hint="eastAsia"/>
                <w:b/>
                <w:bCs/>
                <w:color w:val="auto"/>
                <w:highlight w:val="none"/>
                <w:lang w:val="en-US" w:eastAsia="zh-CN"/>
              </w:rPr>
              <w:t>工艺流程</w:t>
            </w:r>
          </w:p>
          <w:p>
            <w:pPr>
              <w:bidi w:val="0"/>
              <w:rPr>
                <w:rFonts w:hint="eastAsia" w:cs="Times New Roman"/>
                <w:i w:val="0"/>
                <w:color w:val="auto"/>
                <w:kern w:val="0"/>
                <w:sz w:val="24"/>
                <w:szCs w:val="24"/>
                <w:u w:val="none"/>
                <w:lang w:val="en-US" w:eastAsia="zh-CN" w:bidi="ar"/>
              </w:rPr>
            </w:pPr>
            <w:r>
              <w:rPr>
                <w:rFonts w:hint="eastAsia"/>
                <w:color w:val="auto"/>
                <w:sz w:val="24"/>
                <w:szCs w:val="24"/>
                <w:highlight w:val="none"/>
                <w:lang w:val="en-US" w:eastAsia="zh-CN"/>
              </w:rPr>
              <w:t>本项目主要</w:t>
            </w:r>
            <w:r>
              <w:rPr>
                <w:rFonts w:hint="eastAsia"/>
                <w:color w:val="auto"/>
                <w:highlight w:val="none"/>
                <w:lang w:val="en-US" w:eastAsia="zh-CN"/>
              </w:rPr>
              <w:t>对现有石墨烯电发热元件生产线进行改造，调整产品方案，购置石墨烯电发热膜相关设备，石墨烯电发热元件产能不发生变化，仍为年产石墨烯电发热元件8万套（石墨烯电发热体7万套/a，石墨烯电发热膜1万套/a），同时，新建节能速热电锅炉组装生产线，将石墨烯电发热体生产线生产的石墨烯电发热体与进购的机箱外壳、触摸控制板、耐高温线等零配件采用手工和螺丝进行组装</w:t>
            </w:r>
            <w:r>
              <w:rPr>
                <w:rFonts w:hint="eastAsia" w:ascii="Times New Roman" w:hAnsi="Times New Roman" w:eastAsia="宋体" w:cs="Times New Roman"/>
                <w:i w:val="0"/>
                <w:color w:val="auto"/>
                <w:kern w:val="0"/>
                <w:sz w:val="24"/>
                <w:szCs w:val="24"/>
                <w:u w:val="none"/>
                <w:lang w:val="en-US" w:eastAsia="zh-CN" w:bidi="ar"/>
              </w:rPr>
              <w:t>，生产节能速热电锅炉</w:t>
            </w:r>
            <w:r>
              <w:rPr>
                <w:rFonts w:hint="eastAsia" w:cs="Times New Roman"/>
                <w:i w:val="0"/>
                <w:color w:val="auto"/>
                <w:kern w:val="0"/>
                <w:sz w:val="24"/>
                <w:szCs w:val="24"/>
                <w:u w:val="none"/>
                <w:lang w:val="en-US" w:eastAsia="zh-CN" w:bidi="ar"/>
              </w:rPr>
              <w:t>，年产节能速热电锅炉5万台。</w:t>
            </w:r>
          </w:p>
          <w:p>
            <w:pPr>
              <w:numPr>
                <w:ilvl w:val="0"/>
                <w:numId w:val="20"/>
              </w:numPr>
              <w:bidi w:val="0"/>
              <w:rPr>
                <w:rFonts w:hint="eastAsia" w:cs="Times New Roman"/>
                <w:i w:val="0"/>
                <w:color w:val="auto"/>
                <w:kern w:val="0"/>
                <w:sz w:val="24"/>
                <w:szCs w:val="24"/>
                <w:u w:val="none"/>
                <w:lang w:val="en-US" w:eastAsia="zh-CN" w:bidi="ar"/>
              </w:rPr>
            </w:pPr>
            <w:r>
              <w:rPr>
                <w:rFonts w:hint="eastAsia" w:cs="Times New Roman"/>
                <w:i w:val="0"/>
                <w:color w:val="auto"/>
                <w:kern w:val="0"/>
                <w:sz w:val="24"/>
                <w:szCs w:val="24"/>
                <w:u w:val="none"/>
                <w:lang w:val="en-US" w:eastAsia="zh-CN" w:bidi="ar"/>
              </w:rPr>
              <w:t>石墨烯电发热体生产工艺流程</w:t>
            </w:r>
          </w:p>
          <w:p>
            <w:pPr>
              <w:bidi w:val="0"/>
              <w:rPr>
                <w:rFonts w:hint="eastAsia"/>
                <w:color w:val="auto"/>
                <w:lang w:val="en-US" w:eastAsia="zh-CN"/>
              </w:rPr>
            </w:pPr>
            <w:r>
              <w:rPr>
                <w:rFonts w:hint="eastAsia"/>
                <w:color w:val="auto"/>
                <w:lang w:val="en-US" w:eastAsia="zh-CN"/>
              </w:rPr>
              <w:t>本项目建成后，石墨烯电发热体生产过程不再使用云母进行生产，全部使用石英管进行生产，相应覆膜工序取消，其余工序及产排污节点均不发生变化，本项目建成后，石墨烯发热体生产工艺流程及排污节点图见下图。</w:t>
            </w:r>
          </w:p>
          <w:p>
            <w:pPr>
              <w:bidi w:val="0"/>
              <w:rPr>
                <w:rFonts w:hint="eastAsia"/>
                <w:color w:val="auto"/>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lang w:val="en-US" w:eastAsia="zh-CN"/>
              </w:rPr>
            </w:pPr>
            <w:r>
              <w:rPr>
                <w:color w:val="auto"/>
              </w:rPr>
              <w:drawing>
                <wp:inline distT="0" distB="0" distL="114300" distR="114300">
                  <wp:extent cx="3343910" cy="5507990"/>
                  <wp:effectExtent l="0" t="0" r="8890" b="16510"/>
                  <wp:docPr id="1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6"/>
                          <pic:cNvPicPr>
                            <a:picLocks noChangeAspect="1"/>
                          </pic:cNvPicPr>
                        </pic:nvPicPr>
                        <pic:blipFill>
                          <a:blip r:embed="rId14"/>
                          <a:stretch>
                            <a:fillRect/>
                          </a:stretch>
                        </pic:blipFill>
                        <pic:spPr>
                          <a:xfrm>
                            <a:off x="0" y="0"/>
                            <a:ext cx="3343910" cy="5507990"/>
                          </a:xfrm>
                          <a:prstGeom prst="rect">
                            <a:avLst/>
                          </a:prstGeom>
                          <a:noFill/>
                          <a:ln>
                            <a:noFill/>
                          </a:ln>
                        </pic:spPr>
                      </pic:pic>
                    </a:graphicData>
                  </a:graphic>
                </wp:inline>
              </w:drawing>
            </w:r>
          </w:p>
          <w:p>
            <w:pPr>
              <w:pStyle w:val="31"/>
              <w:bidi w:val="0"/>
              <w:rPr>
                <w:rFonts w:hint="eastAsia"/>
                <w:color w:val="auto"/>
                <w:lang w:val="en-US" w:eastAsia="zh-CN"/>
              </w:rPr>
            </w:pPr>
            <w:r>
              <w:rPr>
                <w:rFonts w:hint="eastAsia"/>
                <w:color w:val="auto"/>
                <w:lang w:val="en-US" w:eastAsia="zh-CN"/>
              </w:rPr>
              <w:t>图3  本项目建成后石墨烯电发热体生产</w:t>
            </w:r>
            <w:r>
              <w:rPr>
                <w:rFonts w:hint="default"/>
                <w:color w:val="auto"/>
                <w:lang w:val="en-US" w:eastAsia="zh-CN"/>
              </w:rPr>
              <w:t>工艺流程及排污节点图</w:t>
            </w:r>
          </w:p>
          <w:p>
            <w:pPr>
              <w:numPr>
                <w:ilvl w:val="0"/>
                <w:numId w:val="20"/>
              </w:numPr>
              <w:bidi w:val="0"/>
              <w:ind w:left="0" w:leftChars="0" w:firstLine="480" w:firstLineChars="200"/>
              <w:rPr>
                <w:rFonts w:hint="eastAsia"/>
                <w:color w:val="auto"/>
                <w:lang w:val="en-US" w:eastAsia="zh-CN"/>
              </w:rPr>
            </w:pPr>
            <w:r>
              <w:rPr>
                <w:rFonts w:hint="eastAsia"/>
                <w:color w:val="auto"/>
                <w:lang w:val="en-US" w:eastAsia="zh-CN"/>
              </w:rPr>
              <w:t>石墨烯电发热膜生产工艺流程</w:t>
            </w:r>
          </w:p>
          <w:p>
            <w:pPr>
              <w:bidi w:val="0"/>
              <w:rPr>
                <w:rFonts w:hint="default" w:eastAsia="宋体"/>
                <w:color w:val="auto"/>
                <w:lang w:val="en-US" w:eastAsia="zh-CN"/>
              </w:rPr>
            </w:pPr>
            <w:r>
              <w:rPr>
                <w:rFonts w:hint="default"/>
                <w:color w:val="auto"/>
                <w:lang w:val="en-US" w:eastAsia="zh-CN"/>
              </w:rPr>
              <w:t>①</w:t>
            </w:r>
            <w:r>
              <w:rPr>
                <w:rFonts w:hint="eastAsia"/>
                <w:color w:val="auto"/>
                <w:lang w:val="en-US" w:eastAsia="zh-CN"/>
              </w:rPr>
              <w:t>导电浆料配制：本项目所用导电浆料为导电碳浆，导电碳浆在厂区自行调配，导电碳浆成份及配比为：</w:t>
            </w:r>
            <w:r>
              <w:rPr>
                <w:rFonts w:hint="eastAsia"/>
                <w:color w:val="auto"/>
                <w:sz w:val="24"/>
                <w:szCs w:val="24"/>
                <w:lang w:val="en-US" w:eastAsia="zh-CN"/>
              </w:rPr>
              <w:t>水性有机硅树脂25%、水性丙烯酸树脂40%、丙二醇10%、石墨烯5%、石墨10%、碳黑5%、异氰酸酯5%，</w:t>
            </w:r>
            <w:r>
              <w:rPr>
                <w:rFonts w:hint="eastAsia"/>
                <w:color w:val="auto"/>
                <w:lang w:val="en-US" w:eastAsia="zh-CN"/>
              </w:rPr>
              <w:t>生产时，</w:t>
            </w:r>
            <w:r>
              <w:rPr>
                <w:rFonts w:hint="eastAsia"/>
                <w:color w:val="auto"/>
              </w:rPr>
              <w:t>石墨烯由研磨机研磨成纳米级，研磨过程为真空加湿研磨，研磨后由人工</w:t>
            </w:r>
            <w:r>
              <w:rPr>
                <w:rFonts w:hint="eastAsia"/>
                <w:color w:val="auto"/>
                <w:lang w:val="en-US" w:eastAsia="zh-CN"/>
              </w:rPr>
              <w:t>将其与</w:t>
            </w:r>
            <w:r>
              <w:rPr>
                <w:rFonts w:hint="eastAsia"/>
                <w:color w:val="auto"/>
                <w:sz w:val="24"/>
                <w:szCs w:val="24"/>
                <w:lang w:val="en-US" w:eastAsia="zh-CN"/>
              </w:rPr>
              <w:t>水性有机硅树脂、水性丙烯酸树脂、丙二醇、石墨、碳黑、异氰酸酯按照配比混合，采用数显高速分散机进行混合分散。</w:t>
            </w:r>
          </w:p>
          <w:p>
            <w:pPr>
              <w:bidi w:val="0"/>
              <w:rPr>
                <w:rFonts w:hint="eastAsia"/>
                <w:b/>
                <w:bCs/>
                <w:color w:val="auto"/>
                <w:lang w:val="en-US" w:eastAsia="zh-CN"/>
              </w:rPr>
            </w:pPr>
            <w:r>
              <w:rPr>
                <w:rFonts w:hint="eastAsia"/>
                <w:b/>
                <w:bCs/>
                <w:color w:val="auto"/>
                <w:lang w:val="en-US" w:eastAsia="zh-CN"/>
              </w:rPr>
              <w:t>本工序产污节点主要为：导电碳浆混合分散过程产生的废气；设备运行产生的噪声；生产过程产生的废包装物。</w:t>
            </w:r>
          </w:p>
          <w:p>
            <w:pPr>
              <w:bidi w:val="0"/>
              <w:rPr>
                <w:rFonts w:hint="eastAsia"/>
                <w:color w:val="auto"/>
                <w:lang w:val="en-US" w:eastAsia="zh-CN"/>
              </w:rPr>
            </w:pPr>
            <w:r>
              <w:rPr>
                <w:rFonts w:hint="default"/>
                <w:color w:val="auto"/>
                <w:lang w:val="en-US" w:eastAsia="zh-CN"/>
              </w:rPr>
              <w:t>②</w:t>
            </w:r>
            <w:r>
              <w:rPr>
                <w:rFonts w:hint="eastAsia"/>
                <w:color w:val="auto"/>
                <w:lang w:val="en-US" w:eastAsia="zh-CN"/>
              </w:rPr>
              <w:t>印刷：人工将外购的PET膜置于覆膜印刷机上进行放卷，将配制好的导电碳浆采用覆膜印刷机印刷至PET膜上。</w:t>
            </w:r>
          </w:p>
          <w:p>
            <w:pPr>
              <w:bidi w:val="0"/>
              <w:rPr>
                <w:rFonts w:hint="eastAsia"/>
                <w:b/>
                <w:bCs/>
                <w:color w:val="auto"/>
                <w:lang w:val="en-US" w:eastAsia="zh-CN"/>
              </w:rPr>
            </w:pPr>
            <w:r>
              <w:rPr>
                <w:rFonts w:hint="eastAsia"/>
                <w:b/>
                <w:bCs/>
                <w:color w:val="auto"/>
                <w:lang w:val="en-US" w:eastAsia="zh-CN"/>
              </w:rPr>
              <w:t>本工序产污节点主要为：印刷过程产生的废气；设备运行产生的噪声。</w:t>
            </w:r>
          </w:p>
          <w:p>
            <w:pPr>
              <w:bidi w:val="0"/>
              <w:rPr>
                <w:rFonts w:hint="eastAsia"/>
                <w:color w:val="auto"/>
                <w:lang w:val="en-US" w:eastAsia="zh-CN"/>
              </w:rPr>
            </w:pPr>
            <w:r>
              <w:rPr>
                <w:rFonts w:hint="default"/>
                <w:color w:val="auto"/>
                <w:lang w:val="en-US" w:eastAsia="zh-CN"/>
              </w:rPr>
              <w:t>③</w:t>
            </w:r>
            <w:r>
              <w:rPr>
                <w:rFonts w:hint="eastAsia"/>
                <w:color w:val="auto"/>
                <w:lang w:val="en-US" w:eastAsia="zh-CN"/>
              </w:rPr>
              <w:t>烘干：印刷好的PET膜通过设备的驱动装置自动送至覆膜烘干机进行烘干，烘干温度为</w:t>
            </w:r>
            <w:r>
              <w:rPr>
                <w:rFonts w:hint="default" w:ascii="Times New Roman" w:hAnsi="Times New Roman" w:cs="Times New Roman"/>
                <w:color w:val="auto"/>
                <w:lang w:val="en-US" w:eastAsia="zh-CN"/>
              </w:rPr>
              <w:t>120℃-140℃</w:t>
            </w:r>
            <w:r>
              <w:rPr>
                <w:rFonts w:hint="eastAsia" w:ascii="Times New Roman" w:hAnsi="Times New Roman" w:cs="Times New Roman"/>
                <w:color w:val="auto"/>
                <w:lang w:val="en-US" w:eastAsia="zh-CN"/>
              </w:rPr>
              <w:t>，</w:t>
            </w:r>
            <w:r>
              <w:rPr>
                <w:rFonts w:hint="eastAsia"/>
                <w:color w:val="auto"/>
                <w:lang w:val="en-US" w:eastAsia="zh-CN"/>
              </w:rPr>
              <w:t>烘干后经覆膜烘干机收卷装置自动收卷，收卷后即为石墨烯电发热膜半成品。</w:t>
            </w:r>
          </w:p>
          <w:p>
            <w:pPr>
              <w:bidi w:val="0"/>
              <w:rPr>
                <w:rFonts w:hint="eastAsia"/>
                <w:b/>
                <w:bCs/>
                <w:color w:val="auto"/>
                <w:lang w:val="en-US" w:eastAsia="zh-CN"/>
              </w:rPr>
            </w:pPr>
            <w:r>
              <w:rPr>
                <w:rFonts w:hint="eastAsia"/>
                <w:b/>
                <w:bCs/>
                <w:color w:val="auto"/>
                <w:lang w:val="en-US" w:eastAsia="zh-CN"/>
              </w:rPr>
              <w:t>本工序产污节点主要为：印刷烘干过程产生的废气；设备运行产生的噪声。</w:t>
            </w:r>
          </w:p>
          <w:p>
            <w:pPr>
              <w:bidi w:val="0"/>
              <w:rPr>
                <w:rFonts w:hint="default"/>
                <w:color w:val="auto"/>
                <w:lang w:val="en-US" w:eastAsia="zh-CN"/>
              </w:rPr>
            </w:pPr>
            <w:r>
              <w:rPr>
                <w:rFonts w:hint="default"/>
                <w:color w:val="auto"/>
                <w:lang w:val="en-US" w:eastAsia="zh-CN"/>
              </w:rPr>
              <w:t>④</w:t>
            </w:r>
            <w:r>
              <w:rPr>
                <w:rFonts w:hint="eastAsia"/>
                <w:color w:val="auto"/>
                <w:lang w:val="en-US" w:eastAsia="zh-CN"/>
              </w:rPr>
              <w:t>覆膜：人工将半成品送至覆膜机上进行放卷，采用覆膜机将铜条压制在印有导电碳浆面的左右两端，并在半成品上下面各覆一层PET膜，覆膜后经覆膜机收卷装置收卷，覆膜过程温度约为</w:t>
            </w:r>
            <w:r>
              <w:rPr>
                <w:rFonts w:hint="default" w:ascii="Times New Roman" w:hAnsi="Times New Roman" w:cs="Times New Roman"/>
                <w:color w:val="auto"/>
                <w:lang w:val="en-US" w:eastAsia="zh-CN"/>
              </w:rPr>
              <w:t>1</w:t>
            </w:r>
            <w:r>
              <w:rPr>
                <w:rFonts w:hint="eastAsia" w:cs="Times New Roman"/>
                <w:color w:val="auto"/>
                <w:lang w:val="en-US" w:eastAsia="zh-CN"/>
              </w:rPr>
              <w:t>4</w:t>
            </w:r>
            <w:r>
              <w:rPr>
                <w:rFonts w:hint="default" w:ascii="Times New Roman" w:hAnsi="Times New Roman" w:cs="Times New Roman"/>
                <w:color w:val="auto"/>
                <w:lang w:val="en-US" w:eastAsia="zh-CN"/>
              </w:rPr>
              <w:t>0℃-1</w:t>
            </w:r>
            <w:r>
              <w:rPr>
                <w:rFonts w:hint="eastAsia" w:cs="Times New Roman"/>
                <w:color w:val="auto"/>
                <w:lang w:val="en-US" w:eastAsia="zh-CN"/>
              </w:rPr>
              <w:t>7</w:t>
            </w:r>
            <w:r>
              <w:rPr>
                <w:rFonts w:hint="default" w:ascii="Times New Roman" w:hAnsi="Times New Roman" w:cs="Times New Roman"/>
                <w:color w:val="auto"/>
                <w:lang w:val="en-US" w:eastAsia="zh-CN"/>
              </w:rPr>
              <w:t>0℃</w:t>
            </w:r>
            <w:r>
              <w:rPr>
                <w:rFonts w:hint="eastAsia"/>
                <w:color w:val="auto"/>
                <w:lang w:val="en-US" w:eastAsia="zh-CN"/>
              </w:rPr>
              <w:t>。</w:t>
            </w:r>
          </w:p>
          <w:p>
            <w:pPr>
              <w:bidi w:val="0"/>
              <w:rPr>
                <w:rFonts w:hint="eastAsia"/>
                <w:b/>
                <w:bCs/>
                <w:color w:val="auto"/>
                <w:lang w:val="en-US" w:eastAsia="zh-CN"/>
              </w:rPr>
            </w:pPr>
            <w:r>
              <w:rPr>
                <w:rFonts w:hint="eastAsia"/>
                <w:b/>
                <w:bCs/>
                <w:color w:val="auto"/>
                <w:lang w:val="en-US" w:eastAsia="zh-CN"/>
              </w:rPr>
              <w:t>本工序产污节点主要为：覆膜过程产生的废气；设备运行产生的噪声。</w:t>
            </w:r>
          </w:p>
          <w:p>
            <w:pPr>
              <w:bidi w:val="0"/>
              <w:rPr>
                <w:rFonts w:hint="eastAsia"/>
                <w:color w:val="auto"/>
                <w:lang w:val="en-US" w:eastAsia="zh-CN"/>
              </w:rPr>
            </w:pPr>
            <w:r>
              <w:rPr>
                <w:rFonts w:hint="default"/>
                <w:color w:val="auto"/>
                <w:lang w:val="en-US" w:eastAsia="zh-CN"/>
              </w:rPr>
              <w:t>⑤</w:t>
            </w:r>
            <w:r>
              <w:rPr>
                <w:rFonts w:hint="eastAsia"/>
                <w:color w:val="auto"/>
                <w:lang w:val="en-US" w:eastAsia="zh-CN"/>
              </w:rPr>
              <w:t>裁切：根据客户需求，人工采用裁切刀对将石墨烯电发热膜裁切成所需的规格。</w:t>
            </w:r>
          </w:p>
          <w:p>
            <w:pPr>
              <w:bidi w:val="0"/>
              <w:rPr>
                <w:rFonts w:hint="eastAsia"/>
                <w:b/>
                <w:bCs/>
                <w:color w:val="auto"/>
                <w:lang w:val="en-US" w:eastAsia="zh-CN"/>
              </w:rPr>
            </w:pPr>
            <w:r>
              <w:rPr>
                <w:rFonts w:hint="eastAsia"/>
                <w:b/>
                <w:bCs/>
                <w:color w:val="auto"/>
                <w:lang w:val="en-US" w:eastAsia="zh-CN"/>
              </w:rPr>
              <w:t>本工序产污节点主要为：裁切过程产生的PET膜边角料。</w:t>
            </w:r>
          </w:p>
          <w:p>
            <w:pPr>
              <w:bidi w:val="0"/>
              <w:rPr>
                <w:rFonts w:hint="eastAsia" w:cs="Times New Roman"/>
                <w:color w:val="auto"/>
                <w:lang w:val="en-US" w:eastAsia="zh-CN"/>
              </w:rPr>
            </w:pPr>
            <w:r>
              <w:rPr>
                <w:rFonts w:hint="default"/>
                <w:color w:val="auto"/>
                <w:lang w:val="en-US" w:eastAsia="zh-CN"/>
              </w:rPr>
              <w:t>⑥</w:t>
            </w:r>
            <w:r>
              <w:rPr>
                <w:rFonts w:hint="eastAsia"/>
                <w:color w:val="auto"/>
                <w:lang w:val="en-US" w:eastAsia="zh-CN"/>
              </w:rPr>
              <w:t>封装：对裁切后的石墨烯电发热膜采用PVC膜进行封装，封装后即为成品。外购PVC膜根据石墨烯电发热膜尺寸，人工采用裁切刀对其进行裁切，裁切后的两层PVC膜采用高周波塑胶熔接机对其进行热压封边，成为PVC膜套，封边温度为</w:t>
            </w:r>
            <w:r>
              <w:rPr>
                <w:rFonts w:hint="default" w:ascii="Times New Roman" w:hAnsi="Times New Roman" w:cs="Times New Roman"/>
                <w:color w:val="auto"/>
                <w:lang w:val="en-US" w:eastAsia="zh-CN"/>
              </w:rPr>
              <w:t>120℃-140℃</w:t>
            </w:r>
            <w:r>
              <w:rPr>
                <w:rFonts w:hint="eastAsia" w:cs="Times New Roman"/>
                <w:color w:val="auto"/>
                <w:lang w:val="en-US" w:eastAsia="zh-CN"/>
              </w:rPr>
              <w:t>，人工将</w:t>
            </w:r>
            <w:r>
              <w:rPr>
                <w:rFonts w:hint="eastAsia"/>
                <w:color w:val="auto"/>
                <w:lang w:val="en-US" w:eastAsia="zh-CN"/>
              </w:rPr>
              <w:t>石墨烯电发热膜装入PVC膜套中，即为成品</w:t>
            </w:r>
            <w:r>
              <w:rPr>
                <w:rFonts w:hint="eastAsia" w:cs="Times New Roman"/>
                <w:color w:val="auto"/>
                <w:lang w:val="en-US" w:eastAsia="zh-CN"/>
              </w:rPr>
              <w:t>。</w:t>
            </w:r>
          </w:p>
          <w:p>
            <w:pPr>
              <w:bidi w:val="0"/>
              <w:rPr>
                <w:rFonts w:hint="eastAsia"/>
                <w:b/>
                <w:bCs/>
                <w:color w:val="auto"/>
                <w:lang w:val="en-US" w:eastAsia="zh-CN"/>
              </w:rPr>
            </w:pPr>
            <w:r>
              <w:rPr>
                <w:rFonts w:hint="eastAsia"/>
                <w:b/>
                <w:bCs/>
                <w:color w:val="auto"/>
                <w:lang w:val="en-US" w:eastAsia="zh-CN"/>
              </w:rPr>
              <w:t>本工序产污节点主要为：封边过程产生的废气；裁切过程产生的PVC膜边角料。</w:t>
            </w:r>
          </w:p>
          <w:p>
            <w:pPr>
              <w:bidi w:val="0"/>
              <w:rPr>
                <w:rFonts w:hint="eastAsia"/>
                <w:b/>
                <w:bCs/>
                <w:color w:val="auto"/>
                <w:lang w:val="en-US" w:eastAsia="zh-CN"/>
              </w:rPr>
            </w:pPr>
          </w:p>
          <w:p>
            <w:pPr>
              <w:bidi w:val="0"/>
              <w:rPr>
                <w:rFonts w:hint="eastAsia"/>
                <w:b/>
                <w:bCs/>
                <w:color w:val="auto"/>
                <w:lang w:val="en-US" w:eastAsia="zh-CN"/>
              </w:rPr>
            </w:pPr>
          </w:p>
          <w:p>
            <w:pPr>
              <w:bidi w:val="0"/>
              <w:rPr>
                <w:rFonts w:hint="eastAsia"/>
                <w:b/>
                <w:bCs/>
                <w:color w:val="auto"/>
                <w:lang w:val="en-US" w:eastAsia="zh-CN"/>
              </w:rPr>
            </w:pPr>
          </w:p>
          <w:p>
            <w:pPr>
              <w:bidi w:val="0"/>
              <w:rPr>
                <w:rFonts w:hint="eastAsia"/>
                <w:b/>
                <w:bCs/>
                <w:color w:val="auto"/>
                <w:lang w:val="en-US" w:eastAsia="zh-CN"/>
              </w:rPr>
            </w:pPr>
          </w:p>
          <w:p>
            <w:pPr>
              <w:bidi w:val="0"/>
              <w:rPr>
                <w:rFonts w:hint="eastAsia"/>
                <w:b/>
                <w:bCs/>
                <w:color w:val="auto"/>
                <w:lang w:val="en-US" w:eastAsia="zh-CN"/>
              </w:rPr>
            </w:pPr>
          </w:p>
          <w:p>
            <w:pPr>
              <w:bidi w:val="0"/>
              <w:rPr>
                <w:rFonts w:hint="eastAsia"/>
                <w:b/>
                <w:bCs/>
                <w:color w:val="auto"/>
                <w:lang w:val="en-US" w:eastAsia="zh-CN"/>
              </w:rPr>
            </w:pPr>
          </w:p>
          <w:p>
            <w:pPr>
              <w:bidi w:val="0"/>
              <w:rPr>
                <w:rFonts w:hint="eastAsia"/>
                <w:b/>
                <w:bCs/>
                <w:color w:val="auto"/>
                <w:lang w:val="en-US" w:eastAsia="zh-CN"/>
              </w:rPr>
            </w:pPr>
          </w:p>
          <w:p>
            <w:pPr>
              <w:bidi w:val="0"/>
              <w:rPr>
                <w:rFonts w:hint="eastAsia"/>
                <w:b/>
                <w:bCs/>
                <w:color w:val="auto"/>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lang w:val="en-US" w:eastAsia="zh-CN"/>
              </w:rPr>
            </w:pPr>
            <w:r>
              <w:rPr>
                <w:color w:val="auto"/>
              </w:rPr>
              <w:drawing>
                <wp:inline distT="0" distB="0" distL="114300" distR="114300">
                  <wp:extent cx="3600450" cy="4464050"/>
                  <wp:effectExtent l="0" t="0" r="0" b="12700"/>
                  <wp:docPr id="1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pic:cNvPicPr>
                            <a:picLocks noChangeAspect="1"/>
                          </pic:cNvPicPr>
                        </pic:nvPicPr>
                        <pic:blipFill>
                          <a:blip r:embed="rId15"/>
                          <a:stretch>
                            <a:fillRect/>
                          </a:stretch>
                        </pic:blipFill>
                        <pic:spPr>
                          <a:xfrm>
                            <a:off x="0" y="0"/>
                            <a:ext cx="3600450" cy="4464050"/>
                          </a:xfrm>
                          <a:prstGeom prst="rect">
                            <a:avLst/>
                          </a:prstGeom>
                          <a:noFill/>
                          <a:ln>
                            <a:noFill/>
                          </a:ln>
                        </pic:spPr>
                      </pic:pic>
                    </a:graphicData>
                  </a:graphic>
                </wp:inline>
              </w:drawing>
            </w:r>
          </w:p>
          <w:p>
            <w:pPr>
              <w:pStyle w:val="31"/>
              <w:bidi w:val="0"/>
              <w:rPr>
                <w:rFonts w:hint="default"/>
                <w:b/>
                <w:bCs/>
                <w:color w:val="auto"/>
                <w:highlight w:val="none"/>
                <w:lang w:val="en-US" w:eastAsia="zh-CN"/>
              </w:rPr>
            </w:pPr>
            <w:r>
              <w:rPr>
                <w:rFonts w:hint="eastAsia"/>
                <w:color w:val="auto"/>
                <w:highlight w:val="none"/>
                <w:lang w:val="en-US" w:eastAsia="zh-CN"/>
              </w:rPr>
              <w:t>图4  石墨烯电发热膜生产</w:t>
            </w:r>
            <w:r>
              <w:rPr>
                <w:rFonts w:hint="default"/>
                <w:color w:val="auto"/>
                <w:highlight w:val="none"/>
                <w:lang w:val="en-US" w:eastAsia="zh-CN"/>
              </w:rPr>
              <w:t>工艺流程及排污节点图</w:t>
            </w:r>
          </w:p>
          <w:p>
            <w:pPr>
              <w:bidi w:val="0"/>
              <w:rPr>
                <w:rFonts w:hint="default"/>
                <w:color w:val="auto"/>
                <w:lang w:val="en-US" w:eastAsia="zh-CN"/>
              </w:rPr>
            </w:pPr>
            <w:r>
              <w:rPr>
                <w:rFonts w:hint="eastAsia"/>
                <w:color w:val="auto"/>
                <w:lang w:val="en-US" w:eastAsia="zh-CN"/>
              </w:rPr>
              <w:t>（3）</w:t>
            </w:r>
            <w:r>
              <w:rPr>
                <w:rFonts w:hint="eastAsia"/>
                <w:color w:val="auto"/>
                <w:highlight w:val="none"/>
                <w:lang w:val="en-US" w:eastAsia="zh-CN"/>
              </w:rPr>
              <w:t>节能速热电锅炉组装生产工艺流程</w:t>
            </w:r>
          </w:p>
          <w:p>
            <w:pPr>
              <w:bidi w:val="0"/>
              <w:rPr>
                <w:rFonts w:hint="eastAsia" w:ascii="Times New Roman" w:hAnsi="Times New Roman" w:cs="Times New Roman"/>
                <w:i w:val="0"/>
                <w:color w:val="auto"/>
                <w:kern w:val="0"/>
                <w:sz w:val="24"/>
                <w:szCs w:val="24"/>
                <w:u w:val="none"/>
                <w:lang w:val="en-US" w:eastAsia="zh-CN" w:bidi="ar"/>
              </w:rPr>
            </w:pPr>
            <w:r>
              <w:rPr>
                <w:rFonts w:hint="eastAsia"/>
                <w:snapToGrid w:val="0"/>
                <w:color w:val="auto"/>
                <w:kern w:val="0"/>
                <w:sz w:val="24"/>
                <w:szCs w:val="24"/>
                <w:lang w:val="en-US" w:eastAsia="zh-CN"/>
              </w:rPr>
              <w:t>本项目节能速热电锅炉以</w:t>
            </w:r>
            <w:r>
              <w:rPr>
                <w:rFonts w:hint="eastAsia" w:cs="Times New Roman"/>
                <w:i w:val="0"/>
                <w:color w:val="auto"/>
                <w:kern w:val="0"/>
                <w:sz w:val="24"/>
                <w:szCs w:val="24"/>
                <w:u w:val="none"/>
                <w:lang w:val="en-US" w:eastAsia="zh-CN" w:bidi="ar"/>
              </w:rPr>
              <w:t>石墨烯电发热体生产线生产</w:t>
            </w:r>
            <w:r>
              <w:rPr>
                <w:rFonts w:hint="eastAsia"/>
                <w:snapToGrid w:val="0"/>
                <w:color w:val="auto"/>
                <w:kern w:val="0"/>
                <w:sz w:val="24"/>
                <w:szCs w:val="24"/>
                <w:lang w:val="en-US" w:eastAsia="zh-CN"/>
              </w:rPr>
              <w:t>的电发热体为主要元器件，与进购的</w:t>
            </w:r>
            <w:r>
              <w:rPr>
                <w:rFonts w:hint="eastAsia"/>
                <w:snapToGrid w:val="0"/>
                <w:color w:val="auto"/>
                <w:kern w:val="0"/>
                <w:sz w:val="24"/>
                <w:szCs w:val="24"/>
                <w:highlight w:val="none"/>
                <w:lang w:val="en-US" w:eastAsia="zh-CN"/>
              </w:rPr>
              <w:t>机箱外壳、触摸控制板、耐高温线等零配件</w:t>
            </w:r>
            <w:r>
              <w:rPr>
                <w:rFonts w:hint="eastAsia" w:ascii="Times New Roman" w:hAnsi="Times New Roman" w:eastAsia="宋体" w:cs="Times New Roman"/>
                <w:i w:val="0"/>
                <w:color w:val="auto"/>
                <w:kern w:val="0"/>
                <w:sz w:val="24"/>
                <w:szCs w:val="24"/>
                <w:u w:val="none"/>
                <w:lang w:val="en-US" w:eastAsia="zh-CN" w:bidi="ar"/>
              </w:rPr>
              <w:t>采用手工和</w:t>
            </w:r>
            <w:r>
              <w:rPr>
                <w:rFonts w:hint="default" w:ascii="Times New Roman" w:hAnsi="Times New Roman" w:eastAsia="宋体" w:cs="Times New Roman"/>
                <w:i w:val="0"/>
                <w:color w:val="auto"/>
                <w:kern w:val="0"/>
                <w:sz w:val="24"/>
                <w:szCs w:val="24"/>
                <w:u w:val="none"/>
                <w:lang w:val="en-US" w:eastAsia="zh-CN" w:bidi="ar"/>
              </w:rPr>
              <w:t>螺丝</w:t>
            </w:r>
            <w:r>
              <w:rPr>
                <w:rFonts w:hint="eastAsia" w:ascii="Times New Roman" w:hAnsi="Times New Roman" w:eastAsia="宋体" w:cs="Times New Roman"/>
                <w:i w:val="0"/>
                <w:color w:val="auto"/>
                <w:kern w:val="0"/>
                <w:sz w:val="24"/>
                <w:szCs w:val="24"/>
                <w:u w:val="none"/>
                <w:lang w:val="en-US" w:eastAsia="zh-CN" w:bidi="ar"/>
              </w:rPr>
              <w:t>进行组装，</w:t>
            </w:r>
            <w:r>
              <w:rPr>
                <w:rFonts w:hint="eastAsia" w:ascii="Times New Roman" w:hAnsi="Times New Roman" w:cs="Times New Roman"/>
                <w:i w:val="0"/>
                <w:color w:val="auto"/>
                <w:kern w:val="0"/>
                <w:sz w:val="24"/>
                <w:szCs w:val="24"/>
                <w:u w:val="none"/>
                <w:lang w:val="en-US" w:eastAsia="zh-CN" w:bidi="ar"/>
              </w:rPr>
              <w:t>组装后采用多功能检测台进行性能检测，检测后</w:t>
            </w:r>
            <w:r>
              <w:rPr>
                <w:rFonts w:hint="eastAsia" w:ascii="Times New Roman" w:hAnsi="Times New Roman" w:eastAsia="宋体" w:cs="Times New Roman"/>
                <w:i w:val="0"/>
                <w:color w:val="auto"/>
                <w:kern w:val="0"/>
                <w:sz w:val="24"/>
                <w:szCs w:val="24"/>
                <w:u w:val="none"/>
                <w:lang w:val="en-US" w:eastAsia="zh-CN" w:bidi="ar"/>
              </w:rPr>
              <w:t>即为成品</w:t>
            </w:r>
            <w:r>
              <w:rPr>
                <w:rFonts w:hint="eastAsia" w:ascii="Times New Roman" w:hAnsi="Times New Roman" w:cs="Times New Roman"/>
                <w:i w:val="0"/>
                <w:color w:val="auto"/>
                <w:kern w:val="0"/>
                <w:sz w:val="24"/>
                <w:szCs w:val="24"/>
                <w:u w:val="none"/>
                <w:lang w:val="en-US" w:eastAsia="zh-CN" w:bidi="ar"/>
              </w:rPr>
              <w:t>。</w:t>
            </w:r>
          </w:p>
          <w:p>
            <w:pPr>
              <w:bidi w:val="0"/>
              <w:rPr>
                <w:rFonts w:hint="default" w:ascii="Times New Roman" w:hAnsi="Times New Roman" w:cs="Times New Roman"/>
                <w:b/>
                <w:bCs/>
                <w:i w:val="0"/>
                <w:color w:val="auto"/>
                <w:kern w:val="0"/>
                <w:sz w:val="24"/>
                <w:szCs w:val="24"/>
                <w:u w:val="none"/>
                <w:lang w:val="en-US" w:eastAsia="zh-CN" w:bidi="ar"/>
              </w:rPr>
            </w:pPr>
            <w:r>
              <w:rPr>
                <w:rFonts w:hint="eastAsia" w:cs="Times New Roman"/>
                <w:b/>
                <w:bCs/>
                <w:i w:val="0"/>
                <w:color w:val="auto"/>
                <w:kern w:val="0"/>
                <w:sz w:val="24"/>
                <w:szCs w:val="24"/>
                <w:u w:val="none"/>
                <w:lang w:val="en-US" w:eastAsia="zh-CN" w:bidi="ar"/>
              </w:rPr>
              <w:t>本工序产污节点主要为：生产过程产生的废包装物。</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lang w:val="en-US" w:eastAsia="zh-CN"/>
              </w:rPr>
            </w:pPr>
            <w:r>
              <w:rPr>
                <w:color w:val="auto"/>
              </w:rPr>
              <w:drawing>
                <wp:inline distT="0" distB="0" distL="114300" distR="114300">
                  <wp:extent cx="3641725" cy="1440180"/>
                  <wp:effectExtent l="0" t="0" r="15875" b="7620"/>
                  <wp:docPr id="1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7"/>
                          <pic:cNvPicPr>
                            <a:picLocks noChangeAspect="1"/>
                          </pic:cNvPicPr>
                        </pic:nvPicPr>
                        <pic:blipFill>
                          <a:blip r:embed="rId16"/>
                          <a:stretch>
                            <a:fillRect/>
                          </a:stretch>
                        </pic:blipFill>
                        <pic:spPr>
                          <a:xfrm>
                            <a:off x="0" y="0"/>
                            <a:ext cx="3641725" cy="1440180"/>
                          </a:xfrm>
                          <a:prstGeom prst="rect">
                            <a:avLst/>
                          </a:prstGeom>
                          <a:noFill/>
                          <a:ln>
                            <a:noFill/>
                          </a:ln>
                        </pic:spPr>
                      </pic:pic>
                    </a:graphicData>
                  </a:graphic>
                </wp:inline>
              </w:drawing>
            </w:r>
          </w:p>
          <w:p>
            <w:pPr>
              <w:pStyle w:val="31"/>
              <w:bidi w:val="0"/>
              <w:rPr>
                <w:rFonts w:hint="default"/>
                <w:color w:val="auto"/>
                <w:lang w:val="en-US" w:eastAsia="zh-CN"/>
              </w:rPr>
            </w:pPr>
            <w:r>
              <w:rPr>
                <w:rFonts w:hint="eastAsia"/>
                <w:color w:val="auto"/>
                <w:lang w:val="en-US" w:eastAsia="zh-CN"/>
              </w:rPr>
              <w:t>图5  节能速热电锅炉组装生产工艺流程图</w:t>
            </w:r>
          </w:p>
          <w:p>
            <w:pPr>
              <w:bidi w:val="0"/>
              <w:ind w:left="0" w:leftChars="0" w:firstLine="0" w:firstLineChars="0"/>
              <w:rPr>
                <w:rFonts w:hint="default" w:eastAsia="宋体"/>
                <w:b/>
                <w:bCs/>
                <w:color w:val="auto"/>
                <w:sz w:val="24"/>
                <w:szCs w:val="24"/>
                <w:highlight w:val="none"/>
                <w:lang w:val="en-US" w:eastAsia="zh-CN"/>
              </w:rPr>
            </w:pPr>
            <w:r>
              <w:rPr>
                <w:rFonts w:hint="eastAsia"/>
                <w:b/>
                <w:bCs/>
                <w:color w:val="auto"/>
                <w:sz w:val="24"/>
                <w:szCs w:val="24"/>
                <w:highlight w:val="none"/>
                <w:lang w:val="en-US" w:eastAsia="zh-CN"/>
              </w:rPr>
              <w:t>2、废气治理设施</w:t>
            </w:r>
          </w:p>
          <w:p>
            <w:pPr>
              <w:bidi w:val="0"/>
              <w:rPr>
                <w:rFonts w:hint="eastAsia"/>
                <w:color w:val="auto"/>
                <w:lang w:val="en-US" w:eastAsia="zh-CN"/>
              </w:rPr>
            </w:pPr>
            <w:r>
              <w:rPr>
                <w:rFonts w:hint="eastAsia"/>
                <w:color w:val="auto"/>
                <w:lang w:val="en-US" w:eastAsia="zh-CN"/>
              </w:rPr>
              <w:t>本项目建成后，石墨烯电发热膜生产线印刷、印刷烘干、覆膜过程产生的废气与石墨烯电发热体生产线烘干及烧结还原废气，采用风机引入1套两级活性炭吸附装置（TA002）进行处理，处理后与喷镀废气一起通过1根30m高排气筒（DA001）排放至大气中。本项目对现有烘干及烧结还原废气治理设施活性炭吸附装置进行提升改造，增大活性炭填装量及风机风量。喷镀废气治理方式不发生变化。</w:t>
            </w:r>
          </w:p>
          <w:p>
            <w:pPr>
              <w:bidi w:val="0"/>
              <w:rPr>
                <w:rFonts w:hint="default"/>
                <w:b/>
                <w:bCs/>
                <w:color w:val="auto"/>
                <w:lang w:val="en-US" w:eastAsia="zh-CN"/>
              </w:rPr>
            </w:pPr>
            <w:r>
              <w:rPr>
                <w:rFonts w:hint="eastAsia"/>
                <w:b/>
                <w:bCs/>
                <w:color w:val="auto"/>
                <w:lang w:val="en-US" w:eastAsia="zh-CN"/>
              </w:rPr>
              <w:t>废气治理设施产污节点主要为：风机运行产生的噪声；活性炭吸附装置定期更换的废活性炭。</w:t>
            </w:r>
          </w:p>
          <w:p>
            <w:pPr>
              <w:bidi w:val="0"/>
              <w:ind w:left="0" w:leftChars="0" w:firstLine="0" w:firstLineChars="0"/>
              <w:rPr>
                <w:rFonts w:hint="default"/>
                <w:b/>
                <w:bCs/>
                <w:color w:val="auto"/>
                <w:sz w:val="24"/>
                <w:szCs w:val="24"/>
                <w:highlight w:val="none"/>
              </w:rPr>
            </w:pPr>
            <w:r>
              <w:rPr>
                <w:rFonts w:hint="default"/>
                <w:b/>
                <w:bCs/>
                <w:color w:val="auto"/>
                <w:sz w:val="24"/>
                <w:szCs w:val="24"/>
                <w:highlight w:val="none"/>
              </w:rPr>
              <w:t>主要污染工序：</w:t>
            </w:r>
          </w:p>
          <w:p>
            <w:pPr>
              <w:bidi w:val="0"/>
              <w:rPr>
                <w:rFonts w:hint="default"/>
                <w:color w:val="auto"/>
              </w:rPr>
            </w:pPr>
            <w:r>
              <w:rPr>
                <w:rFonts w:hint="default"/>
                <w:color w:val="auto"/>
              </w:rPr>
              <w:t>（1）废气：</w:t>
            </w:r>
            <w:r>
              <w:rPr>
                <w:rFonts w:hint="eastAsia"/>
                <w:color w:val="auto"/>
                <w:lang w:val="en-US" w:eastAsia="zh-CN"/>
              </w:rPr>
              <w:t>本项目废气污染源主要</w:t>
            </w:r>
            <w:r>
              <w:rPr>
                <w:rFonts w:hint="default"/>
                <w:color w:val="auto"/>
              </w:rPr>
              <w:t>为</w:t>
            </w:r>
            <w:r>
              <w:rPr>
                <w:rFonts w:hint="eastAsia"/>
                <w:color w:val="auto"/>
                <w:lang w:val="en-US" w:eastAsia="zh-CN"/>
              </w:rPr>
              <w:t>印刷、印刷烘干、覆膜过程产生的废气；导电浆料混合分散过程产生的废气；PVC膜封边过程产生的废气</w:t>
            </w:r>
            <w:r>
              <w:rPr>
                <w:rFonts w:hint="default"/>
                <w:color w:val="auto"/>
              </w:rPr>
              <w:t>。</w:t>
            </w:r>
          </w:p>
          <w:p>
            <w:pPr>
              <w:bidi w:val="0"/>
              <w:rPr>
                <w:rFonts w:hint="default"/>
                <w:color w:val="auto"/>
                <w:sz w:val="24"/>
                <w:szCs w:val="24"/>
                <w:highlight w:val="none"/>
              </w:rPr>
            </w:pPr>
            <w:r>
              <w:rPr>
                <w:rFonts w:hint="default"/>
                <w:color w:val="auto"/>
                <w:sz w:val="24"/>
                <w:szCs w:val="24"/>
                <w:highlight w:val="none"/>
              </w:rPr>
              <w:t>（</w:t>
            </w:r>
            <w:r>
              <w:rPr>
                <w:rFonts w:hint="eastAsia"/>
                <w:color w:val="auto"/>
                <w:sz w:val="24"/>
                <w:szCs w:val="24"/>
                <w:highlight w:val="none"/>
                <w:lang w:val="en-US" w:eastAsia="zh-CN"/>
              </w:rPr>
              <w:t>2</w:t>
            </w:r>
            <w:r>
              <w:rPr>
                <w:rFonts w:hint="default"/>
                <w:color w:val="auto"/>
                <w:sz w:val="24"/>
                <w:szCs w:val="24"/>
                <w:highlight w:val="none"/>
              </w:rPr>
              <w:t>）噪声：</w:t>
            </w:r>
            <w:r>
              <w:rPr>
                <w:rFonts w:hint="eastAsia"/>
                <w:color w:val="auto"/>
                <w:sz w:val="24"/>
                <w:szCs w:val="24"/>
                <w:highlight w:val="none"/>
                <w:lang w:val="en-US" w:eastAsia="zh-CN"/>
              </w:rPr>
              <w:t>本项目噪声污染源</w:t>
            </w:r>
            <w:r>
              <w:rPr>
                <w:rFonts w:hint="default"/>
                <w:color w:val="auto"/>
                <w:sz w:val="24"/>
                <w:szCs w:val="24"/>
                <w:highlight w:val="none"/>
              </w:rPr>
              <w:t>主要为</w:t>
            </w:r>
            <w:r>
              <w:rPr>
                <w:rFonts w:hint="eastAsia"/>
                <w:color w:val="auto"/>
                <w:sz w:val="24"/>
                <w:szCs w:val="24"/>
                <w:highlight w:val="none"/>
                <w:lang w:val="en-US" w:eastAsia="zh-CN"/>
              </w:rPr>
              <w:t>设备</w:t>
            </w:r>
            <w:r>
              <w:rPr>
                <w:rFonts w:hint="default"/>
                <w:color w:val="auto"/>
                <w:sz w:val="24"/>
                <w:szCs w:val="24"/>
                <w:highlight w:val="none"/>
              </w:rPr>
              <w:t>运行产生的噪声。</w:t>
            </w:r>
          </w:p>
          <w:p>
            <w:pPr>
              <w:keepNext w:val="0"/>
              <w:keepLines w:val="0"/>
              <w:pageBreakBefore w:val="0"/>
              <w:widowControl w:val="0"/>
              <w:tabs>
                <w:tab w:val="left" w:pos="6310"/>
              </w:tabs>
              <w:kinsoku/>
              <w:wordWrap/>
              <w:overflowPunct/>
              <w:topLinePunct w:val="0"/>
              <w:autoSpaceDE/>
              <w:autoSpaceDN/>
              <w:bidi w:val="0"/>
              <w:spacing w:line="480" w:lineRule="exact"/>
              <w:ind w:right="0" w:rightChars="0" w:firstLine="480" w:firstLineChars="200"/>
              <w:textAlignment w:val="auto"/>
              <w:outlineLvl w:val="9"/>
              <w:rPr>
                <w:rFonts w:hint="default" w:ascii="Times New Roman" w:hAnsi="Times New Roman" w:eastAsia="宋体" w:cs="Times New Roman"/>
                <w:color w:val="auto"/>
                <w:kern w:val="2"/>
                <w:sz w:val="24"/>
                <w:szCs w:val="24"/>
                <w:highlight w:val="none"/>
                <w:lang w:val="en-US" w:eastAsia="zh-CN" w:bidi="ar-SA"/>
              </w:rPr>
            </w:pPr>
            <w:r>
              <w:rPr>
                <w:rFonts w:hint="default"/>
                <w:color w:val="auto"/>
                <w:sz w:val="24"/>
                <w:szCs w:val="24"/>
                <w:highlight w:val="none"/>
              </w:rPr>
              <w:t>（</w:t>
            </w:r>
            <w:r>
              <w:rPr>
                <w:rFonts w:hint="eastAsia"/>
                <w:color w:val="auto"/>
                <w:sz w:val="24"/>
                <w:szCs w:val="24"/>
                <w:highlight w:val="none"/>
                <w:lang w:val="en-US" w:eastAsia="zh-CN"/>
              </w:rPr>
              <w:t>3</w:t>
            </w:r>
            <w:r>
              <w:rPr>
                <w:rFonts w:hint="default"/>
                <w:color w:val="auto"/>
                <w:sz w:val="24"/>
                <w:szCs w:val="24"/>
                <w:highlight w:val="none"/>
              </w:rPr>
              <w:t>）固体废物：</w:t>
            </w:r>
            <w:r>
              <w:rPr>
                <w:rFonts w:hint="eastAsia"/>
                <w:color w:val="auto"/>
                <w:sz w:val="24"/>
                <w:szCs w:val="24"/>
                <w:highlight w:val="none"/>
                <w:lang w:val="en-US" w:eastAsia="zh-CN"/>
              </w:rPr>
              <w:t>本项目固体废物主要为生产过程产生的废包装物；裁切过程产生的PET膜边角料、PVC膜边角料；设备维护保养过程产生的废润滑油、废润滑油桶；生产过程中产生的</w:t>
            </w:r>
            <w:r>
              <w:rPr>
                <w:rFonts w:hint="eastAsia"/>
                <w:color w:val="auto"/>
                <w:lang w:val="en-US" w:eastAsia="zh-CN"/>
              </w:rPr>
              <w:t>废包装桶（导电浆料配制原料包装桶）；废气治理设施定期更换的废活性炭</w:t>
            </w:r>
            <w:r>
              <w:rPr>
                <w:rFonts w:hint="eastAsia"/>
                <w:color w:val="auto"/>
                <w:highlight w:val="none"/>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40" w:type="dxa"/>
            <w:noWrap w:val="0"/>
            <w:vAlign w:val="center"/>
          </w:tcPr>
          <w:p>
            <w:pPr>
              <w:pStyle w:val="21"/>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0"/>
                <w:sz w:val="21"/>
                <w:szCs w:val="21"/>
                <w:highlight w:val="none"/>
                <w:shd w:val="clear" w:color="auto" w:fill="auto"/>
                <w:lang w:val="en-US" w:eastAsia="zh-CN" w:bidi="ar-SA"/>
              </w:rPr>
            </w:pPr>
            <w:r>
              <w:rPr>
                <w:rFonts w:hint="default" w:ascii="Times New Roman" w:hAnsi="Times New Roman" w:eastAsia="宋体" w:cs="Times New Roman"/>
                <w:bCs/>
                <w:color w:val="auto"/>
                <w:kern w:val="2"/>
                <w:sz w:val="24"/>
                <w:szCs w:val="24"/>
                <w:highlight w:val="none"/>
                <w:shd w:val="clear" w:color="auto" w:fill="auto"/>
              </w:rPr>
              <w:t>与项目有关的原有环境污染问题</w:t>
            </w:r>
          </w:p>
        </w:tc>
        <w:tc>
          <w:tcPr>
            <w:tcW w:w="8514" w:type="dxa"/>
            <w:noWrap w:val="0"/>
            <w:vAlign w:val="top"/>
          </w:tcPr>
          <w:p>
            <w:pPr>
              <w:adjustRightInd w:val="0"/>
              <w:snapToGrid w:val="0"/>
              <w:spacing w:line="480" w:lineRule="exact"/>
              <w:ind w:firstLine="480" w:firstLineChars="200"/>
              <w:rPr>
                <w:color w:val="auto"/>
                <w:kern w:val="0"/>
                <w:sz w:val="24"/>
                <w:highlight w:val="none"/>
                <w:lang w:val="zh-CN"/>
              </w:rPr>
            </w:pPr>
            <w:r>
              <w:rPr>
                <w:rFonts w:hint="eastAsia"/>
                <w:color w:val="auto"/>
                <w:sz w:val="24"/>
                <w:szCs w:val="24"/>
                <w:highlight w:val="none"/>
                <w:lang w:val="en-US" w:eastAsia="zh-CN"/>
              </w:rPr>
              <w:t>唐山烯彤科技有限公司位于唐山市高新区学院北路1718-1号，成立于2020年11月18日，于2020年03月实施了年产八万套石墨烯电发热元件及年产三千吨高性能等静压石墨项目，主要建设石墨烯电发热元件生产线和等静压石墨生产线，年产</w:t>
            </w:r>
            <w:r>
              <w:rPr>
                <w:rFonts w:hint="eastAsia" w:ascii="Times New Roman" w:hAnsi="Times New Roman" w:eastAsia="宋体"/>
                <w:color w:val="auto"/>
                <w:sz w:val="24"/>
                <w:szCs w:val="30"/>
              </w:rPr>
              <w:t>石墨烯电发热元件8万套、高性能等静压石墨3000t</w:t>
            </w:r>
            <w:r>
              <w:rPr>
                <w:rFonts w:hint="eastAsia"/>
                <w:color w:val="auto"/>
                <w:sz w:val="24"/>
                <w:szCs w:val="24"/>
                <w:highlight w:val="none"/>
                <w:lang w:val="en-US" w:eastAsia="zh-CN"/>
              </w:rPr>
              <w:t>。该项目于2020年03月09日取得唐山高新技术产业开发区行政审批局的审批意见（唐高行审环表[2020]4号），并于2020年11月06日进行了自主验收，并取得了专家签字的验收意见。企业于2020年11月17日进行了排污登记，取得固定污染源排污登记回执，登记编号：91130293MA0D04HWXG001X，有效期为2020年11月17日至2025年11月16日。</w:t>
            </w:r>
          </w:p>
          <w:p>
            <w:pPr>
              <w:numPr>
                <w:ilvl w:val="0"/>
                <w:numId w:val="0"/>
              </w:numPr>
              <w:ind w:leftChars="0"/>
              <w:rPr>
                <w:rFonts w:hint="default"/>
                <w:b/>
                <w:bCs/>
                <w:color w:val="auto"/>
                <w:highlight w:val="none"/>
                <w:lang w:val="en-US" w:eastAsia="zh-CN"/>
              </w:rPr>
            </w:pPr>
            <w:r>
              <w:rPr>
                <w:rFonts w:hint="eastAsia"/>
                <w:b/>
                <w:bCs/>
                <w:color w:val="auto"/>
                <w:highlight w:val="none"/>
                <w:lang w:val="en-US" w:eastAsia="zh-CN"/>
              </w:rPr>
              <w:t>1、现有工程污染物排放情况</w:t>
            </w:r>
          </w:p>
          <w:p>
            <w:pPr>
              <w:bidi w:val="0"/>
              <w:rPr>
                <w:rFonts w:hint="eastAsia" w:ascii="Times New Roman"/>
                <w:snapToGrid w:val="0"/>
                <w:color w:val="auto"/>
                <w:spacing w:val="0"/>
                <w:sz w:val="24"/>
                <w:szCs w:val="24"/>
                <w:highlight w:val="none"/>
                <w:lang w:val="en-US" w:eastAsia="zh-CN"/>
              </w:rPr>
            </w:pPr>
            <w:r>
              <w:rPr>
                <w:rFonts w:hint="eastAsia"/>
                <w:snapToGrid w:val="0"/>
                <w:color w:val="auto"/>
                <w:spacing w:val="0"/>
                <w:sz w:val="24"/>
                <w:szCs w:val="24"/>
                <w:highlight w:val="none"/>
                <w:lang w:val="en-US" w:eastAsia="zh-CN"/>
              </w:rPr>
              <w:t>（1）废气</w:t>
            </w:r>
          </w:p>
          <w:p>
            <w:pPr>
              <w:bidi w:val="0"/>
              <w:ind w:firstLine="480" w:firstLineChars="200"/>
              <w:rPr>
                <w:rFonts w:hint="default"/>
                <w:color w:val="auto"/>
                <w:highlight w:val="none"/>
                <w:lang w:val="en-US" w:eastAsia="zh-CN"/>
              </w:rPr>
            </w:pPr>
            <w:r>
              <w:rPr>
                <w:rFonts w:hint="eastAsia"/>
                <w:color w:val="auto"/>
                <w:highlight w:val="none"/>
                <w:lang w:val="en-US" w:eastAsia="zh-CN"/>
              </w:rPr>
              <w:t>现有工程废气污染源主要为镀膜过程产生的废气、银浆电极烘干和烧结还原过程产生的废气。</w:t>
            </w:r>
          </w:p>
          <w:p>
            <w:pPr>
              <w:bidi w:val="0"/>
              <w:ind w:firstLine="480" w:firstLineChars="200"/>
              <w:rPr>
                <w:rFonts w:hint="default"/>
                <w:color w:val="auto"/>
                <w:highlight w:val="none"/>
                <w:lang w:val="en-US" w:eastAsia="zh-CN"/>
              </w:rPr>
            </w:pPr>
            <w:r>
              <w:rPr>
                <w:rFonts w:hint="eastAsia"/>
                <w:color w:val="auto"/>
                <w:highlight w:val="none"/>
                <w:lang w:val="en-US" w:eastAsia="zh-CN"/>
              </w:rPr>
              <w:t>①有组织废气</w:t>
            </w:r>
          </w:p>
          <w:p>
            <w:pPr>
              <w:bidi w:val="0"/>
              <w:rPr>
                <w:rFonts w:hint="eastAsia"/>
                <w:color w:val="auto"/>
                <w:highlight w:val="none"/>
                <w:lang w:val="en-US" w:eastAsia="zh-CN"/>
              </w:rPr>
            </w:pPr>
            <w:r>
              <w:rPr>
                <w:rFonts w:hint="eastAsia"/>
                <w:color w:val="auto"/>
                <w:lang w:val="en-US" w:eastAsia="zh-CN"/>
              </w:rPr>
              <w:t>河北合利环境检测服务有限公司于2020年09月16日-17日对唐山烯彤科技有限公司年产八万套石墨烯电发热元件及年产三千吨高性能等静压石墨项目进行了验收监测，并于2020年11月05日出具了检测报告（报告编号：HHJC2020Y028），唐山烯彤科技有限公司现有工程</w:t>
            </w:r>
            <w:r>
              <w:rPr>
                <w:rFonts w:hint="eastAsia"/>
                <w:color w:val="auto"/>
                <w:highlight w:val="none"/>
                <w:lang w:val="en-US" w:eastAsia="zh-CN"/>
              </w:rPr>
              <w:t>有组织废气产生、处理及达标排放情况见下表。</w:t>
            </w:r>
          </w:p>
          <w:p>
            <w:pPr>
              <w:bidi w:val="0"/>
              <w:rPr>
                <w:rFonts w:hint="eastAsia"/>
                <w:color w:val="auto"/>
                <w:highlight w:val="none"/>
                <w:lang w:val="en-US" w:eastAsia="zh-CN"/>
              </w:rPr>
            </w:pPr>
          </w:p>
          <w:p>
            <w:pPr>
              <w:bidi w:val="0"/>
              <w:rPr>
                <w:rFonts w:hint="eastAsia"/>
                <w:color w:val="auto"/>
                <w:highlight w:val="none"/>
                <w:lang w:val="en-US" w:eastAsia="zh-CN"/>
              </w:rPr>
            </w:pPr>
          </w:p>
          <w:p>
            <w:pPr>
              <w:bidi w:val="0"/>
              <w:ind w:left="0" w:leftChars="0" w:firstLine="0" w:firstLineChars="0"/>
              <w:rPr>
                <w:rFonts w:hint="default"/>
                <w:color w:val="auto"/>
                <w:highlight w:val="none"/>
                <w:lang w:val="en-US" w:eastAsia="zh-CN"/>
              </w:rPr>
            </w:pPr>
          </w:p>
          <w:p>
            <w:pPr>
              <w:bidi w:val="0"/>
              <w:ind w:left="0" w:leftChars="0" w:firstLine="0" w:firstLineChars="0"/>
              <w:rPr>
                <w:rFonts w:hint="default"/>
                <w:color w:val="auto"/>
                <w:highlight w:val="none"/>
                <w:lang w:val="en-US" w:eastAsia="zh-CN"/>
              </w:rPr>
            </w:pPr>
          </w:p>
          <w:p>
            <w:pPr>
              <w:bidi w:val="0"/>
              <w:ind w:left="0" w:leftChars="0" w:firstLine="0" w:firstLineChars="0"/>
              <w:rPr>
                <w:rFonts w:hint="default"/>
                <w:color w:val="auto"/>
                <w:highlight w:val="none"/>
                <w:lang w:val="en-US" w:eastAsia="zh-CN"/>
              </w:rPr>
            </w:pPr>
          </w:p>
          <w:p>
            <w:pPr>
              <w:bidi w:val="0"/>
              <w:ind w:left="0" w:leftChars="0" w:firstLine="0" w:firstLineChars="0"/>
              <w:rPr>
                <w:rFonts w:hint="default"/>
                <w:color w:val="auto"/>
                <w:highlight w:val="none"/>
                <w:lang w:val="en-US" w:eastAsia="zh-CN"/>
              </w:rPr>
            </w:pPr>
          </w:p>
          <w:p>
            <w:pPr>
              <w:bidi w:val="0"/>
              <w:ind w:left="0" w:leftChars="0" w:firstLine="0" w:firstLineChars="0"/>
              <w:rPr>
                <w:rFonts w:hint="default"/>
                <w:color w:val="auto"/>
                <w:highlight w:val="none"/>
                <w:lang w:val="en-US" w:eastAsia="zh-CN"/>
              </w:rPr>
            </w:pPr>
          </w:p>
          <w:p>
            <w:pPr>
              <w:bidi w:val="0"/>
              <w:ind w:left="0" w:leftChars="0" w:firstLine="0" w:firstLineChars="0"/>
              <w:rPr>
                <w:rFonts w:hint="default"/>
                <w:color w:val="auto"/>
                <w:highlight w:val="none"/>
                <w:lang w:val="en-US" w:eastAsia="zh-CN"/>
              </w:rPr>
            </w:pPr>
          </w:p>
          <w:p>
            <w:pPr>
              <w:bidi w:val="0"/>
              <w:ind w:left="0" w:leftChars="0" w:firstLine="0" w:firstLineChars="0"/>
              <w:rPr>
                <w:rFonts w:hint="default"/>
                <w:color w:val="auto"/>
                <w:highlight w:val="none"/>
                <w:lang w:val="en-US" w:eastAsia="zh-CN"/>
              </w:rPr>
            </w:pPr>
          </w:p>
          <w:p>
            <w:pPr>
              <w:bidi w:val="0"/>
              <w:ind w:left="0" w:leftChars="0" w:firstLine="0" w:firstLineChars="0"/>
              <w:rPr>
                <w:rFonts w:hint="default"/>
                <w:color w:val="auto"/>
                <w:highlight w:val="none"/>
                <w:lang w:val="en-US" w:eastAsia="zh-CN"/>
              </w:rPr>
            </w:pPr>
          </w:p>
          <w:p>
            <w:pPr>
              <w:bidi w:val="0"/>
              <w:ind w:left="0" w:leftChars="0" w:firstLine="0" w:firstLineChars="0"/>
              <w:rPr>
                <w:rFonts w:hint="default"/>
                <w:color w:val="auto"/>
                <w:highlight w:val="none"/>
                <w:lang w:val="en-US" w:eastAsia="zh-CN"/>
              </w:rPr>
            </w:pPr>
          </w:p>
          <w:p>
            <w:pPr>
              <w:bidi w:val="0"/>
              <w:ind w:left="0" w:leftChars="0" w:firstLine="0" w:firstLineChars="0"/>
              <w:rPr>
                <w:rFonts w:hint="default"/>
                <w:color w:val="auto"/>
                <w:highlight w:val="none"/>
                <w:lang w:val="en-US" w:eastAsia="zh-CN"/>
              </w:rPr>
            </w:pPr>
          </w:p>
          <w:p>
            <w:pPr>
              <w:bidi w:val="0"/>
              <w:ind w:left="0" w:leftChars="0" w:firstLine="0" w:firstLineChars="0"/>
              <w:rPr>
                <w:rFonts w:hint="default"/>
                <w:color w:val="auto"/>
                <w:highlight w:val="none"/>
                <w:lang w:val="en-US" w:eastAsia="zh-CN"/>
              </w:rPr>
            </w:pPr>
          </w:p>
          <w:p>
            <w:pPr>
              <w:bidi w:val="0"/>
              <w:ind w:left="0" w:leftChars="0" w:firstLine="0" w:firstLineChars="0"/>
              <w:rPr>
                <w:rFonts w:hint="default"/>
                <w:color w:val="auto"/>
                <w:highlight w:val="none"/>
                <w:lang w:val="en-US" w:eastAsia="zh-CN"/>
              </w:rPr>
            </w:pPr>
          </w:p>
          <w:p>
            <w:pPr>
              <w:bidi w:val="0"/>
              <w:ind w:left="0" w:leftChars="0" w:firstLine="0" w:firstLineChars="0"/>
              <w:rPr>
                <w:rFonts w:hint="default"/>
                <w:color w:val="auto"/>
                <w:highlight w:val="none"/>
                <w:lang w:val="en-US" w:eastAsia="zh-CN"/>
              </w:rPr>
            </w:pPr>
          </w:p>
          <w:p>
            <w:pPr>
              <w:bidi w:val="0"/>
              <w:ind w:left="0" w:leftChars="0" w:firstLine="0" w:firstLineChars="0"/>
              <w:rPr>
                <w:rFonts w:hint="default"/>
                <w:color w:val="auto"/>
                <w:highlight w:val="none"/>
                <w:lang w:val="en-US" w:eastAsia="zh-CN"/>
              </w:rPr>
            </w:pPr>
          </w:p>
          <w:p>
            <w:pPr>
              <w:bidi w:val="0"/>
              <w:ind w:left="0" w:leftChars="0" w:firstLine="0" w:firstLineChars="0"/>
              <w:rPr>
                <w:rFonts w:hint="default"/>
                <w:color w:val="auto"/>
                <w:highlight w:val="none"/>
                <w:lang w:val="en-US" w:eastAsia="zh-CN"/>
              </w:rPr>
            </w:pPr>
          </w:p>
          <w:p>
            <w:pPr>
              <w:bidi w:val="0"/>
              <w:ind w:left="0" w:leftChars="0" w:firstLine="0" w:firstLineChars="0"/>
              <w:rPr>
                <w:rFonts w:hint="default"/>
                <w:color w:val="auto"/>
                <w:highlight w:val="none"/>
                <w:lang w:val="en-US" w:eastAsia="zh-CN"/>
              </w:rPr>
            </w:pPr>
          </w:p>
          <w:p>
            <w:pPr>
              <w:bidi w:val="0"/>
              <w:ind w:left="0" w:leftChars="0" w:firstLine="0" w:firstLineChars="0"/>
              <w:rPr>
                <w:rFonts w:hint="default"/>
                <w:color w:val="auto"/>
                <w:highlight w:val="none"/>
                <w:lang w:val="en-US" w:eastAsia="zh-CN"/>
              </w:rPr>
            </w:pPr>
          </w:p>
          <w:p>
            <w:pPr>
              <w:bidi w:val="0"/>
              <w:ind w:left="0" w:leftChars="0" w:firstLine="0" w:firstLineChars="0"/>
              <w:rPr>
                <w:rFonts w:hint="default"/>
                <w:color w:val="auto"/>
                <w:highlight w:val="none"/>
                <w:lang w:val="en-US" w:eastAsia="zh-CN"/>
              </w:rPr>
            </w:pPr>
          </w:p>
          <w:p>
            <w:pPr>
              <w:bidi w:val="0"/>
              <w:ind w:left="0" w:leftChars="0" w:firstLine="0" w:firstLineChars="0"/>
              <w:rPr>
                <w:rFonts w:hint="default"/>
                <w:color w:val="auto"/>
                <w:highlight w:val="none"/>
                <w:lang w:val="en-US" w:eastAsia="zh-CN"/>
              </w:rPr>
            </w:pPr>
          </w:p>
        </w:tc>
      </w:tr>
    </w:tbl>
    <w:p>
      <w:pPr>
        <w:rPr>
          <w:rFonts w:hint="eastAsia" w:ascii="黑体" w:hAnsi="黑体" w:eastAsia="黑体" w:cs="Times New Roman"/>
          <w:snapToGrid w:val="0"/>
          <w:color w:val="auto"/>
          <w:sz w:val="30"/>
          <w:szCs w:val="30"/>
          <w:highlight w:val="none"/>
        </w:rPr>
        <w:sectPr>
          <w:footerReference r:id="rId10" w:type="default"/>
          <w:pgSz w:w="11906" w:h="16838"/>
          <w:pgMar w:top="1440" w:right="1247" w:bottom="1440" w:left="1417"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25"/>
        <w:tblW w:w="141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8"/>
        <w:gridCol w:w="132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8" w:type="dxa"/>
            <w:tcBorders>
              <w:top w:val="single" w:color="auto" w:sz="8" w:space="0"/>
              <w:left w:val="single" w:color="auto" w:sz="8" w:space="0"/>
              <w:bottom w:val="single" w:color="auto" w:sz="8" w:space="0"/>
            </w:tcBorders>
            <w:vAlign w:val="top"/>
          </w:tcPr>
          <w:p>
            <w:pPr>
              <w:rPr>
                <w:rFonts w:hint="eastAsia" w:ascii="黑体" w:hAnsi="黑体" w:eastAsia="黑体" w:cs="Times New Roman"/>
                <w:snapToGrid w:val="0"/>
                <w:color w:val="auto"/>
                <w:sz w:val="30"/>
                <w:szCs w:val="30"/>
                <w:highlight w:val="none"/>
                <w:vertAlign w:val="baseline"/>
              </w:rPr>
            </w:pPr>
          </w:p>
        </w:tc>
        <w:tc>
          <w:tcPr>
            <w:tcW w:w="13055" w:type="dxa"/>
            <w:tcBorders>
              <w:top w:val="single" w:color="auto" w:sz="8" w:space="0"/>
              <w:bottom w:val="single" w:color="auto" w:sz="8" w:space="0"/>
              <w:right w:val="single" w:color="auto" w:sz="8" w:space="0"/>
            </w:tcBorders>
            <w:vAlign w:val="top"/>
          </w:tcPr>
          <w:p>
            <w:pPr>
              <w:pStyle w:val="12"/>
              <w:keepNext w:val="0"/>
              <w:keepLines w:val="0"/>
              <w:pageBreakBefore w:val="0"/>
              <w:widowControl w:val="0"/>
              <w:kinsoku/>
              <w:wordWrap/>
              <w:overflowPunct/>
              <w:topLinePunct w:val="0"/>
              <w:autoSpaceDE/>
              <w:autoSpaceDN/>
              <w:bidi w:val="0"/>
              <w:adjustRightInd/>
              <w:snapToGrid/>
              <w:spacing w:after="0" w:line="480" w:lineRule="exact"/>
              <w:ind w:left="0" w:leftChars="0" w:right="0" w:rightChars="0" w:firstLine="0" w:firstLineChars="0"/>
              <w:jc w:val="center"/>
              <w:textAlignment w:val="auto"/>
              <w:rPr>
                <w:rFonts w:hint="eastAsia" w:eastAsia="宋体"/>
                <w:color w:val="auto"/>
                <w:highlight w:val="none"/>
                <w:lang w:val="en-US" w:eastAsia="zh-CN"/>
              </w:rPr>
            </w:pPr>
            <w:r>
              <w:rPr>
                <w:rFonts w:eastAsia="宋体"/>
                <w:b/>
                <w:color w:val="auto"/>
                <w:spacing w:val="0"/>
                <w:sz w:val="21"/>
                <w:szCs w:val="21"/>
                <w:highlight w:val="none"/>
              </w:rPr>
              <w:t>表</w:t>
            </w:r>
            <w:r>
              <w:rPr>
                <w:rFonts w:hint="eastAsia"/>
                <w:b/>
                <w:color w:val="auto"/>
                <w:spacing w:val="0"/>
                <w:sz w:val="21"/>
                <w:szCs w:val="21"/>
                <w:highlight w:val="none"/>
                <w:lang w:val="en-US" w:eastAsia="zh-CN"/>
              </w:rPr>
              <w:t xml:space="preserve">19  </w:t>
            </w:r>
            <w:r>
              <w:rPr>
                <w:rFonts w:eastAsia="宋体"/>
                <w:b/>
                <w:color w:val="auto"/>
                <w:spacing w:val="0"/>
                <w:sz w:val="21"/>
                <w:szCs w:val="21"/>
                <w:highlight w:val="none"/>
              </w:rPr>
              <w:t>现有工程</w:t>
            </w:r>
            <w:r>
              <w:rPr>
                <w:rFonts w:hint="eastAsia" w:eastAsia="宋体"/>
                <w:b/>
                <w:color w:val="auto"/>
                <w:spacing w:val="0"/>
                <w:sz w:val="21"/>
                <w:szCs w:val="21"/>
                <w:highlight w:val="none"/>
                <w:lang w:eastAsia="zh-CN"/>
              </w:rPr>
              <w:t>有组织</w:t>
            </w:r>
            <w:r>
              <w:rPr>
                <w:rFonts w:eastAsia="宋体"/>
                <w:b/>
                <w:color w:val="auto"/>
                <w:spacing w:val="0"/>
                <w:sz w:val="21"/>
                <w:szCs w:val="21"/>
                <w:highlight w:val="none"/>
              </w:rPr>
              <w:t>废气产生、处理及达标排放情况</w:t>
            </w:r>
            <w:r>
              <w:rPr>
                <w:rFonts w:hint="eastAsia"/>
                <w:b/>
                <w:color w:val="auto"/>
                <w:spacing w:val="0"/>
                <w:sz w:val="21"/>
                <w:szCs w:val="21"/>
                <w:highlight w:val="none"/>
                <w:lang w:val="en-US" w:eastAsia="zh-CN"/>
              </w:rPr>
              <w:t>一览表</w:t>
            </w:r>
          </w:p>
          <w:tbl>
            <w:tblPr>
              <w:tblStyle w:val="24"/>
              <w:tblW w:w="1303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535"/>
              <w:gridCol w:w="853"/>
              <w:gridCol w:w="548"/>
              <w:gridCol w:w="1594"/>
              <w:gridCol w:w="1229"/>
              <w:gridCol w:w="519"/>
              <w:gridCol w:w="616"/>
              <w:gridCol w:w="939"/>
              <w:gridCol w:w="595"/>
              <w:gridCol w:w="882"/>
              <w:gridCol w:w="1328"/>
              <w:gridCol w:w="1247"/>
              <w:gridCol w:w="822"/>
              <w:gridCol w:w="869"/>
              <w:gridCol w:w="46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0" w:hRule="atLeast"/>
                <w:jc w:val="center"/>
              </w:trPr>
              <w:tc>
                <w:tcPr>
                  <w:tcW w:w="205" w:type="pct"/>
                  <w:vMerge w:val="restart"/>
                  <w:tcBorders>
                    <w:tl2br w:val="nil"/>
                    <w:tr2bl w:val="nil"/>
                  </w:tcBorders>
                  <w:noWrap w:val="0"/>
                  <w:vAlign w:val="center"/>
                </w:tcPr>
                <w:p>
                  <w:pPr>
                    <w:pStyle w:val="53"/>
                    <w:keepNext w:val="0"/>
                    <w:keepLines w:val="0"/>
                    <w:pageBreakBefore w:val="0"/>
                    <w:widowControl w:val="0"/>
                    <w:kinsoku/>
                    <w:wordWrap/>
                    <w:overflowPunct/>
                    <w:topLinePunct w:val="0"/>
                    <w:bidi w:val="0"/>
                    <w:spacing w:line="240" w:lineRule="auto"/>
                    <w:ind w:left="0" w:firstLine="0" w:firstLineChars="0"/>
                    <w:jc w:val="center"/>
                    <w:textAlignment w:val="auto"/>
                    <w:rPr>
                      <w:rFonts w:eastAsia="宋体"/>
                      <w:color w:val="auto"/>
                      <w:spacing w:val="0"/>
                      <w:sz w:val="21"/>
                      <w:szCs w:val="21"/>
                      <w:highlight w:val="none"/>
                    </w:rPr>
                  </w:pPr>
                  <w:r>
                    <w:rPr>
                      <w:rFonts w:eastAsia="宋体"/>
                      <w:color w:val="auto"/>
                      <w:spacing w:val="0"/>
                      <w:sz w:val="21"/>
                      <w:szCs w:val="21"/>
                      <w:highlight w:val="none"/>
                    </w:rPr>
                    <w:t>类型</w:t>
                  </w:r>
                </w:p>
              </w:tc>
              <w:tc>
                <w:tcPr>
                  <w:tcW w:w="327" w:type="pct"/>
                  <w:vMerge w:val="restart"/>
                  <w:tcBorders>
                    <w:tl2br w:val="nil"/>
                    <w:tr2bl w:val="nil"/>
                  </w:tcBorders>
                  <w:noWrap w:val="0"/>
                  <w:vAlign w:val="center"/>
                </w:tcPr>
                <w:p>
                  <w:pPr>
                    <w:pStyle w:val="53"/>
                    <w:keepNext w:val="0"/>
                    <w:keepLines w:val="0"/>
                    <w:pageBreakBefore w:val="0"/>
                    <w:widowControl w:val="0"/>
                    <w:tabs>
                      <w:tab w:val="left" w:pos="1620"/>
                    </w:tabs>
                    <w:kinsoku/>
                    <w:wordWrap/>
                    <w:overflowPunct/>
                    <w:topLinePunct w:val="0"/>
                    <w:bidi w:val="0"/>
                    <w:spacing w:line="240" w:lineRule="auto"/>
                    <w:ind w:left="0" w:firstLine="0" w:firstLineChars="0"/>
                    <w:jc w:val="center"/>
                    <w:textAlignment w:val="auto"/>
                    <w:rPr>
                      <w:rFonts w:eastAsia="宋体"/>
                      <w:color w:val="auto"/>
                      <w:spacing w:val="0"/>
                      <w:sz w:val="21"/>
                      <w:szCs w:val="21"/>
                      <w:highlight w:val="none"/>
                    </w:rPr>
                  </w:pPr>
                  <w:r>
                    <w:rPr>
                      <w:rFonts w:eastAsia="宋体"/>
                      <w:color w:val="auto"/>
                      <w:spacing w:val="0"/>
                      <w:sz w:val="21"/>
                      <w:szCs w:val="21"/>
                      <w:highlight w:val="none"/>
                    </w:rPr>
                    <w:t>污染源</w:t>
                  </w:r>
                </w:p>
              </w:tc>
              <w:tc>
                <w:tcPr>
                  <w:tcW w:w="210" w:type="pct"/>
                  <w:vMerge w:val="restart"/>
                  <w:tcBorders>
                    <w:tl2br w:val="nil"/>
                    <w:tr2bl w:val="nil"/>
                  </w:tcBorders>
                  <w:noWrap w:val="0"/>
                  <w:vAlign w:val="center"/>
                </w:tcPr>
                <w:p>
                  <w:pPr>
                    <w:pStyle w:val="53"/>
                    <w:keepNext w:val="0"/>
                    <w:keepLines w:val="0"/>
                    <w:pageBreakBefore w:val="0"/>
                    <w:widowControl w:val="0"/>
                    <w:kinsoku/>
                    <w:wordWrap/>
                    <w:overflowPunct/>
                    <w:topLinePunct w:val="0"/>
                    <w:bidi w:val="0"/>
                    <w:spacing w:line="240" w:lineRule="auto"/>
                    <w:ind w:left="0" w:firstLine="0" w:firstLineChars="0"/>
                    <w:jc w:val="center"/>
                    <w:textAlignment w:val="auto"/>
                    <w:rPr>
                      <w:rFonts w:eastAsia="宋体"/>
                      <w:color w:val="auto"/>
                      <w:spacing w:val="0"/>
                      <w:sz w:val="21"/>
                      <w:szCs w:val="21"/>
                      <w:highlight w:val="none"/>
                    </w:rPr>
                  </w:pPr>
                  <w:r>
                    <w:rPr>
                      <w:rFonts w:eastAsia="宋体"/>
                      <w:snapToGrid w:val="0"/>
                      <w:color w:val="auto"/>
                      <w:spacing w:val="0"/>
                      <w:sz w:val="21"/>
                      <w:szCs w:val="21"/>
                      <w:highlight w:val="none"/>
                    </w:rPr>
                    <w:t>主要污染因子</w:t>
                  </w:r>
                </w:p>
              </w:tc>
              <w:tc>
                <w:tcPr>
                  <w:tcW w:w="1082" w:type="pct"/>
                  <w:gridSpan w:val="2"/>
                  <w:vMerge w:val="restart"/>
                  <w:tcBorders>
                    <w:tl2br w:val="nil"/>
                    <w:tr2bl w:val="nil"/>
                  </w:tcBorders>
                  <w:noWrap w:val="0"/>
                  <w:vAlign w:val="center"/>
                </w:tcPr>
                <w:p>
                  <w:pPr>
                    <w:pStyle w:val="53"/>
                    <w:keepNext w:val="0"/>
                    <w:keepLines w:val="0"/>
                    <w:pageBreakBefore w:val="0"/>
                    <w:widowControl w:val="0"/>
                    <w:kinsoku/>
                    <w:wordWrap/>
                    <w:overflowPunct/>
                    <w:topLinePunct w:val="0"/>
                    <w:bidi w:val="0"/>
                    <w:spacing w:line="240" w:lineRule="auto"/>
                    <w:ind w:left="0" w:firstLine="0" w:firstLineChars="0"/>
                    <w:jc w:val="center"/>
                    <w:textAlignment w:val="auto"/>
                    <w:rPr>
                      <w:rFonts w:eastAsia="宋体"/>
                      <w:color w:val="auto"/>
                      <w:spacing w:val="0"/>
                      <w:sz w:val="21"/>
                      <w:szCs w:val="21"/>
                      <w:highlight w:val="none"/>
                    </w:rPr>
                  </w:pPr>
                  <w:r>
                    <w:rPr>
                      <w:rFonts w:eastAsia="宋体"/>
                      <w:snapToGrid w:val="0"/>
                      <w:color w:val="auto"/>
                      <w:spacing w:val="0"/>
                      <w:sz w:val="21"/>
                      <w:szCs w:val="21"/>
                      <w:highlight w:val="none"/>
                    </w:rPr>
                    <w:t>治理措施</w:t>
                  </w:r>
                </w:p>
              </w:tc>
              <w:tc>
                <w:tcPr>
                  <w:tcW w:w="1870" w:type="pct"/>
                  <w:gridSpan w:val="6"/>
                  <w:tcBorders>
                    <w:tl2br w:val="nil"/>
                    <w:tr2bl w:val="nil"/>
                  </w:tcBorders>
                  <w:noWrap w:val="0"/>
                  <w:vAlign w:val="center"/>
                </w:tcPr>
                <w:p>
                  <w:pPr>
                    <w:pStyle w:val="53"/>
                    <w:keepNext w:val="0"/>
                    <w:keepLines w:val="0"/>
                    <w:pageBreakBefore w:val="0"/>
                    <w:widowControl w:val="0"/>
                    <w:kinsoku/>
                    <w:wordWrap/>
                    <w:overflowPunct/>
                    <w:topLinePunct w:val="0"/>
                    <w:bidi w:val="0"/>
                    <w:adjustRightInd w:val="0"/>
                    <w:snapToGrid w:val="0"/>
                    <w:spacing w:line="240" w:lineRule="auto"/>
                    <w:ind w:left="0" w:firstLine="0" w:firstLineChars="0"/>
                    <w:jc w:val="center"/>
                    <w:textAlignment w:val="auto"/>
                    <w:rPr>
                      <w:rFonts w:eastAsia="宋体"/>
                      <w:color w:val="auto"/>
                      <w:spacing w:val="0"/>
                      <w:sz w:val="21"/>
                      <w:szCs w:val="21"/>
                      <w:highlight w:val="none"/>
                    </w:rPr>
                  </w:pPr>
                  <w:r>
                    <w:rPr>
                      <w:rFonts w:eastAsia="宋体"/>
                      <w:color w:val="auto"/>
                      <w:spacing w:val="0"/>
                      <w:sz w:val="21"/>
                      <w:szCs w:val="21"/>
                      <w:highlight w:val="none"/>
                    </w:rPr>
                    <w:t>排放情况</w:t>
                  </w:r>
                </w:p>
              </w:tc>
              <w:tc>
                <w:tcPr>
                  <w:tcW w:w="1126" w:type="pct"/>
                  <w:gridSpan w:val="3"/>
                  <w:tcBorders>
                    <w:tl2br w:val="nil"/>
                    <w:tr2bl w:val="nil"/>
                  </w:tcBorders>
                  <w:noWrap w:val="0"/>
                  <w:vAlign w:val="center"/>
                </w:tcPr>
                <w:p>
                  <w:pPr>
                    <w:pStyle w:val="53"/>
                    <w:keepNext w:val="0"/>
                    <w:keepLines w:val="0"/>
                    <w:pageBreakBefore w:val="0"/>
                    <w:widowControl w:val="0"/>
                    <w:kinsoku/>
                    <w:wordWrap/>
                    <w:overflowPunct/>
                    <w:topLinePunct w:val="0"/>
                    <w:bidi w:val="0"/>
                    <w:adjustRightInd w:val="0"/>
                    <w:snapToGrid w:val="0"/>
                    <w:spacing w:line="240" w:lineRule="auto"/>
                    <w:ind w:left="0" w:firstLine="0" w:firstLineChars="0"/>
                    <w:jc w:val="center"/>
                    <w:textAlignment w:val="auto"/>
                    <w:rPr>
                      <w:rFonts w:eastAsia="宋体"/>
                      <w:color w:val="auto"/>
                      <w:spacing w:val="0"/>
                      <w:sz w:val="21"/>
                      <w:szCs w:val="21"/>
                      <w:highlight w:val="none"/>
                    </w:rPr>
                  </w:pPr>
                  <w:r>
                    <w:rPr>
                      <w:rFonts w:eastAsia="宋体"/>
                      <w:color w:val="auto"/>
                      <w:spacing w:val="0"/>
                      <w:sz w:val="21"/>
                      <w:szCs w:val="21"/>
                      <w:highlight w:val="none"/>
                    </w:rPr>
                    <w:t>排放要求</w:t>
                  </w:r>
                </w:p>
              </w:tc>
              <w:tc>
                <w:tcPr>
                  <w:tcW w:w="177" w:type="pct"/>
                  <w:vMerge w:val="restart"/>
                  <w:tcBorders>
                    <w:tl2br w:val="nil"/>
                    <w:tr2bl w:val="nil"/>
                  </w:tcBorders>
                  <w:noWrap w:val="0"/>
                  <w:vAlign w:val="center"/>
                </w:tcPr>
                <w:p>
                  <w:pPr>
                    <w:pStyle w:val="53"/>
                    <w:keepNext w:val="0"/>
                    <w:keepLines w:val="0"/>
                    <w:pageBreakBefore w:val="0"/>
                    <w:widowControl w:val="0"/>
                    <w:kinsoku/>
                    <w:wordWrap/>
                    <w:overflowPunct/>
                    <w:topLinePunct w:val="0"/>
                    <w:bidi w:val="0"/>
                    <w:adjustRightInd w:val="0"/>
                    <w:snapToGrid w:val="0"/>
                    <w:spacing w:line="240" w:lineRule="auto"/>
                    <w:ind w:left="0" w:firstLine="0" w:firstLineChars="0"/>
                    <w:jc w:val="center"/>
                    <w:textAlignment w:val="auto"/>
                    <w:rPr>
                      <w:rFonts w:eastAsia="宋体"/>
                      <w:color w:val="auto"/>
                      <w:spacing w:val="0"/>
                      <w:sz w:val="21"/>
                      <w:szCs w:val="21"/>
                      <w:highlight w:val="none"/>
                    </w:rPr>
                  </w:pPr>
                  <w:r>
                    <w:rPr>
                      <w:rFonts w:eastAsia="宋体"/>
                      <w:color w:val="auto"/>
                      <w:spacing w:val="0"/>
                      <w:sz w:val="21"/>
                      <w:szCs w:val="21"/>
                      <w:highlight w:val="none"/>
                    </w:rPr>
                    <w:t>达标情况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99" w:hRule="atLeast"/>
                <w:jc w:val="center"/>
              </w:trPr>
              <w:tc>
                <w:tcPr>
                  <w:tcW w:w="205" w:type="pct"/>
                  <w:vMerge w:val="continue"/>
                  <w:tcBorders>
                    <w:tl2br w:val="nil"/>
                    <w:tr2bl w:val="nil"/>
                  </w:tcBorders>
                  <w:noWrap w:val="0"/>
                  <w:vAlign w:val="center"/>
                </w:tcPr>
                <w:p>
                  <w:pPr>
                    <w:pStyle w:val="53"/>
                    <w:keepNext w:val="0"/>
                    <w:keepLines w:val="0"/>
                    <w:pageBreakBefore w:val="0"/>
                    <w:widowControl w:val="0"/>
                    <w:kinsoku/>
                    <w:wordWrap/>
                    <w:overflowPunct/>
                    <w:topLinePunct w:val="0"/>
                    <w:bidi w:val="0"/>
                    <w:spacing w:line="240" w:lineRule="auto"/>
                    <w:ind w:left="0" w:firstLine="0" w:firstLineChars="0"/>
                    <w:jc w:val="center"/>
                    <w:textAlignment w:val="auto"/>
                    <w:rPr>
                      <w:rFonts w:eastAsia="宋体"/>
                      <w:color w:val="auto"/>
                      <w:spacing w:val="0"/>
                      <w:sz w:val="21"/>
                      <w:szCs w:val="21"/>
                      <w:highlight w:val="none"/>
                    </w:rPr>
                  </w:pPr>
                </w:p>
              </w:tc>
              <w:tc>
                <w:tcPr>
                  <w:tcW w:w="327" w:type="pct"/>
                  <w:vMerge w:val="continue"/>
                  <w:tcBorders>
                    <w:tl2br w:val="nil"/>
                    <w:tr2bl w:val="nil"/>
                  </w:tcBorders>
                  <w:noWrap w:val="0"/>
                  <w:vAlign w:val="center"/>
                </w:tcPr>
                <w:p>
                  <w:pPr>
                    <w:pStyle w:val="53"/>
                    <w:keepNext w:val="0"/>
                    <w:keepLines w:val="0"/>
                    <w:pageBreakBefore w:val="0"/>
                    <w:widowControl w:val="0"/>
                    <w:tabs>
                      <w:tab w:val="left" w:pos="1620"/>
                    </w:tabs>
                    <w:kinsoku/>
                    <w:wordWrap/>
                    <w:overflowPunct/>
                    <w:topLinePunct w:val="0"/>
                    <w:bidi w:val="0"/>
                    <w:spacing w:line="240" w:lineRule="auto"/>
                    <w:ind w:left="0" w:firstLine="0" w:firstLineChars="0"/>
                    <w:jc w:val="center"/>
                    <w:textAlignment w:val="auto"/>
                    <w:rPr>
                      <w:rFonts w:eastAsia="宋体"/>
                      <w:color w:val="auto"/>
                      <w:spacing w:val="0"/>
                      <w:sz w:val="21"/>
                      <w:szCs w:val="21"/>
                      <w:highlight w:val="none"/>
                    </w:rPr>
                  </w:pPr>
                </w:p>
              </w:tc>
              <w:tc>
                <w:tcPr>
                  <w:tcW w:w="210" w:type="pct"/>
                  <w:vMerge w:val="continue"/>
                  <w:tcBorders>
                    <w:tl2br w:val="nil"/>
                    <w:tr2bl w:val="nil"/>
                  </w:tcBorders>
                  <w:noWrap w:val="0"/>
                  <w:vAlign w:val="center"/>
                </w:tcPr>
                <w:p>
                  <w:pPr>
                    <w:pStyle w:val="53"/>
                    <w:keepNext w:val="0"/>
                    <w:keepLines w:val="0"/>
                    <w:pageBreakBefore w:val="0"/>
                    <w:widowControl w:val="0"/>
                    <w:kinsoku/>
                    <w:wordWrap/>
                    <w:overflowPunct/>
                    <w:topLinePunct w:val="0"/>
                    <w:bidi w:val="0"/>
                    <w:spacing w:line="240" w:lineRule="auto"/>
                    <w:ind w:left="0" w:firstLine="0" w:firstLineChars="0"/>
                    <w:jc w:val="center"/>
                    <w:textAlignment w:val="auto"/>
                    <w:rPr>
                      <w:rFonts w:eastAsia="宋体"/>
                      <w:color w:val="auto"/>
                      <w:spacing w:val="0"/>
                      <w:sz w:val="21"/>
                      <w:szCs w:val="21"/>
                      <w:highlight w:val="none"/>
                    </w:rPr>
                  </w:pPr>
                </w:p>
              </w:tc>
              <w:tc>
                <w:tcPr>
                  <w:tcW w:w="1082" w:type="pct"/>
                  <w:gridSpan w:val="2"/>
                  <w:vMerge w:val="continue"/>
                  <w:tcBorders>
                    <w:tl2br w:val="nil"/>
                    <w:tr2bl w:val="nil"/>
                  </w:tcBorders>
                  <w:noWrap w:val="0"/>
                  <w:vAlign w:val="center"/>
                </w:tcPr>
                <w:p>
                  <w:pPr>
                    <w:pStyle w:val="53"/>
                    <w:keepNext w:val="0"/>
                    <w:keepLines w:val="0"/>
                    <w:pageBreakBefore w:val="0"/>
                    <w:widowControl w:val="0"/>
                    <w:kinsoku/>
                    <w:wordWrap/>
                    <w:overflowPunct/>
                    <w:topLinePunct w:val="0"/>
                    <w:bidi w:val="0"/>
                    <w:spacing w:line="240" w:lineRule="auto"/>
                    <w:ind w:left="0" w:firstLine="0" w:firstLineChars="0"/>
                    <w:jc w:val="center"/>
                    <w:textAlignment w:val="auto"/>
                    <w:rPr>
                      <w:rFonts w:eastAsia="宋体"/>
                      <w:color w:val="auto"/>
                      <w:spacing w:val="0"/>
                      <w:sz w:val="21"/>
                      <w:szCs w:val="21"/>
                      <w:highlight w:val="none"/>
                    </w:rPr>
                  </w:pPr>
                </w:p>
              </w:tc>
              <w:tc>
                <w:tcPr>
                  <w:tcW w:w="435" w:type="pct"/>
                  <w:gridSpan w:val="2"/>
                  <w:tcBorders>
                    <w:tl2br w:val="nil"/>
                    <w:tr2bl w:val="nil"/>
                  </w:tcBorders>
                  <w:noWrap w:val="0"/>
                  <w:vAlign w:val="center"/>
                </w:tcPr>
                <w:p>
                  <w:pPr>
                    <w:pStyle w:val="53"/>
                    <w:keepNext w:val="0"/>
                    <w:keepLines w:val="0"/>
                    <w:pageBreakBefore w:val="0"/>
                    <w:widowControl w:val="0"/>
                    <w:kinsoku/>
                    <w:wordWrap/>
                    <w:overflowPunct/>
                    <w:topLinePunct w:val="0"/>
                    <w:bidi w:val="0"/>
                    <w:spacing w:line="240" w:lineRule="auto"/>
                    <w:ind w:left="0" w:firstLine="0" w:firstLineChars="0"/>
                    <w:jc w:val="center"/>
                    <w:textAlignment w:val="auto"/>
                    <w:rPr>
                      <w:rFonts w:hint="eastAsia" w:eastAsia="宋体"/>
                      <w:color w:val="auto"/>
                      <w:spacing w:val="0"/>
                      <w:sz w:val="21"/>
                      <w:szCs w:val="21"/>
                      <w:highlight w:val="none"/>
                      <w:lang w:val="en-US" w:eastAsia="zh-CN"/>
                    </w:rPr>
                  </w:pPr>
                  <w:r>
                    <w:rPr>
                      <w:rFonts w:eastAsia="宋体"/>
                      <w:color w:val="auto"/>
                      <w:spacing w:val="0"/>
                      <w:sz w:val="21"/>
                      <w:szCs w:val="21"/>
                      <w:highlight w:val="none"/>
                    </w:rPr>
                    <w:t>排放浓度</w:t>
                  </w:r>
                  <w:r>
                    <w:rPr>
                      <w:rFonts w:hint="eastAsia"/>
                      <w:color w:val="auto"/>
                      <w:spacing w:val="0"/>
                      <w:sz w:val="21"/>
                      <w:szCs w:val="21"/>
                      <w:highlight w:val="none"/>
                      <w:lang w:eastAsia="zh-CN"/>
                    </w:rPr>
                    <w:t>（</w:t>
                  </w:r>
                  <w:r>
                    <w:rPr>
                      <w:rFonts w:eastAsia="宋体"/>
                      <w:color w:val="auto"/>
                      <w:spacing w:val="0"/>
                      <w:sz w:val="21"/>
                      <w:szCs w:val="21"/>
                      <w:highlight w:val="none"/>
                    </w:rPr>
                    <w:t>mg/m</w:t>
                  </w:r>
                  <w:r>
                    <w:rPr>
                      <w:rFonts w:eastAsia="宋体"/>
                      <w:color w:val="auto"/>
                      <w:spacing w:val="0"/>
                      <w:sz w:val="21"/>
                      <w:szCs w:val="21"/>
                      <w:highlight w:val="none"/>
                      <w:vertAlign w:val="superscript"/>
                    </w:rPr>
                    <w:t>3</w:t>
                  </w:r>
                  <w:r>
                    <w:rPr>
                      <w:rFonts w:hint="eastAsia"/>
                      <w:color w:val="auto"/>
                      <w:spacing w:val="0"/>
                      <w:sz w:val="21"/>
                      <w:szCs w:val="21"/>
                      <w:highlight w:val="none"/>
                      <w:lang w:eastAsia="zh-CN"/>
                    </w:rPr>
                    <w:t>）</w:t>
                  </w:r>
                </w:p>
              </w:tc>
              <w:tc>
                <w:tcPr>
                  <w:tcW w:w="360" w:type="pct"/>
                  <w:tcBorders>
                    <w:tl2br w:val="nil"/>
                    <w:tr2bl w:val="nil"/>
                  </w:tcBorders>
                  <w:noWrap w:val="0"/>
                  <w:vAlign w:val="center"/>
                </w:tcPr>
                <w:p>
                  <w:pPr>
                    <w:pStyle w:val="53"/>
                    <w:keepNext w:val="0"/>
                    <w:keepLines w:val="0"/>
                    <w:pageBreakBefore w:val="0"/>
                    <w:widowControl w:val="0"/>
                    <w:kinsoku/>
                    <w:wordWrap/>
                    <w:overflowPunct/>
                    <w:topLinePunct w:val="0"/>
                    <w:bidi w:val="0"/>
                    <w:spacing w:line="240" w:lineRule="auto"/>
                    <w:ind w:left="0" w:firstLine="0" w:firstLineChars="0"/>
                    <w:jc w:val="center"/>
                    <w:textAlignment w:val="auto"/>
                    <w:rPr>
                      <w:rFonts w:eastAsia="宋体"/>
                      <w:color w:val="auto"/>
                      <w:spacing w:val="0"/>
                      <w:sz w:val="21"/>
                      <w:szCs w:val="21"/>
                      <w:highlight w:val="none"/>
                    </w:rPr>
                  </w:pPr>
                  <w:r>
                    <w:rPr>
                      <w:rFonts w:eastAsia="宋体"/>
                      <w:color w:val="auto"/>
                      <w:spacing w:val="0"/>
                      <w:sz w:val="21"/>
                      <w:szCs w:val="21"/>
                      <w:highlight w:val="none"/>
                    </w:rPr>
                    <w:t>排放速率</w:t>
                  </w:r>
                  <w:r>
                    <w:rPr>
                      <w:rFonts w:hint="eastAsia"/>
                      <w:color w:val="auto"/>
                      <w:spacing w:val="0"/>
                      <w:sz w:val="21"/>
                      <w:szCs w:val="21"/>
                      <w:highlight w:val="none"/>
                      <w:lang w:eastAsia="zh-CN"/>
                    </w:rPr>
                    <w:t>（</w:t>
                  </w:r>
                  <w:r>
                    <w:rPr>
                      <w:rFonts w:eastAsia="宋体"/>
                      <w:color w:val="auto"/>
                      <w:spacing w:val="0"/>
                      <w:sz w:val="21"/>
                      <w:szCs w:val="21"/>
                      <w:highlight w:val="none"/>
                    </w:rPr>
                    <w:t>kg/h</w:t>
                  </w:r>
                  <w:r>
                    <w:rPr>
                      <w:rFonts w:hint="eastAsia"/>
                      <w:color w:val="auto"/>
                      <w:spacing w:val="0"/>
                      <w:sz w:val="21"/>
                      <w:szCs w:val="21"/>
                      <w:highlight w:val="none"/>
                      <w:lang w:eastAsia="zh-CN"/>
                    </w:rPr>
                    <w:t>）</w:t>
                  </w:r>
                </w:p>
              </w:tc>
              <w:tc>
                <w:tcPr>
                  <w:tcW w:w="228" w:type="pct"/>
                  <w:tcBorders>
                    <w:tl2br w:val="nil"/>
                    <w:tr2bl w:val="nil"/>
                  </w:tcBorders>
                  <w:noWrap w:val="0"/>
                  <w:vAlign w:val="center"/>
                </w:tcPr>
                <w:p>
                  <w:pPr>
                    <w:pStyle w:val="53"/>
                    <w:keepNext w:val="0"/>
                    <w:keepLines w:val="0"/>
                    <w:pageBreakBefore w:val="0"/>
                    <w:widowControl w:val="0"/>
                    <w:kinsoku/>
                    <w:wordWrap/>
                    <w:overflowPunct/>
                    <w:topLinePunct w:val="0"/>
                    <w:bidi w:val="0"/>
                    <w:spacing w:line="240" w:lineRule="auto"/>
                    <w:ind w:left="0" w:firstLine="0" w:firstLineChars="0"/>
                    <w:jc w:val="center"/>
                    <w:textAlignment w:val="auto"/>
                    <w:rPr>
                      <w:rFonts w:hint="eastAsia" w:eastAsia="宋体"/>
                      <w:color w:val="auto"/>
                      <w:spacing w:val="0"/>
                      <w:sz w:val="21"/>
                      <w:szCs w:val="21"/>
                      <w:highlight w:val="none"/>
                      <w:lang w:val="en-US" w:eastAsia="zh-CN"/>
                    </w:rPr>
                  </w:pPr>
                  <w:r>
                    <w:rPr>
                      <w:rFonts w:hint="eastAsia"/>
                      <w:color w:val="auto"/>
                      <w:spacing w:val="0"/>
                      <w:sz w:val="21"/>
                      <w:szCs w:val="21"/>
                      <w:highlight w:val="none"/>
                      <w:lang w:val="en-US" w:eastAsia="zh-CN"/>
                    </w:rPr>
                    <w:t>检测工况</w:t>
                  </w:r>
                </w:p>
              </w:tc>
              <w:tc>
                <w:tcPr>
                  <w:tcW w:w="338" w:type="pct"/>
                  <w:tcBorders>
                    <w:tl2br w:val="nil"/>
                    <w:tr2bl w:val="nil"/>
                  </w:tcBorders>
                  <w:noWrap w:val="0"/>
                  <w:vAlign w:val="center"/>
                </w:tcPr>
                <w:p>
                  <w:pPr>
                    <w:pStyle w:val="53"/>
                    <w:keepNext w:val="0"/>
                    <w:keepLines w:val="0"/>
                    <w:pageBreakBefore w:val="0"/>
                    <w:widowControl w:val="0"/>
                    <w:kinsoku/>
                    <w:wordWrap/>
                    <w:overflowPunct/>
                    <w:topLinePunct w:val="0"/>
                    <w:bidi w:val="0"/>
                    <w:spacing w:line="240" w:lineRule="auto"/>
                    <w:ind w:left="0" w:firstLine="0" w:firstLineChars="0"/>
                    <w:jc w:val="center"/>
                    <w:textAlignment w:val="auto"/>
                    <w:rPr>
                      <w:rFonts w:hint="eastAsia" w:eastAsia="宋体"/>
                      <w:color w:val="auto"/>
                      <w:spacing w:val="0"/>
                      <w:sz w:val="21"/>
                      <w:szCs w:val="21"/>
                      <w:highlight w:val="none"/>
                      <w:lang w:val="en-US" w:eastAsia="zh-CN"/>
                    </w:rPr>
                  </w:pPr>
                  <w:r>
                    <w:rPr>
                      <w:rFonts w:hint="eastAsia"/>
                      <w:color w:val="auto"/>
                      <w:spacing w:val="0"/>
                      <w:sz w:val="21"/>
                      <w:szCs w:val="21"/>
                      <w:highlight w:val="none"/>
                      <w:lang w:val="en-US" w:eastAsia="zh-CN"/>
                    </w:rPr>
                    <w:t>运行时间（h/a）</w:t>
                  </w:r>
                </w:p>
              </w:tc>
              <w:tc>
                <w:tcPr>
                  <w:tcW w:w="506" w:type="pct"/>
                  <w:tcBorders>
                    <w:tl2br w:val="nil"/>
                    <w:tr2bl w:val="nil"/>
                  </w:tcBorders>
                  <w:noWrap w:val="0"/>
                  <w:vAlign w:val="center"/>
                </w:tcPr>
                <w:p>
                  <w:pPr>
                    <w:pStyle w:val="53"/>
                    <w:keepNext w:val="0"/>
                    <w:keepLines w:val="0"/>
                    <w:pageBreakBefore w:val="0"/>
                    <w:widowControl w:val="0"/>
                    <w:kinsoku/>
                    <w:wordWrap/>
                    <w:overflowPunct/>
                    <w:topLinePunct w:val="0"/>
                    <w:bidi w:val="0"/>
                    <w:spacing w:line="240" w:lineRule="auto"/>
                    <w:ind w:left="0" w:firstLine="0" w:firstLineChars="0"/>
                    <w:jc w:val="center"/>
                    <w:textAlignment w:val="auto"/>
                    <w:rPr>
                      <w:rFonts w:hint="default" w:eastAsia="宋体"/>
                      <w:color w:val="auto"/>
                      <w:spacing w:val="0"/>
                      <w:sz w:val="21"/>
                      <w:szCs w:val="21"/>
                      <w:highlight w:val="none"/>
                      <w:lang w:val="en-US" w:eastAsia="zh-CN"/>
                    </w:rPr>
                  </w:pPr>
                  <w:r>
                    <w:rPr>
                      <w:rFonts w:hint="eastAsia"/>
                      <w:color w:val="auto"/>
                      <w:spacing w:val="0"/>
                      <w:sz w:val="21"/>
                      <w:szCs w:val="21"/>
                      <w:highlight w:val="none"/>
                      <w:lang w:val="en-US" w:eastAsia="zh-CN"/>
                    </w:rPr>
                    <w:t>折算为满负荷工况下年排放量（t/a）</w:t>
                  </w:r>
                </w:p>
              </w:tc>
              <w:tc>
                <w:tcPr>
                  <w:tcW w:w="478" w:type="pct"/>
                  <w:tcBorders>
                    <w:tl2br w:val="nil"/>
                    <w:tr2bl w:val="nil"/>
                  </w:tcBorders>
                  <w:noWrap w:val="0"/>
                  <w:vAlign w:val="center"/>
                </w:tcPr>
                <w:p>
                  <w:pPr>
                    <w:pStyle w:val="53"/>
                    <w:keepNext w:val="0"/>
                    <w:keepLines w:val="0"/>
                    <w:pageBreakBefore w:val="0"/>
                    <w:widowControl w:val="0"/>
                    <w:kinsoku/>
                    <w:wordWrap/>
                    <w:overflowPunct/>
                    <w:topLinePunct w:val="0"/>
                    <w:bidi w:val="0"/>
                    <w:spacing w:line="240" w:lineRule="auto"/>
                    <w:ind w:left="0" w:firstLine="0" w:firstLineChars="0"/>
                    <w:jc w:val="center"/>
                    <w:textAlignment w:val="auto"/>
                    <w:rPr>
                      <w:rFonts w:hint="eastAsia" w:eastAsia="宋体"/>
                      <w:color w:val="auto"/>
                      <w:spacing w:val="0"/>
                      <w:sz w:val="21"/>
                      <w:szCs w:val="21"/>
                      <w:highlight w:val="none"/>
                      <w:lang w:eastAsia="zh-CN"/>
                    </w:rPr>
                  </w:pPr>
                  <w:r>
                    <w:rPr>
                      <w:rFonts w:hint="eastAsia"/>
                      <w:color w:val="auto"/>
                      <w:spacing w:val="0"/>
                      <w:sz w:val="21"/>
                      <w:szCs w:val="21"/>
                      <w:highlight w:val="none"/>
                      <w:lang w:val="en-US" w:eastAsia="zh-CN"/>
                    </w:rPr>
                    <w:t>执行标准</w:t>
                  </w:r>
                </w:p>
              </w:tc>
              <w:tc>
                <w:tcPr>
                  <w:tcW w:w="315" w:type="pct"/>
                  <w:tcBorders>
                    <w:tl2br w:val="nil"/>
                    <w:tr2bl w:val="nil"/>
                  </w:tcBorders>
                  <w:noWrap w:val="0"/>
                  <w:vAlign w:val="center"/>
                </w:tcPr>
                <w:p>
                  <w:pPr>
                    <w:pStyle w:val="53"/>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ascii="Times New Roman" w:hAnsi="Times New Roman" w:eastAsia="宋体" w:cs="Times New Roman"/>
                      <w:color w:val="auto"/>
                      <w:spacing w:val="0"/>
                      <w:kern w:val="2"/>
                      <w:sz w:val="21"/>
                      <w:szCs w:val="21"/>
                      <w:highlight w:val="none"/>
                      <w:lang w:val="en-US" w:eastAsia="zh-CN" w:bidi="ar-SA"/>
                    </w:rPr>
                  </w:pPr>
                  <w:r>
                    <w:rPr>
                      <w:rFonts w:eastAsia="宋体"/>
                      <w:color w:val="auto"/>
                      <w:spacing w:val="0"/>
                      <w:sz w:val="21"/>
                      <w:szCs w:val="21"/>
                      <w:highlight w:val="none"/>
                    </w:rPr>
                    <w:t>排放限值</w:t>
                  </w:r>
                </w:p>
              </w:tc>
              <w:tc>
                <w:tcPr>
                  <w:tcW w:w="333" w:type="pct"/>
                  <w:tcBorders>
                    <w:tl2br w:val="nil"/>
                    <w:tr2bl w:val="nil"/>
                  </w:tcBorders>
                  <w:noWrap w:val="0"/>
                  <w:vAlign w:val="center"/>
                </w:tcPr>
                <w:p>
                  <w:pPr>
                    <w:pStyle w:val="53"/>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hint="eastAsia" w:eastAsia="宋体"/>
                      <w:color w:val="auto"/>
                      <w:spacing w:val="0"/>
                      <w:sz w:val="21"/>
                      <w:szCs w:val="21"/>
                      <w:highlight w:val="none"/>
                      <w:lang w:val="en-US" w:eastAsia="zh-CN"/>
                    </w:rPr>
                  </w:pPr>
                  <w:r>
                    <w:rPr>
                      <w:rFonts w:hint="eastAsia"/>
                      <w:color w:val="auto"/>
                      <w:spacing w:val="0"/>
                      <w:sz w:val="21"/>
                      <w:szCs w:val="21"/>
                      <w:highlight w:val="none"/>
                      <w:lang w:val="en-US" w:eastAsia="zh-CN"/>
                    </w:rPr>
                    <w:t>总量控制指标（t/a）</w:t>
                  </w:r>
                </w:p>
              </w:tc>
              <w:tc>
                <w:tcPr>
                  <w:tcW w:w="177" w:type="pct"/>
                  <w:vMerge w:val="continue"/>
                  <w:tcBorders>
                    <w:tl2br w:val="nil"/>
                    <w:tr2bl w:val="nil"/>
                  </w:tcBorders>
                  <w:noWrap w:val="0"/>
                  <w:vAlign w:val="center"/>
                </w:tcPr>
                <w:p>
                  <w:pPr>
                    <w:pStyle w:val="53"/>
                    <w:keepNext w:val="0"/>
                    <w:keepLines w:val="0"/>
                    <w:pageBreakBefore w:val="0"/>
                    <w:widowControl w:val="0"/>
                    <w:kinsoku/>
                    <w:wordWrap/>
                    <w:overflowPunct/>
                    <w:topLinePunct w:val="0"/>
                    <w:bidi w:val="0"/>
                    <w:adjustRightInd w:val="0"/>
                    <w:snapToGrid w:val="0"/>
                    <w:spacing w:line="240" w:lineRule="auto"/>
                    <w:ind w:left="0" w:firstLine="0" w:firstLineChars="0"/>
                    <w:jc w:val="center"/>
                    <w:textAlignment w:val="auto"/>
                    <w:rPr>
                      <w:rFonts w:eastAsia="宋体"/>
                      <w:color w:val="auto"/>
                      <w:spacing w:val="0"/>
                      <w:sz w:val="21"/>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140" w:hRule="atLeast"/>
                <w:jc w:val="center"/>
              </w:trPr>
              <w:tc>
                <w:tcPr>
                  <w:tcW w:w="205" w:type="pct"/>
                  <w:vMerge w:val="restart"/>
                  <w:tcBorders>
                    <w:tl2br w:val="nil"/>
                    <w:tr2bl w:val="nil"/>
                  </w:tcBorders>
                  <w:noWrap w:val="0"/>
                  <w:vAlign w:val="center"/>
                </w:tcPr>
                <w:p>
                  <w:pPr>
                    <w:pStyle w:val="53"/>
                    <w:keepNext w:val="0"/>
                    <w:keepLines w:val="0"/>
                    <w:pageBreakBefore w:val="0"/>
                    <w:widowControl w:val="0"/>
                    <w:kinsoku/>
                    <w:wordWrap/>
                    <w:overflowPunct/>
                    <w:topLinePunct w:val="0"/>
                    <w:bidi w:val="0"/>
                    <w:spacing w:line="240" w:lineRule="auto"/>
                    <w:ind w:left="0" w:firstLine="0" w:firstLineChars="0"/>
                    <w:jc w:val="center"/>
                    <w:textAlignment w:val="auto"/>
                    <w:rPr>
                      <w:rFonts w:hint="eastAsia" w:eastAsia="宋体"/>
                      <w:color w:val="auto"/>
                      <w:spacing w:val="0"/>
                      <w:sz w:val="21"/>
                      <w:szCs w:val="21"/>
                      <w:highlight w:val="none"/>
                      <w:lang w:val="en-US" w:eastAsia="zh-CN"/>
                    </w:rPr>
                  </w:pPr>
                  <w:r>
                    <w:rPr>
                      <w:rFonts w:hint="eastAsia" w:eastAsia="宋体"/>
                      <w:color w:val="auto"/>
                      <w:spacing w:val="0"/>
                      <w:sz w:val="21"/>
                      <w:szCs w:val="21"/>
                      <w:highlight w:val="none"/>
                      <w:lang w:val="en-US" w:eastAsia="zh-CN"/>
                    </w:rPr>
                    <w:t>废气</w:t>
                  </w:r>
                </w:p>
              </w:tc>
              <w:tc>
                <w:tcPr>
                  <w:tcW w:w="327" w:type="pct"/>
                  <w:vMerge w:val="restart"/>
                  <w:tcBorders>
                    <w:tl2br w:val="nil"/>
                    <w:tr2bl w:val="nil"/>
                  </w:tcBorders>
                  <w:noWrap w:val="0"/>
                  <w:vAlign w:val="center"/>
                </w:tcPr>
                <w:p>
                  <w:pPr>
                    <w:pStyle w:val="35"/>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hint="default" w:eastAsia="宋体"/>
                      <w:color w:val="auto"/>
                      <w:spacing w:val="0"/>
                      <w:sz w:val="21"/>
                      <w:szCs w:val="21"/>
                      <w:highlight w:val="none"/>
                      <w:lang w:val="en-US" w:eastAsia="zh-CN"/>
                    </w:rPr>
                  </w:pPr>
                  <w:r>
                    <w:rPr>
                      <w:rFonts w:hint="eastAsia"/>
                      <w:color w:val="auto"/>
                      <w:spacing w:val="0"/>
                      <w:sz w:val="21"/>
                      <w:szCs w:val="21"/>
                      <w:highlight w:val="none"/>
                      <w:lang w:val="en-US" w:eastAsia="zh-CN"/>
                    </w:rPr>
                    <w:t>镀膜过程</w:t>
                  </w:r>
                </w:p>
              </w:tc>
              <w:tc>
                <w:tcPr>
                  <w:tcW w:w="210" w:type="pct"/>
                  <w:tcBorders>
                    <w:tl2br w:val="nil"/>
                    <w:tr2bl w:val="nil"/>
                  </w:tcBorders>
                  <w:noWrap w:val="0"/>
                  <w:vAlign w:val="center"/>
                </w:tcPr>
                <w:p>
                  <w:pPr>
                    <w:pStyle w:val="53"/>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hint="eastAsia" w:eastAsia="宋体"/>
                      <w:color w:val="auto"/>
                      <w:spacing w:val="0"/>
                      <w:sz w:val="21"/>
                      <w:szCs w:val="21"/>
                      <w:highlight w:val="none"/>
                      <w:lang w:val="en-US" w:eastAsia="zh-CN"/>
                    </w:rPr>
                  </w:pPr>
                  <w:r>
                    <w:rPr>
                      <w:rFonts w:hint="eastAsia"/>
                      <w:color w:val="auto"/>
                      <w:spacing w:val="0"/>
                      <w:sz w:val="21"/>
                      <w:szCs w:val="21"/>
                      <w:highlight w:val="none"/>
                      <w:lang w:val="en-US" w:eastAsia="zh-CN"/>
                    </w:rPr>
                    <w:t>氟化物</w:t>
                  </w:r>
                </w:p>
              </w:tc>
              <w:tc>
                <w:tcPr>
                  <w:tcW w:w="611" w:type="pct"/>
                  <w:vMerge w:val="restart"/>
                  <w:tcBorders>
                    <w:tl2br w:val="nil"/>
                    <w:tr2bl w:val="nil"/>
                  </w:tcBorders>
                  <w:noWrap w:val="0"/>
                  <w:vAlign w:val="center"/>
                </w:tcPr>
                <w:p>
                  <w:pPr>
                    <w:pStyle w:val="35"/>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hint="eastAsia" w:eastAsia="宋体"/>
                      <w:color w:val="auto"/>
                      <w:spacing w:val="0"/>
                      <w:sz w:val="21"/>
                      <w:szCs w:val="21"/>
                      <w:highlight w:val="none"/>
                      <w:lang w:val="en-US" w:eastAsia="zh-CN"/>
                    </w:rPr>
                  </w:pPr>
                  <w:r>
                    <w:rPr>
                      <w:rFonts w:hint="default" w:eastAsia="宋体"/>
                      <w:color w:val="auto"/>
                      <w:spacing w:val="0"/>
                      <w:sz w:val="21"/>
                      <w:szCs w:val="21"/>
                      <w:highlight w:val="none"/>
                      <w:lang w:val="en-US"/>
                    </w:rPr>
                    <w:t>镀膜机采取封闭措施，并在设备上方设置引风管道，通过风机将废气引入1套三级串联的碱液喷淋塔进行净化处理</w:t>
                  </w:r>
                </w:p>
              </w:tc>
              <w:tc>
                <w:tcPr>
                  <w:tcW w:w="471" w:type="pct"/>
                  <w:vMerge w:val="restart"/>
                  <w:tcBorders>
                    <w:tl2br w:val="nil"/>
                    <w:tr2bl w:val="nil"/>
                  </w:tcBorders>
                  <w:noWrap w:val="0"/>
                  <w:vAlign w:val="center"/>
                </w:tcPr>
                <w:p>
                  <w:pPr>
                    <w:pStyle w:val="35"/>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hint="default" w:eastAsia="宋体"/>
                      <w:color w:val="auto"/>
                      <w:spacing w:val="0"/>
                      <w:sz w:val="21"/>
                      <w:szCs w:val="21"/>
                      <w:highlight w:val="none"/>
                      <w:lang w:val="en-US"/>
                    </w:rPr>
                  </w:pPr>
                  <w:r>
                    <w:rPr>
                      <w:rFonts w:hint="eastAsia"/>
                      <w:color w:val="auto"/>
                      <w:spacing w:val="0"/>
                      <w:sz w:val="21"/>
                      <w:szCs w:val="21"/>
                      <w:highlight w:val="none"/>
                      <w:lang w:val="en-US" w:eastAsia="zh-CN"/>
                    </w:rPr>
                    <w:t>镀膜废气与烘干、烧结还原过程废气经净化处理后共用1根30m高气筒排放</w:t>
                  </w:r>
                </w:p>
              </w:tc>
              <w:tc>
                <w:tcPr>
                  <w:tcW w:w="435" w:type="pct"/>
                  <w:gridSpan w:val="2"/>
                  <w:tcBorders>
                    <w:tl2br w:val="nil"/>
                    <w:tr2bl w:val="nil"/>
                  </w:tcBorders>
                  <w:noWrap w:val="0"/>
                  <w:vAlign w:val="center"/>
                </w:tcPr>
                <w:p>
                  <w:pPr>
                    <w:pStyle w:val="53"/>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hint="default" w:eastAsia="宋体"/>
                      <w:color w:val="auto"/>
                      <w:spacing w:val="0"/>
                      <w:sz w:val="21"/>
                      <w:szCs w:val="21"/>
                      <w:highlight w:val="none"/>
                      <w:lang w:val="en-US" w:eastAsia="zh-CN"/>
                    </w:rPr>
                  </w:pPr>
                  <w:r>
                    <w:rPr>
                      <w:rFonts w:hint="eastAsia"/>
                      <w:color w:val="auto"/>
                      <w:spacing w:val="0"/>
                      <w:sz w:val="21"/>
                      <w:szCs w:val="21"/>
                      <w:highlight w:val="none"/>
                      <w:lang w:val="en-US" w:eastAsia="zh-CN"/>
                    </w:rPr>
                    <w:t>1.32</w:t>
                  </w:r>
                </w:p>
              </w:tc>
              <w:tc>
                <w:tcPr>
                  <w:tcW w:w="360" w:type="pct"/>
                  <w:tcBorders>
                    <w:tl2br w:val="nil"/>
                    <w:tr2bl w:val="nil"/>
                  </w:tcBorders>
                  <w:noWrap w:val="0"/>
                  <w:vAlign w:val="center"/>
                </w:tcPr>
                <w:p>
                  <w:pPr>
                    <w:pStyle w:val="53"/>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hint="default" w:eastAsia="宋体"/>
                      <w:color w:val="auto"/>
                      <w:spacing w:val="0"/>
                      <w:sz w:val="21"/>
                      <w:szCs w:val="21"/>
                      <w:highlight w:val="none"/>
                      <w:lang w:val="en-US" w:eastAsia="zh-CN"/>
                    </w:rPr>
                  </w:pPr>
                  <w:r>
                    <w:rPr>
                      <w:rFonts w:hint="eastAsia"/>
                      <w:color w:val="auto"/>
                      <w:spacing w:val="0"/>
                      <w:sz w:val="21"/>
                      <w:szCs w:val="21"/>
                      <w:highlight w:val="none"/>
                      <w:lang w:val="en-US" w:eastAsia="zh-CN"/>
                    </w:rPr>
                    <w:t>0.00163</w:t>
                  </w:r>
                </w:p>
              </w:tc>
              <w:tc>
                <w:tcPr>
                  <w:tcW w:w="228" w:type="pct"/>
                  <w:vMerge w:val="restart"/>
                  <w:tcBorders>
                    <w:tl2br w:val="nil"/>
                    <w:tr2bl w:val="nil"/>
                  </w:tcBorders>
                  <w:noWrap w:val="0"/>
                  <w:vAlign w:val="center"/>
                </w:tcPr>
                <w:p>
                  <w:pPr>
                    <w:pStyle w:val="53"/>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hint="default" w:eastAsia="宋体"/>
                      <w:color w:val="auto"/>
                      <w:spacing w:val="0"/>
                      <w:sz w:val="21"/>
                      <w:szCs w:val="21"/>
                      <w:highlight w:val="none"/>
                      <w:lang w:val="en-US" w:eastAsia="zh-CN"/>
                    </w:rPr>
                  </w:pPr>
                  <w:r>
                    <w:rPr>
                      <w:rFonts w:hint="eastAsia"/>
                      <w:color w:val="auto"/>
                      <w:spacing w:val="0"/>
                      <w:sz w:val="21"/>
                      <w:szCs w:val="21"/>
                      <w:highlight w:val="none"/>
                      <w:lang w:val="en-US" w:eastAsia="zh-CN"/>
                    </w:rPr>
                    <w:t>85%</w:t>
                  </w:r>
                </w:p>
              </w:tc>
              <w:tc>
                <w:tcPr>
                  <w:tcW w:w="338" w:type="pct"/>
                  <w:vMerge w:val="restart"/>
                  <w:tcBorders>
                    <w:tl2br w:val="nil"/>
                    <w:tr2bl w:val="nil"/>
                  </w:tcBorders>
                  <w:noWrap w:val="0"/>
                  <w:vAlign w:val="center"/>
                </w:tcPr>
                <w:p>
                  <w:pPr>
                    <w:pStyle w:val="53"/>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hint="default"/>
                      <w:color w:val="auto"/>
                      <w:spacing w:val="0"/>
                      <w:sz w:val="21"/>
                      <w:szCs w:val="21"/>
                      <w:highlight w:val="none"/>
                      <w:lang w:val="en-US" w:eastAsia="zh-CN"/>
                    </w:rPr>
                  </w:pPr>
                  <w:r>
                    <w:rPr>
                      <w:rFonts w:hint="eastAsia"/>
                      <w:color w:val="auto"/>
                      <w:spacing w:val="0"/>
                      <w:sz w:val="21"/>
                      <w:szCs w:val="21"/>
                      <w:highlight w:val="none"/>
                      <w:lang w:val="en-US" w:eastAsia="zh-CN"/>
                    </w:rPr>
                    <w:t>2400</w:t>
                  </w:r>
                </w:p>
              </w:tc>
              <w:tc>
                <w:tcPr>
                  <w:tcW w:w="506" w:type="pct"/>
                  <w:tcBorders>
                    <w:tl2br w:val="nil"/>
                    <w:tr2bl w:val="nil"/>
                  </w:tcBorders>
                  <w:noWrap w:val="0"/>
                  <w:vAlign w:val="center"/>
                </w:tcPr>
                <w:p>
                  <w:pPr>
                    <w:pStyle w:val="53"/>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hint="default"/>
                      <w:color w:val="auto"/>
                      <w:spacing w:val="0"/>
                      <w:sz w:val="21"/>
                      <w:szCs w:val="21"/>
                      <w:highlight w:val="none"/>
                      <w:lang w:val="en-US" w:eastAsia="zh-CN"/>
                    </w:rPr>
                  </w:pPr>
                  <w:r>
                    <w:rPr>
                      <w:rFonts w:hint="eastAsia"/>
                      <w:color w:val="auto"/>
                      <w:spacing w:val="0"/>
                      <w:sz w:val="21"/>
                      <w:szCs w:val="21"/>
                      <w:highlight w:val="none"/>
                      <w:lang w:val="en-US" w:eastAsia="zh-CN"/>
                    </w:rPr>
                    <w:t>0.0046</w:t>
                  </w:r>
                </w:p>
              </w:tc>
              <w:tc>
                <w:tcPr>
                  <w:tcW w:w="478" w:type="pct"/>
                  <w:vMerge w:val="restart"/>
                  <w:tcBorders>
                    <w:tl2br w:val="nil"/>
                    <w:tr2bl w:val="nil"/>
                  </w:tcBorders>
                  <w:noWrap w:val="0"/>
                  <w:vAlign w:val="center"/>
                </w:tcPr>
                <w:p>
                  <w:pPr>
                    <w:keepNext w:val="0"/>
                    <w:keepLines w:val="0"/>
                    <w:pageBreakBefore w:val="0"/>
                    <w:widowControl w:val="0"/>
                    <w:kinsoku/>
                    <w:wordWrap w:val="0"/>
                    <w:overflowPunct/>
                    <w:topLinePunct/>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kern w:val="2"/>
                      <w:sz w:val="21"/>
                      <w:szCs w:val="21"/>
                      <w:highlight w:val="none"/>
                      <w:lang w:val="en-US" w:eastAsia="zh-CN" w:bidi="ar-SA"/>
                    </w:rPr>
                    <w:t>《电子工业污染物排放标准（二次征求意见稿）》（环境保护部办公厅 环办标征函[2018]11号）表5大气污染物特别排放限值</w:t>
                  </w:r>
                </w:p>
              </w:tc>
              <w:tc>
                <w:tcPr>
                  <w:tcW w:w="315" w:type="pct"/>
                  <w:tcBorders>
                    <w:tl2br w:val="nil"/>
                    <w:tr2bl w:val="nil"/>
                  </w:tcBorders>
                  <w:noWrap w:val="0"/>
                  <w:vAlign w:val="center"/>
                </w:tcPr>
                <w:p>
                  <w:pPr>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eastAsia" w:cs="Times New Roman"/>
                      <w:b w:val="0"/>
                      <w:bCs w:val="0"/>
                      <w:color w:val="auto"/>
                      <w:spacing w:val="0"/>
                      <w:kern w:val="2"/>
                      <w:sz w:val="21"/>
                      <w:szCs w:val="21"/>
                      <w:highlight w:val="none"/>
                      <w:lang w:val="en-US" w:eastAsia="zh-CN" w:bidi="ar-SA"/>
                    </w:rPr>
                    <w:t>3mg/m</w:t>
                  </w:r>
                  <w:r>
                    <w:rPr>
                      <w:rFonts w:hint="eastAsia" w:cs="Times New Roman"/>
                      <w:b w:val="0"/>
                      <w:bCs w:val="0"/>
                      <w:color w:val="auto"/>
                      <w:spacing w:val="0"/>
                      <w:kern w:val="2"/>
                      <w:sz w:val="21"/>
                      <w:szCs w:val="21"/>
                      <w:highlight w:val="none"/>
                      <w:vertAlign w:val="superscript"/>
                      <w:lang w:val="en-US" w:eastAsia="zh-CN" w:bidi="ar-SA"/>
                    </w:rPr>
                    <w:t>3</w:t>
                  </w:r>
                </w:p>
              </w:tc>
              <w:tc>
                <w:tcPr>
                  <w:tcW w:w="333" w:type="pct"/>
                  <w:tcBorders>
                    <w:tl2br w:val="nil"/>
                    <w:tr2bl w:val="nil"/>
                  </w:tcBorders>
                  <w:noWrap w:val="0"/>
                  <w:vAlign w:val="center"/>
                </w:tcPr>
                <w:p>
                  <w:pPr>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hint="default" w:eastAsia="宋体"/>
                      <w:color w:val="auto"/>
                      <w:spacing w:val="0"/>
                      <w:kern w:val="2"/>
                      <w:sz w:val="21"/>
                      <w:szCs w:val="21"/>
                      <w:highlight w:val="none"/>
                      <w:lang w:val="en-US" w:eastAsia="zh-CN" w:bidi="ar-SA"/>
                    </w:rPr>
                  </w:pPr>
                  <w:r>
                    <w:rPr>
                      <w:rFonts w:hint="eastAsia"/>
                      <w:color w:val="auto"/>
                      <w:spacing w:val="0"/>
                      <w:kern w:val="2"/>
                      <w:sz w:val="21"/>
                      <w:szCs w:val="21"/>
                      <w:highlight w:val="none"/>
                      <w:lang w:val="en-US" w:eastAsia="zh-CN" w:bidi="ar-SA"/>
                    </w:rPr>
                    <w:t>0.013</w:t>
                  </w:r>
                </w:p>
              </w:tc>
              <w:tc>
                <w:tcPr>
                  <w:tcW w:w="177" w:type="pct"/>
                  <w:tcBorders>
                    <w:tl2br w:val="nil"/>
                    <w:tr2bl w:val="nil"/>
                  </w:tcBorders>
                  <w:noWrap w:val="0"/>
                  <w:vAlign w:val="center"/>
                </w:tcPr>
                <w:p>
                  <w:pPr>
                    <w:pStyle w:val="53"/>
                    <w:keepNext w:val="0"/>
                    <w:keepLines w:val="0"/>
                    <w:pageBreakBefore w:val="0"/>
                    <w:widowControl w:val="0"/>
                    <w:kinsoku/>
                    <w:wordWrap/>
                    <w:overflowPunct/>
                    <w:topLinePunct w:val="0"/>
                    <w:bidi w:val="0"/>
                    <w:spacing w:line="240" w:lineRule="auto"/>
                    <w:ind w:left="0" w:firstLine="0" w:firstLineChars="0"/>
                    <w:jc w:val="center"/>
                    <w:textAlignment w:val="auto"/>
                    <w:rPr>
                      <w:rFonts w:hint="default" w:eastAsia="宋体"/>
                      <w:color w:val="auto"/>
                      <w:spacing w:val="0"/>
                      <w:sz w:val="21"/>
                      <w:szCs w:val="21"/>
                      <w:highlight w:val="none"/>
                      <w:lang w:val="en-US" w:eastAsia="zh-CN"/>
                    </w:rPr>
                  </w:pPr>
                  <w:r>
                    <w:rPr>
                      <w:rFonts w:hint="eastAsia"/>
                      <w:color w:val="auto"/>
                      <w:spacing w:val="0"/>
                      <w:sz w:val="21"/>
                      <w:szCs w:val="21"/>
                      <w:highlight w:val="none"/>
                      <w:lang w:val="en-US" w:eastAsia="zh-CN"/>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140" w:hRule="atLeast"/>
                <w:jc w:val="center"/>
              </w:trPr>
              <w:tc>
                <w:tcPr>
                  <w:tcW w:w="205" w:type="pct"/>
                  <w:vMerge w:val="continue"/>
                  <w:tcBorders>
                    <w:tl2br w:val="nil"/>
                    <w:tr2bl w:val="nil"/>
                  </w:tcBorders>
                  <w:noWrap w:val="0"/>
                  <w:vAlign w:val="center"/>
                </w:tcPr>
                <w:p>
                  <w:pPr>
                    <w:pStyle w:val="53"/>
                    <w:keepNext w:val="0"/>
                    <w:keepLines w:val="0"/>
                    <w:pageBreakBefore w:val="0"/>
                    <w:widowControl w:val="0"/>
                    <w:kinsoku/>
                    <w:wordWrap/>
                    <w:overflowPunct/>
                    <w:topLinePunct w:val="0"/>
                    <w:bidi w:val="0"/>
                    <w:spacing w:line="240" w:lineRule="auto"/>
                    <w:ind w:left="0" w:leftChars="0" w:firstLine="0" w:firstLineChars="0"/>
                    <w:jc w:val="center"/>
                    <w:textAlignment w:val="auto"/>
                    <w:rPr>
                      <w:color w:val="auto"/>
                    </w:rPr>
                  </w:pPr>
                </w:p>
              </w:tc>
              <w:tc>
                <w:tcPr>
                  <w:tcW w:w="327" w:type="pct"/>
                  <w:vMerge w:val="continue"/>
                  <w:tcBorders>
                    <w:tl2br w:val="nil"/>
                    <w:tr2bl w:val="nil"/>
                  </w:tcBorders>
                  <w:noWrap w:val="0"/>
                  <w:vAlign w:val="center"/>
                </w:tcPr>
                <w:p>
                  <w:pPr>
                    <w:pStyle w:val="53"/>
                    <w:keepNext w:val="0"/>
                    <w:keepLines w:val="0"/>
                    <w:pageBreakBefore w:val="0"/>
                    <w:widowControl w:val="0"/>
                    <w:kinsoku/>
                    <w:wordWrap/>
                    <w:overflowPunct/>
                    <w:topLinePunct w:val="0"/>
                    <w:bidi w:val="0"/>
                    <w:spacing w:line="240" w:lineRule="auto"/>
                    <w:ind w:left="0" w:leftChars="0" w:firstLine="0" w:firstLineChars="0"/>
                    <w:jc w:val="center"/>
                    <w:textAlignment w:val="auto"/>
                    <w:rPr>
                      <w:color w:val="auto"/>
                    </w:rPr>
                  </w:pPr>
                </w:p>
              </w:tc>
              <w:tc>
                <w:tcPr>
                  <w:tcW w:w="210" w:type="pct"/>
                  <w:tcBorders>
                    <w:tl2br w:val="nil"/>
                    <w:tr2bl w:val="nil"/>
                  </w:tcBorders>
                  <w:noWrap w:val="0"/>
                  <w:vAlign w:val="center"/>
                </w:tcPr>
                <w:p>
                  <w:pPr>
                    <w:pStyle w:val="53"/>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hint="default"/>
                      <w:color w:val="auto"/>
                      <w:spacing w:val="0"/>
                      <w:sz w:val="21"/>
                      <w:szCs w:val="21"/>
                      <w:highlight w:val="none"/>
                      <w:lang w:val="en-US" w:eastAsia="zh-CN"/>
                    </w:rPr>
                  </w:pPr>
                  <w:r>
                    <w:rPr>
                      <w:rFonts w:hint="eastAsia"/>
                      <w:color w:val="auto"/>
                      <w:spacing w:val="0"/>
                      <w:sz w:val="21"/>
                      <w:szCs w:val="21"/>
                      <w:highlight w:val="none"/>
                      <w:lang w:val="en-US" w:eastAsia="zh-CN"/>
                    </w:rPr>
                    <w:t>氯化氢</w:t>
                  </w:r>
                </w:p>
              </w:tc>
              <w:tc>
                <w:tcPr>
                  <w:tcW w:w="611" w:type="pct"/>
                  <w:vMerge w:val="continue"/>
                  <w:tcBorders>
                    <w:tl2br w:val="nil"/>
                    <w:tr2bl w:val="nil"/>
                  </w:tcBorders>
                  <w:noWrap w:val="0"/>
                  <w:vAlign w:val="center"/>
                </w:tcPr>
                <w:p>
                  <w:pPr>
                    <w:pStyle w:val="53"/>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hint="eastAsia"/>
                      <w:color w:val="auto"/>
                      <w:spacing w:val="0"/>
                      <w:sz w:val="21"/>
                      <w:szCs w:val="21"/>
                      <w:highlight w:val="none"/>
                      <w:lang w:val="en-US" w:eastAsia="zh-CN"/>
                    </w:rPr>
                  </w:pPr>
                </w:p>
              </w:tc>
              <w:tc>
                <w:tcPr>
                  <w:tcW w:w="471" w:type="pct"/>
                  <w:vMerge w:val="continue"/>
                  <w:tcBorders>
                    <w:tl2br w:val="nil"/>
                    <w:tr2bl w:val="nil"/>
                  </w:tcBorders>
                  <w:noWrap w:val="0"/>
                  <w:vAlign w:val="center"/>
                </w:tcPr>
                <w:p>
                  <w:pPr>
                    <w:pStyle w:val="53"/>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hint="eastAsia"/>
                      <w:color w:val="auto"/>
                      <w:spacing w:val="0"/>
                      <w:sz w:val="21"/>
                      <w:szCs w:val="21"/>
                      <w:highlight w:val="none"/>
                      <w:lang w:val="en-US" w:eastAsia="zh-CN"/>
                    </w:rPr>
                  </w:pPr>
                </w:p>
              </w:tc>
              <w:tc>
                <w:tcPr>
                  <w:tcW w:w="435" w:type="pct"/>
                  <w:gridSpan w:val="2"/>
                  <w:tcBorders>
                    <w:tl2br w:val="nil"/>
                    <w:tr2bl w:val="nil"/>
                  </w:tcBorders>
                  <w:noWrap w:val="0"/>
                  <w:vAlign w:val="center"/>
                </w:tcPr>
                <w:p>
                  <w:pPr>
                    <w:pStyle w:val="53"/>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hint="default"/>
                      <w:color w:val="auto"/>
                      <w:spacing w:val="0"/>
                      <w:sz w:val="21"/>
                      <w:szCs w:val="21"/>
                      <w:highlight w:val="none"/>
                      <w:lang w:val="en-US" w:eastAsia="zh-CN"/>
                    </w:rPr>
                  </w:pPr>
                  <w:r>
                    <w:rPr>
                      <w:rFonts w:hint="eastAsia"/>
                      <w:color w:val="auto"/>
                      <w:spacing w:val="0"/>
                      <w:sz w:val="21"/>
                      <w:szCs w:val="21"/>
                      <w:highlight w:val="none"/>
                      <w:lang w:val="en-US" w:eastAsia="zh-CN"/>
                    </w:rPr>
                    <w:t>9.59</w:t>
                  </w:r>
                </w:p>
              </w:tc>
              <w:tc>
                <w:tcPr>
                  <w:tcW w:w="360" w:type="pct"/>
                  <w:tcBorders>
                    <w:tl2br w:val="nil"/>
                    <w:tr2bl w:val="nil"/>
                  </w:tcBorders>
                  <w:noWrap w:val="0"/>
                  <w:vAlign w:val="center"/>
                </w:tcPr>
                <w:p>
                  <w:pPr>
                    <w:pStyle w:val="53"/>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hint="default"/>
                      <w:color w:val="auto"/>
                      <w:spacing w:val="0"/>
                      <w:sz w:val="21"/>
                      <w:szCs w:val="21"/>
                      <w:highlight w:val="none"/>
                      <w:lang w:val="en-US" w:eastAsia="zh-CN"/>
                    </w:rPr>
                  </w:pPr>
                  <w:r>
                    <w:rPr>
                      <w:rFonts w:hint="eastAsia"/>
                      <w:color w:val="auto"/>
                      <w:spacing w:val="0"/>
                      <w:sz w:val="21"/>
                      <w:szCs w:val="21"/>
                      <w:highlight w:val="none"/>
                      <w:lang w:val="en-US" w:eastAsia="zh-CN"/>
                    </w:rPr>
                    <w:t>0.0119</w:t>
                  </w:r>
                </w:p>
              </w:tc>
              <w:tc>
                <w:tcPr>
                  <w:tcW w:w="228" w:type="pct"/>
                  <w:vMerge w:val="continue"/>
                  <w:tcBorders>
                    <w:tl2br w:val="nil"/>
                    <w:tr2bl w:val="nil"/>
                  </w:tcBorders>
                  <w:noWrap w:val="0"/>
                  <w:vAlign w:val="center"/>
                </w:tcPr>
                <w:p>
                  <w:pPr>
                    <w:pStyle w:val="53"/>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hint="eastAsia"/>
                      <w:color w:val="auto"/>
                      <w:spacing w:val="0"/>
                      <w:sz w:val="21"/>
                      <w:szCs w:val="21"/>
                      <w:highlight w:val="none"/>
                      <w:lang w:val="en-US" w:eastAsia="zh-CN"/>
                    </w:rPr>
                  </w:pPr>
                </w:p>
              </w:tc>
              <w:tc>
                <w:tcPr>
                  <w:tcW w:w="338" w:type="pct"/>
                  <w:vMerge w:val="continue"/>
                  <w:tcBorders>
                    <w:tl2br w:val="nil"/>
                    <w:tr2bl w:val="nil"/>
                  </w:tcBorders>
                  <w:noWrap w:val="0"/>
                  <w:vAlign w:val="center"/>
                </w:tcPr>
                <w:p>
                  <w:pPr>
                    <w:pStyle w:val="53"/>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hint="eastAsia"/>
                      <w:color w:val="auto"/>
                      <w:spacing w:val="0"/>
                      <w:sz w:val="21"/>
                      <w:szCs w:val="21"/>
                      <w:highlight w:val="none"/>
                      <w:lang w:val="en-US" w:eastAsia="zh-CN"/>
                    </w:rPr>
                  </w:pPr>
                </w:p>
              </w:tc>
              <w:tc>
                <w:tcPr>
                  <w:tcW w:w="506" w:type="pct"/>
                  <w:tcBorders>
                    <w:tl2br w:val="nil"/>
                    <w:tr2bl w:val="nil"/>
                  </w:tcBorders>
                  <w:noWrap w:val="0"/>
                  <w:vAlign w:val="center"/>
                </w:tcPr>
                <w:p>
                  <w:pPr>
                    <w:pStyle w:val="53"/>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hint="default"/>
                      <w:color w:val="auto"/>
                      <w:spacing w:val="0"/>
                      <w:sz w:val="21"/>
                      <w:szCs w:val="21"/>
                      <w:highlight w:val="none"/>
                      <w:lang w:val="en-US" w:eastAsia="zh-CN"/>
                    </w:rPr>
                  </w:pPr>
                  <w:r>
                    <w:rPr>
                      <w:rFonts w:hint="eastAsia"/>
                      <w:color w:val="auto"/>
                      <w:spacing w:val="0"/>
                      <w:sz w:val="21"/>
                      <w:szCs w:val="21"/>
                      <w:highlight w:val="none"/>
                      <w:lang w:val="en-US" w:eastAsia="zh-CN"/>
                    </w:rPr>
                    <w:t>0.034</w:t>
                  </w:r>
                </w:p>
              </w:tc>
              <w:tc>
                <w:tcPr>
                  <w:tcW w:w="478" w:type="pct"/>
                  <w:vMerge w:val="continue"/>
                  <w:tcBorders>
                    <w:tl2br w:val="nil"/>
                    <w:tr2bl w:val="nil"/>
                  </w:tcBorders>
                  <w:noWrap w:val="0"/>
                  <w:vAlign w:val="center"/>
                </w:tcPr>
                <w:p>
                  <w:pPr>
                    <w:pStyle w:val="53"/>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hint="eastAsia"/>
                      <w:color w:val="auto"/>
                      <w:spacing w:val="0"/>
                      <w:sz w:val="21"/>
                      <w:szCs w:val="21"/>
                      <w:highlight w:val="none"/>
                      <w:lang w:val="en-US" w:eastAsia="zh-CN"/>
                    </w:rPr>
                  </w:pPr>
                </w:p>
              </w:tc>
              <w:tc>
                <w:tcPr>
                  <w:tcW w:w="315" w:type="pct"/>
                  <w:tcBorders>
                    <w:tl2br w:val="nil"/>
                    <w:tr2bl w:val="nil"/>
                  </w:tcBorders>
                  <w:noWrap w:val="0"/>
                  <w:vAlign w:val="center"/>
                </w:tcPr>
                <w:p>
                  <w:pPr>
                    <w:pStyle w:val="53"/>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hint="eastAsia"/>
                      <w:color w:val="auto"/>
                      <w:spacing w:val="0"/>
                      <w:sz w:val="21"/>
                      <w:szCs w:val="21"/>
                      <w:highlight w:val="none"/>
                      <w:lang w:val="en-US" w:eastAsia="zh-CN"/>
                    </w:rPr>
                  </w:pPr>
                  <w:r>
                    <w:rPr>
                      <w:rFonts w:hint="eastAsia" w:cs="Times New Roman"/>
                      <w:color w:val="auto"/>
                      <w:spacing w:val="0"/>
                      <w:kern w:val="2"/>
                      <w:sz w:val="21"/>
                      <w:szCs w:val="21"/>
                      <w:highlight w:val="none"/>
                      <w:lang w:val="en-US" w:eastAsia="zh-CN" w:bidi="ar-SA"/>
                    </w:rPr>
                    <w:t>10mg/m</w:t>
                  </w:r>
                  <w:r>
                    <w:rPr>
                      <w:rFonts w:hint="eastAsia" w:cs="Times New Roman"/>
                      <w:color w:val="auto"/>
                      <w:spacing w:val="0"/>
                      <w:kern w:val="2"/>
                      <w:sz w:val="21"/>
                      <w:szCs w:val="21"/>
                      <w:highlight w:val="none"/>
                      <w:vertAlign w:val="superscript"/>
                      <w:lang w:val="en-US" w:eastAsia="zh-CN" w:bidi="ar-SA"/>
                    </w:rPr>
                    <w:t>3</w:t>
                  </w:r>
                </w:p>
              </w:tc>
              <w:tc>
                <w:tcPr>
                  <w:tcW w:w="333" w:type="pct"/>
                  <w:tcBorders>
                    <w:tl2br w:val="nil"/>
                    <w:tr2bl w:val="nil"/>
                  </w:tcBorders>
                  <w:noWrap w:val="0"/>
                  <w:vAlign w:val="center"/>
                </w:tcPr>
                <w:p>
                  <w:pPr>
                    <w:pStyle w:val="53"/>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hint="default"/>
                      <w:color w:val="auto"/>
                      <w:spacing w:val="0"/>
                      <w:sz w:val="21"/>
                      <w:szCs w:val="21"/>
                      <w:highlight w:val="none"/>
                      <w:lang w:val="en-US" w:eastAsia="zh-CN"/>
                    </w:rPr>
                  </w:pPr>
                  <w:r>
                    <w:rPr>
                      <w:rFonts w:hint="eastAsia"/>
                      <w:color w:val="auto"/>
                      <w:spacing w:val="0"/>
                      <w:sz w:val="21"/>
                      <w:szCs w:val="21"/>
                      <w:highlight w:val="none"/>
                      <w:lang w:val="en-US" w:eastAsia="zh-CN"/>
                    </w:rPr>
                    <w:t>0.043</w:t>
                  </w:r>
                </w:p>
              </w:tc>
              <w:tc>
                <w:tcPr>
                  <w:tcW w:w="177" w:type="pct"/>
                  <w:tcBorders>
                    <w:tl2br w:val="nil"/>
                    <w:tr2bl w:val="nil"/>
                  </w:tcBorders>
                  <w:noWrap w:val="0"/>
                  <w:vAlign w:val="center"/>
                </w:tcPr>
                <w:p>
                  <w:pPr>
                    <w:pStyle w:val="53"/>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hint="eastAsia"/>
                      <w:color w:val="auto"/>
                      <w:spacing w:val="0"/>
                      <w:sz w:val="21"/>
                      <w:szCs w:val="21"/>
                      <w:highlight w:val="none"/>
                      <w:lang w:val="en-US" w:eastAsia="zh-CN"/>
                    </w:rPr>
                  </w:pPr>
                  <w:r>
                    <w:rPr>
                      <w:rFonts w:hint="eastAsia"/>
                      <w:color w:val="auto"/>
                      <w:spacing w:val="0"/>
                      <w:sz w:val="21"/>
                      <w:szCs w:val="21"/>
                      <w:highlight w:val="none"/>
                      <w:lang w:val="en-US" w:eastAsia="zh-CN"/>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140" w:hRule="atLeast"/>
                <w:jc w:val="center"/>
              </w:trPr>
              <w:tc>
                <w:tcPr>
                  <w:tcW w:w="205" w:type="pct"/>
                  <w:vMerge w:val="continue"/>
                  <w:tcBorders>
                    <w:tl2br w:val="nil"/>
                    <w:tr2bl w:val="nil"/>
                  </w:tcBorders>
                  <w:noWrap w:val="0"/>
                  <w:vAlign w:val="center"/>
                </w:tcPr>
                <w:p>
                  <w:pPr>
                    <w:pStyle w:val="53"/>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hint="eastAsia"/>
                      <w:color w:val="auto"/>
                      <w:spacing w:val="0"/>
                      <w:sz w:val="21"/>
                      <w:szCs w:val="21"/>
                      <w:highlight w:val="none"/>
                      <w:lang w:val="en-US" w:eastAsia="zh-CN"/>
                    </w:rPr>
                  </w:pPr>
                </w:p>
              </w:tc>
              <w:tc>
                <w:tcPr>
                  <w:tcW w:w="327" w:type="pct"/>
                  <w:vMerge w:val="continue"/>
                  <w:tcBorders>
                    <w:tl2br w:val="nil"/>
                    <w:tr2bl w:val="nil"/>
                  </w:tcBorders>
                  <w:noWrap w:val="0"/>
                  <w:vAlign w:val="center"/>
                </w:tcPr>
                <w:p>
                  <w:pPr>
                    <w:pStyle w:val="53"/>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hint="eastAsia"/>
                      <w:color w:val="auto"/>
                      <w:spacing w:val="0"/>
                      <w:sz w:val="21"/>
                      <w:szCs w:val="21"/>
                      <w:highlight w:val="none"/>
                      <w:lang w:val="en-US" w:eastAsia="zh-CN"/>
                    </w:rPr>
                  </w:pPr>
                </w:p>
              </w:tc>
              <w:tc>
                <w:tcPr>
                  <w:tcW w:w="210" w:type="pct"/>
                  <w:tcBorders>
                    <w:tl2br w:val="nil"/>
                    <w:tr2bl w:val="nil"/>
                  </w:tcBorders>
                  <w:noWrap w:val="0"/>
                  <w:vAlign w:val="center"/>
                </w:tcPr>
                <w:p>
                  <w:pPr>
                    <w:pStyle w:val="53"/>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hint="default"/>
                      <w:color w:val="auto"/>
                      <w:spacing w:val="0"/>
                      <w:sz w:val="21"/>
                      <w:szCs w:val="21"/>
                      <w:highlight w:val="none"/>
                      <w:lang w:val="en-US" w:eastAsia="zh-CN"/>
                    </w:rPr>
                  </w:pPr>
                  <w:r>
                    <w:rPr>
                      <w:rFonts w:hint="eastAsia"/>
                      <w:color w:val="auto"/>
                      <w:spacing w:val="0"/>
                      <w:sz w:val="21"/>
                      <w:szCs w:val="21"/>
                      <w:highlight w:val="none"/>
                      <w:lang w:val="en-US" w:eastAsia="zh-CN"/>
                    </w:rPr>
                    <w:t>非甲烷总烃</w:t>
                  </w:r>
                </w:p>
              </w:tc>
              <w:tc>
                <w:tcPr>
                  <w:tcW w:w="611" w:type="pct"/>
                  <w:vMerge w:val="continue"/>
                  <w:tcBorders>
                    <w:tl2br w:val="nil"/>
                    <w:tr2bl w:val="nil"/>
                  </w:tcBorders>
                  <w:noWrap w:val="0"/>
                  <w:vAlign w:val="center"/>
                </w:tcPr>
                <w:p>
                  <w:pPr>
                    <w:pStyle w:val="53"/>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hint="eastAsia"/>
                      <w:color w:val="auto"/>
                      <w:spacing w:val="0"/>
                      <w:sz w:val="21"/>
                      <w:szCs w:val="21"/>
                      <w:highlight w:val="none"/>
                      <w:lang w:val="en-US" w:eastAsia="zh-CN"/>
                    </w:rPr>
                  </w:pPr>
                </w:p>
              </w:tc>
              <w:tc>
                <w:tcPr>
                  <w:tcW w:w="471" w:type="pct"/>
                  <w:vMerge w:val="continue"/>
                  <w:tcBorders>
                    <w:tl2br w:val="nil"/>
                    <w:tr2bl w:val="nil"/>
                  </w:tcBorders>
                  <w:noWrap w:val="0"/>
                  <w:vAlign w:val="center"/>
                </w:tcPr>
                <w:p>
                  <w:pPr>
                    <w:pStyle w:val="53"/>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hint="eastAsia"/>
                      <w:color w:val="auto"/>
                      <w:spacing w:val="0"/>
                      <w:sz w:val="21"/>
                      <w:szCs w:val="21"/>
                      <w:highlight w:val="none"/>
                      <w:lang w:val="en-US" w:eastAsia="zh-CN"/>
                    </w:rPr>
                  </w:pPr>
                </w:p>
              </w:tc>
              <w:tc>
                <w:tcPr>
                  <w:tcW w:w="199" w:type="pct"/>
                  <w:tcBorders>
                    <w:tl2br w:val="nil"/>
                    <w:tr2bl w:val="nil"/>
                  </w:tcBorders>
                  <w:noWrap w:val="0"/>
                  <w:vAlign w:val="center"/>
                </w:tcPr>
                <w:p>
                  <w:pPr>
                    <w:pStyle w:val="53"/>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hint="default"/>
                      <w:color w:val="auto"/>
                      <w:spacing w:val="0"/>
                      <w:sz w:val="21"/>
                      <w:szCs w:val="21"/>
                      <w:highlight w:val="none"/>
                      <w:lang w:val="en-US" w:eastAsia="zh-CN"/>
                    </w:rPr>
                  </w:pPr>
                  <w:r>
                    <w:rPr>
                      <w:rFonts w:hint="eastAsia"/>
                      <w:color w:val="auto"/>
                      <w:spacing w:val="0"/>
                      <w:sz w:val="21"/>
                      <w:szCs w:val="21"/>
                      <w:highlight w:val="none"/>
                      <w:lang w:val="en-US" w:eastAsia="zh-CN"/>
                    </w:rPr>
                    <w:t>9.72</w:t>
                  </w:r>
                </w:p>
              </w:tc>
              <w:tc>
                <w:tcPr>
                  <w:tcW w:w="236" w:type="pct"/>
                  <w:vMerge w:val="restart"/>
                  <w:tcBorders>
                    <w:tl2br w:val="nil"/>
                    <w:tr2bl w:val="nil"/>
                  </w:tcBorders>
                  <w:noWrap w:val="0"/>
                  <w:vAlign w:val="center"/>
                </w:tcPr>
                <w:p>
                  <w:pPr>
                    <w:pStyle w:val="53"/>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hint="default"/>
                      <w:color w:val="auto"/>
                      <w:spacing w:val="0"/>
                      <w:sz w:val="21"/>
                      <w:szCs w:val="21"/>
                      <w:highlight w:val="none"/>
                      <w:lang w:val="en-US" w:eastAsia="zh-CN"/>
                    </w:rPr>
                  </w:pPr>
                  <w:r>
                    <w:rPr>
                      <w:rFonts w:hint="eastAsia"/>
                      <w:color w:val="auto"/>
                      <w:spacing w:val="0"/>
                      <w:sz w:val="21"/>
                      <w:szCs w:val="21"/>
                      <w:highlight w:val="none"/>
                      <w:lang w:val="en-US" w:eastAsia="zh-CN"/>
                    </w:rPr>
                    <w:t>3.89（排气筒排放浓度）</w:t>
                  </w:r>
                </w:p>
              </w:tc>
              <w:tc>
                <w:tcPr>
                  <w:tcW w:w="360" w:type="pct"/>
                  <w:tcBorders>
                    <w:tl2br w:val="nil"/>
                    <w:tr2bl w:val="nil"/>
                  </w:tcBorders>
                  <w:noWrap w:val="0"/>
                  <w:vAlign w:val="center"/>
                </w:tcPr>
                <w:p>
                  <w:pPr>
                    <w:pStyle w:val="53"/>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hint="default"/>
                      <w:color w:val="auto"/>
                      <w:spacing w:val="0"/>
                      <w:sz w:val="21"/>
                      <w:szCs w:val="21"/>
                      <w:highlight w:val="none"/>
                      <w:lang w:val="en-US" w:eastAsia="zh-CN"/>
                    </w:rPr>
                  </w:pPr>
                  <w:r>
                    <w:rPr>
                      <w:rFonts w:hint="eastAsia"/>
                      <w:color w:val="auto"/>
                      <w:spacing w:val="0"/>
                      <w:sz w:val="21"/>
                      <w:szCs w:val="21"/>
                      <w:highlight w:val="none"/>
                      <w:lang w:val="en-US" w:eastAsia="zh-CN"/>
                    </w:rPr>
                    <w:t>0.0112</w:t>
                  </w:r>
                </w:p>
              </w:tc>
              <w:tc>
                <w:tcPr>
                  <w:tcW w:w="228" w:type="pct"/>
                  <w:vMerge w:val="continue"/>
                  <w:tcBorders>
                    <w:tl2br w:val="nil"/>
                    <w:tr2bl w:val="nil"/>
                  </w:tcBorders>
                  <w:noWrap w:val="0"/>
                  <w:vAlign w:val="center"/>
                </w:tcPr>
                <w:p>
                  <w:pPr>
                    <w:pStyle w:val="53"/>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hint="eastAsia"/>
                      <w:color w:val="auto"/>
                      <w:spacing w:val="0"/>
                      <w:sz w:val="21"/>
                      <w:szCs w:val="21"/>
                      <w:highlight w:val="none"/>
                      <w:lang w:val="en-US" w:eastAsia="zh-CN"/>
                    </w:rPr>
                  </w:pPr>
                </w:p>
              </w:tc>
              <w:tc>
                <w:tcPr>
                  <w:tcW w:w="338" w:type="pct"/>
                  <w:vMerge w:val="continue"/>
                  <w:tcBorders>
                    <w:tl2br w:val="nil"/>
                    <w:tr2bl w:val="nil"/>
                  </w:tcBorders>
                  <w:noWrap w:val="0"/>
                  <w:vAlign w:val="center"/>
                </w:tcPr>
                <w:p>
                  <w:pPr>
                    <w:pStyle w:val="53"/>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hint="default"/>
                      <w:color w:val="auto"/>
                      <w:spacing w:val="0"/>
                      <w:sz w:val="21"/>
                      <w:szCs w:val="21"/>
                      <w:highlight w:val="none"/>
                      <w:lang w:val="en-US" w:eastAsia="zh-CN"/>
                    </w:rPr>
                  </w:pPr>
                </w:p>
              </w:tc>
              <w:tc>
                <w:tcPr>
                  <w:tcW w:w="506" w:type="pct"/>
                  <w:tcBorders>
                    <w:tl2br w:val="nil"/>
                    <w:tr2bl w:val="nil"/>
                  </w:tcBorders>
                  <w:noWrap w:val="0"/>
                  <w:vAlign w:val="center"/>
                </w:tcPr>
                <w:p>
                  <w:pPr>
                    <w:pStyle w:val="53"/>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hint="default"/>
                      <w:color w:val="auto"/>
                      <w:spacing w:val="0"/>
                      <w:sz w:val="21"/>
                      <w:szCs w:val="21"/>
                      <w:highlight w:val="none"/>
                      <w:lang w:val="en-US" w:eastAsia="zh-CN"/>
                    </w:rPr>
                  </w:pPr>
                  <w:r>
                    <w:rPr>
                      <w:rFonts w:hint="eastAsia"/>
                      <w:color w:val="auto"/>
                      <w:spacing w:val="0"/>
                      <w:sz w:val="21"/>
                      <w:szCs w:val="21"/>
                      <w:highlight w:val="none"/>
                      <w:lang w:val="en-US" w:eastAsia="zh-CN"/>
                    </w:rPr>
                    <w:t>0.032</w:t>
                  </w:r>
                </w:p>
              </w:tc>
              <w:tc>
                <w:tcPr>
                  <w:tcW w:w="478" w:type="pct"/>
                  <w:vMerge w:val="continue"/>
                  <w:tcBorders>
                    <w:tl2br w:val="nil"/>
                    <w:tr2bl w:val="nil"/>
                  </w:tcBorders>
                  <w:noWrap w:val="0"/>
                  <w:vAlign w:val="center"/>
                </w:tcPr>
                <w:p>
                  <w:pPr>
                    <w:pStyle w:val="53"/>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hint="eastAsia"/>
                      <w:color w:val="auto"/>
                      <w:spacing w:val="0"/>
                      <w:sz w:val="21"/>
                      <w:szCs w:val="21"/>
                      <w:highlight w:val="none"/>
                      <w:lang w:val="en-US" w:eastAsia="zh-CN"/>
                    </w:rPr>
                  </w:pPr>
                </w:p>
              </w:tc>
              <w:tc>
                <w:tcPr>
                  <w:tcW w:w="315" w:type="pct"/>
                  <w:vMerge w:val="restart"/>
                  <w:tcBorders>
                    <w:tl2br w:val="nil"/>
                    <w:tr2bl w:val="nil"/>
                  </w:tcBorders>
                  <w:noWrap w:val="0"/>
                  <w:vAlign w:val="center"/>
                </w:tcPr>
                <w:p>
                  <w:pPr>
                    <w:pStyle w:val="53"/>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hint="eastAsia"/>
                      <w:color w:val="auto"/>
                      <w:spacing w:val="0"/>
                      <w:sz w:val="21"/>
                      <w:szCs w:val="21"/>
                      <w:highlight w:val="none"/>
                      <w:lang w:val="en-US" w:eastAsia="zh-CN"/>
                    </w:rPr>
                  </w:pPr>
                  <w:r>
                    <w:rPr>
                      <w:rFonts w:hint="eastAsia" w:cs="Times New Roman"/>
                      <w:color w:val="auto"/>
                      <w:spacing w:val="0"/>
                      <w:kern w:val="2"/>
                      <w:sz w:val="21"/>
                      <w:szCs w:val="21"/>
                      <w:highlight w:val="none"/>
                      <w:lang w:val="en-US" w:eastAsia="zh-CN" w:bidi="ar-SA"/>
                    </w:rPr>
                    <w:t>50mg/m</w:t>
                  </w:r>
                  <w:r>
                    <w:rPr>
                      <w:rFonts w:hint="eastAsia" w:cs="Times New Roman"/>
                      <w:color w:val="auto"/>
                      <w:spacing w:val="0"/>
                      <w:kern w:val="2"/>
                      <w:sz w:val="21"/>
                      <w:szCs w:val="21"/>
                      <w:highlight w:val="none"/>
                      <w:vertAlign w:val="superscript"/>
                      <w:lang w:val="en-US" w:eastAsia="zh-CN" w:bidi="ar-SA"/>
                    </w:rPr>
                    <w:t>3</w:t>
                  </w:r>
                </w:p>
              </w:tc>
              <w:tc>
                <w:tcPr>
                  <w:tcW w:w="333" w:type="pct"/>
                  <w:vMerge w:val="restart"/>
                  <w:tcBorders>
                    <w:tl2br w:val="nil"/>
                    <w:tr2bl w:val="nil"/>
                  </w:tcBorders>
                  <w:noWrap w:val="0"/>
                  <w:vAlign w:val="center"/>
                </w:tcPr>
                <w:p>
                  <w:pPr>
                    <w:pStyle w:val="53"/>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hint="default"/>
                      <w:color w:val="auto"/>
                      <w:spacing w:val="0"/>
                      <w:sz w:val="21"/>
                      <w:szCs w:val="21"/>
                      <w:highlight w:val="none"/>
                      <w:lang w:val="en-US" w:eastAsia="zh-CN"/>
                    </w:rPr>
                  </w:pPr>
                  <w:r>
                    <w:rPr>
                      <w:rFonts w:hint="eastAsia"/>
                      <w:color w:val="auto"/>
                      <w:spacing w:val="0"/>
                      <w:sz w:val="21"/>
                      <w:szCs w:val="21"/>
                      <w:highlight w:val="none"/>
                      <w:lang w:val="en-US" w:eastAsia="zh-CN"/>
                    </w:rPr>
                    <w:t>0.378</w:t>
                  </w:r>
                </w:p>
              </w:tc>
              <w:tc>
                <w:tcPr>
                  <w:tcW w:w="177" w:type="pct"/>
                  <w:vMerge w:val="restart"/>
                  <w:tcBorders>
                    <w:tl2br w:val="nil"/>
                    <w:tr2bl w:val="nil"/>
                  </w:tcBorders>
                  <w:noWrap w:val="0"/>
                  <w:vAlign w:val="center"/>
                </w:tcPr>
                <w:p>
                  <w:pPr>
                    <w:pStyle w:val="53"/>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hint="eastAsia"/>
                      <w:color w:val="auto"/>
                      <w:spacing w:val="0"/>
                      <w:sz w:val="21"/>
                      <w:szCs w:val="21"/>
                      <w:highlight w:val="none"/>
                      <w:lang w:val="en-US" w:eastAsia="zh-CN"/>
                    </w:rPr>
                  </w:pPr>
                  <w:r>
                    <w:rPr>
                      <w:rFonts w:hint="eastAsia"/>
                      <w:color w:val="auto"/>
                      <w:spacing w:val="0"/>
                      <w:sz w:val="21"/>
                      <w:szCs w:val="21"/>
                      <w:highlight w:val="none"/>
                      <w:lang w:val="en-US" w:eastAsia="zh-CN"/>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140" w:hRule="atLeast"/>
                <w:jc w:val="center"/>
              </w:trPr>
              <w:tc>
                <w:tcPr>
                  <w:tcW w:w="205" w:type="pct"/>
                  <w:vMerge w:val="continue"/>
                  <w:tcBorders>
                    <w:tl2br w:val="nil"/>
                    <w:tr2bl w:val="nil"/>
                  </w:tcBorders>
                  <w:noWrap w:val="0"/>
                  <w:vAlign w:val="center"/>
                </w:tcPr>
                <w:p>
                  <w:pPr>
                    <w:pStyle w:val="53"/>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hint="eastAsia"/>
                      <w:color w:val="auto"/>
                      <w:spacing w:val="0"/>
                      <w:sz w:val="21"/>
                      <w:szCs w:val="21"/>
                      <w:highlight w:val="none"/>
                      <w:lang w:val="en-US" w:eastAsia="zh-CN"/>
                    </w:rPr>
                  </w:pPr>
                </w:p>
              </w:tc>
              <w:tc>
                <w:tcPr>
                  <w:tcW w:w="327" w:type="pct"/>
                  <w:tcBorders>
                    <w:tl2br w:val="nil"/>
                    <w:tr2bl w:val="nil"/>
                  </w:tcBorders>
                  <w:noWrap w:val="0"/>
                  <w:vAlign w:val="center"/>
                </w:tcPr>
                <w:p>
                  <w:pPr>
                    <w:pStyle w:val="53"/>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hint="default"/>
                      <w:color w:val="auto"/>
                      <w:spacing w:val="0"/>
                      <w:sz w:val="21"/>
                      <w:szCs w:val="21"/>
                      <w:highlight w:val="none"/>
                      <w:lang w:val="en-US" w:eastAsia="zh-CN"/>
                    </w:rPr>
                  </w:pPr>
                  <w:r>
                    <w:rPr>
                      <w:rFonts w:hint="eastAsia"/>
                      <w:color w:val="auto"/>
                      <w:spacing w:val="0"/>
                      <w:sz w:val="21"/>
                      <w:szCs w:val="21"/>
                      <w:highlight w:val="none"/>
                      <w:lang w:val="en-US" w:eastAsia="zh-CN"/>
                    </w:rPr>
                    <w:t>银浆电极烘干和烧结还原过程</w:t>
                  </w:r>
                </w:p>
              </w:tc>
              <w:tc>
                <w:tcPr>
                  <w:tcW w:w="210" w:type="pct"/>
                  <w:tcBorders>
                    <w:tl2br w:val="nil"/>
                    <w:tr2bl w:val="nil"/>
                  </w:tcBorders>
                  <w:noWrap w:val="0"/>
                  <w:vAlign w:val="center"/>
                </w:tcPr>
                <w:p>
                  <w:pPr>
                    <w:pStyle w:val="53"/>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hint="default"/>
                      <w:color w:val="auto"/>
                      <w:spacing w:val="0"/>
                      <w:sz w:val="21"/>
                      <w:szCs w:val="21"/>
                      <w:highlight w:val="none"/>
                      <w:lang w:val="en-US" w:eastAsia="zh-CN"/>
                    </w:rPr>
                  </w:pPr>
                  <w:r>
                    <w:rPr>
                      <w:rFonts w:hint="eastAsia"/>
                      <w:color w:val="auto"/>
                      <w:spacing w:val="0"/>
                      <w:sz w:val="21"/>
                      <w:szCs w:val="21"/>
                      <w:highlight w:val="none"/>
                      <w:lang w:val="en-US" w:eastAsia="zh-CN"/>
                    </w:rPr>
                    <w:t>非甲烷总烃</w:t>
                  </w:r>
                </w:p>
              </w:tc>
              <w:tc>
                <w:tcPr>
                  <w:tcW w:w="611" w:type="pct"/>
                  <w:tcBorders>
                    <w:tl2br w:val="nil"/>
                    <w:tr2bl w:val="nil"/>
                  </w:tcBorders>
                  <w:noWrap w:val="0"/>
                  <w:vAlign w:val="center"/>
                </w:tcPr>
                <w:p>
                  <w:pPr>
                    <w:pStyle w:val="53"/>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hint="eastAsia"/>
                      <w:color w:val="auto"/>
                      <w:spacing w:val="0"/>
                      <w:sz w:val="21"/>
                      <w:szCs w:val="21"/>
                      <w:highlight w:val="none"/>
                      <w:lang w:val="en-US" w:eastAsia="zh-CN"/>
                    </w:rPr>
                  </w:pPr>
                  <w:r>
                    <w:rPr>
                      <w:rFonts w:hint="eastAsia"/>
                      <w:color w:val="auto"/>
                      <w:spacing w:val="0"/>
                      <w:sz w:val="21"/>
                      <w:szCs w:val="21"/>
                      <w:highlight w:val="none"/>
                      <w:lang w:val="en-US" w:eastAsia="zh-CN"/>
                    </w:rPr>
                    <w:t>烘干和烧结还原过程设备密闭，在各烘干箱和烧熔炉的出口上方设置集气罩，通过风机将废气引入1套活性炭吸附装置进行处理</w:t>
                  </w:r>
                </w:p>
              </w:tc>
              <w:tc>
                <w:tcPr>
                  <w:tcW w:w="471" w:type="pct"/>
                  <w:vMerge w:val="continue"/>
                  <w:tcBorders>
                    <w:tl2br w:val="nil"/>
                    <w:tr2bl w:val="nil"/>
                  </w:tcBorders>
                  <w:noWrap w:val="0"/>
                  <w:vAlign w:val="center"/>
                </w:tcPr>
                <w:p>
                  <w:pPr>
                    <w:pStyle w:val="53"/>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hint="eastAsia"/>
                      <w:color w:val="auto"/>
                      <w:spacing w:val="0"/>
                      <w:sz w:val="21"/>
                      <w:szCs w:val="21"/>
                      <w:highlight w:val="none"/>
                      <w:lang w:val="en-US" w:eastAsia="zh-CN"/>
                    </w:rPr>
                  </w:pPr>
                </w:p>
              </w:tc>
              <w:tc>
                <w:tcPr>
                  <w:tcW w:w="199" w:type="pct"/>
                  <w:tcBorders>
                    <w:tl2br w:val="nil"/>
                    <w:tr2bl w:val="nil"/>
                  </w:tcBorders>
                  <w:noWrap w:val="0"/>
                  <w:vAlign w:val="center"/>
                </w:tcPr>
                <w:p>
                  <w:pPr>
                    <w:pStyle w:val="53"/>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hint="default"/>
                      <w:color w:val="auto"/>
                      <w:spacing w:val="0"/>
                      <w:sz w:val="21"/>
                      <w:szCs w:val="21"/>
                      <w:highlight w:val="none"/>
                      <w:lang w:val="en-US" w:eastAsia="zh-CN"/>
                    </w:rPr>
                  </w:pPr>
                  <w:r>
                    <w:rPr>
                      <w:rFonts w:hint="eastAsia"/>
                      <w:color w:val="auto"/>
                      <w:spacing w:val="0"/>
                      <w:sz w:val="21"/>
                      <w:szCs w:val="21"/>
                      <w:highlight w:val="none"/>
                      <w:lang w:val="en-US" w:eastAsia="zh-CN"/>
                    </w:rPr>
                    <w:t>4.31</w:t>
                  </w:r>
                </w:p>
              </w:tc>
              <w:tc>
                <w:tcPr>
                  <w:tcW w:w="236" w:type="pct"/>
                  <w:vMerge w:val="continue"/>
                  <w:tcBorders>
                    <w:tl2br w:val="nil"/>
                    <w:tr2bl w:val="nil"/>
                  </w:tcBorders>
                  <w:noWrap w:val="0"/>
                  <w:vAlign w:val="center"/>
                </w:tcPr>
                <w:p>
                  <w:pPr>
                    <w:pStyle w:val="53"/>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hint="eastAsia"/>
                      <w:color w:val="auto"/>
                      <w:spacing w:val="0"/>
                      <w:sz w:val="21"/>
                      <w:szCs w:val="21"/>
                      <w:highlight w:val="none"/>
                      <w:lang w:val="en-US" w:eastAsia="zh-CN"/>
                    </w:rPr>
                  </w:pPr>
                </w:p>
              </w:tc>
              <w:tc>
                <w:tcPr>
                  <w:tcW w:w="360" w:type="pct"/>
                  <w:tcBorders>
                    <w:tl2br w:val="nil"/>
                    <w:tr2bl w:val="nil"/>
                  </w:tcBorders>
                  <w:noWrap w:val="0"/>
                  <w:vAlign w:val="center"/>
                </w:tcPr>
                <w:p>
                  <w:pPr>
                    <w:pStyle w:val="53"/>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hint="default"/>
                      <w:color w:val="auto"/>
                      <w:spacing w:val="0"/>
                      <w:sz w:val="21"/>
                      <w:szCs w:val="21"/>
                      <w:highlight w:val="none"/>
                      <w:lang w:val="en-US" w:eastAsia="zh-CN"/>
                    </w:rPr>
                  </w:pPr>
                  <w:r>
                    <w:rPr>
                      <w:rFonts w:hint="eastAsia"/>
                      <w:color w:val="auto"/>
                      <w:spacing w:val="0"/>
                      <w:sz w:val="21"/>
                      <w:szCs w:val="21"/>
                      <w:highlight w:val="none"/>
                      <w:lang w:val="en-US" w:eastAsia="zh-CN"/>
                    </w:rPr>
                    <w:t>0.0115</w:t>
                  </w:r>
                </w:p>
              </w:tc>
              <w:tc>
                <w:tcPr>
                  <w:tcW w:w="228" w:type="pct"/>
                  <w:vMerge w:val="continue"/>
                  <w:tcBorders>
                    <w:tl2br w:val="nil"/>
                    <w:tr2bl w:val="nil"/>
                  </w:tcBorders>
                  <w:noWrap w:val="0"/>
                  <w:vAlign w:val="center"/>
                </w:tcPr>
                <w:p>
                  <w:pPr>
                    <w:pStyle w:val="53"/>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hint="eastAsia"/>
                      <w:color w:val="auto"/>
                      <w:spacing w:val="0"/>
                      <w:sz w:val="21"/>
                      <w:szCs w:val="21"/>
                      <w:highlight w:val="none"/>
                      <w:lang w:val="en-US" w:eastAsia="zh-CN"/>
                    </w:rPr>
                  </w:pPr>
                </w:p>
              </w:tc>
              <w:tc>
                <w:tcPr>
                  <w:tcW w:w="338" w:type="pct"/>
                  <w:vMerge w:val="continue"/>
                  <w:tcBorders>
                    <w:tl2br w:val="nil"/>
                    <w:tr2bl w:val="nil"/>
                  </w:tcBorders>
                  <w:noWrap w:val="0"/>
                  <w:vAlign w:val="center"/>
                </w:tcPr>
                <w:p>
                  <w:pPr>
                    <w:pStyle w:val="53"/>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hint="eastAsia"/>
                      <w:color w:val="auto"/>
                      <w:spacing w:val="0"/>
                      <w:sz w:val="21"/>
                      <w:szCs w:val="21"/>
                      <w:highlight w:val="none"/>
                      <w:lang w:val="en-US" w:eastAsia="zh-CN"/>
                    </w:rPr>
                  </w:pPr>
                </w:p>
              </w:tc>
              <w:tc>
                <w:tcPr>
                  <w:tcW w:w="506" w:type="pct"/>
                  <w:tcBorders>
                    <w:tl2br w:val="nil"/>
                    <w:tr2bl w:val="nil"/>
                  </w:tcBorders>
                  <w:noWrap w:val="0"/>
                  <w:vAlign w:val="center"/>
                </w:tcPr>
                <w:p>
                  <w:pPr>
                    <w:pStyle w:val="53"/>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hint="default"/>
                      <w:color w:val="auto"/>
                      <w:spacing w:val="0"/>
                      <w:sz w:val="21"/>
                      <w:szCs w:val="21"/>
                      <w:highlight w:val="none"/>
                      <w:lang w:val="en-US" w:eastAsia="zh-CN"/>
                    </w:rPr>
                  </w:pPr>
                  <w:r>
                    <w:rPr>
                      <w:rFonts w:hint="eastAsia"/>
                      <w:color w:val="auto"/>
                      <w:spacing w:val="0"/>
                      <w:sz w:val="21"/>
                      <w:szCs w:val="21"/>
                      <w:highlight w:val="none"/>
                      <w:lang w:val="en-US" w:eastAsia="zh-CN"/>
                    </w:rPr>
                    <w:t>0.032</w:t>
                  </w:r>
                </w:p>
              </w:tc>
              <w:tc>
                <w:tcPr>
                  <w:tcW w:w="478" w:type="pct"/>
                  <w:vMerge w:val="continue"/>
                  <w:tcBorders>
                    <w:tl2br w:val="nil"/>
                    <w:tr2bl w:val="nil"/>
                  </w:tcBorders>
                  <w:noWrap w:val="0"/>
                  <w:vAlign w:val="center"/>
                </w:tcPr>
                <w:p>
                  <w:pPr>
                    <w:pStyle w:val="53"/>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hint="eastAsia"/>
                      <w:color w:val="auto"/>
                      <w:spacing w:val="0"/>
                      <w:sz w:val="21"/>
                      <w:szCs w:val="21"/>
                      <w:highlight w:val="none"/>
                      <w:lang w:val="en-US" w:eastAsia="zh-CN"/>
                    </w:rPr>
                  </w:pPr>
                </w:p>
              </w:tc>
              <w:tc>
                <w:tcPr>
                  <w:tcW w:w="315" w:type="pct"/>
                  <w:vMerge w:val="continue"/>
                  <w:tcBorders>
                    <w:tl2br w:val="nil"/>
                    <w:tr2bl w:val="nil"/>
                  </w:tcBorders>
                  <w:noWrap w:val="0"/>
                  <w:vAlign w:val="center"/>
                </w:tcPr>
                <w:p>
                  <w:pPr>
                    <w:pStyle w:val="53"/>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hint="eastAsia" w:cs="Times New Roman"/>
                      <w:color w:val="auto"/>
                      <w:spacing w:val="0"/>
                      <w:kern w:val="2"/>
                      <w:sz w:val="21"/>
                      <w:szCs w:val="21"/>
                      <w:highlight w:val="none"/>
                      <w:lang w:val="en-US" w:eastAsia="zh-CN" w:bidi="ar-SA"/>
                    </w:rPr>
                  </w:pPr>
                </w:p>
              </w:tc>
              <w:tc>
                <w:tcPr>
                  <w:tcW w:w="333" w:type="pct"/>
                  <w:vMerge w:val="continue"/>
                  <w:tcBorders>
                    <w:tl2br w:val="nil"/>
                    <w:tr2bl w:val="nil"/>
                  </w:tcBorders>
                  <w:noWrap w:val="0"/>
                  <w:vAlign w:val="center"/>
                </w:tcPr>
                <w:p>
                  <w:pPr>
                    <w:pStyle w:val="53"/>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hint="eastAsia"/>
                      <w:color w:val="auto"/>
                      <w:spacing w:val="0"/>
                      <w:sz w:val="21"/>
                      <w:szCs w:val="21"/>
                      <w:highlight w:val="none"/>
                      <w:lang w:val="en-US" w:eastAsia="zh-CN"/>
                    </w:rPr>
                  </w:pPr>
                </w:p>
              </w:tc>
              <w:tc>
                <w:tcPr>
                  <w:tcW w:w="177" w:type="pct"/>
                  <w:vMerge w:val="continue"/>
                  <w:tcBorders>
                    <w:tl2br w:val="nil"/>
                    <w:tr2bl w:val="nil"/>
                  </w:tcBorders>
                  <w:noWrap w:val="0"/>
                  <w:vAlign w:val="center"/>
                </w:tcPr>
                <w:p>
                  <w:pPr>
                    <w:pStyle w:val="53"/>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hint="eastAsia"/>
                      <w:color w:val="auto"/>
                      <w:spacing w:val="0"/>
                      <w:sz w:val="21"/>
                      <w:szCs w:val="21"/>
                      <w:highlight w:val="none"/>
                      <w:lang w:val="en-US" w:eastAsia="zh-CN"/>
                    </w:rPr>
                  </w:pPr>
                </w:p>
              </w:tc>
            </w:tr>
          </w:tbl>
          <w:p>
            <w:pPr>
              <w:rPr>
                <w:rFonts w:hint="eastAsia"/>
                <w:color w:val="auto"/>
                <w:lang w:val="en-US" w:eastAsia="zh-CN"/>
              </w:rPr>
            </w:pPr>
            <w:r>
              <w:rPr>
                <w:rFonts w:hint="eastAsia"/>
                <w:color w:val="auto"/>
                <w:highlight w:val="none"/>
                <w:vertAlign w:val="baseline"/>
                <w:lang w:val="en-US" w:eastAsia="zh-CN"/>
              </w:rPr>
              <w:t>由上表可知，</w:t>
            </w:r>
            <w:r>
              <w:rPr>
                <w:rFonts w:hint="eastAsia"/>
                <w:color w:val="auto"/>
                <w:sz w:val="24"/>
                <w:szCs w:val="24"/>
                <w:highlight w:val="none"/>
                <w:shd w:val="clear"/>
                <w:lang w:val="en-US" w:eastAsia="zh-CN"/>
              </w:rPr>
              <w:t>唐山烯彤科技有限公司现有工程氟化物、氯化氢、非甲烷总烃有组织排放浓度均满足相关限值要求，有组织排放量满足环评及批复总量控制指标要求。</w:t>
            </w:r>
          </w:p>
        </w:tc>
      </w:tr>
    </w:tbl>
    <w:p>
      <w:pPr>
        <w:rPr>
          <w:rFonts w:hint="eastAsia" w:ascii="黑体" w:hAnsi="黑体" w:eastAsia="黑体" w:cs="Times New Roman"/>
          <w:snapToGrid w:val="0"/>
          <w:color w:val="auto"/>
          <w:sz w:val="30"/>
          <w:szCs w:val="30"/>
          <w:highlight w:val="none"/>
        </w:rPr>
        <w:sectPr>
          <w:pgSz w:w="16838" w:h="11906" w:orient="landscape"/>
          <w:pgMar w:top="1417" w:right="1440" w:bottom="1247" w:left="144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25"/>
        <w:tblW w:w="935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28"/>
        <w:gridCol w:w="852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tcBorders>
              <w:tl2br w:val="nil"/>
              <w:tr2bl w:val="nil"/>
            </w:tcBorders>
            <w:vAlign w:val="top"/>
          </w:tcPr>
          <w:p>
            <w:pPr>
              <w:rPr>
                <w:rFonts w:hint="eastAsia" w:ascii="黑体" w:hAnsi="黑体" w:eastAsia="黑体" w:cs="Times New Roman"/>
                <w:snapToGrid w:val="0"/>
                <w:color w:val="auto"/>
                <w:sz w:val="30"/>
                <w:szCs w:val="30"/>
                <w:highlight w:val="none"/>
                <w:vertAlign w:val="baseline"/>
              </w:rPr>
            </w:pPr>
          </w:p>
        </w:tc>
        <w:tc>
          <w:tcPr>
            <w:tcW w:w="8526" w:type="dxa"/>
            <w:tcBorders>
              <w:tl2br w:val="nil"/>
              <w:tr2bl w:val="nil"/>
            </w:tcBorders>
            <w:vAlign w:val="top"/>
          </w:tcPr>
          <w:p>
            <w:pPr>
              <w:bidi w:val="0"/>
              <w:ind w:firstLine="480" w:firstLineChars="200"/>
              <w:rPr>
                <w:rFonts w:hint="default"/>
                <w:color w:val="auto"/>
                <w:highlight w:val="none"/>
                <w:lang w:val="en-US" w:eastAsia="zh-CN"/>
              </w:rPr>
            </w:pPr>
            <w:r>
              <w:rPr>
                <w:rFonts w:hint="eastAsia"/>
                <w:color w:val="auto"/>
                <w:highlight w:val="none"/>
                <w:lang w:val="en-US" w:eastAsia="zh-CN"/>
              </w:rPr>
              <w:t>②无组织废气</w:t>
            </w:r>
          </w:p>
          <w:p>
            <w:pPr>
              <w:rPr>
                <w:rFonts w:hint="default" w:eastAsia="宋体"/>
                <w:color w:val="auto"/>
                <w:sz w:val="24"/>
                <w:szCs w:val="24"/>
                <w:highlight w:val="none"/>
                <w:shd w:val="clear"/>
                <w:vertAlign w:val="baseline"/>
                <w:lang w:val="en-US" w:eastAsia="zh-CN"/>
              </w:rPr>
            </w:pPr>
            <w:r>
              <w:rPr>
                <w:rFonts w:hint="eastAsia"/>
                <w:color w:val="auto"/>
                <w:lang w:val="en-US" w:eastAsia="zh-CN"/>
              </w:rPr>
              <w:t>根据河北合利环境检测服务有限公司于2020年11月05日出具的验收检测报告（报告编号：HHJC2020Y028）可知，</w:t>
            </w:r>
            <w:r>
              <w:rPr>
                <w:rFonts w:hint="eastAsia"/>
                <w:color w:val="auto"/>
                <w:sz w:val="24"/>
                <w:szCs w:val="24"/>
                <w:highlight w:val="none"/>
                <w:shd w:val="clear"/>
                <w:lang w:val="en-US" w:eastAsia="zh-CN"/>
              </w:rPr>
              <w:t>唐山烯彤科技有限公司现有工程厂界无组织非甲烷总烃最大浓度为1.40mg/m</w:t>
            </w:r>
            <w:r>
              <w:rPr>
                <w:rFonts w:hint="eastAsia"/>
                <w:color w:val="auto"/>
                <w:sz w:val="24"/>
                <w:szCs w:val="24"/>
                <w:highlight w:val="none"/>
                <w:shd w:val="clear"/>
                <w:vertAlign w:val="superscript"/>
                <w:lang w:val="en-US" w:eastAsia="zh-CN"/>
              </w:rPr>
              <w:t>3</w:t>
            </w:r>
            <w:r>
              <w:rPr>
                <w:rFonts w:hint="eastAsia"/>
                <w:color w:val="auto"/>
                <w:sz w:val="24"/>
                <w:szCs w:val="24"/>
                <w:highlight w:val="none"/>
                <w:shd w:val="clear"/>
                <w:lang w:val="en-US" w:eastAsia="zh-CN"/>
              </w:rPr>
              <w:t>，满足</w:t>
            </w:r>
            <w:r>
              <w:rPr>
                <w:rFonts w:hint="eastAsia" w:ascii="Times New Roman" w:hAnsi="Times New Roman" w:eastAsia="宋体"/>
                <w:color w:val="auto"/>
                <w:szCs w:val="30"/>
              </w:rPr>
              <w:t>《工业企业</w:t>
            </w:r>
            <w:r>
              <w:rPr>
                <w:rFonts w:ascii="Times New Roman" w:hAnsi="Times New Roman" w:eastAsia="宋体"/>
                <w:color w:val="auto"/>
                <w:szCs w:val="30"/>
              </w:rPr>
              <w:t>挥发性有机物排放标准</w:t>
            </w:r>
            <w:r>
              <w:rPr>
                <w:rFonts w:hint="eastAsia" w:ascii="Times New Roman" w:hAnsi="Times New Roman" w:eastAsia="宋体"/>
                <w:color w:val="auto"/>
                <w:szCs w:val="30"/>
              </w:rPr>
              <w:t>》（DB13/2322-2016）表2中“其他</w:t>
            </w:r>
            <w:r>
              <w:rPr>
                <w:rFonts w:ascii="Times New Roman" w:hAnsi="Times New Roman" w:eastAsia="宋体"/>
                <w:color w:val="auto"/>
                <w:szCs w:val="30"/>
              </w:rPr>
              <w:t>企业</w:t>
            </w:r>
            <w:r>
              <w:rPr>
                <w:rFonts w:hint="eastAsia" w:ascii="Times New Roman" w:hAnsi="Times New Roman" w:eastAsia="宋体"/>
                <w:color w:val="auto"/>
                <w:szCs w:val="30"/>
              </w:rPr>
              <w:t>”边界</w:t>
            </w:r>
            <w:r>
              <w:rPr>
                <w:rFonts w:ascii="Times New Roman" w:hAnsi="Times New Roman" w:eastAsia="宋体"/>
                <w:color w:val="auto"/>
                <w:szCs w:val="30"/>
              </w:rPr>
              <w:t>大气污染物浓度限值</w:t>
            </w:r>
            <w:r>
              <w:rPr>
                <w:rFonts w:hint="eastAsia" w:ascii="Times New Roman" w:hAnsi="Times New Roman" w:eastAsia="宋体"/>
                <w:color w:val="auto"/>
                <w:szCs w:val="30"/>
                <w:lang w:eastAsia="zh-CN"/>
              </w:rPr>
              <w:t>：</w:t>
            </w:r>
            <w:r>
              <w:rPr>
                <w:rFonts w:hint="eastAsia" w:ascii="Times New Roman" w:hAnsi="Times New Roman" w:eastAsia="宋体"/>
                <w:color w:val="auto"/>
                <w:szCs w:val="30"/>
                <w:lang w:val="en-US" w:eastAsia="zh-CN"/>
              </w:rPr>
              <w:t>非甲烷总烃2.0</w:t>
            </w:r>
            <w:r>
              <w:rPr>
                <w:rFonts w:hint="eastAsia"/>
                <w:color w:val="auto"/>
                <w:sz w:val="24"/>
                <w:szCs w:val="24"/>
                <w:highlight w:val="none"/>
                <w:shd w:val="clear"/>
                <w:lang w:val="en-US" w:eastAsia="zh-CN"/>
              </w:rPr>
              <w:t>mg/m</w:t>
            </w:r>
            <w:r>
              <w:rPr>
                <w:rFonts w:hint="eastAsia"/>
                <w:color w:val="auto"/>
                <w:sz w:val="24"/>
                <w:szCs w:val="24"/>
                <w:highlight w:val="none"/>
                <w:shd w:val="clear"/>
                <w:vertAlign w:val="superscript"/>
                <w:lang w:val="en-US" w:eastAsia="zh-CN"/>
              </w:rPr>
              <w:t>3</w:t>
            </w:r>
            <w:r>
              <w:rPr>
                <w:rFonts w:hint="eastAsia"/>
                <w:color w:val="auto"/>
                <w:sz w:val="24"/>
                <w:szCs w:val="24"/>
                <w:highlight w:val="none"/>
                <w:shd w:val="clear"/>
                <w:vertAlign w:val="baseline"/>
                <w:lang w:val="en-US" w:eastAsia="zh-CN"/>
              </w:rPr>
              <w:t>。</w:t>
            </w:r>
          </w:p>
          <w:p>
            <w:pPr>
              <w:rPr>
                <w:rFonts w:hint="default" w:eastAsia="宋体"/>
                <w:color w:val="auto"/>
                <w:highlight w:val="none"/>
                <w:lang w:val="en-US" w:eastAsia="zh-CN"/>
              </w:rPr>
            </w:pPr>
            <w:r>
              <w:rPr>
                <w:rFonts w:hint="eastAsia"/>
                <w:color w:val="auto"/>
                <w:highlight w:val="none"/>
                <w:lang w:val="en-US" w:eastAsia="zh-CN"/>
              </w:rPr>
              <w:t>现有工程</w:t>
            </w:r>
            <w:r>
              <w:rPr>
                <w:rFonts w:hint="eastAsia" w:ascii="Times New Roman" w:hAnsi="Times New Roman" w:eastAsia="宋体"/>
                <w:snapToGrid w:val="0"/>
                <w:color w:val="auto"/>
                <w:kern w:val="0"/>
                <w:sz w:val="24"/>
              </w:rPr>
              <w:t>烘干过程在密闭的烘干炉内进行，烧结还原过程在密闭的烧熔炉内进行烘干和烧结还原过程不会有废气逸散，但是在烘干和烧结还原完成后，打开设备将</w:t>
            </w:r>
            <w:r>
              <w:rPr>
                <w:rFonts w:hint="eastAsia" w:ascii="Times New Roman" w:hAnsi="Times New Roman" w:eastAsia="宋体" w:cs="义启新宋体"/>
                <w:snapToGrid w:val="0"/>
                <w:color w:val="auto"/>
                <w:kern w:val="0"/>
                <w:sz w:val="24"/>
              </w:rPr>
              <w:t>基体取出时，有机废气（以非甲烷</w:t>
            </w:r>
            <w:r>
              <w:rPr>
                <w:rFonts w:ascii="Times New Roman" w:hAnsi="Times New Roman" w:eastAsia="宋体" w:cs="义启新宋体"/>
                <w:snapToGrid w:val="0"/>
                <w:color w:val="auto"/>
                <w:kern w:val="0"/>
                <w:sz w:val="24"/>
              </w:rPr>
              <w:t>总烃</w:t>
            </w:r>
            <w:r>
              <w:rPr>
                <w:rFonts w:hint="eastAsia" w:ascii="Times New Roman" w:hAnsi="Times New Roman" w:eastAsia="宋体" w:cs="义启新宋体"/>
                <w:snapToGrid w:val="0"/>
                <w:color w:val="auto"/>
                <w:kern w:val="0"/>
                <w:sz w:val="24"/>
              </w:rPr>
              <w:t>计）会逸出</w:t>
            </w:r>
            <w:r>
              <w:rPr>
                <w:rFonts w:hint="eastAsia" w:ascii="Times New Roman" w:hAnsi="Times New Roman" w:eastAsia="宋体" w:cs="义启新宋体"/>
                <w:snapToGrid w:val="0"/>
                <w:color w:val="auto"/>
                <w:kern w:val="0"/>
                <w:sz w:val="24"/>
                <w:lang w:eastAsia="zh-CN"/>
              </w:rPr>
              <w:t>。</w:t>
            </w:r>
            <w:r>
              <w:rPr>
                <w:rFonts w:hint="eastAsia" w:ascii="Times New Roman" w:hAnsi="Times New Roman" w:eastAsia="宋体" w:cs="义启新宋体"/>
                <w:snapToGrid w:val="0"/>
                <w:color w:val="auto"/>
                <w:kern w:val="0"/>
                <w:sz w:val="24"/>
                <w:lang w:val="en-US" w:eastAsia="zh-CN"/>
              </w:rPr>
              <w:t>根据</w:t>
            </w:r>
            <w:r>
              <w:rPr>
                <w:rFonts w:hint="eastAsia" w:cs="义启新宋体"/>
                <w:snapToGrid w:val="0"/>
                <w:color w:val="auto"/>
                <w:kern w:val="0"/>
                <w:sz w:val="24"/>
                <w:lang w:val="en-US" w:eastAsia="zh-CN"/>
              </w:rPr>
              <w:t>《</w:t>
            </w:r>
            <w:r>
              <w:rPr>
                <w:rFonts w:hint="eastAsia" w:ascii="Times New Roman" w:hAnsi="Times New Roman" w:eastAsia="宋体"/>
                <w:color w:val="auto"/>
                <w:sz w:val="24"/>
                <w:szCs w:val="30"/>
              </w:rPr>
              <w:t>年产八万套石墨烯电发热元件及年产三千吨高性能等静压石墨项目</w:t>
            </w:r>
            <w:r>
              <w:rPr>
                <w:rFonts w:hint="eastAsia" w:ascii="Times New Roman" w:hAnsi="Times New Roman" w:eastAsia="宋体"/>
                <w:color w:val="auto"/>
                <w:sz w:val="24"/>
                <w:szCs w:val="30"/>
                <w:lang w:val="en-US" w:eastAsia="zh-CN"/>
              </w:rPr>
              <w:t>环境影响报告表</w:t>
            </w:r>
            <w:r>
              <w:rPr>
                <w:rFonts w:hint="eastAsia" w:cs="义启新宋体"/>
                <w:snapToGrid w:val="0"/>
                <w:color w:val="auto"/>
                <w:kern w:val="0"/>
                <w:sz w:val="24"/>
                <w:lang w:val="en-US" w:eastAsia="zh-CN"/>
              </w:rPr>
              <w:t>》可知，</w:t>
            </w:r>
            <w:r>
              <w:rPr>
                <w:rFonts w:hint="eastAsia" w:ascii="Times New Roman" w:hAnsi="Times New Roman" w:eastAsia="宋体"/>
                <w:snapToGrid w:val="0"/>
                <w:color w:val="auto"/>
                <w:kern w:val="0"/>
                <w:sz w:val="24"/>
              </w:rPr>
              <w:t>烘干和烧结还原过程</w:t>
            </w:r>
            <w:r>
              <w:rPr>
                <w:rFonts w:hint="eastAsia"/>
                <w:snapToGrid w:val="0"/>
                <w:color w:val="auto"/>
                <w:kern w:val="0"/>
                <w:sz w:val="24"/>
                <w:lang w:val="en-US" w:eastAsia="zh-CN"/>
              </w:rPr>
              <w:t>非甲烷总烃无组织排放量为0.00248t/a</w:t>
            </w:r>
            <w:r>
              <w:rPr>
                <w:rFonts w:hint="eastAsia"/>
                <w:color w:val="auto"/>
                <w:lang w:val="en-US" w:eastAsia="zh-CN"/>
              </w:rPr>
              <w:t>。</w:t>
            </w:r>
          </w:p>
          <w:p>
            <w:pPr>
              <w:rPr>
                <w:rFonts w:hint="default"/>
                <w:color w:val="auto"/>
                <w:highlight w:val="yellow"/>
                <w:lang w:val="en-US" w:eastAsia="zh-CN"/>
              </w:rPr>
            </w:pPr>
            <w:r>
              <w:rPr>
                <w:rFonts w:hint="eastAsia"/>
                <w:color w:val="auto"/>
                <w:highlight w:val="none"/>
                <w:lang w:val="en-US" w:eastAsia="zh-CN"/>
              </w:rPr>
              <w:t>综上，唐山烯彤科技有限公司现有工程氟化物排放量为0.0046t/a，氯化氢排放量为0.034t/a，非甲烷总烃排放量为0.06648t/a。</w:t>
            </w:r>
          </w:p>
          <w:p>
            <w:pPr>
              <w:rPr>
                <w:rFonts w:hint="eastAsia"/>
                <w:color w:val="auto"/>
                <w:highlight w:val="none"/>
                <w:lang w:val="en-US" w:eastAsia="zh-CN"/>
              </w:rPr>
            </w:pPr>
            <w:r>
              <w:rPr>
                <w:rFonts w:hint="eastAsia"/>
                <w:color w:val="auto"/>
                <w:highlight w:val="none"/>
                <w:lang w:val="en-US" w:eastAsia="zh-CN"/>
              </w:rPr>
              <w:t>（2）废水</w:t>
            </w:r>
          </w:p>
          <w:p>
            <w:pPr>
              <w:spacing w:line="480" w:lineRule="exact"/>
              <w:ind w:firstLine="480" w:firstLineChars="200"/>
              <w:rPr>
                <w:rFonts w:hint="default" w:ascii="Times New Roman" w:hAnsi="Times New Roman" w:eastAsia="宋体" w:cs="宋体"/>
                <w:color w:val="auto"/>
                <w:sz w:val="24"/>
                <w:szCs w:val="30"/>
                <w:lang w:val="en-US" w:eastAsia="zh-CN"/>
              </w:rPr>
            </w:pPr>
            <w:r>
              <w:rPr>
                <w:rFonts w:hint="eastAsia"/>
                <w:color w:val="auto"/>
                <w:highlight w:val="none"/>
                <w:lang w:val="en-US" w:eastAsia="zh-CN"/>
              </w:rPr>
              <w:t>唐山烯彤科技有限公司现有工程废水主要为</w:t>
            </w:r>
            <w:r>
              <w:rPr>
                <w:rFonts w:hint="eastAsia" w:ascii="Times New Roman" w:hAnsi="Times New Roman" w:eastAsia="宋体" w:cs="宋体"/>
                <w:color w:val="auto"/>
                <w:sz w:val="24"/>
                <w:szCs w:val="30"/>
              </w:rPr>
              <w:t>镀膜</w:t>
            </w:r>
            <w:r>
              <w:rPr>
                <w:rFonts w:ascii="Times New Roman" w:hAnsi="Times New Roman" w:eastAsia="宋体" w:cs="宋体"/>
                <w:color w:val="auto"/>
                <w:sz w:val="24"/>
                <w:szCs w:val="30"/>
              </w:rPr>
              <w:t>废气处理过程产生的废水</w:t>
            </w:r>
            <w:r>
              <w:rPr>
                <w:rFonts w:hint="eastAsia" w:ascii="Times New Roman" w:hAnsi="Times New Roman" w:eastAsia="宋体" w:cs="宋体"/>
                <w:color w:val="auto"/>
                <w:sz w:val="24"/>
                <w:szCs w:val="30"/>
              </w:rPr>
              <w:t>，基体冷却废水</w:t>
            </w:r>
            <w:r>
              <w:rPr>
                <w:rFonts w:ascii="Times New Roman" w:hAnsi="Times New Roman" w:eastAsia="宋体" w:cs="宋体"/>
                <w:color w:val="auto"/>
                <w:sz w:val="24"/>
                <w:szCs w:val="30"/>
              </w:rPr>
              <w:t>和职工生活</w:t>
            </w:r>
            <w:r>
              <w:rPr>
                <w:rFonts w:hint="eastAsia" w:ascii="Times New Roman" w:hAnsi="Times New Roman" w:eastAsia="宋体" w:cs="宋体"/>
                <w:color w:val="auto"/>
                <w:sz w:val="24"/>
                <w:szCs w:val="30"/>
                <w:lang w:val="en-US" w:eastAsia="zh-CN"/>
              </w:rPr>
              <w:t>污水</w:t>
            </w:r>
            <w:r>
              <w:rPr>
                <w:rFonts w:ascii="Times New Roman" w:hAnsi="Times New Roman" w:eastAsia="宋体" w:cs="宋体"/>
                <w:color w:val="auto"/>
                <w:sz w:val="24"/>
                <w:szCs w:val="30"/>
              </w:rPr>
              <w:t>。</w:t>
            </w:r>
            <w:r>
              <w:rPr>
                <w:rFonts w:hint="eastAsia" w:ascii="Times New Roman" w:hAnsi="Times New Roman" w:eastAsia="宋体" w:cs="宋体"/>
                <w:color w:val="auto"/>
                <w:sz w:val="24"/>
                <w:szCs w:val="30"/>
              </w:rPr>
              <w:t>镀膜</w:t>
            </w:r>
            <w:r>
              <w:rPr>
                <w:rFonts w:ascii="Times New Roman" w:hAnsi="Times New Roman" w:eastAsia="宋体" w:cs="宋体"/>
                <w:color w:val="auto"/>
                <w:sz w:val="24"/>
                <w:szCs w:val="30"/>
              </w:rPr>
              <w:t>废气处理过程产生的</w:t>
            </w:r>
            <w:r>
              <w:rPr>
                <w:rFonts w:hint="eastAsia" w:cs="宋体"/>
                <w:color w:val="auto"/>
                <w:sz w:val="24"/>
                <w:szCs w:val="30"/>
                <w:lang w:val="en-US" w:eastAsia="zh-CN"/>
              </w:rPr>
              <w:t>喷淋废水</w:t>
            </w:r>
            <w:r>
              <w:rPr>
                <w:rFonts w:hint="eastAsia" w:ascii="Times New Roman" w:hAnsi="Times New Roman" w:eastAsia="宋体"/>
                <w:snapToGrid w:val="0"/>
                <w:color w:val="auto"/>
                <w:kern w:val="0"/>
                <w:sz w:val="24"/>
              </w:rPr>
              <w:t>采用耐腐蚀防渗漏的容器储存</w:t>
            </w:r>
            <w:r>
              <w:rPr>
                <w:rFonts w:hint="eastAsia" w:ascii="Times New Roman" w:hAnsi="Times New Roman" w:eastAsia="宋体"/>
                <w:snapToGrid w:val="0"/>
                <w:color w:val="auto"/>
                <w:kern w:val="0"/>
                <w:sz w:val="24"/>
                <w:lang w:eastAsia="zh-CN"/>
              </w:rPr>
              <w:t>，</w:t>
            </w:r>
            <w:r>
              <w:rPr>
                <w:rFonts w:hint="eastAsia" w:ascii="Times New Roman" w:hAnsi="Times New Roman" w:eastAsia="宋体"/>
                <w:snapToGrid w:val="0"/>
                <w:color w:val="auto"/>
                <w:kern w:val="0"/>
                <w:sz w:val="24"/>
                <w:lang w:val="en-US" w:eastAsia="zh-CN"/>
              </w:rPr>
              <w:t>委托有资质单位处置；</w:t>
            </w:r>
            <w:r>
              <w:rPr>
                <w:rFonts w:hint="eastAsia" w:ascii="Times New Roman" w:hAnsi="Times New Roman" w:eastAsia="宋体" w:cs="宋体"/>
                <w:color w:val="auto"/>
                <w:sz w:val="24"/>
                <w:szCs w:val="30"/>
              </w:rPr>
              <w:t>基体冷却废水</w:t>
            </w:r>
            <w:r>
              <w:rPr>
                <w:rFonts w:hint="eastAsia" w:cs="宋体"/>
                <w:color w:val="auto"/>
                <w:sz w:val="24"/>
                <w:szCs w:val="30"/>
                <w:lang w:val="en-US" w:eastAsia="zh-CN"/>
              </w:rPr>
              <w:t>循环使用，不外排；职工生活污水排入市政管网，最终进入西郊污水处理厂处理。</w:t>
            </w:r>
          </w:p>
          <w:p>
            <w:pPr>
              <w:rPr>
                <w:rFonts w:hint="eastAsia"/>
                <w:color w:val="auto"/>
                <w:highlight w:val="none"/>
                <w:lang w:val="en-US" w:eastAsia="zh-CN"/>
              </w:rPr>
            </w:pPr>
            <w:r>
              <w:rPr>
                <w:rFonts w:hint="eastAsia"/>
                <w:color w:val="auto"/>
                <w:lang w:val="en-US" w:eastAsia="zh-CN"/>
              </w:rPr>
              <w:t>根据河北合利环境检测服务有限公司于2020年11月05日出具的验收检测报告（报告编号：HHJC2020Y028）</w:t>
            </w:r>
            <w:r>
              <w:rPr>
                <w:rFonts w:hint="eastAsia"/>
                <w:color w:val="auto"/>
                <w:highlight w:val="none"/>
                <w:lang w:val="en-US" w:eastAsia="zh-CN"/>
              </w:rPr>
              <w:t>，唐山烯彤科技有限公司现有工程污水排放情况见下表。</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color w:val="auto"/>
                <w:highlight w:val="none"/>
                <w:lang w:val="en-US" w:eastAsia="zh-CN"/>
              </w:rPr>
            </w:pPr>
            <w:r>
              <w:rPr>
                <w:b/>
                <w:bCs/>
                <w:color w:val="auto"/>
                <w:sz w:val="21"/>
                <w:szCs w:val="21"/>
                <w:highlight w:val="none"/>
              </w:rPr>
              <w:t>表</w:t>
            </w:r>
            <w:r>
              <w:rPr>
                <w:rFonts w:hint="eastAsia"/>
                <w:b/>
                <w:bCs/>
                <w:color w:val="auto"/>
                <w:sz w:val="21"/>
                <w:szCs w:val="21"/>
                <w:highlight w:val="none"/>
                <w:lang w:val="en-US" w:eastAsia="zh-CN"/>
              </w:rPr>
              <w:t>20  现有工程废水排放情况一览表</w:t>
            </w:r>
            <w:r>
              <w:rPr>
                <w:b/>
                <w:bCs/>
                <w:color w:val="auto"/>
                <w:sz w:val="21"/>
                <w:szCs w:val="21"/>
                <w:highlight w:val="none"/>
              </w:rPr>
              <w:t xml:space="preserve">     </w:t>
            </w:r>
          </w:p>
          <w:tbl>
            <w:tblPr>
              <w:tblStyle w:val="25"/>
              <w:tblW w:w="833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56"/>
              <w:gridCol w:w="1108"/>
              <w:gridCol w:w="1020"/>
              <w:gridCol w:w="1050"/>
              <w:gridCol w:w="2655"/>
              <w:gridCol w:w="821"/>
              <w:gridCol w:w="82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856"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textAlignment w:val="auto"/>
                    <w:rPr>
                      <w:rFonts w:hint="default"/>
                      <w:color w:val="auto"/>
                      <w:highlight w:val="none"/>
                      <w:lang w:val="en-US" w:eastAsia="zh-CN"/>
                    </w:rPr>
                  </w:pPr>
                  <w:r>
                    <w:rPr>
                      <w:rFonts w:hint="eastAsia"/>
                      <w:color w:val="auto"/>
                      <w:highlight w:val="none"/>
                      <w:lang w:val="en-US" w:eastAsia="zh-CN"/>
                    </w:rPr>
                    <w:t>监测点位</w:t>
                  </w:r>
                </w:p>
              </w:tc>
              <w:tc>
                <w:tcPr>
                  <w:tcW w:w="1108"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textAlignment w:val="auto"/>
                    <w:rPr>
                      <w:rFonts w:hint="default"/>
                      <w:color w:val="auto"/>
                      <w:highlight w:val="none"/>
                      <w:lang w:val="en-US" w:eastAsia="zh-CN"/>
                    </w:rPr>
                  </w:pPr>
                  <w:r>
                    <w:rPr>
                      <w:rFonts w:hint="eastAsia"/>
                      <w:color w:val="auto"/>
                      <w:highlight w:val="none"/>
                      <w:lang w:val="en-US" w:eastAsia="zh-CN"/>
                    </w:rPr>
                    <w:t>检测项目</w:t>
                  </w:r>
                </w:p>
              </w:tc>
              <w:tc>
                <w:tcPr>
                  <w:tcW w:w="1020"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textAlignment w:val="auto"/>
                    <w:rPr>
                      <w:rFonts w:hint="default"/>
                      <w:color w:val="auto"/>
                      <w:highlight w:val="none"/>
                      <w:lang w:val="en-US" w:eastAsia="zh-CN"/>
                    </w:rPr>
                  </w:pPr>
                  <w:r>
                    <w:rPr>
                      <w:rFonts w:hint="eastAsia"/>
                      <w:color w:val="auto"/>
                      <w:highlight w:val="none"/>
                      <w:lang w:val="en-US" w:eastAsia="zh-CN"/>
                    </w:rPr>
                    <w:t>单位</w:t>
                  </w:r>
                </w:p>
              </w:tc>
              <w:tc>
                <w:tcPr>
                  <w:tcW w:w="1050"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textAlignment w:val="auto"/>
                    <w:rPr>
                      <w:rFonts w:hint="default"/>
                      <w:color w:val="auto"/>
                      <w:highlight w:val="none"/>
                      <w:lang w:val="en-US" w:eastAsia="zh-CN"/>
                    </w:rPr>
                  </w:pPr>
                  <w:r>
                    <w:rPr>
                      <w:rFonts w:hint="eastAsia"/>
                      <w:color w:val="auto"/>
                      <w:highlight w:val="none"/>
                      <w:lang w:val="en-US" w:eastAsia="zh-CN"/>
                    </w:rPr>
                    <w:t>监测结果</w:t>
                  </w:r>
                </w:p>
              </w:tc>
              <w:tc>
                <w:tcPr>
                  <w:tcW w:w="2655"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textAlignment w:val="auto"/>
                    <w:rPr>
                      <w:rFonts w:hint="default"/>
                      <w:color w:val="auto"/>
                      <w:highlight w:val="none"/>
                      <w:lang w:val="en-US" w:eastAsia="zh-CN"/>
                    </w:rPr>
                  </w:pPr>
                  <w:r>
                    <w:rPr>
                      <w:rFonts w:hint="eastAsia"/>
                      <w:color w:val="auto"/>
                      <w:highlight w:val="none"/>
                      <w:lang w:val="en-US" w:eastAsia="zh-CN"/>
                    </w:rPr>
                    <w:t>执行标准</w:t>
                  </w:r>
                </w:p>
              </w:tc>
              <w:tc>
                <w:tcPr>
                  <w:tcW w:w="821"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textAlignment w:val="auto"/>
                    <w:rPr>
                      <w:rFonts w:hint="default"/>
                      <w:color w:val="auto"/>
                      <w:highlight w:val="none"/>
                      <w:lang w:val="en-US" w:eastAsia="zh-CN"/>
                    </w:rPr>
                  </w:pPr>
                  <w:r>
                    <w:rPr>
                      <w:rFonts w:hint="eastAsia"/>
                      <w:color w:val="auto"/>
                      <w:highlight w:val="none"/>
                      <w:lang w:val="en-US" w:eastAsia="zh-CN"/>
                    </w:rPr>
                    <w:t>限值</w:t>
                  </w:r>
                </w:p>
              </w:tc>
              <w:tc>
                <w:tcPr>
                  <w:tcW w:w="824"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textAlignment w:val="auto"/>
                    <w:rPr>
                      <w:rFonts w:hint="default"/>
                      <w:color w:val="auto"/>
                      <w:highlight w:val="none"/>
                      <w:lang w:val="en-US" w:eastAsia="zh-CN"/>
                    </w:rPr>
                  </w:pPr>
                  <w:r>
                    <w:rPr>
                      <w:rFonts w:hint="eastAsia"/>
                      <w:color w:val="auto"/>
                      <w:highlight w:val="none"/>
                      <w:lang w:val="en-US" w:eastAsia="zh-CN"/>
                    </w:rPr>
                    <w:t>达标情况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56" w:type="dxa"/>
                  <w:vMerge w:val="restart"/>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textAlignment w:val="auto"/>
                    <w:rPr>
                      <w:rFonts w:hint="default"/>
                      <w:color w:val="auto"/>
                      <w:highlight w:val="none"/>
                      <w:lang w:val="en-US" w:eastAsia="zh-CN"/>
                    </w:rPr>
                  </w:pPr>
                  <w:r>
                    <w:rPr>
                      <w:rFonts w:hint="eastAsia"/>
                      <w:color w:val="auto"/>
                      <w:highlight w:val="none"/>
                      <w:lang w:val="en-US" w:eastAsia="zh-CN"/>
                    </w:rPr>
                    <w:t>废水总排口</w:t>
                  </w:r>
                </w:p>
              </w:tc>
              <w:tc>
                <w:tcPr>
                  <w:tcW w:w="1108"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textAlignment w:val="auto"/>
                    <w:rPr>
                      <w:rFonts w:hint="default"/>
                      <w:color w:val="auto"/>
                      <w:highlight w:val="none"/>
                      <w:lang w:val="en-US" w:eastAsia="zh-CN"/>
                    </w:rPr>
                  </w:pPr>
                  <w:r>
                    <w:rPr>
                      <w:rFonts w:hint="eastAsia"/>
                      <w:color w:val="auto"/>
                      <w:highlight w:val="none"/>
                      <w:lang w:val="en-US" w:eastAsia="zh-CN"/>
                    </w:rPr>
                    <w:t>COD</w:t>
                  </w:r>
                </w:p>
              </w:tc>
              <w:tc>
                <w:tcPr>
                  <w:tcW w:w="1020"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textAlignment w:val="auto"/>
                    <w:rPr>
                      <w:rFonts w:hint="default"/>
                      <w:color w:val="auto"/>
                      <w:highlight w:val="none"/>
                      <w:lang w:val="en-US" w:eastAsia="zh-CN"/>
                    </w:rPr>
                  </w:pPr>
                  <w:r>
                    <w:rPr>
                      <w:rFonts w:hint="eastAsia"/>
                      <w:color w:val="auto"/>
                      <w:highlight w:val="none"/>
                      <w:lang w:val="en-US" w:eastAsia="zh-CN"/>
                    </w:rPr>
                    <w:t>mg/L</w:t>
                  </w:r>
                </w:p>
              </w:tc>
              <w:tc>
                <w:tcPr>
                  <w:tcW w:w="1050"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textAlignment w:val="auto"/>
                    <w:rPr>
                      <w:rFonts w:hint="default"/>
                      <w:color w:val="auto"/>
                      <w:highlight w:val="none"/>
                      <w:lang w:val="en-US" w:eastAsia="zh-CN"/>
                    </w:rPr>
                  </w:pPr>
                  <w:r>
                    <w:rPr>
                      <w:rFonts w:hint="eastAsia"/>
                      <w:color w:val="auto"/>
                      <w:highlight w:val="none"/>
                      <w:lang w:val="en-US" w:eastAsia="zh-CN"/>
                    </w:rPr>
                    <w:t>398</w:t>
                  </w:r>
                </w:p>
              </w:tc>
              <w:tc>
                <w:tcPr>
                  <w:tcW w:w="2655" w:type="dxa"/>
                  <w:vMerge w:val="restart"/>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textAlignment w:val="auto"/>
                    <w:rPr>
                      <w:rFonts w:hint="default"/>
                      <w:color w:val="auto"/>
                      <w:highlight w:val="none"/>
                      <w:lang w:val="en-US" w:eastAsia="zh-CN"/>
                    </w:rPr>
                  </w:pPr>
                  <w:r>
                    <w:rPr>
                      <w:rFonts w:hint="default"/>
                      <w:color w:val="auto"/>
                      <w:highlight w:val="none"/>
                      <w:lang w:val="en-US" w:eastAsia="zh-CN"/>
                    </w:rPr>
                    <w:t>《污水综合排放标准》（GB8978—1996）表4中三级标准</w:t>
                  </w:r>
                  <w:r>
                    <w:rPr>
                      <w:rFonts w:hint="eastAsia"/>
                      <w:color w:val="auto"/>
                      <w:highlight w:val="none"/>
                      <w:lang w:val="en-US" w:eastAsia="zh-CN"/>
                    </w:rPr>
                    <w:t>，《污水排入城镇下水道水质标准》（GB/T31962-2015），西郊污水处理厂进水水质标准</w:t>
                  </w:r>
                </w:p>
              </w:tc>
              <w:tc>
                <w:tcPr>
                  <w:tcW w:w="821"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textAlignment w:val="auto"/>
                    <w:rPr>
                      <w:rFonts w:hint="default"/>
                      <w:color w:val="auto"/>
                      <w:highlight w:val="none"/>
                      <w:lang w:val="en-US" w:eastAsia="zh-CN"/>
                    </w:rPr>
                  </w:pPr>
                  <w:r>
                    <w:rPr>
                      <w:rFonts w:hint="eastAsia"/>
                      <w:color w:val="auto"/>
                      <w:highlight w:val="none"/>
                      <w:lang w:val="en-US" w:eastAsia="zh-CN"/>
                    </w:rPr>
                    <w:t>425</w:t>
                  </w:r>
                </w:p>
              </w:tc>
              <w:tc>
                <w:tcPr>
                  <w:tcW w:w="824"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textAlignment w:val="auto"/>
                    <w:rPr>
                      <w:rFonts w:hint="default"/>
                      <w:color w:val="auto"/>
                      <w:highlight w:val="none"/>
                      <w:lang w:val="en-US" w:eastAsia="zh-CN"/>
                    </w:rPr>
                  </w:pPr>
                  <w:r>
                    <w:rPr>
                      <w:rFonts w:hint="eastAsia"/>
                      <w:color w:val="auto"/>
                      <w:highlight w:val="none"/>
                      <w:lang w:val="en-US" w:eastAsia="zh-CN"/>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856" w:type="dxa"/>
                  <w:vMerge w:val="continue"/>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textAlignment w:val="auto"/>
                    <w:rPr>
                      <w:rFonts w:hint="eastAsia"/>
                      <w:color w:val="auto"/>
                      <w:highlight w:val="none"/>
                      <w:lang w:val="en-US" w:eastAsia="zh-CN"/>
                    </w:rPr>
                  </w:pPr>
                </w:p>
              </w:tc>
              <w:tc>
                <w:tcPr>
                  <w:tcW w:w="1108"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textAlignment w:val="auto"/>
                    <w:rPr>
                      <w:rFonts w:hint="default"/>
                      <w:color w:val="auto"/>
                      <w:highlight w:val="none"/>
                      <w:lang w:val="en-US" w:eastAsia="zh-CN"/>
                    </w:rPr>
                  </w:pPr>
                  <w:r>
                    <w:rPr>
                      <w:rFonts w:hint="eastAsia"/>
                      <w:color w:val="auto"/>
                      <w:highlight w:val="none"/>
                      <w:lang w:val="en-US" w:eastAsia="zh-CN"/>
                    </w:rPr>
                    <w:t>BOD</w:t>
                  </w:r>
                  <w:r>
                    <w:rPr>
                      <w:rFonts w:hint="eastAsia"/>
                      <w:color w:val="auto"/>
                      <w:highlight w:val="none"/>
                      <w:vertAlign w:val="subscript"/>
                      <w:lang w:val="en-US" w:eastAsia="zh-CN"/>
                    </w:rPr>
                    <w:t>5</w:t>
                  </w:r>
                </w:p>
              </w:tc>
              <w:tc>
                <w:tcPr>
                  <w:tcW w:w="1020"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textAlignment w:val="auto"/>
                    <w:rPr>
                      <w:rFonts w:hint="default"/>
                      <w:color w:val="auto"/>
                      <w:highlight w:val="none"/>
                      <w:lang w:val="en-US" w:eastAsia="zh-CN"/>
                    </w:rPr>
                  </w:pPr>
                  <w:r>
                    <w:rPr>
                      <w:rFonts w:hint="eastAsia"/>
                      <w:color w:val="auto"/>
                      <w:highlight w:val="none"/>
                      <w:lang w:val="en-US" w:eastAsia="zh-CN"/>
                    </w:rPr>
                    <w:t>mg/L</w:t>
                  </w:r>
                </w:p>
              </w:tc>
              <w:tc>
                <w:tcPr>
                  <w:tcW w:w="1050"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textAlignment w:val="auto"/>
                    <w:rPr>
                      <w:rFonts w:hint="default"/>
                      <w:color w:val="auto"/>
                      <w:highlight w:val="none"/>
                      <w:lang w:val="en-US" w:eastAsia="zh-CN"/>
                    </w:rPr>
                  </w:pPr>
                  <w:r>
                    <w:rPr>
                      <w:rFonts w:hint="eastAsia"/>
                      <w:color w:val="auto"/>
                      <w:highlight w:val="none"/>
                      <w:lang w:val="en-US" w:eastAsia="zh-CN"/>
                    </w:rPr>
                    <w:t>220</w:t>
                  </w:r>
                </w:p>
              </w:tc>
              <w:tc>
                <w:tcPr>
                  <w:tcW w:w="2655" w:type="dxa"/>
                  <w:vMerge w:val="continue"/>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textAlignment w:val="auto"/>
                    <w:rPr>
                      <w:rFonts w:hint="default"/>
                      <w:color w:val="auto"/>
                      <w:highlight w:val="none"/>
                      <w:lang w:val="en-US" w:eastAsia="zh-CN"/>
                    </w:rPr>
                  </w:pPr>
                </w:p>
              </w:tc>
              <w:tc>
                <w:tcPr>
                  <w:tcW w:w="821"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textAlignment w:val="auto"/>
                    <w:rPr>
                      <w:rFonts w:hint="default"/>
                      <w:color w:val="auto"/>
                      <w:highlight w:val="none"/>
                      <w:lang w:val="en-US" w:eastAsia="zh-CN"/>
                    </w:rPr>
                  </w:pPr>
                  <w:r>
                    <w:rPr>
                      <w:rFonts w:hint="eastAsia"/>
                      <w:color w:val="auto"/>
                      <w:highlight w:val="none"/>
                      <w:lang w:val="en-US" w:eastAsia="zh-CN"/>
                    </w:rPr>
                    <w:t>225</w:t>
                  </w:r>
                </w:p>
              </w:tc>
              <w:tc>
                <w:tcPr>
                  <w:tcW w:w="824"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firstLine="0" w:firstLineChars="0"/>
                    <w:textAlignment w:val="auto"/>
                    <w:rPr>
                      <w:rFonts w:hint="eastAsia"/>
                      <w:color w:val="auto"/>
                      <w:highlight w:val="none"/>
                      <w:lang w:val="en-US" w:eastAsia="zh-CN"/>
                    </w:rPr>
                  </w:pPr>
                  <w:r>
                    <w:rPr>
                      <w:rFonts w:hint="eastAsia"/>
                      <w:color w:val="auto"/>
                      <w:highlight w:val="none"/>
                      <w:lang w:val="en-US" w:eastAsia="zh-CN"/>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856" w:type="dxa"/>
                  <w:vMerge w:val="continue"/>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textAlignment w:val="auto"/>
                    <w:rPr>
                      <w:rFonts w:hint="eastAsia"/>
                      <w:color w:val="auto"/>
                      <w:highlight w:val="none"/>
                      <w:lang w:val="en-US" w:eastAsia="zh-CN"/>
                    </w:rPr>
                  </w:pPr>
                </w:p>
              </w:tc>
              <w:tc>
                <w:tcPr>
                  <w:tcW w:w="1108"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textAlignment w:val="auto"/>
                    <w:rPr>
                      <w:rFonts w:hint="default"/>
                      <w:color w:val="auto"/>
                      <w:highlight w:val="none"/>
                      <w:lang w:val="en-US" w:eastAsia="zh-CN"/>
                    </w:rPr>
                  </w:pPr>
                  <w:r>
                    <w:rPr>
                      <w:rFonts w:hint="eastAsia"/>
                      <w:color w:val="auto"/>
                      <w:highlight w:val="none"/>
                      <w:lang w:val="en-US" w:eastAsia="zh-CN"/>
                    </w:rPr>
                    <w:t>SS</w:t>
                  </w:r>
                </w:p>
              </w:tc>
              <w:tc>
                <w:tcPr>
                  <w:tcW w:w="1020"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firstLine="0" w:firstLineChars="0"/>
                    <w:textAlignment w:val="auto"/>
                    <w:rPr>
                      <w:rFonts w:hint="eastAsia"/>
                      <w:color w:val="auto"/>
                      <w:highlight w:val="none"/>
                      <w:lang w:val="en-US" w:eastAsia="zh-CN"/>
                    </w:rPr>
                  </w:pPr>
                  <w:r>
                    <w:rPr>
                      <w:rFonts w:hint="eastAsia"/>
                      <w:color w:val="auto"/>
                      <w:highlight w:val="none"/>
                      <w:lang w:val="en-US" w:eastAsia="zh-CN"/>
                    </w:rPr>
                    <w:t>mg/L</w:t>
                  </w:r>
                </w:p>
              </w:tc>
              <w:tc>
                <w:tcPr>
                  <w:tcW w:w="1050"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textAlignment w:val="auto"/>
                    <w:rPr>
                      <w:rFonts w:hint="default"/>
                      <w:color w:val="auto"/>
                      <w:highlight w:val="none"/>
                      <w:lang w:val="en-US" w:eastAsia="zh-CN"/>
                    </w:rPr>
                  </w:pPr>
                  <w:r>
                    <w:rPr>
                      <w:rFonts w:hint="eastAsia"/>
                      <w:color w:val="auto"/>
                      <w:highlight w:val="none"/>
                      <w:lang w:val="en-US" w:eastAsia="zh-CN"/>
                    </w:rPr>
                    <w:t>112</w:t>
                  </w:r>
                </w:p>
              </w:tc>
              <w:tc>
                <w:tcPr>
                  <w:tcW w:w="2655" w:type="dxa"/>
                  <w:vMerge w:val="continue"/>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textAlignment w:val="auto"/>
                    <w:rPr>
                      <w:rFonts w:hint="default"/>
                      <w:color w:val="auto"/>
                      <w:highlight w:val="none"/>
                      <w:lang w:val="en-US" w:eastAsia="zh-CN"/>
                    </w:rPr>
                  </w:pPr>
                </w:p>
              </w:tc>
              <w:tc>
                <w:tcPr>
                  <w:tcW w:w="821"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textAlignment w:val="auto"/>
                    <w:rPr>
                      <w:rFonts w:hint="default"/>
                      <w:color w:val="auto"/>
                      <w:highlight w:val="none"/>
                      <w:lang w:val="en-US" w:eastAsia="zh-CN"/>
                    </w:rPr>
                  </w:pPr>
                  <w:r>
                    <w:rPr>
                      <w:rFonts w:hint="eastAsia"/>
                      <w:color w:val="auto"/>
                      <w:highlight w:val="none"/>
                      <w:lang w:val="en-US" w:eastAsia="zh-CN"/>
                    </w:rPr>
                    <w:t>300</w:t>
                  </w:r>
                </w:p>
              </w:tc>
              <w:tc>
                <w:tcPr>
                  <w:tcW w:w="824"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firstLine="0" w:firstLineChars="0"/>
                    <w:textAlignment w:val="auto"/>
                    <w:rPr>
                      <w:rFonts w:hint="eastAsia"/>
                      <w:color w:val="auto"/>
                      <w:highlight w:val="none"/>
                      <w:lang w:val="en-US" w:eastAsia="zh-CN"/>
                    </w:rPr>
                  </w:pPr>
                  <w:r>
                    <w:rPr>
                      <w:rFonts w:hint="eastAsia"/>
                      <w:color w:val="auto"/>
                      <w:highlight w:val="none"/>
                      <w:lang w:val="en-US" w:eastAsia="zh-CN"/>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856" w:type="dxa"/>
                  <w:vMerge w:val="continue"/>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textAlignment w:val="auto"/>
                    <w:rPr>
                      <w:rFonts w:hint="eastAsia"/>
                      <w:color w:val="auto"/>
                      <w:highlight w:val="none"/>
                      <w:lang w:val="en-US" w:eastAsia="zh-CN"/>
                    </w:rPr>
                  </w:pPr>
                </w:p>
              </w:tc>
              <w:tc>
                <w:tcPr>
                  <w:tcW w:w="1108"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textAlignment w:val="auto"/>
                    <w:rPr>
                      <w:rFonts w:hint="default"/>
                      <w:color w:val="auto"/>
                      <w:highlight w:val="none"/>
                      <w:lang w:val="en-US" w:eastAsia="zh-CN"/>
                    </w:rPr>
                  </w:pPr>
                  <w:r>
                    <w:rPr>
                      <w:rFonts w:hint="eastAsia"/>
                      <w:color w:val="auto"/>
                      <w:highlight w:val="none"/>
                      <w:lang w:val="en-US" w:eastAsia="zh-CN"/>
                    </w:rPr>
                    <w:t>NH</w:t>
                  </w:r>
                  <w:r>
                    <w:rPr>
                      <w:rFonts w:hint="eastAsia"/>
                      <w:color w:val="auto"/>
                      <w:highlight w:val="none"/>
                      <w:vertAlign w:val="subscript"/>
                      <w:lang w:val="en-US" w:eastAsia="zh-CN"/>
                    </w:rPr>
                    <w:t>3</w:t>
                  </w:r>
                  <w:r>
                    <w:rPr>
                      <w:rFonts w:hint="eastAsia"/>
                      <w:color w:val="auto"/>
                      <w:highlight w:val="none"/>
                      <w:lang w:val="en-US" w:eastAsia="zh-CN"/>
                    </w:rPr>
                    <w:t>-N</w:t>
                  </w:r>
                </w:p>
              </w:tc>
              <w:tc>
                <w:tcPr>
                  <w:tcW w:w="1020"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firstLine="0" w:firstLineChars="0"/>
                    <w:textAlignment w:val="auto"/>
                    <w:rPr>
                      <w:rFonts w:hint="eastAsia"/>
                      <w:color w:val="auto"/>
                      <w:highlight w:val="none"/>
                      <w:lang w:val="en-US" w:eastAsia="zh-CN"/>
                    </w:rPr>
                  </w:pPr>
                  <w:r>
                    <w:rPr>
                      <w:rFonts w:hint="eastAsia"/>
                      <w:color w:val="auto"/>
                      <w:highlight w:val="none"/>
                      <w:lang w:val="en-US" w:eastAsia="zh-CN"/>
                    </w:rPr>
                    <w:t>mg/L</w:t>
                  </w:r>
                </w:p>
              </w:tc>
              <w:tc>
                <w:tcPr>
                  <w:tcW w:w="1050"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textAlignment w:val="auto"/>
                    <w:rPr>
                      <w:rFonts w:hint="default"/>
                      <w:color w:val="auto"/>
                      <w:highlight w:val="none"/>
                      <w:lang w:val="en-US" w:eastAsia="zh-CN"/>
                    </w:rPr>
                  </w:pPr>
                  <w:r>
                    <w:rPr>
                      <w:rFonts w:hint="eastAsia"/>
                      <w:color w:val="auto"/>
                      <w:highlight w:val="none"/>
                      <w:lang w:val="en-US" w:eastAsia="zh-CN"/>
                    </w:rPr>
                    <w:t>29.6</w:t>
                  </w:r>
                </w:p>
              </w:tc>
              <w:tc>
                <w:tcPr>
                  <w:tcW w:w="2655" w:type="dxa"/>
                  <w:vMerge w:val="continue"/>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textAlignment w:val="auto"/>
                    <w:rPr>
                      <w:rFonts w:hint="default"/>
                      <w:color w:val="auto"/>
                      <w:highlight w:val="none"/>
                      <w:lang w:val="en-US" w:eastAsia="zh-CN"/>
                    </w:rPr>
                  </w:pPr>
                </w:p>
              </w:tc>
              <w:tc>
                <w:tcPr>
                  <w:tcW w:w="821"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textAlignment w:val="auto"/>
                    <w:rPr>
                      <w:rFonts w:hint="default"/>
                      <w:color w:val="auto"/>
                      <w:highlight w:val="none"/>
                      <w:lang w:val="en-US" w:eastAsia="zh-CN"/>
                    </w:rPr>
                  </w:pPr>
                  <w:r>
                    <w:rPr>
                      <w:rFonts w:hint="eastAsia"/>
                      <w:color w:val="auto"/>
                      <w:highlight w:val="none"/>
                      <w:lang w:val="en-US" w:eastAsia="zh-CN"/>
                    </w:rPr>
                    <w:t>45</w:t>
                  </w:r>
                </w:p>
              </w:tc>
              <w:tc>
                <w:tcPr>
                  <w:tcW w:w="824"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24" w:leftChars="-10" w:right="-24" w:rightChars="-10" w:firstLine="0" w:firstLineChars="0"/>
                    <w:textAlignment w:val="auto"/>
                    <w:rPr>
                      <w:rFonts w:hint="eastAsia"/>
                      <w:color w:val="auto"/>
                      <w:highlight w:val="none"/>
                      <w:lang w:val="en-US" w:eastAsia="zh-CN"/>
                    </w:rPr>
                  </w:pPr>
                  <w:r>
                    <w:rPr>
                      <w:rFonts w:hint="eastAsia"/>
                      <w:color w:val="auto"/>
                      <w:highlight w:val="none"/>
                      <w:lang w:val="en-US" w:eastAsia="zh-CN"/>
                    </w:rPr>
                    <w:t>达标</w:t>
                  </w:r>
                </w:p>
              </w:tc>
            </w:tr>
          </w:tbl>
          <w:p>
            <w:pPr>
              <w:bidi w:val="0"/>
              <w:rPr>
                <w:rFonts w:hint="default"/>
                <w:color w:val="auto"/>
                <w:highlight w:val="none"/>
                <w:lang w:val="en-US" w:eastAsia="zh-CN"/>
              </w:rPr>
            </w:pPr>
            <w:r>
              <w:rPr>
                <w:rFonts w:hint="eastAsia"/>
                <w:color w:val="auto"/>
                <w:highlight w:val="none"/>
                <w:lang w:val="en-US" w:eastAsia="zh-CN"/>
              </w:rPr>
              <w:t>根据上表可知，唐山烯彤科技有限公司现有工程废水排放浓度满足</w:t>
            </w:r>
            <w:r>
              <w:rPr>
                <w:rFonts w:hint="default"/>
                <w:color w:val="auto"/>
                <w:highlight w:val="none"/>
                <w:lang w:val="en-US" w:eastAsia="zh-CN"/>
              </w:rPr>
              <w:t>《污水综合排放标准》（GB8978—1996）表4中三级标准</w:t>
            </w:r>
            <w:r>
              <w:rPr>
                <w:rFonts w:hint="eastAsia"/>
                <w:color w:val="auto"/>
                <w:highlight w:val="none"/>
                <w:lang w:val="en-US" w:eastAsia="zh-CN"/>
              </w:rPr>
              <w:t>，《污水排入城镇下水道水质标准》（GB/T31962-2015），同时满足西郊污水处理厂进水水质标准。现有工程废水排放量为0.48m</w:t>
            </w:r>
            <w:r>
              <w:rPr>
                <w:rFonts w:hint="eastAsia"/>
                <w:color w:val="auto"/>
                <w:highlight w:val="none"/>
                <w:vertAlign w:val="superscript"/>
                <w:lang w:val="en-US" w:eastAsia="zh-CN"/>
              </w:rPr>
              <w:t>3</w:t>
            </w:r>
            <w:r>
              <w:rPr>
                <w:rFonts w:hint="eastAsia"/>
                <w:color w:val="auto"/>
                <w:highlight w:val="none"/>
                <w:lang w:val="en-US" w:eastAsia="zh-CN"/>
              </w:rPr>
              <w:t>/d（144m</w:t>
            </w:r>
            <w:r>
              <w:rPr>
                <w:rFonts w:hint="eastAsia"/>
                <w:color w:val="auto"/>
                <w:highlight w:val="none"/>
                <w:vertAlign w:val="superscript"/>
                <w:lang w:val="en-US" w:eastAsia="zh-CN"/>
              </w:rPr>
              <w:t>3</w:t>
            </w:r>
            <w:r>
              <w:rPr>
                <w:rFonts w:hint="eastAsia"/>
                <w:color w:val="auto"/>
                <w:highlight w:val="none"/>
                <w:lang w:val="en-US" w:eastAsia="zh-CN"/>
              </w:rPr>
              <w:t>/a），则COD排放量为0.057t/a，BOD</w:t>
            </w:r>
            <w:r>
              <w:rPr>
                <w:rFonts w:hint="eastAsia"/>
                <w:color w:val="auto"/>
                <w:highlight w:val="none"/>
                <w:vertAlign w:val="subscript"/>
                <w:lang w:val="en-US" w:eastAsia="zh-CN"/>
              </w:rPr>
              <w:t>5</w:t>
            </w:r>
            <w:r>
              <w:rPr>
                <w:rFonts w:hint="eastAsia"/>
                <w:color w:val="auto"/>
                <w:highlight w:val="none"/>
                <w:lang w:val="en-US" w:eastAsia="zh-CN"/>
              </w:rPr>
              <w:t>排放量为0.032t/a，SS排放量为0.016t/a，NH</w:t>
            </w:r>
            <w:r>
              <w:rPr>
                <w:rFonts w:hint="eastAsia"/>
                <w:color w:val="auto"/>
                <w:highlight w:val="none"/>
                <w:vertAlign w:val="subscript"/>
                <w:lang w:val="en-US" w:eastAsia="zh-CN"/>
              </w:rPr>
              <w:t>3</w:t>
            </w:r>
            <w:r>
              <w:rPr>
                <w:rFonts w:hint="eastAsia"/>
                <w:color w:val="auto"/>
                <w:highlight w:val="none"/>
                <w:lang w:val="en-US" w:eastAsia="zh-CN"/>
              </w:rPr>
              <w:t>-N排放量为0.004t/a。</w:t>
            </w:r>
          </w:p>
          <w:p>
            <w:pPr>
              <w:bidi w:val="0"/>
              <w:rPr>
                <w:rFonts w:hint="default"/>
                <w:color w:val="auto"/>
                <w:highlight w:val="none"/>
                <w:lang w:val="en-US" w:eastAsia="zh-CN"/>
              </w:rPr>
            </w:pPr>
            <w:r>
              <w:rPr>
                <w:rFonts w:hint="eastAsia"/>
                <w:color w:val="auto"/>
                <w:highlight w:val="none"/>
                <w:lang w:val="en-US" w:eastAsia="zh-CN"/>
              </w:rPr>
              <w:t>（3）噪声</w:t>
            </w:r>
          </w:p>
          <w:p>
            <w:pPr>
              <w:bidi w:val="0"/>
              <w:rPr>
                <w:rFonts w:hint="eastAsia"/>
                <w:color w:val="auto"/>
                <w:highlight w:val="none"/>
                <w:lang w:val="en-US" w:eastAsia="zh-CN"/>
              </w:rPr>
            </w:pPr>
            <w:r>
              <w:rPr>
                <w:rFonts w:hint="eastAsia"/>
                <w:color w:val="auto"/>
                <w:highlight w:val="none"/>
                <w:lang w:val="en-US" w:eastAsia="zh-CN"/>
              </w:rPr>
              <w:t>根据检测报告HHJC2020Y028，唐山烯彤科技有限公司现有工程厂界昼间噪声值为55.0～60.7dB（A），夜间噪声值为41.8～47.5dB（A），夜间噪声值满足《工业企业厂界环境噪声排放标准》（GB12348-2008）2类标准限值：夜间50dB（A），昼间噪声不满足《工业企业厂界环境噪声排放标准》（GB12348-2008）2类标准限值：昼间60dB（A）。</w:t>
            </w:r>
          </w:p>
          <w:p>
            <w:pPr>
              <w:numPr>
                <w:ilvl w:val="0"/>
                <w:numId w:val="0"/>
              </w:numPr>
              <w:ind w:leftChars="200"/>
              <w:rPr>
                <w:rFonts w:hint="eastAsia"/>
                <w:color w:val="auto"/>
                <w:highlight w:val="none"/>
                <w:lang w:val="en-US" w:eastAsia="zh-CN"/>
              </w:rPr>
            </w:pPr>
            <w:r>
              <w:rPr>
                <w:rFonts w:hint="eastAsia"/>
                <w:color w:val="auto"/>
                <w:highlight w:val="none"/>
                <w:lang w:val="en-US" w:eastAsia="zh-CN"/>
              </w:rPr>
              <w:t>（4）固体废物</w:t>
            </w:r>
          </w:p>
          <w:p>
            <w:pPr>
              <w:bidi w:val="0"/>
              <w:rPr>
                <w:rFonts w:hint="eastAsia" w:eastAsia="宋体"/>
                <w:color w:val="auto"/>
                <w:highlight w:val="none"/>
                <w:lang w:val="en-US" w:eastAsia="zh-CN"/>
              </w:rPr>
            </w:pPr>
            <w:r>
              <w:rPr>
                <w:rFonts w:hint="eastAsia" w:ascii="Times New Roman" w:eastAsia="宋体"/>
                <w:color w:val="auto"/>
                <w:spacing w:val="0"/>
                <w:sz w:val="24"/>
                <w:highlight w:val="none"/>
                <w:lang w:val="en-US" w:eastAsia="zh-CN"/>
              </w:rPr>
              <w:t>唐山烯彤科技有限公司</w:t>
            </w:r>
            <w:r>
              <w:rPr>
                <w:rFonts w:hint="eastAsia"/>
                <w:color w:val="auto"/>
                <w:spacing w:val="0"/>
                <w:sz w:val="24"/>
                <w:highlight w:val="none"/>
                <w:lang w:val="en-US" w:eastAsia="zh-CN"/>
              </w:rPr>
              <w:t>现有工程</w:t>
            </w:r>
            <w:r>
              <w:rPr>
                <w:rFonts w:ascii="Times New Roman" w:eastAsia="宋体"/>
                <w:color w:val="auto"/>
                <w:spacing w:val="0"/>
                <w:sz w:val="24"/>
                <w:highlight w:val="none"/>
              </w:rPr>
              <w:t>固体废物</w:t>
            </w:r>
            <w:r>
              <w:rPr>
                <w:rFonts w:hint="eastAsia"/>
                <w:color w:val="auto"/>
                <w:spacing w:val="0"/>
                <w:sz w:val="24"/>
                <w:highlight w:val="none"/>
                <w:lang w:val="en-US" w:eastAsia="zh-CN"/>
              </w:rPr>
              <w:t>产生</w:t>
            </w:r>
            <w:r>
              <w:rPr>
                <w:rFonts w:ascii="Times New Roman" w:eastAsia="宋体"/>
                <w:color w:val="auto"/>
                <w:spacing w:val="0"/>
                <w:sz w:val="24"/>
                <w:highlight w:val="none"/>
              </w:rPr>
              <w:t>及治理措施</w:t>
            </w:r>
            <w:r>
              <w:rPr>
                <w:rFonts w:hint="eastAsia" w:ascii="Times New Roman"/>
                <w:color w:val="auto"/>
                <w:spacing w:val="0"/>
                <w:sz w:val="24"/>
                <w:highlight w:val="none"/>
                <w:lang w:val="en-US" w:eastAsia="zh-CN"/>
              </w:rPr>
              <w:t>见下表。</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imes New Roman" w:hAnsi="Times New Roman" w:eastAsia="宋体" w:cs="Times New Roman"/>
                <w:color w:val="auto"/>
                <w:sz w:val="24"/>
                <w:szCs w:val="2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imes New Roman" w:hAnsi="Times New Roman" w:eastAsia="宋体" w:cs="Times New Roman"/>
                <w:color w:val="auto"/>
                <w:sz w:val="24"/>
                <w:szCs w:val="2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imes New Roman" w:hAnsi="Times New Roman" w:eastAsia="宋体" w:cs="Times New Roman"/>
                <w:color w:val="auto"/>
                <w:sz w:val="24"/>
                <w:szCs w:val="2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imes New Roman" w:hAnsi="Times New Roman" w:eastAsia="宋体" w:cs="Times New Roman"/>
                <w:color w:val="auto"/>
                <w:sz w:val="24"/>
                <w:szCs w:val="2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imes New Roman" w:hAnsi="Times New Roman" w:eastAsia="宋体" w:cs="Times New Roman"/>
                <w:color w:val="auto"/>
                <w:sz w:val="24"/>
                <w:szCs w:val="2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imes New Roman" w:hAnsi="Times New Roman" w:eastAsia="宋体" w:cs="Times New Roman"/>
                <w:color w:val="auto"/>
                <w:sz w:val="24"/>
                <w:szCs w:val="2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imes New Roman" w:hAnsi="Times New Roman" w:eastAsia="宋体" w:cs="Times New Roman"/>
                <w:color w:val="auto"/>
                <w:sz w:val="24"/>
                <w:szCs w:val="2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imes New Roman" w:hAnsi="Times New Roman" w:eastAsia="宋体" w:cs="Times New Roman"/>
                <w:color w:val="auto"/>
                <w:sz w:val="24"/>
                <w:szCs w:val="2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imes New Roman" w:hAnsi="Times New Roman" w:eastAsia="宋体" w:cs="Times New Roman"/>
                <w:color w:val="auto"/>
                <w:sz w:val="24"/>
                <w:szCs w:val="2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imes New Roman" w:hAnsi="Times New Roman" w:eastAsia="宋体" w:cs="Times New Roman"/>
                <w:color w:val="auto"/>
                <w:sz w:val="24"/>
                <w:szCs w:val="2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imes New Roman" w:hAnsi="Times New Roman" w:eastAsia="宋体" w:cs="Times New Roman"/>
                <w:color w:val="auto"/>
                <w:sz w:val="24"/>
                <w:szCs w:val="2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imes New Roman" w:hAnsi="Times New Roman" w:eastAsia="宋体" w:cs="Times New Roman"/>
                <w:color w:val="auto"/>
                <w:sz w:val="24"/>
                <w:szCs w:val="2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imes New Roman" w:hAnsi="Times New Roman" w:eastAsia="宋体" w:cs="Times New Roman"/>
                <w:color w:val="auto"/>
                <w:sz w:val="24"/>
                <w:szCs w:val="2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imes New Roman" w:hAnsi="Times New Roman" w:eastAsia="宋体" w:cs="Times New Roman"/>
                <w:color w:val="auto"/>
                <w:sz w:val="24"/>
                <w:szCs w:val="2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imes New Roman" w:hAnsi="Times New Roman" w:eastAsia="宋体" w:cs="Times New Roman"/>
                <w:color w:val="auto"/>
                <w:sz w:val="24"/>
                <w:szCs w:val="2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textAlignment w:val="auto"/>
              <w:rPr>
                <w:rFonts w:hint="eastAsia" w:ascii="Times New Roman" w:hAnsi="Times New Roman" w:eastAsia="宋体" w:cs="Times New Roman"/>
                <w:color w:val="auto"/>
                <w:sz w:val="24"/>
                <w:szCs w:val="24"/>
                <w:highlight w:val="none"/>
                <w:lang w:val="en-US" w:eastAsia="zh-CN"/>
              </w:rPr>
            </w:pPr>
          </w:p>
        </w:tc>
      </w:tr>
    </w:tbl>
    <w:p>
      <w:pPr>
        <w:rPr>
          <w:rFonts w:hint="eastAsia" w:ascii="黑体" w:hAnsi="黑体" w:eastAsia="黑体" w:cs="Times New Roman"/>
          <w:snapToGrid w:val="0"/>
          <w:color w:val="auto"/>
          <w:sz w:val="30"/>
          <w:szCs w:val="30"/>
          <w:highlight w:val="none"/>
        </w:rPr>
        <w:sectPr>
          <w:pgSz w:w="11906" w:h="16838"/>
          <w:pgMar w:top="1440" w:right="1247" w:bottom="1440" w:left="1417"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25"/>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889"/>
        <w:gridCol w:w="1328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971" w:hRule="atLeast"/>
        </w:trPr>
        <w:tc>
          <w:tcPr>
            <w:tcW w:w="920" w:type="dxa"/>
            <w:tcBorders>
              <w:tl2br w:val="nil"/>
              <w:tr2bl w:val="nil"/>
            </w:tcBorders>
            <w:vAlign w:val="top"/>
          </w:tcPr>
          <w:p>
            <w:pPr>
              <w:rPr>
                <w:rFonts w:hint="eastAsia" w:ascii="黑体" w:hAnsi="黑体" w:eastAsia="黑体" w:cs="Times New Roman"/>
                <w:snapToGrid w:val="0"/>
                <w:color w:val="auto"/>
                <w:sz w:val="30"/>
                <w:szCs w:val="30"/>
                <w:highlight w:val="none"/>
                <w:vertAlign w:val="baseline"/>
              </w:rPr>
            </w:pPr>
          </w:p>
        </w:tc>
        <w:tc>
          <w:tcPr>
            <w:tcW w:w="13254" w:type="dxa"/>
            <w:tcBorders>
              <w:tl2br w:val="nil"/>
              <w:tr2bl w:val="nil"/>
            </w:tcBorders>
            <w:vAlign w:val="top"/>
          </w:tcPr>
          <w:p>
            <w:pPr>
              <w:keepNext w:val="0"/>
              <w:keepLines w:val="0"/>
              <w:pageBreakBefore w:val="0"/>
              <w:widowControl w:val="0"/>
              <w:kinsoku/>
              <w:wordWrap/>
              <w:overflowPunct/>
              <w:topLinePunct w:val="0"/>
              <w:autoSpaceDE/>
              <w:autoSpaceDN/>
              <w:bidi w:val="0"/>
              <w:adjustRightInd w:val="0"/>
              <w:snapToGrid w:val="0"/>
              <w:spacing w:line="480" w:lineRule="exact"/>
              <w:ind w:left="0" w:leftChars="0" w:right="0" w:rightChars="0" w:firstLine="0" w:firstLineChars="0"/>
              <w:jc w:val="center"/>
              <w:textAlignment w:val="auto"/>
              <w:outlineLvl w:val="9"/>
              <w:rPr>
                <w:rFonts w:hint="default" w:ascii="Times New Roman" w:hAnsi="Times New Roman" w:eastAsia="宋体" w:cs="Times New Roman"/>
                <w:b/>
                <w:bCs/>
                <w:color w:val="auto"/>
                <w:sz w:val="21"/>
                <w:szCs w:val="21"/>
                <w:highlight w:val="none"/>
                <w:shd w:val="clear" w:color="auto" w:fill="auto"/>
                <w:lang w:val="en-US" w:eastAsia="zh-CN"/>
              </w:rPr>
            </w:pPr>
            <w:r>
              <w:rPr>
                <w:rFonts w:hint="default" w:ascii="Times New Roman" w:hAnsi="Times New Roman" w:eastAsia="宋体" w:cs="Times New Roman"/>
                <w:b/>
                <w:bCs/>
                <w:color w:val="auto"/>
                <w:sz w:val="21"/>
                <w:szCs w:val="21"/>
                <w:highlight w:val="none"/>
                <w:shd w:val="clear" w:color="auto" w:fill="auto"/>
                <w:lang w:val="zh-CN" w:eastAsia="zh-CN"/>
              </w:rPr>
              <w:t>表</w:t>
            </w:r>
            <w:r>
              <w:rPr>
                <w:rFonts w:hint="eastAsia" w:cs="Times New Roman"/>
                <w:b/>
                <w:bCs/>
                <w:color w:val="auto"/>
                <w:sz w:val="21"/>
                <w:szCs w:val="21"/>
                <w:highlight w:val="none"/>
                <w:shd w:val="clear" w:color="auto" w:fill="auto"/>
                <w:lang w:val="en-US" w:eastAsia="zh-CN"/>
              </w:rPr>
              <w:t>21</w:t>
            </w:r>
            <w:r>
              <w:rPr>
                <w:rFonts w:hint="default" w:ascii="Times New Roman" w:hAnsi="Times New Roman" w:eastAsia="宋体" w:cs="Times New Roman"/>
                <w:b/>
                <w:bCs/>
                <w:color w:val="auto"/>
                <w:sz w:val="21"/>
                <w:szCs w:val="21"/>
                <w:highlight w:val="none"/>
                <w:shd w:val="clear" w:color="auto" w:fill="auto"/>
                <w:lang w:val="zh-CN" w:eastAsia="zh-CN"/>
              </w:rPr>
              <w:t xml:space="preserve"> </w:t>
            </w:r>
            <w:r>
              <w:rPr>
                <w:rFonts w:hint="eastAsia" w:cs="Times New Roman"/>
                <w:b/>
                <w:bCs/>
                <w:color w:val="auto"/>
                <w:sz w:val="21"/>
                <w:szCs w:val="21"/>
                <w:highlight w:val="none"/>
                <w:shd w:val="clear" w:color="auto" w:fill="auto"/>
                <w:lang w:val="en-US" w:eastAsia="zh-CN"/>
              </w:rPr>
              <w:t xml:space="preserve"> 现有工程固体废物</w:t>
            </w:r>
            <w:r>
              <w:rPr>
                <w:rFonts w:hint="eastAsia" w:ascii="Times New Roman" w:hAnsi="Times New Roman" w:eastAsia="宋体" w:cs="Times New Roman"/>
                <w:b/>
                <w:bCs/>
                <w:color w:val="auto"/>
                <w:sz w:val="21"/>
                <w:szCs w:val="21"/>
                <w:highlight w:val="none"/>
                <w:shd w:val="clear" w:color="auto" w:fill="auto"/>
                <w:lang w:val="en-US" w:eastAsia="zh-CN"/>
              </w:rPr>
              <w:t>污染源及治理措施</w:t>
            </w:r>
            <w:r>
              <w:rPr>
                <w:rFonts w:hint="eastAsia" w:ascii="Times New Roman" w:hAnsi="Times New Roman" w:eastAsia="宋体" w:cs="Times New Roman"/>
                <w:b/>
                <w:bCs/>
                <w:color w:val="auto"/>
                <w:sz w:val="21"/>
                <w:szCs w:val="21"/>
                <w:highlight w:val="none"/>
                <w:shd w:val="clear" w:color="auto" w:fill="auto"/>
                <w:lang w:val="zh-CN" w:eastAsia="zh-CN"/>
              </w:rPr>
              <w:t>一览</w:t>
            </w:r>
            <w:r>
              <w:rPr>
                <w:rFonts w:hint="default" w:ascii="Times New Roman" w:hAnsi="Times New Roman" w:eastAsia="宋体" w:cs="Times New Roman"/>
                <w:b/>
                <w:bCs/>
                <w:color w:val="auto"/>
                <w:sz w:val="21"/>
                <w:szCs w:val="21"/>
                <w:highlight w:val="none"/>
                <w:shd w:val="clear" w:color="auto" w:fill="auto"/>
                <w:lang w:val="zh-CN" w:eastAsia="zh-CN"/>
              </w:rPr>
              <w:t>表</w:t>
            </w:r>
            <w:r>
              <w:rPr>
                <w:rFonts w:hint="eastAsia" w:ascii="Times New Roman" w:hAnsi="Times New Roman" w:eastAsia="宋体" w:cs="Times New Roman"/>
                <w:b/>
                <w:bCs/>
                <w:color w:val="auto"/>
                <w:sz w:val="21"/>
                <w:szCs w:val="21"/>
                <w:highlight w:val="none"/>
                <w:shd w:val="clear" w:color="auto" w:fill="auto"/>
                <w:lang w:val="en-US" w:eastAsia="zh-CN"/>
              </w:rPr>
              <w:t xml:space="preserve">    </w:t>
            </w:r>
          </w:p>
          <w:tbl>
            <w:tblPr>
              <w:tblStyle w:val="24"/>
              <w:tblW w:w="1303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922"/>
              <w:gridCol w:w="1626"/>
              <w:gridCol w:w="874"/>
              <w:gridCol w:w="1144"/>
              <w:gridCol w:w="645"/>
              <w:gridCol w:w="707"/>
              <w:gridCol w:w="832"/>
              <w:gridCol w:w="1771"/>
              <w:gridCol w:w="1425"/>
              <w:gridCol w:w="915"/>
              <w:gridCol w:w="217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828" w:hRule="atLeast"/>
                <w:jc w:val="center"/>
              </w:trPr>
              <w:tc>
                <w:tcPr>
                  <w:tcW w:w="92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eastAsia="宋体" w:cs="Times New Roman"/>
                      <w:color w:val="auto"/>
                      <w:sz w:val="21"/>
                      <w:szCs w:val="21"/>
                      <w:highlight w:val="none"/>
                      <w:shd w:val="clear" w:color="auto" w:fill="auto"/>
                      <w:lang w:eastAsia="zh-CN"/>
                    </w:rPr>
                  </w:pPr>
                  <w:r>
                    <w:rPr>
                      <w:rFonts w:hint="eastAsia" w:ascii="Times New Roman" w:hAnsi="Times New Roman" w:eastAsia="宋体" w:cs="Times New Roman"/>
                      <w:color w:val="auto"/>
                      <w:sz w:val="21"/>
                      <w:szCs w:val="21"/>
                      <w:highlight w:val="none"/>
                      <w:shd w:val="clear" w:color="auto" w:fill="auto"/>
                      <w:lang w:eastAsia="zh-CN"/>
                    </w:rPr>
                    <w:t>产生环节</w:t>
                  </w:r>
                </w:p>
              </w:tc>
              <w:tc>
                <w:tcPr>
                  <w:tcW w:w="1626"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eastAsia="宋体" w:cs="Times New Roman"/>
                      <w:color w:val="auto"/>
                      <w:sz w:val="21"/>
                      <w:szCs w:val="21"/>
                      <w:highlight w:val="none"/>
                      <w:shd w:val="clear" w:color="auto" w:fill="auto"/>
                      <w:lang w:eastAsia="zh-CN"/>
                    </w:rPr>
                  </w:pPr>
                  <w:r>
                    <w:rPr>
                      <w:rFonts w:hint="eastAsia" w:ascii="Times New Roman" w:hAnsi="Times New Roman" w:eastAsia="宋体" w:cs="Times New Roman"/>
                      <w:color w:val="auto"/>
                      <w:sz w:val="21"/>
                      <w:szCs w:val="21"/>
                      <w:highlight w:val="none"/>
                      <w:shd w:val="clear" w:color="auto" w:fill="auto"/>
                      <w:lang w:eastAsia="zh-CN"/>
                    </w:rPr>
                    <w:t>名称</w:t>
                  </w:r>
                </w:p>
              </w:tc>
              <w:tc>
                <w:tcPr>
                  <w:tcW w:w="874"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color w:val="auto"/>
                      <w:sz w:val="21"/>
                      <w:szCs w:val="21"/>
                      <w:highlight w:val="none"/>
                      <w:shd w:val="clear" w:color="auto" w:fill="auto"/>
                    </w:rPr>
                  </w:pPr>
                  <w:r>
                    <w:rPr>
                      <w:rFonts w:hint="eastAsia" w:ascii="Times New Roman" w:hAnsi="Times New Roman" w:eastAsia="宋体" w:cs="Times New Roman"/>
                      <w:color w:val="auto"/>
                      <w:sz w:val="21"/>
                      <w:szCs w:val="21"/>
                      <w:highlight w:val="none"/>
                      <w:shd w:val="clear" w:color="auto" w:fill="auto"/>
                      <w:lang w:val="en-US" w:eastAsia="zh-CN"/>
                    </w:rPr>
                    <w:t>属性</w:t>
                  </w:r>
                </w:p>
              </w:tc>
              <w:tc>
                <w:tcPr>
                  <w:tcW w:w="1144"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主要有毒有害物质名称</w:t>
                  </w:r>
                </w:p>
              </w:tc>
              <w:tc>
                <w:tcPr>
                  <w:tcW w:w="64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物理性状</w:t>
                  </w:r>
                </w:p>
              </w:tc>
              <w:tc>
                <w:tcPr>
                  <w:tcW w:w="707"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rPr>
                  </w:pPr>
                  <w:r>
                    <w:rPr>
                      <w:rFonts w:hint="eastAsia" w:ascii="Times New Roman" w:hAnsi="Times New Roman" w:eastAsia="宋体" w:cs="Times New Roman"/>
                      <w:color w:val="auto"/>
                      <w:sz w:val="21"/>
                      <w:szCs w:val="21"/>
                      <w:highlight w:val="none"/>
                      <w:shd w:val="clear" w:color="auto" w:fill="auto"/>
                      <w:lang w:val="en-US" w:eastAsia="zh-CN"/>
                    </w:rPr>
                    <w:t>环境危险特性</w:t>
                  </w:r>
                </w:p>
              </w:tc>
              <w:tc>
                <w:tcPr>
                  <w:tcW w:w="83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产生量</w:t>
                  </w:r>
                </w:p>
              </w:tc>
              <w:tc>
                <w:tcPr>
                  <w:tcW w:w="1771"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贮存方式</w:t>
                  </w:r>
                </w:p>
              </w:tc>
              <w:tc>
                <w:tcPr>
                  <w:tcW w:w="142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利用及处置方式和去向</w:t>
                  </w:r>
                </w:p>
              </w:tc>
              <w:tc>
                <w:tcPr>
                  <w:tcW w:w="91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利用或处置量</w:t>
                  </w:r>
                </w:p>
              </w:tc>
              <w:tc>
                <w:tcPr>
                  <w:tcW w:w="2178"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环境管理要求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18" w:hRule="atLeast"/>
                <w:jc w:val="center"/>
              </w:trPr>
              <w:tc>
                <w:tcPr>
                  <w:tcW w:w="92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生产过程</w:t>
                  </w:r>
                </w:p>
              </w:tc>
              <w:tc>
                <w:tcPr>
                  <w:tcW w:w="1626"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废包装物</w:t>
                  </w:r>
                </w:p>
              </w:tc>
              <w:tc>
                <w:tcPr>
                  <w:tcW w:w="874"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一般工业固体废物</w:t>
                  </w:r>
                </w:p>
              </w:tc>
              <w:tc>
                <w:tcPr>
                  <w:tcW w:w="1144"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无</w:t>
                  </w:r>
                </w:p>
              </w:tc>
              <w:tc>
                <w:tcPr>
                  <w:tcW w:w="64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固态</w:t>
                  </w:r>
                </w:p>
              </w:tc>
              <w:tc>
                <w:tcPr>
                  <w:tcW w:w="707"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无</w:t>
                  </w:r>
                </w:p>
              </w:tc>
              <w:tc>
                <w:tcPr>
                  <w:tcW w:w="83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1t/a</w:t>
                  </w:r>
                </w:p>
              </w:tc>
              <w:tc>
                <w:tcPr>
                  <w:tcW w:w="1771"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暂存于一般固废暂存区</w:t>
                  </w:r>
                </w:p>
              </w:tc>
              <w:tc>
                <w:tcPr>
                  <w:tcW w:w="142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外售废品回收站</w:t>
                  </w:r>
                </w:p>
              </w:tc>
              <w:tc>
                <w:tcPr>
                  <w:tcW w:w="91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1t/a</w:t>
                  </w:r>
                </w:p>
              </w:tc>
              <w:tc>
                <w:tcPr>
                  <w:tcW w:w="2178" w:type="dxa"/>
                  <w:vMerge w:val="restart"/>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rPr>
                    <w:t>一般固体废物临时存放严格执行《中华人民共和国固体废物污染环境防治法》中第二十条第一款</w:t>
                  </w:r>
                  <w:r>
                    <w:rPr>
                      <w:rFonts w:hint="eastAsia" w:ascii="Times New Roman" w:hAnsi="Times New Roman" w:eastAsia="宋体" w:cs="Times New Roman"/>
                      <w:color w:val="auto"/>
                      <w:sz w:val="21"/>
                      <w:szCs w:val="21"/>
                      <w:highlight w:val="none"/>
                      <w:shd w:val="clear" w:color="auto" w:fill="auto"/>
                      <w:lang w:val="en-US" w:eastAsia="zh-CN"/>
                    </w:rPr>
                    <w:t>相关要求，生活垃圾处置参照执行《中华人民共和国固体废物污染环境防治法》（2020年9月1日）“第四章生活垃圾”的相关规定</w:t>
                  </w:r>
                  <w:r>
                    <w:rPr>
                      <w:rFonts w:hint="eastAsia" w:eastAsia="宋体" w:cs="Times New Roman"/>
                      <w:color w:val="auto"/>
                      <w:sz w:val="21"/>
                      <w:szCs w:val="21"/>
                      <w:highlight w:val="none"/>
                      <w:shd w:val="clear" w:color="auto" w:fill="auto"/>
                      <w:lang w:eastAsia="zh-CN"/>
                    </w:rPr>
                    <w:t>；</w:t>
                  </w:r>
                  <w:r>
                    <w:rPr>
                      <w:rFonts w:hint="default" w:ascii="Times New Roman" w:hAnsi="Times New Roman" w:eastAsia="宋体" w:cs="Times New Roman"/>
                      <w:color w:val="auto"/>
                      <w:sz w:val="21"/>
                      <w:szCs w:val="21"/>
                      <w:highlight w:val="none"/>
                      <w:shd w:val="clear" w:color="auto" w:fill="auto"/>
                    </w:rPr>
                    <w:t>危险废物的收集及临时存放应严格执行</w:t>
                  </w:r>
                  <w:r>
                    <w:rPr>
                      <w:rFonts w:hint="eastAsia" w:cs="Times New Roman"/>
                      <w:color w:val="auto"/>
                      <w:sz w:val="21"/>
                      <w:szCs w:val="21"/>
                      <w:highlight w:val="none"/>
                      <w:shd w:val="clear" w:color="auto" w:fill="auto"/>
                      <w:lang w:eastAsia="zh-CN"/>
                    </w:rPr>
                    <w:t>《危险废物贮存污染控制标准》（GB18597-2023）；</w:t>
                  </w:r>
                  <w:r>
                    <w:rPr>
                      <w:rFonts w:hint="eastAsia" w:eastAsia="宋体" w:cs="Times New Roman"/>
                      <w:color w:val="auto"/>
                      <w:sz w:val="21"/>
                      <w:szCs w:val="21"/>
                      <w:highlight w:val="none"/>
                      <w:shd w:val="clear" w:color="auto" w:fill="auto"/>
                      <w:lang w:val="en-US" w:eastAsia="zh-CN"/>
                    </w:rPr>
                    <w:t>按</w:t>
                  </w:r>
                  <w:r>
                    <w:rPr>
                      <w:rFonts w:hint="eastAsia" w:eastAsia="宋体" w:cs="Times New Roman"/>
                      <w:color w:val="auto"/>
                      <w:sz w:val="21"/>
                      <w:szCs w:val="21"/>
                      <w:highlight w:val="none"/>
                      <w:shd w:val="clear" w:color="auto" w:fill="auto"/>
                      <w:lang w:eastAsia="zh-CN"/>
                    </w:rPr>
                    <w:t>照《环境保护图形标志》（GB15562-1995）</w:t>
                  </w:r>
                  <w:r>
                    <w:rPr>
                      <w:rFonts w:hint="eastAsia" w:cs="Times New Roman"/>
                      <w:color w:val="auto"/>
                      <w:sz w:val="21"/>
                      <w:szCs w:val="21"/>
                      <w:highlight w:val="none"/>
                      <w:shd w:val="clear" w:color="auto" w:fill="auto"/>
                      <w:lang w:val="en-US" w:eastAsia="zh-CN"/>
                    </w:rPr>
                    <w:t>及修改单</w:t>
                  </w:r>
                  <w:r>
                    <w:rPr>
                      <w:rFonts w:hint="eastAsia" w:eastAsia="宋体" w:cs="Times New Roman"/>
                      <w:color w:val="auto"/>
                      <w:sz w:val="21"/>
                      <w:szCs w:val="21"/>
                      <w:highlight w:val="none"/>
                      <w:shd w:val="clear" w:color="auto" w:fill="auto"/>
                      <w:lang w:eastAsia="zh-CN"/>
                    </w:rPr>
                    <w:t>的要求对固体废物的临时存放场所设置环境保护图形标志牌</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01" w:hRule="atLeast"/>
                <w:jc w:val="center"/>
              </w:trPr>
              <w:tc>
                <w:tcPr>
                  <w:tcW w:w="92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职工生活</w:t>
                  </w:r>
                </w:p>
              </w:tc>
              <w:tc>
                <w:tcPr>
                  <w:tcW w:w="1626"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eastAsia="zh-CN"/>
                    </w:rPr>
                  </w:pPr>
                  <w:r>
                    <w:rPr>
                      <w:rFonts w:hint="eastAsia" w:ascii="Times New Roman" w:hAnsi="Times New Roman" w:cs="Times New Roman"/>
                      <w:color w:val="auto"/>
                      <w:sz w:val="21"/>
                      <w:szCs w:val="21"/>
                      <w:highlight w:val="none"/>
                      <w:shd w:val="clear" w:color="auto" w:fill="auto"/>
                      <w:lang w:val="en-US" w:eastAsia="zh-CN"/>
                    </w:rPr>
                    <w:t>生活垃圾</w:t>
                  </w:r>
                </w:p>
              </w:tc>
              <w:tc>
                <w:tcPr>
                  <w:tcW w:w="874"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w:t>
                  </w:r>
                </w:p>
              </w:tc>
              <w:tc>
                <w:tcPr>
                  <w:tcW w:w="1144"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无</w:t>
                  </w:r>
                </w:p>
              </w:tc>
              <w:tc>
                <w:tcPr>
                  <w:tcW w:w="64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固态</w:t>
                  </w:r>
                </w:p>
              </w:tc>
              <w:tc>
                <w:tcPr>
                  <w:tcW w:w="707"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无</w:t>
                  </w:r>
                </w:p>
              </w:tc>
              <w:tc>
                <w:tcPr>
                  <w:tcW w:w="83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4.5</w:t>
                  </w:r>
                  <w:r>
                    <w:rPr>
                      <w:rFonts w:hint="eastAsia" w:cs="Times New Roman"/>
                      <w:color w:val="auto"/>
                      <w:sz w:val="21"/>
                      <w:szCs w:val="21"/>
                      <w:highlight w:val="none"/>
                      <w:shd w:val="clear" w:color="auto" w:fill="auto"/>
                      <w:lang w:val="en-US" w:eastAsia="zh-CN"/>
                    </w:rPr>
                    <w:t>t/a</w:t>
                  </w:r>
                </w:p>
              </w:tc>
              <w:tc>
                <w:tcPr>
                  <w:tcW w:w="1771"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袋装化收集</w:t>
                  </w:r>
                </w:p>
              </w:tc>
              <w:tc>
                <w:tcPr>
                  <w:tcW w:w="142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送至环卫部门指定地点统一处理</w:t>
                  </w:r>
                </w:p>
              </w:tc>
              <w:tc>
                <w:tcPr>
                  <w:tcW w:w="91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4.5</w:t>
                  </w:r>
                  <w:r>
                    <w:rPr>
                      <w:rFonts w:hint="eastAsia" w:cs="Times New Roman"/>
                      <w:color w:val="auto"/>
                      <w:sz w:val="21"/>
                      <w:szCs w:val="21"/>
                      <w:highlight w:val="none"/>
                      <w:shd w:val="clear" w:color="auto" w:fill="auto"/>
                      <w:lang w:val="en-US" w:eastAsia="zh-CN"/>
                    </w:rPr>
                    <w:t>t/a</w:t>
                  </w:r>
                </w:p>
              </w:tc>
              <w:tc>
                <w:tcPr>
                  <w:tcW w:w="2178"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08" w:hRule="atLeast"/>
                <w:jc w:val="center"/>
              </w:trPr>
              <w:tc>
                <w:tcPr>
                  <w:tcW w:w="92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喷淋塔</w:t>
                  </w:r>
                </w:p>
              </w:tc>
              <w:tc>
                <w:tcPr>
                  <w:tcW w:w="1626"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喷淋废水</w:t>
                  </w:r>
                  <w:r>
                    <w:rPr>
                      <w:rFonts w:hint="eastAsia" w:cs="Times New Roman"/>
                      <w:color w:val="auto"/>
                      <w:sz w:val="21"/>
                      <w:szCs w:val="21"/>
                      <w:highlight w:val="none"/>
                      <w:shd w:val="clear" w:color="auto" w:fill="auto"/>
                      <w:lang w:val="en-US" w:eastAsia="zh-CN"/>
                    </w:rPr>
                    <w:t>（HW34 900-249-34）</w:t>
                  </w:r>
                </w:p>
              </w:tc>
              <w:tc>
                <w:tcPr>
                  <w:tcW w:w="874" w:type="dxa"/>
                  <w:vMerge w:val="restart"/>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危险废物</w:t>
                  </w:r>
                </w:p>
              </w:tc>
              <w:tc>
                <w:tcPr>
                  <w:tcW w:w="1144"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废酸</w:t>
                  </w:r>
                </w:p>
              </w:tc>
              <w:tc>
                <w:tcPr>
                  <w:tcW w:w="64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液态</w:t>
                  </w:r>
                </w:p>
              </w:tc>
              <w:tc>
                <w:tcPr>
                  <w:tcW w:w="707"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C，T</w:t>
                  </w:r>
                </w:p>
              </w:tc>
              <w:tc>
                <w:tcPr>
                  <w:tcW w:w="83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6m</w:t>
                  </w:r>
                  <w:r>
                    <w:rPr>
                      <w:rFonts w:hint="eastAsia" w:cs="Times New Roman"/>
                      <w:color w:val="auto"/>
                      <w:sz w:val="21"/>
                      <w:szCs w:val="21"/>
                      <w:highlight w:val="none"/>
                      <w:shd w:val="clear" w:color="auto" w:fill="auto"/>
                      <w:vertAlign w:val="superscript"/>
                      <w:lang w:val="en-US" w:eastAsia="zh-CN"/>
                    </w:rPr>
                    <w:t>3</w:t>
                  </w:r>
                  <w:r>
                    <w:rPr>
                      <w:rFonts w:hint="eastAsia" w:cs="Times New Roman"/>
                      <w:color w:val="auto"/>
                      <w:sz w:val="21"/>
                      <w:szCs w:val="21"/>
                      <w:highlight w:val="none"/>
                      <w:shd w:val="clear" w:color="auto" w:fill="auto"/>
                      <w:lang w:val="en-US" w:eastAsia="zh-CN"/>
                    </w:rPr>
                    <w:t>/a</w:t>
                  </w:r>
                </w:p>
              </w:tc>
              <w:tc>
                <w:tcPr>
                  <w:tcW w:w="1771"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更换后存放于耐腐蚀防渗漏的容器，暂存于危废间</w:t>
                  </w:r>
                </w:p>
              </w:tc>
              <w:tc>
                <w:tcPr>
                  <w:tcW w:w="142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定期委托有资质单位运走处置</w:t>
                  </w:r>
                </w:p>
              </w:tc>
              <w:tc>
                <w:tcPr>
                  <w:tcW w:w="91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6m</w:t>
                  </w:r>
                  <w:r>
                    <w:rPr>
                      <w:rFonts w:hint="eastAsia" w:cs="Times New Roman"/>
                      <w:color w:val="auto"/>
                      <w:sz w:val="21"/>
                      <w:szCs w:val="21"/>
                      <w:highlight w:val="none"/>
                      <w:shd w:val="clear" w:color="auto" w:fill="auto"/>
                      <w:vertAlign w:val="superscript"/>
                      <w:lang w:val="en-US" w:eastAsia="zh-CN"/>
                    </w:rPr>
                    <w:t>3</w:t>
                  </w:r>
                  <w:r>
                    <w:rPr>
                      <w:rFonts w:hint="eastAsia" w:cs="Times New Roman"/>
                      <w:color w:val="auto"/>
                      <w:sz w:val="21"/>
                      <w:szCs w:val="21"/>
                      <w:highlight w:val="none"/>
                      <w:shd w:val="clear" w:color="auto" w:fill="auto"/>
                      <w:lang w:val="en-US" w:eastAsia="zh-CN"/>
                    </w:rPr>
                    <w:t>/a</w:t>
                  </w:r>
                </w:p>
              </w:tc>
              <w:tc>
                <w:tcPr>
                  <w:tcW w:w="2178"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866" w:hRule="atLeast"/>
                <w:jc w:val="center"/>
              </w:trPr>
              <w:tc>
                <w:tcPr>
                  <w:tcW w:w="92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镀膜过程</w:t>
                  </w:r>
                </w:p>
              </w:tc>
              <w:tc>
                <w:tcPr>
                  <w:tcW w:w="1626"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镀膜液包装桶（HW49 900-041-49）</w:t>
                  </w:r>
                </w:p>
              </w:tc>
              <w:tc>
                <w:tcPr>
                  <w:tcW w:w="874"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cs="Times New Roman"/>
                      <w:color w:val="auto"/>
                      <w:sz w:val="21"/>
                      <w:szCs w:val="21"/>
                      <w:highlight w:val="none"/>
                      <w:shd w:val="clear" w:color="auto" w:fill="auto"/>
                      <w:lang w:val="en-US" w:eastAsia="zh-CN"/>
                    </w:rPr>
                  </w:pPr>
                </w:p>
              </w:tc>
              <w:tc>
                <w:tcPr>
                  <w:tcW w:w="1144"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镀膜液</w:t>
                  </w:r>
                </w:p>
              </w:tc>
              <w:tc>
                <w:tcPr>
                  <w:tcW w:w="64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固态</w:t>
                  </w:r>
                </w:p>
              </w:tc>
              <w:tc>
                <w:tcPr>
                  <w:tcW w:w="707"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T/In</w:t>
                  </w:r>
                </w:p>
              </w:tc>
              <w:tc>
                <w:tcPr>
                  <w:tcW w:w="83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4个/a</w:t>
                  </w:r>
                </w:p>
              </w:tc>
              <w:tc>
                <w:tcPr>
                  <w:tcW w:w="1771" w:type="dxa"/>
                  <w:vMerge w:val="restart"/>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加盖，暂存于危废间</w:t>
                  </w:r>
                </w:p>
              </w:tc>
              <w:tc>
                <w:tcPr>
                  <w:tcW w:w="1425" w:type="dxa"/>
                  <w:vMerge w:val="restart"/>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定期由厂家回收，循环使用</w:t>
                  </w:r>
                </w:p>
              </w:tc>
              <w:tc>
                <w:tcPr>
                  <w:tcW w:w="91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4个/a</w:t>
                  </w:r>
                </w:p>
              </w:tc>
              <w:tc>
                <w:tcPr>
                  <w:tcW w:w="2178"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92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印电极过程</w:t>
                  </w:r>
                </w:p>
              </w:tc>
              <w:tc>
                <w:tcPr>
                  <w:tcW w:w="1626"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电极银浆包装罐（HW49 900-041-49）</w:t>
                  </w:r>
                </w:p>
              </w:tc>
              <w:tc>
                <w:tcPr>
                  <w:tcW w:w="874"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cs="Times New Roman"/>
                      <w:color w:val="auto"/>
                      <w:sz w:val="21"/>
                      <w:szCs w:val="21"/>
                      <w:highlight w:val="none"/>
                      <w:shd w:val="clear" w:color="auto" w:fill="auto"/>
                      <w:lang w:val="en-US" w:eastAsia="zh-CN"/>
                    </w:rPr>
                  </w:pPr>
                </w:p>
              </w:tc>
              <w:tc>
                <w:tcPr>
                  <w:tcW w:w="1144"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电极银浆</w:t>
                  </w:r>
                </w:p>
              </w:tc>
              <w:tc>
                <w:tcPr>
                  <w:tcW w:w="64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固态</w:t>
                  </w:r>
                </w:p>
              </w:tc>
              <w:tc>
                <w:tcPr>
                  <w:tcW w:w="707"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T/In</w:t>
                  </w:r>
                </w:p>
              </w:tc>
              <w:tc>
                <w:tcPr>
                  <w:tcW w:w="83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50个/a</w:t>
                  </w:r>
                </w:p>
              </w:tc>
              <w:tc>
                <w:tcPr>
                  <w:tcW w:w="1771"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cs="Times New Roman"/>
                      <w:color w:val="auto"/>
                      <w:sz w:val="21"/>
                      <w:szCs w:val="21"/>
                      <w:highlight w:val="none"/>
                      <w:shd w:val="clear" w:color="auto" w:fill="auto"/>
                      <w:lang w:val="en-US" w:eastAsia="zh-CN"/>
                    </w:rPr>
                  </w:pPr>
                </w:p>
              </w:tc>
              <w:tc>
                <w:tcPr>
                  <w:tcW w:w="1425"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p>
              </w:tc>
              <w:tc>
                <w:tcPr>
                  <w:tcW w:w="91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50个/a</w:t>
                  </w:r>
                </w:p>
              </w:tc>
              <w:tc>
                <w:tcPr>
                  <w:tcW w:w="2178"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92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活性炭吸附装置</w:t>
                  </w:r>
                </w:p>
              </w:tc>
              <w:tc>
                <w:tcPr>
                  <w:tcW w:w="1626"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废活性炭（HW49 900-039-49）</w:t>
                  </w:r>
                </w:p>
              </w:tc>
              <w:tc>
                <w:tcPr>
                  <w:tcW w:w="874"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cs="Times New Roman"/>
                      <w:color w:val="auto"/>
                      <w:sz w:val="21"/>
                      <w:szCs w:val="21"/>
                      <w:highlight w:val="none"/>
                      <w:shd w:val="clear" w:color="auto" w:fill="auto"/>
                      <w:lang w:val="en-US" w:eastAsia="zh-CN"/>
                    </w:rPr>
                  </w:pPr>
                </w:p>
              </w:tc>
              <w:tc>
                <w:tcPr>
                  <w:tcW w:w="1144"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有机化合物</w:t>
                  </w:r>
                </w:p>
              </w:tc>
              <w:tc>
                <w:tcPr>
                  <w:tcW w:w="64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固态</w:t>
                  </w:r>
                </w:p>
              </w:tc>
              <w:tc>
                <w:tcPr>
                  <w:tcW w:w="707"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T</w:t>
                  </w:r>
                </w:p>
              </w:tc>
              <w:tc>
                <w:tcPr>
                  <w:tcW w:w="83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0.1t/a</w:t>
                  </w:r>
                </w:p>
              </w:tc>
              <w:tc>
                <w:tcPr>
                  <w:tcW w:w="1771"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使用专用容器密闭储存，暂存于危废间</w:t>
                  </w:r>
                </w:p>
              </w:tc>
              <w:tc>
                <w:tcPr>
                  <w:tcW w:w="142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定期委托有资质单位运走处置</w:t>
                  </w:r>
                </w:p>
              </w:tc>
              <w:tc>
                <w:tcPr>
                  <w:tcW w:w="91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0.1t/a</w:t>
                  </w:r>
                </w:p>
              </w:tc>
              <w:tc>
                <w:tcPr>
                  <w:tcW w:w="2178"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73" w:hRule="atLeast"/>
                <w:jc w:val="center"/>
              </w:trPr>
              <w:tc>
                <w:tcPr>
                  <w:tcW w:w="922" w:type="dxa"/>
                  <w:vMerge w:val="restart"/>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设备保养</w:t>
                  </w:r>
                </w:p>
              </w:tc>
              <w:tc>
                <w:tcPr>
                  <w:tcW w:w="1626"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废润滑（HW08 900-217-08）</w:t>
                  </w:r>
                </w:p>
              </w:tc>
              <w:tc>
                <w:tcPr>
                  <w:tcW w:w="874"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cs="Times New Roman"/>
                      <w:color w:val="auto"/>
                      <w:sz w:val="21"/>
                      <w:szCs w:val="21"/>
                      <w:highlight w:val="none"/>
                      <w:shd w:val="clear" w:color="auto" w:fill="auto"/>
                      <w:lang w:val="en-US" w:eastAsia="zh-CN"/>
                    </w:rPr>
                  </w:pPr>
                </w:p>
              </w:tc>
              <w:tc>
                <w:tcPr>
                  <w:tcW w:w="1144"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矿物油</w:t>
                  </w:r>
                </w:p>
              </w:tc>
              <w:tc>
                <w:tcPr>
                  <w:tcW w:w="64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液态</w:t>
                  </w:r>
                </w:p>
              </w:tc>
              <w:tc>
                <w:tcPr>
                  <w:tcW w:w="707"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T，I</w:t>
                  </w:r>
                </w:p>
              </w:tc>
              <w:tc>
                <w:tcPr>
                  <w:tcW w:w="83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3kg/a</w:t>
                  </w:r>
                </w:p>
              </w:tc>
              <w:tc>
                <w:tcPr>
                  <w:tcW w:w="1771"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桶装加盖，暂存于危废间</w:t>
                  </w:r>
                </w:p>
              </w:tc>
              <w:tc>
                <w:tcPr>
                  <w:tcW w:w="142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定期委托有资质单位运走处置</w:t>
                  </w:r>
                </w:p>
              </w:tc>
              <w:tc>
                <w:tcPr>
                  <w:tcW w:w="91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3kg/a</w:t>
                  </w:r>
                </w:p>
              </w:tc>
              <w:tc>
                <w:tcPr>
                  <w:tcW w:w="2178"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38" w:hRule="atLeast"/>
                <w:jc w:val="center"/>
              </w:trPr>
              <w:tc>
                <w:tcPr>
                  <w:tcW w:w="922"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cs="Times New Roman"/>
                      <w:color w:val="auto"/>
                      <w:sz w:val="21"/>
                      <w:szCs w:val="21"/>
                      <w:highlight w:val="none"/>
                      <w:shd w:val="clear" w:color="auto" w:fill="auto"/>
                      <w:lang w:val="en-US" w:eastAsia="zh-CN"/>
                    </w:rPr>
                  </w:pPr>
                </w:p>
              </w:tc>
              <w:tc>
                <w:tcPr>
                  <w:tcW w:w="1626"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废润滑油桶（HW08 900-249-08）</w:t>
                  </w:r>
                </w:p>
              </w:tc>
              <w:tc>
                <w:tcPr>
                  <w:tcW w:w="874"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cs="Times New Roman"/>
                      <w:color w:val="auto"/>
                      <w:sz w:val="21"/>
                      <w:szCs w:val="21"/>
                      <w:highlight w:val="none"/>
                      <w:shd w:val="clear" w:color="auto" w:fill="auto"/>
                      <w:lang w:val="en-US" w:eastAsia="zh-CN"/>
                    </w:rPr>
                  </w:pPr>
                </w:p>
              </w:tc>
              <w:tc>
                <w:tcPr>
                  <w:tcW w:w="1144"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矿物油</w:t>
                  </w:r>
                </w:p>
              </w:tc>
              <w:tc>
                <w:tcPr>
                  <w:tcW w:w="64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固态</w:t>
                  </w:r>
                </w:p>
              </w:tc>
              <w:tc>
                <w:tcPr>
                  <w:tcW w:w="707"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T，I</w:t>
                  </w:r>
                </w:p>
              </w:tc>
              <w:tc>
                <w:tcPr>
                  <w:tcW w:w="83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2个/a</w:t>
                  </w:r>
                </w:p>
              </w:tc>
              <w:tc>
                <w:tcPr>
                  <w:tcW w:w="1771"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加盖，暂存于危废间</w:t>
                  </w:r>
                </w:p>
              </w:tc>
              <w:tc>
                <w:tcPr>
                  <w:tcW w:w="142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定期委托有资质单位运走处置</w:t>
                  </w:r>
                </w:p>
              </w:tc>
              <w:tc>
                <w:tcPr>
                  <w:tcW w:w="91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2个/a</w:t>
                  </w:r>
                </w:p>
              </w:tc>
              <w:tc>
                <w:tcPr>
                  <w:tcW w:w="2178"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p>
              </w:tc>
            </w:tr>
          </w:tbl>
          <w:p>
            <w:pPr>
              <w:ind w:left="0" w:leftChars="0" w:firstLine="0" w:firstLineChars="0"/>
              <w:rPr>
                <w:rFonts w:hint="eastAsia" w:ascii="黑体" w:hAnsi="黑体" w:eastAsia="黑体" w:cs="Times New Roman"/>
                <w:snapToGrid w:val="0"/>
                <w:color w:val="auto"/>
                <w:sz w:val="30"/>
                <w:szCs w:val="30"/>
                <w:highlight w:val="none"/>
                <w:vertAlign w:val="baseline"/>
              </w:rPr>
            </w:pPr>
          </w:p>
        </w:tc>
      </w:tr>
    </w:tbl>
    <w:p>
      <w:pPr>
        <w:rPr>
          <w:rFonts w:hint="eastAsia" w:ascii="黑体" w:hAnsi="黑体" w:eastAsia="黑体" w:cs="Times New Roman"/>
          <w:snapToGrid w:val="0"/>
          <w:color w:val="auto"/>
          <w:sz w:val="30"/>
          <w:szCs w:val="30"/>
          <w:highlight w:val="none"/>
        </w:rPr>
        <w:sectPr>
          <w:pgSz w:w="16838" w:h="11906" w:orient="landscape"/>
          <w:pgMar w:top="1417" w:right="1440" w:bottom="1247" w:left="144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25"/>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977"/>
        <w:gridCol w:w="848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c>
          <w:tcPr>
            <w:tcW w:w="977" w:type="dxa"/>
            <w:tcBorders>
              <w:tl2br w:val="nil"/>
              <w:tr2bl w:val="nil"/>
            </w:tcBorders>
          </w:tcPr>
          <w:p>
            <w:pPr>
              <w:rPr>
                <w:rFonts w:hint="eastAsia" w:ascii="黑体" w:hAnsi="黑体" w:eastAsia="黑体" w:cs="Times New Roman"/>
                <w:snapToGrid w:val="0"/>
                <w:color w:val="auto"/>
                <w:sz w:val="30"/>
                <w:szCs w:val="30"/>
                <w:highlight w:val="none"/>
                <w:vertAlign w:val="baseline"/>
              </w:rPr>
            </w:pPr>
          </w:p>
        </w:tc>
        <w:tc>
          <w:tcPr>
            <w:tcW w:w="8481" w:type="dxa"/>
            <w:tcBorders>
              <w:tl2br w:val="nil"/>
              <w:tr2bl w:val="nil"/>
            </w:tcBorders>
          </w:tcPr>
          <w:p>
            <w:pPr>
              <w:spacing w:line="440" w:lineRule="exact"/>
              <w:ind w:firstLine="480"/>
              <w:rPr>
                <w:rFonts w:ascii="Times New Roman" w:eastAsia="宋体"/>
                <w:color w:val="auto"/>
                <w:spacing w:val="0"/>
                <w:sz w:val="24"/>
                <w:szCs w:val="24"/>
                <w:highlight w:val="none"/>
              </w:rPr>
            </w:pPr>
            <w:r>
              <w:rPr>
                <w:rFonts w:ascii="Times New Roman" w:eastAsia="宋体"/>
                <w:color w:val="auto"/>
                <w:spacing w:val="0"/>
                <w:sz w:val="24"/>
                <w:szCs w:val="24"/>
                <w:highlight w:val="none"/>
              </w:rPr>
              <w:t>现有工程产生的</w:t>
            </w:r>
            <w:r>
              <w:rPr>
                <w:rFonts w:hint="eastAsia" w:ascii="Times New Roman" w:eastAsia="宋体"/>
                <w:color w:val="auto"/>
                <w:spacing w:val="0"/>
                <w:sz w:val="24"/>
                <w:szCs w:val="24"/>
                <w:highlight w:val="none"/>
                <w:lang w:val="en-US" w:eastAsia="zh-CN"/>
              </w:rPr>
              <w:t>危险废物</w:t>
            </w:r>
            <w:r>
              <w:rPr>
                <w:rFonts w:hint="eastAsia"/>
                <w:color w:val="auto"/>
                <w:spacing w:val="0"/>
                <w:sz w:val="24"/>
                <w:szCs w:val="24"/>
                <w:highlight w:val="none"/>
                <w:lang w:eastAsia="zh-CN"/>
              </w:rPr>
              <w:t>，</w:t>
            </w:r>
            <w:r>
              <w:rPr>
                <w:rFonts w:hint="eastAsia"/>
                <w:color w:val="auto"/>
                <w:spacing w:val="0"/>
                <w:sz w:val="24"/>
                <w:szCs w:val="24"/>
                <w:highlight w:val="none"/>
                <w:lang w:val="en-US" w:eastAsia="zh-CN"/>
              </w:rPr>
              <w:t>暂存于危废间</w:t>
            </w:r>
            <w:r>
              <w:rPr>
                <w:rFonts w:ascii="Times New Roman" w:eastAsia="宋体"/>
                <w:color w:val="auto"/>
                <w:spacing w:val="0"/>
                <w:sz w:val="24"/>
                <w:szCs w:val="24"/>
                <w:highlight w:val="none"/>
              </w:rPr>
              <w:t>，</w:t>
            </w:r>
            <w:r>
              <w:rPr>
                <w:rFonts w:hint="eastAsia"/>
                <w:color w:val="auto"/>
                <w:spacing w:val="0"/>
                <w:sz w:val="24"/>
                <w:szCs w:val="24"/>
                <w:highlight w:val="none"/>
                <w:lang w:val="en-US" w:eastAsia="zh-CN"/>
              </w:rPr>
              <w:t>定期委托有资质单位运走处置或由厂家回收，循环使用，危废间为彩钢钢结构</w:t>
            </w:r>
            <w:r>
              <w:rPr>
                <w:rFonts w:ascii="Times New Roman" w:eastAsia="宋体"/>
                <w:color w:val="auto"/>
                <w:spacing w:val="0"/>
                <w:sz w:val="24"/>
                <w:szCs w:val="24"/>
                <w:highlight w:val="none"/>
              </w:rPr>
              <w:t>建筑，符合防风、防雨、防晒的要求。</w:t>
            </w:r>
            <w:r>
              <w:rPr>
                <w:rFonts w:hint="eastAsia" w:ascii="Times New Roman" w:eastAsia="宋体"/>
                <w:color w:val="auto"/>
                <w:spacing w:val="0"/>
                <w:sz w:val="24"/>
                <w:szCs w:val="24"/>
                <w:highlight w:val="none"/>
                <w:lang w:val="en-US" w:eastAsia="zh-CN"/>
              </w:rPr>
              <w:t>喷淋废水每半年转运一次，其余</w:t>
            </w:r>
            <w:r>
              <w:rPr>
                <w:rFonts w:hint="eastAsia"/>
                <w:color w:val="auto"/>
                <w:spacing w:val="0"/>
                <w:sz w:val="24"/>
                <w:szCs w:val="24"/>
                <w:highlight w:val="none"/>
                <w:lang w:val="en-US" w:eastAsia="zh-CN"/>
              </w:rPr>
              <w:t>危废每年转运一次，</w:t>
            </w:r>
            <w:r>
              <w:rPr>
                <w:rFonts w:hint="eastAsia" w:ascii="Times New Roman" w:eastAsia="宋体"/>
                <w:color w:val="auto"/>
                <w:spacing w:val="0"/>
                <w:sz w:val="24"/>
                <w:szCs w:val="24"/>
                <w:highlight w:val="none"/>
              </w:rPr>
              <w:t>根据建设单位提供资料</w:t>
            </w:r>
            <w:r>
              <w:rPr>
                <w:rFonts w:hint="eastAsia"/>
                <w:color w:val="auto"/>
                <w:spacing w:val="0"/>
                <w:sz w:val="24"/>
                <w:highlight w:val="none"/>
                <w:lang w:val="en-US" w:eastAsia="zh-CN"/>
              </w:rPr>
              <w:t>，危废间面积为15m</w:t>
            </w:r>
            <w:r>
              <w:rPr>
                <w:rFonts w:hint="eastAsia"/>
                <w:color w:val="auto"/>
                <w:spacing w:val="0"/>
                <w:sz w:val="24"/>
                <w:highlight w:val="none"/>
                <w:vertAlign w:val="superscript"/>
                <w:lang w:val="en-US" w:eastAsia="zh-CN"/>
              </w:rPr>
              <w:t>2</w:t>
            </w:r>
            <w:r>
              <w:rPr>
                <w:rFonts w:hint="eastAsia"/>
                <w:color w:val="auto"/>
                <w:spacing w:val="0"/>
                <w:sz w:val="24"/>
                <w:highlight w:val="none"/>
                <w:lang w:val="en-US" w:eastAsia="zh-CN"/>
              </w:rPr>
              <w:t>，危废间已利用面积约10m</w:t>
            </w:r>
            <w:r>
              <w:rPr>
                <w:rFonts w:hint="eastAsia"/>
                <w:color w:val="auto"/>
                <w:spacing w:val="0"/>
                <w:sz w:val="24"/>
                <w:highlight w:val="none"/>
                <w:vertAlign w:val="superscript"/>
                <w:lang w:val="en-US" w:eastAsia="zh-CN"/>
              </w:rPr>
              <w:t>2</w:t>
            </w:r>
            <w:r>
              <w:rPr>
                <w:rFonts w:hint="eastAsia"/>
                <w:color w:val="auto"/>
                <w:spacing w:val="0"/>
                <w:sz w:val="24"/>
                <w:szCs w:val="24"/>
                <w:highlight w:val="none"/>
                <w:lang w:val="en-US" w:eastAsia="zh-CN"/>
              </w:rPr>
              <w:t>，</w:t>
            </w:r>
            <w:r>
              <w:rPr>
                <w:rFonts w:hint="eastAsia" w:ascii="Times New Roman" w:eastAsia="宋体"/>
                <w:color w:val="auto"/>
                <w:spacing w:val="0"/>
                <w:sz w:val="24"/>
                <w:szCs w:val="24"/>
                <w:highlight w:val="none"/>
              </w:rPr>
              <w:t>满足危险废物的存储要求</w:t>
            </w:r>
            <w:r>
              <w:rPr>
                <w:rFonts w:ascii="Times New Roman" w:eastAsia="宋体"/>
                <w:color w:val="auto"/>
                <w:spacing w:val="0"/>
                <w:sz w:val="24"/>
                <w:szCs w:val="24"/>
                <w:highlight w:val="none"/>
              </w:rPr>
              <w:t>。危险固废贮存间地面</w:t>
            </w:r>
            <w:r>
              <w:rPr>
                <w:rFonts w:ascii="Times New Roman" w:eastAsia="宋体"/>
                <w:color w:val="auto"/>
                <w:spacing w:val="0"/>
                <w:sz w:val="24"/>
                <w:highlight w:val="none"/>
              </w:rPr>
              <w:t>做耐腐蚀、硬化防渗处理，地面无裂隙，并建有堵截泄漏的裙脚</w:t>
            </w:r>
            <w:r>
              <w:rPr>
                <w:rFonts w:ascii="Times New Roman" w:eastAsia="宋体"/>
                <w:snapToGrid w:val="0"/>
                <w:color w:val="auto"/>
                <w:spacing w:val="0"/>
                <w:sz w:val="24"/>
                <w:szCs w:val="24"/>
                <w:highlight w:val="none"/>
              </w:rPr>
              <w:t>，渗透系数小于10</w:t>
            </w:r>
            <w:r>
              <w:rPr>
                <w:rFonts w:ascii="Times New Roman" w:eastAsia="宋体"/>
                <w:snapToGrid w:val="0"/>
                <w:color w:val="auto"/>
                <w:spacing w:val="0"/>
                <w:sz w:val="24"/>
                <w:szCs w:val="24"/>
                <w:highlight w:val="none"/>
                <w:vertAlign w:val="superscript"/>
              </w:rPr>
              <w:t>-10</w:t>
            </w:r>
            <w:r>
              <w:rPr>
                <w:rFonts w:ascii="Times New Roman" w:eastAsia="宋体"/>
                <w:snapToGrid w:val="0"/>
                <w:color w:val="auto"/>
                <w:spacing w:val="0"/>
                <w:sz w:val="24"/>
                <w:szCs w:val="24"/>
                <w:highlight w:val="none"/>
              </w:rPr>
              <w:t>cm/s。</w:t>
            </w:r>
            <w:r>
              <w:rPr>
                <w:rFonts w:ascii="Times New Roman" w:eastAsia="宋体"/>
                <w:color w:val="auto"/>
                <w:spacing w:val="0"/>
                <w:sz w:val="24"/>
                <w:szCs w:val="24"/>
                <w:highlight w:val="none"/>
              </w:rPr>
              <w:t>危险废</w:t>
            </w:r>
            <w:r>
              <w:rPr>
                <w:rFonts w:hint="eastAsia" w:ascii="Times New Roman" w:eastAsia="宋体"/>
                <w:color w:val="auto"/>
                <w:spacing w:val="0"/>
                <w:sz w:val="24"/>
                <w:szCs w:val="24"/>
                <w:highlight w:val="none"/>
              </w:rPr>
              <w:t>物</w:t>
            </w:r>
            <w:r>
              <w:rPr>
                <w:rFonts w:ascii="Times New Roman" w:eastAsia="宋体"/>
                <w:color w:val="auto"/>
                <w:spacing w:val="0"/>
                <w:sz w:val="24"/>
                <w:szCs w:val="24"/>
                <w:highlight w:val="none"/>
              </w:rPr>
              <w:t>符合</w:t>
            </w:r>
            <w:r>
              <w:rPr>
                <w:rFonts w:hint="eastAsia"/>
                <w:color w:val="auto"/>
                <w:spacing w:val="0"/>
                <w:sz w:val="24"/>
                <w:szCs w:val="24"/>
                <w:highlight w:val="none"/>
                <w:lang w:eastAsia="zh-CN"/>
              </w:rPr>
              <w:t>《危险废物贮存污染控制标准》（GB18597-2023）</w:t>
            </w:r>
            <w:r>
              <w:rPr>
                <w:rFonts w:hint="eastAsia" w:ascii="Times New Roman" w:eastAsia="宋体"/>
                <w:color w:val="auto"/>
                <w:spacing w:val="0"/>
                <w:sz w:val="24"/>
                <w:szCs w:val="24"/>
                <w:highlight w:val="none"/>
              </w:rPr>
              <w:t>要求</w:t>
            </w:r>
            <w:r>
              <w:rPr>
                <w:rFonts w:ascii="Times New Roman" w:eastAsia="宋体"/>
                <w:color w:val="auto"/>
                <w:spacing w:val="0"/>
                <w:sz w:val="24"/>
                <w:szCs w:val="24"/>
                <w:highlight w:val="none"/>
              </w:rPr>
              <w:t>。</w:t>
            </w:r>
          </w:p>
          <w:p>
            <w:pPr>
              <w:numPr>
                <w:ilvl w:val="0"/>
                <w:numId w:val="0"/>
              </w:numPr>
              <w:bidi w:val="0"/>
              <w:rPr>
                <w:rFonts w:hint="default"/>
                <w:b/>
                <w:bCs/>
                <w:color w:val="auto"/>
                <w:highlight w:val="none"/>
                <w:lang w:val="en-US" w:eastAsia="zh-CN"/>
              </w:rPr>
            </w:pPr>
            <w:r>
              <w:rPr>
                <w:rFonts w:hint="eastAsia"/>
                <w:b/>
                <w:bCs/>
                <w:color w:val="auto"/>
                <w:highlight w:val="none"/>
                <w:lang w:val="en-US" w:eastAsia="zh-CN"/>
              </w:rPr>
              <w:t>2、防渗措施</w:t>
            </w:r>
          </w:p>
          <w:p>
            <w:pPr>
              <w:rPr>
                <w:rFonts w:hint="eastAsia" w:ascii="Times New Roman" w:eastAsia="宋体"/>
                <w:color w:val="auto"/>
                <w:spacing w:val="0"/>
                <w:sz w:val="24"/>
                <w:highlight w:val="none"/>
              </w:rPr>
            </w:pPr>
            <w:r>
              <w:rPr>
                <w:rFonts w:hint="eastAsia" w:ascii="Times New Roman" w:eastAsia="宋体"/>
                <w:color w:val="auto"/>
                <w:spacing w:val="0"/>
                <w:sz w:val="24"/>
                <w:highlight w:val="none"/>
              </w:rPr>
              <w:t>根据现场调查及建设单位提供资料，厂区现有防渗情况如下：</w:t>
            </w:r>
          </w:p>
          <w:p>
            <w:pPr>
              <w:numPr>
                <w:ilvl w:val="0"/>
                <w:numId w:val="21"/>
              </w:numPr>
              <w:bidi w:val="0"/>
              <w:rPr>
                <w:rFonts w:hint="eastAsia" w:cs="Times New Roman"/>
                <w:color w:val="auto"/>
                <w:highlight w:val="none"/>
                <w:lang w:eastAsia="zh-CN"/>
              </w:rPr>
            </w:pPr>
            <w:r>
              <w:rPr>
                <w:rFonts w:hint="eastAsia"/>
                <w:color w:val="auto"/>
                <w:lang w:val="en-US" w:eastAsia="zh-CN"/>
              </w:rPr>
              <w:t>危废间地面及裙角已做好防渗处理，渗透系数</w:t>
            </w:r>
            <w:r>
              <w:rPr>
                <w:rFonts w:hint="default" w:ascii="Times New Roman" w:hAnsi="Times New Roman" w:cs="Times New Roman"/>
                <w:color w:val="auto"/>
                <w:highlight w:val="none"/>
              </w:rPr>
              <w:t>≤10</w:t>
            </w:r>
            <w:r>
              <w:rPr>
                <w:rFonts w:hint="default" w:ascii="Times New Roman" w:hAnsi="Times New Roman" w:cs="Times New Roman"/>
                <w:color w:val="auto"/>
                <w:highlight w:val="none"/>
                <w:vertAlign w:val="superscript"/>
              </w:rPr>
              <w:t>-10</w:t>
            </w:r>
            <w:r>
              <w:rPr>
                <w:rFonts w:hint="default" w:ascii="Times New Roman" w:hAnsi="Times New Roman" w:cs="Times New Roman"/>
                <w:color w:val="auto"/>
                <w:highlight w:val="none"/>
              </w:rPr>
              <w:t>cm/s</w:t>
            </w:r>
            <w:r>
              <w:rPr>
                <w:rFonts w:hint="eastAsia" w:cs="Times New Roman"/>
                <w:color w:val="auto"/>
                <w:highlight w:val="none"/>
                <w:lang w:eastAsia="zh-CN"/>
              </w:rPr>
              <w:t>；</w:t>
            </w:r>
          </w:p>
          <w:p>
            <w:pPr>
              <w:numPr>
                <w:ilvl w:val="0"/>
                <w:numId w:val="21"/>
              </w:numPr>
              <w:bidi w:val="0"/>
              <w:rPr>
                <w:rFonts w:hint="eastAsia" w:cs="Times New Roman"/>
                <w:color w:val="auto"/>
                <w:highlight w:val="none"/>
                <w:lang w:val="en-US" w:eastAsia="zh-CN"/>
              </w:rPr>
            </w:pPr>
            <w:r>
              <w:rPr>
                <w:rFonts w:hint="eastAsia" w:cs="Times New Roman"/>
                <w:color w:val="auto"/>
                <w:highlight w:val="none"/>
                <w:lang w:val="en-US" w:eastAsia="zh-CN"/>
              </w:rPr>
              <w:t>危险品储存区地面进行防腐防渗处理，</w:t>
            </w:r>
            <w:r>
              <w:rPr>
                <w:rFonts w:hint="eastAsia"/>
                <w:color w:val="auto"/>
                <w:lang w:val="en-US" w:eastAsia="zh-CN"/>
              </w:rPr>
              <w:t>渗透系数</w:t>
            </w:r>
            <w:r>
              <w:rPr>
                <w:rFonts w:hint="default" w:ascii="Times New Roman" w:hAnsi="Times New Roman" w:cs="Times New Roman"/>
                <w:color w:val="auto"/>
                <w:highlight w:val="none"/>
              </w:rPr>
              <w:t>≤10</w:t>
            </w:r>
            <w:r>
              <w:rPr>
                <w:rFonts w:hint="default" w:ascii="Times New Roman" w:hAnsi="Times New Roman" w:cs="Times New Roman"/>
                <w:color w:val="auto"/>
                <w:highlight w:val="none"/>
                <w:vertAlign w:val="superscript"/>
              </w:rPr>
              <w:t>-10</w:t>
            </w:r>
            <w:r>
              <w:rPr>
                <w:rFonts w:hint="default" w:ascii="Times New Roman" w:hAnsi="Times New Roman" w:cs="Times New Roman"/>
                <w:color w:val="auto"/>
                <w:highlight w:val="none"/>
              </w:rPr>
              <w:t>cm/s</w:t>
            </w:r>
            <w:r>
              <w:rPr>
                <w:rFonts w:hint="eastAsia" w:cs="Times New Roman"/>
                <w:color w:val="auto"/>
                <w:highlight w:val="none"/>
                <w:lang w:eastAsia="zh-CN"/>
              </w:rPr>
              <w:t>；</w:t>
            </w:r>
          </w:p>
          <w:p>
            <w:pPr>
              <w:numPr>
                <w:ilvl w:val="0"/>
                <w:numId w:val="21"/>
              </w:numPr>
              <w:bidi w:val="0"/>
              <w:rPr>
                <w:rFonts w:hint="eastAsia" w:cs="Times New Roman"/>
                <w:color w:val="auto"/>
                <w:highlight w:val="none"/>
                <w:lang w:val="en-US" w:eastAsia="zh-CN"/>
              </w:rPr>
            </w:pPr>
            <w:r>
              <w:rPr>
                <w:rFonts w:hint="eastAsia" w:cs="Times New Roman"/>
                <w:color w:val="auto"/>
                <w:highlight w:val="none"/>
                <w:lang w:val="en-US" w:eastAsia="zh-CN"/>
              </w:rPr>
              <w:t>碱液喷淋塔循环水箱采用封闭的碳钢结构，内部涂刷防腐材料，基体镀膜冷却用水储存于塑料箱中，防止生产过程中发生跑、冒、滴、漏现象；</w:t>
            </w:r>
          </w:p>
          <w:p>
            <w:pPr>
              <w:numPr>
                <w:ilvl w:val="0"/>
                <w:numId w:val="21"/>
              </w:numPr>
              <w:bidi w:val="0"/>
              <w:rPr>
                <w:rFonts w:hint="eastAsia" w:cs="Times New Roman"/>
                <w:color w:val="auto"/>
                <w:highlight w:val="none"/>
                <w:lang w:val="en-US" w:eastAsia="zh-CN"/>
              </w:rPr>
            </w:pPr>
            <w:r>
              <w:rPr>
                <w:rFonts w:hint="eastAsia" w:cs="Times New Roman"/>
                <w:color w:val="auto"/>
                <w:highlight w:val="none"/>
                <w:lang w:val="en-US" w:eastAsia="zh-CN"/>
              </w:rPr>
              <w:t>厂区地面进行水泥硬化处理。</w:t>
            </w:r>
          </w:p>
          <w:p>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b/>
                <w:bCs/>
                <w:color w:val="auto"/>
                <w:highlight w:val="none"/>
                <w:lang w:val="en-US" w:eastAsia="zh-CN"/>
              </w:rPr>
            </w:pPr>
            <w:r>
              <w:rPr>
                <w:rFonts w:hint="eastAsia"/>
                <w:b/>
                <w:bCs/>
                <w:color w:val="auto"/>
                <w:highlight w:val="none"/>
                <w:lang w:val="en-US" w:eastAsia="zh-CN"/>
              </w:rPr>
              <w:t>3、环境管理</w:t>
            </w:r>
          </w:p>
          <w:p>
            <w:pPr>
              <w:bidi w:val="0"/>
              <w:rPr>
                <w:rFonts w:hint="eastAsia"/>
                <w:color w:val="auto"/>
                <w:highlight w:val="none"/>
                <w:lang w:eastAsia="zh-CN"/>
              </w:rPr>
            </w:pPr>
            <w:r>
              <w:rPr>
                <w:rFonts w:hint="eastAsia"/>
                <w:color w:val="auto"/>
                <w:highlight w:val="none"/>
                <w:lang w:val="en-US" w:eastAsia="zh-CN"/>
              </w:rPr>
              <w:t>唐山烯彤科技有限公司环保手续齐全，</w:t>
            </w:r>
            <w:r>
              <w:rPr>
                <w:rFonts w:hint="default"/>
                <w:color w:val="auto"/>
                <w:highlight w:val="none"/>
              </w:rPr>
              <w:t>建立了完整的环保档案，并设有专人管理，公司建立</w:t>
            </w:r>
            <w:r>
              <w:rPr>
                <w:rFonts w:hint="eastAsia"/>
                <w:color w:val="auto"/>
                <w:highlight w:val="none"/>
                <w:lang w:eastAsia="zh-CN"/>
              </w:rPr>
              <w:t>了</w:t>
            </w:r>
            <w:r>
              <w:rPr>
                <w:rFonts w:hint="default"/>
                <w:color w:val="auto"/>
                <w:highlight w:val="none"/>
              </w:rPr>
              <w:t>环保管理规章制度，环保设施的运行、维护、日常监督均有专人负责。</w:t>
            </w:r>
          </w:p>
          <w:p>
            <w:pPr>
              <w:numPr>
                <w:ilvl w:val="0"/>
                <w:numId w:val="0"/>
              </w:numPr>
              <w:bidi w:val="0"/>
              <w:ind w:leftChars="200"/>
              <w:rPr>
                <w:rFonts w:hint="default"/>
                <w:b/>
                <w:bCs/>
                <w:color w:val="auto"/>
                <w:highlight w:val="none"/>
              </w:rPr>
            </w:pPr>
            <w:r>
              <w:rPr>
                <w:rFonts w:hint="eastAsia"/>
                <w:b/>
                <w:bCs/>
                <w:color w:val="auto"/>
                <w:highlight w:val="none"/>
                <w:lang w:val="en-US" w:eastAsia="zh-CN"/>
              </w:rPr>
              <w:t>3.1</w:t>
            </w:r>
            <w:r>
              <w:rPr>
                <w:rFonts w:hint="default"/>
                <w:b/>
                <w:bCs/>
                <w:color w:val="auto"/>
                <w:highlight w:val="none"/>
              </w:rPr>
              <w:t>现有工程排污口规范化情况</w:t>
            </w:r>
          </w:p>
          <w:p>
            <w:pPr>
              <w:spacing w:line="480" w:lineRule="exact"/>
              <w:ind w:firstLine="480" w:firstLineChars="200"/>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1</w:t>
            </w: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废气排污口规范化：</w:t>
            </w:r>
            <w:r>
              <w:rPr>
                <w:rFonts w:hint="eastAsia" w:ascii="Times New Roman" w:hAnsi="Times New Roman" w:eastAsia="宋体" w:cs="Times New Roman"/>
                <w:color w:val="auto"/>
                <w:sz w:val="24"/>
                <w:szCs w:val="24"/>
                <w:highlight w:val="none"/>
                <w:lang w:val="en-US" w:eastAsia="zh-CN"/>
              </w:rPr>
              <w:t>现有工程共设置</w:t>
            </w:r>
            <w:r>
              <w:rPr>
                <w:rFonts w:hint="eastAsia" w:cs="Times New Roman"/>
                <w:color w:val="auto"/>
                <w:sz w:val="24"/>
                <w:szCs w:val="24"/>
                <w:highlight w:val="none"/>
                <w:lang w:val="en-US" w:eastAsia="zh-CN"/>
              </w:rPr>
              <w:t>1</w:t>
            </w:r>
            <w:r>
              <w:rPr>
                <w:rFonts w:hint="eastAsia" w:ascii="Times New Roman" w:hAnsi="Times New Roman" w:eastAsia="宋体" w:cs="Times New Roman"/>
                <w:color w:val="auto"/>
                <w:sz w:val="24"/>
                <w:szCs w:val="24"/>
                <w:highlight w:val="none"/>
                <w:lang w:val="en-US" w:eastAsia="zh-CN"/>
              </w:rPr>
              <w:t>根排气筒，</w:t>
            </w:r>
            <w:r>
              <w:rPr>
                <w:rFonts w:hint="default" w:ascii="Times New Roman" w:hAnsi="Times New Roman" w:eastAsia="宋体" w:cs="Times New Roman"/>
                <w:color w:val="auto"/>
                <w:sz w:val="24"/>
                <w:szCs w:val="24"/>
                <w:highlight w:val="none"/>
              </w:rPr>
              <w:t>排气筒高度</w:t>
            </w:r>
            <w:r>
              <w:rPr>
                <w:rFonts w:hint="eastAsia" w:ascii="Times New Roman" w:hAnsi="Times New Roman" w:eastAsia="宋体" w:cs="Times New Roman"/>
                <w:color w:val="auto"/>
                <w:sz w:val="24"/>
                <w:szCs w:val="24"/>
                <w:highlight w:val="none"/>
                <w:lang w:val="en-US" w:eastAsia="zh-CN"/>
              </w:rPr>
              <w:t>均满足标准要求</w:t>
            </w:r>
            <w:r>
              <w:rPr>
                <w:rFonts w:hint="default" w:ascii="Times New Roman" w:hAnsi="Times New Roman" w:eastAsia="宋体" w:cs="Times New Roman"/>
                <w:color w:val="auto"/>
                <w:sz w:val="24"/>
                <w:szCs w:val="24"/>
                <w:highlight w:val="none"/>
              </w:rPr>
              <w:t>，排气筒设置</w:t>
            </w:r>
            <w:r>
              <w:rPr>
                <w:rFonts w:hint="eastAsia" w:ascii="Times New Roman" w:hAnsi="Times New Roman" w:eastAsia="宋体" w:cs="Times New Roman"/>
                <w:color w:val="auto"/>
                <w:sz w:val="24"/>
                <w:szCs w:val="24"/>
                <w:highlight w:val="none"/>
                <w:lang w:val="en-US" w:eastAsia="zh-CN"/>
              </w:rPr>
              <w:t>了</w:t>
            </w:r>
            <w:r>
              <w:rPr>
                <w:rFonts w:hint="default" w:ascii="Times New Roman" w:hAnsi="Times New Roman" w:eastAsia="宋体" w:cs="Times New Roman"/>
                <w:color w:val="auto"/>
                <w:sz w:val="24"/>
                <w:szCs w:val="24"/>
                <w:highlight w:val="none"/>
              </w:rPr>
              <w:t>便于采样、监测的采样口和采样平台。在各排气筒近地面处，设立</w:t>
            </w:r>
            <w:r>
              <w:rPr>
                <w:rFonts w:hint="eastAsia" w:ascii="Times New Roman" w:hAnsi="Times New Roman" w:eastAsia="宋体" w:cs="Times New Roman"/>
                <w:color w:val="auto"/>
                <w:sz w:val="24"/>
                <w:szCs w:val="24"/>
                <w:highlight w:val="none"/>
                <w:lang w:val="en-US" w:eastAsia="zh-CN"/>
              </w:rPr>
              <w:t>了</w:t>
            </w:r>
            <w:r>
              <w:rPr>
                <w:rFonts w:hint="default" w:ascii="Times New Roman" w:hAnsi="Times New Roman" w:eastAsia="宋体" w:cs="Times New Roman"/>
                <w:color w:val="auto"/>
                <w:sz w:val="24"/>
                <w:szCs w:val="24"/>
                <w:highlight w:val="none"/>
              </w:rPr>
              <w:t>醒目的环境保护图形标志牌。</w:t>
            </w:r>
          </w:p>
          <w:p>
            <w:pPr>
              <w:pStyle w:val="12"/>
              <w:keepNext w:val="0"/>
              <w:keepLines w:val="0"/>
              <w:pageBreakBefore w:val="0"/>
              <w:widowControl w:val="0"/>
              <w:kinsoku/>
              <w:wordWrap/>
              <w:overflowPunct/>
              <w:topLinePunct w:val="0"/>
              <w:autoSpaceDE/>
              <w:autoSpaceDN/>
              <w:bidi w:val="0"/>
              <w:adjustRightInd/>
              <w:snapToGrid/>
              <w:spacing w:after="0" w:line="480" w:lineRule="exact"/>
              <w:ind w:left="0" w:leftChars="0" w:right="0" w:rightChars="0" w:firstLine="480" w:firstLineChars="200"/>
              <w:textAlignment w:val="auto"/>
              <w:rPr>
                <w:rFonts w:hint="eastAsia"/>
                <w:color w:val="auto"/>
                <w:sz w:val="24"/>
                <w:highlight w:val="none"/>
              </w:rPr>
            </w:pP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2</w:t>
            </w: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废水排放口规范化：</w:t>
            </w:r>
            <w:r>
              <w:rPr>
                <w:color w:val="auto"/>
                <w:sz w:val="24"/>
                <w:highlight w:val="none"/>
              </w:rPr>
              <w:t>厂区设</w:t>
            </w:r>
            <w:r>
              <w:rPr>
                <w:rFonts w:hint="eastAsia"/>
                <w:color w:val="auto"/>
                <w:sz w:val="24"/>
                <w:highlight w:val="none"/>
                <w:lang w:val="en-US" w:eastAsia="zh-CN"/>
              </w:rPr>
              <w:t>废水</w:t>
            </w:r>
            <w:r>
              <w:rPr>
                <w:color w:val="auto"/>
                <w:sz w:val="24"/>
                <w:highlight w:val="none"/>
              </w:rPr>
              <w:t>总排水口1个</w:t>
            </w:r>
            <w:r>
              <w:rPr>
                <w:rFonts w:hint="eastAsia"/>
                <w:color w:val="auto"/>
                <w:sz w:val="24"/>
                <w:highlight w:val="none"/>
                <w:lang w:eastAsia="zh-CN"/>
              </w:rPr>
              <w:t>，</w:t>
            </w:r>
            <w:r>
              <w:rPr>
                <w:rFonts w:hint="eastAsia"/>
                <w:color w:val="auto"/>
                <w:sz w:val="24"/>
                <w:highlight w:val="none"/>
                <w:lang w:val="en-US" w:eastAsia="zh-CN"/>
              </w:rPr>
              <w:t>已</w:t>
            </w:r>
            <w:r>
              <w:rPr>
                <w:color w:val="auto"/>
                <w:sz w:val="24"/>
                <w:highlight w:val="none"/>
              </w:rPr>
              <w:t>按国家《环境保护图形标志》（15562.1-1995）的规定，</w:t>
            </w:r>
            <w:r>
              <w:rPr>
                <w:rFonts w:hint="eastAsia"/>
                <w:color w:val="auto"/>
                <w:sz w:val="24"/>
                <w:highlight w:val="none"/>
                <w:lang w:val="en-US" w:eastAsia="zh-CN"/>
              </w:rPr>
              <w:t>在</w:t>
            </w:r>
            <w:r>
              <w:rPr>
                <w:color w:val="auto"/>
                <w:sz w:val="24"/>
                <w:highlight w:val="none"/>
              </w:rPr>
              <w:t>靠近采样点的醒目处设置国家环保总局统一制作的环境保护图形标志牌。</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3</w:t>
            </w: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噪声：</w:t>
            </w:r>
            <w:r>
              <w:rPr>
                <w:rFonts w:ascii="宋体" w:hAnsi="宋体"/>
                <w:color w:val="auto"/>
                <w:sz w:val="24"/>
                <w:highlight w:val="none"/>
              </w:rPr>
              <w:t>按《工业企业厂界环境噪声排放标准》</w:t>
            </w:r>
            <w:r>
              <w:rPr>
                <w:rFonts w:hint="eastAsia"/>
                <w:color w:val="auto"/>
                <w:sz w:val="24"/>
                <w:highlight w:val="none"/>
                <w:lang w:eastAsia="zh-CN"/>
              </w:rPr>
              <w:t>（</w:t>
            </w:r>
            <w:r>
              <w:rPr>
                <w:color w:val="auto"/>
                <w:sz w:val="24"/>
                <w:highlight w:val="none"/>
              </w:rPr>
              <w:t>GB12348-2008</w:t>
            </w:r>
            <w:r>
              <w:rPr>
                <w:rFonts w:hint="eastAsia"/>
                <w:color w:val="auto"/>
                <w:sz w:val="24"/>
                <w:highlight w:val="none"/>
                <w:lang w:eastAsia="zh-CN"/>
              </w:rPr>
              <w:t>）</w:t>
            </w:r>
            <w:r>
              <w:rPr>
                <w:rFonts w:ascii="宋体" w:hAnsi="宋体"/>
                <w:color w:val="auto"/>
                <w:sz w:val="24"/>
                <w:highlight w:val="none"/>
              </w:rPr>
              <w:t>的规定，设置环境噪声监测点，并在该处附近醒目处设置环境保护图形标志牌</w:t>
            </w:r>
            <w:r>
              <w:rPr>
                <w:rFonts w:hint="eastAsia" w:ascii="宋体" w:hAnsi="宋体"/>
                <w:color w:val="auto"/>
                <w:sz w:val="24"/>
                <w:highlight w:val="none"/>
                <w:lang w:eastAsia="zh-CN"/>
              </w:rPr>
              <w:t>。</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sz w:val="24"/>
                <w:szCs w:val="24"/>
                <w:highlight w:val="none"/>
              </w:rPr>
            </w:pPr>
            <w:r>
              <w:rPr>
                <w:rFonts w:hint="eastAsia"/>
                <w:color w:val="auto"/>
                <w:highlight w:val="none"/>
                <w:lang w:eastAsia="zh-CN"/>
              </w:rPr>
              <w:t>（</w:t>
            </w:r>
            <w:r>
              <w:rPr>
                <w:rFonts w:hint="eastAsia"/>
                <w:color w:val="auto"/>
                <w:highlight w:val="none"/>
                <w:lang w:val="en-US" w:eastAsia="zh-CN"/>
              </w:rPr>
              <w:t>4</w:t>
            </w:r>
            <w:r>
              <w:rPr>
                <w:rFonts w:hint="eastAsia"/>
                <w:color w:val="auto"/>
                <w:highlight w:val="none"/>
                <w:lang w:eastAsia="zh-CN"/>
              </w:rPr>
              <w:t>）</w:t>
            </w:r>
            <w:r>
              <w:rPr>
                <w:rFonts w:hint="default" w:ascii="Times New Roman" w:hAnsi="Times New Roman" w:eastAsia="宋体" w:cs="Times New Roman"/>
                <w:color w:val="auto"/>
                <w:sz w:val="24"/>
                <w:szCs w:val="24"/>
                <w:highlight w:val="none"/>
              </w:rPr>
              <w:t>固体废物：</w:t>
            </w:r>
            <w:r>
              <w:rPr>
                <w:rFonts w:hint="eastAsia" w:ascii="Times New Roman" w:hAnsi="Times New Roman" w:eastAsia="宋体" w:cs="Times New Roman"/>
                <w:color w:val="auto"/>
                <w:sz w:val="24"/>
                <w:szCs w:val="24"/>
                <w:highlight w:val="none"/>
                <w:lang w:val="en-US" w:eastAsia="zh-CN"/>
              </w:rPr>
              <w:t>固体废物储存场所设置了</w:t>
            </w:r>
            <w:r>
              <w:rPr>
                <w:rFonts w:hint="default" w:ascii="Times New Roman" w:hAnsi="Times New Roman" w:cs="Times New Roman"/>
                <w:color w:val="auto"/>
                <w:sz w:val="24"/>
                <w:szCs w:val="24"/>
                <w:highlight w:val="none"/>
              </w:rPr>
              <w:t>环境保护图形标志牌</w:t>
            </w:r>
            <w:r>
              <w:rPr>
                <w:rFonts w:hint="eastAsia" w:ascii="Times New Roman" w:hAnsi="Times New Roman"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固体废物堆放场所</w:t>
            </w:r>
            <w:r>
              <w:rPr>
                <w:rFonts w:hint="eastAsia" w:ascii="Times New Roman" w:hAnsi="Times New Roman" w:eastAsia="宋体" w:cs="Times New Roman"/>
                <w:color w:val="auto"/>
                <w:sz w:val="24"/>
                <w:szCs w:val="24"/>
                <w:highlight w:val="none"/>
                <w:lang w:val="en-US" w:eastAsia="zh-CN"/>
              </w:rPr>
              <w:t>设置了</w:t>
            </w:r>
            <w:r>
              <w:rPr>
                <w:rFonts w:hint="default" w:ascii="Times New Roman" w:hAnsi="Times New Roman" w:eastAsia="宋体" w:cs="Times New Roman"/>
                <w:color w:val="auto"/>
                <w:sz w:val="24"/>
                <w:szCs w:val="24"/>
                <w:highlight w:val="none"/>
              </w:rPr>
              <w:t>防火、防扬散、防渗漏等防止污染环境的措施，禁止将危险废物混入非危险废物中贮存，非危险固体废物应采用容器收集存放，危险废物设置</w:t>
            </w:r>
            <w:r>
              <w:rPr>
                <w:rFonts w:hint="eastAsia" w:ascii="Times New Roman" w:hAnsi="Times New Roman" w:eastAsia="宋体" w:cs="Times New Roman"/>
                <w:color w:val="auto"/>
                <w:sz w:val="24"/>
                <w:szCs w:val="24"/>
                <w:highlight w:val="none"/>
                <w:lang w:val="en-US" w:eastAsia="zh-CN"/>
              </w:rPr>
              <w:t>了</w:t>
            </w:r>
            <w:r>
              <w:rPr>
                <w:rFonts w:hint="default" w:ascii="Times New Roman" w:hAnsi="Times New Roman" w:eastAsia="宋体" w:cs="Times New Roman"/>
                <w:color w:val="auto"/>
                <w:sz w:val="24"/>
                <w:szCs w:val="24"/>
                <w:highlight w:val="none"/>
              </w:rPr>
              <w:t>专用暂存间。</w:t>
            </w:r>
          </w:p>
          <w:p>
            <w:pPr>
              <w:bidi w:val="0"/>
              <w:rPr>
                <w:rFonts w:hint="eastAsia"/>
                <w:b/>
                <w:bCs/>
                <w:color w:val="auto"/>
                <w:highlight w:val="none"/>
                <w:lang w:val="en-US" w:eastAsia="zh-CN"/>
              </w:rPr>
            </w:pPr>
            <w:r>
              <w:rPr>
                <w:rFonts w:hint="eastAsia"/>
                <w:b/>
                <w:bCs/>
                <w:color w:val="auto"/>
                <w:highlight w:val="none"/>
                <w:lang w:val="en-US" w:eastAsia="zh-CN"/>
              </w:rPr>
              <w:t>3.2应急预案备案情况</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sz w:val="24"/>
                <w:szCs w:val="24"/>
                <w:highlight w:val="none"/>
              </w:rPr>
            </w:pPr>
            <w:r>
              <w:rPr>
                <w:rFonts w:hint="eastAsia"/>
                <w:color w:val="auto"/>
                <w:highlight w:val="none"/>
                <w:lang w:val="en-US" w:eastAsia="zh-CN"/>
              </w:rPr>
              <w:t>企业的突发环境事件应急预案已于2021年01月21日完成备案，唐山市生态环境局高新技术产业开发区分局予以备案，备案编号为130262-2021-002-L。</w:t>
            </w:r>
          </w:p>
          <w:p>
            <w:pPr>
              <w:bidi w:val="0"/>
              <w:rPr>
                <w:rFonts w:hint="eastAsia"/>
                <w:b/>
                <w:bCs/>
                <w:color w:val="auto"/>
                <w:highlight w:val="none"/>
                <w:lang w:val="en-US" w:eastAsia="zh-CN"/>
              </w:rPr>
            </w:pPr>
            <w:r>
              <w:rPr>
                <w:rFonts w:hint="eastAsia"/>
                <w:b/>
                <w:bCs/>
                <w:color w:val="auto"/>
                <w:highlight w:val="none"/>
                <w:lang w:val="en-US" w:eastAsia="zh-CN"/>
              </w:rPr>
              <w:t>3.3自行监测计划和执行报告落实情况</w:t>
            </w:r>
          </w:p>
          <w:p>
            <w:pPr>
              <w:bidi w:val="0"/>
              <w:rPr>
                <w:rFonts w:hint="eastAsia"/>
                <w:color w:val="auto"/>
                <w:highlight w:val="none"/>
                <w:lang w:val="en-US" w:eastAsia="zh-CN"/>
              </w:rPr>
            </w:pPr>
            <w:r>
              <w:rPr>
                <w:rFonts w:hint="eastAsia"/>
                <w:color w:val="auto"/>
                <w:highlight w:val="none"/>
                <w:lang w:val="en-US" w:eastAsia="zh-CN"/>
              </w:rPr>
              <w:t>根据《固定污染源排污许可分类管理名录（2019年版）》，本企业为排污许可登记管理类，在全国排污许可证管理信息平台完成了排污填报，取得了固定污染源排污登记回执。</w:t>
            </w:r>
          </w:p>
          <w:p>
            <w:pPr>
              <w:bidi w:val="0"/>
              <w:rPr>
                <w:rFonts w:hint="eastAsia"/>
                <w:b/>
                <w:bCs/>
                <w:color w:val="auto"/>
                <w:highlight w:val="none"/>
                <w:lang w:val="en-US" w:eastAsia="zh-CN"/>
              </w:rPr>
            </w:pPr>
            <w:r>
              <w:rPr>
                <w:rFonts w:hint="eastAsia"/>
                <w:b/>
                <w:bCs/>
                <w:color w:val="auto"/>
                <w:highlight w:val="none"/>
                <w:lang w:val="en-US" w:eastAsia="zh-CN"/>
              </w:rPr>
              <w:t>3.4信访事件</w:t>
            </w:r>
          </w:p>
          <w:p>
            <w:pPr>
              <w:bidi w:val="0"/>
              <w:rPr>
                <w:rFonts w:hint="default"/>
                <w:color w:val="auto"/>
                <w:highlight w:val="none"/>
                <w:lang w:val="en-US" w:eastAsia="zh-CN"/>
              </w:rPr>
            </w:pPr>
            <w:r>
              <w:rPr>
                <w:rFonts w:hint="eastAsia"/>
                <w:color w:val="auto"/>
                <w:highlight w:val="none"/>
                <w:lang w:val="en-US" w:eastAsia="zh-CN"/>
              </w:rPr>
              <w:t xml:space="preserve">企业无信访事件发生。 </w:t>
            </w:r>
          </w:p>
          <w:p>
            <w:pPr>
              <w:numPr>
                <w:ilvl w:val="0"/>
                <w:numId w:val="0"/>
              </w:numPr>
              <w:bidi w:val="0"/>
              <w:ind w:leftChars="0"/>
              <w:rPr>
                <w:rFonts w:hint="eastAsia"/>
                <w:b/>
                <w:bCs/>
                <w:color w:val="auto"/>
                <w:highlight w:val="none"/>
                <w:lang w:val="en-US" w:eastAsia="zh-CN"/>
              </w:rPr>
            </w:pPr>
            <w:r>
              <w:rPr>
                <w:rFonts w:hint="eastAsia"/>
                <w:b/>
                <w:bCs/>
                <w:color w:val="auto"/>
                <w:highlight w:val="none"/>
                <w:lang w:val="en-US" w:eastAsia="zh-CN"/>
              </w:rPr>
              <w:t>4、与该项目有关的主要环境问题</w:t>
            </w:r>
          </w:p>
          <w:p>
            <w:pPr>
              <w:rPr>
                <w:rFonts w:hint="eastAsia"/>
                <w:color w:val="auto"/>
                <w:highlight w:val="none"/>
                <w:lang w:val="en-US" w:eastAsia="zh-CN"/>
              </w:rPr>
            </w:pPr>
            <w:r>
              <w:rPr>
                <w:rFonts w:hint="default"/>
                <w:color w:val="auto"/>
                <w:highlight w:val="none"/>
              </w:rPr>
              <w:t>企业现有项目已通过验收，</w:t>
            </w:r>
            <w:r>
              <w:rPr>
                <w:rFonts w:hint="eastAsia"/>
                <w:color w:val="auto"/>
                <w:highlight w:val="none"/>
                <w:lang w:val="en-US" w:eastAsia="zh-CN"/>
              </w:rPr>
              <w:t>废气、</w:t>
            </w:r>
            <w:r>
              <w:rPr>
                <w:rFonts w:hint="default"/>
                <w:color w:val="auto"/>
                <w:highlight w:val="none"/>
              </w:rPr>
              <w:t>废水可实现达标排放，固体废物去向合理，</w:t>
            </w:r>
            <w:r>
              <w:rPr>
                <w:rFonts w:hint="eastAsia"/>
                <w:color w:val="auto"/>
                <w:highlight w:val="none"/>
                <w:lang w:val="en-US" w:eastAsia="zh-CN"/>
              </w:rPr>
              <w:t>废气排放口、</w:t>
            </w:r>
            <w:r>
              <w:rPr>
                <w:rFonts w:hint="default"/>
                <w:color w:val="auto"/>
                <w:highlight w:val="none"/>
              </w:rPr>
              <w:t>废水排放口和固废暂存处均</w:t>
            </w:r>
            <w:r>
              <w:rPr>
                <w:rFonts w:hint="eastAsia"/>
                <w:color w:val="auto"/>
                <w:highlight w:val="none"/>
                <w:lang w:val="en-US" w:eastAsia="zh-CN"/>
              </w:rPr>
              <w:t>已按照环保</w:t>
            </w:r>
            <w:r>
              <w:rPr>
                <w:rFonts w:hint="default"/>
                <w:color w:val="auto"/>
                <w:highlight w:val="none"/>
              </w:rPr>
              <w:t>相关要求进行了排污口规范化建设</w:t>
            </w:r>
            <w:r>
              <w:rPr>
                <w:rFonts w:hint="eastAsia"/>
                <w:color w:val="auto"/>
                <w:highlight w:val="none"/>
                <w:lang w:eastAsia="zh-CN"/>
              </w:rPr>
              <w:t>，</w:t>
            </w:r>
            <w:r>
              <w:rPr>
                <w:rFonts w:hint="eastAsia"/>
                <w:color w:val="auto"/>
                <w:highlight w:val="none"/>
                <w:lang w:val="en-US" w:eastAsia="zh-CN"/>
              </w:rPr>
              <w:t>企业目前主要存在的主要环境问题为：</w:t>
            </w:r>
          </w:p>
          <w:p>
            <w:pPr>
              <w:numPr>
                <w:ilvl w:val="0"/>
                <w:numId w:val="22"/>
              </w:numPr>
              <w:rPr>
                <w:rFonts w:hint="eastAsia"/>
                <w:color w:val="auto"/>
                <w:highlight w:val="none"/>
                <w:lang w:val="en-US" w:eastAsia="zh-CN"/>
              </w:rPr>
            </w:pPr>
            <w:r>
              <w:rPr>
                <w:rFonts w:hint="eastAsia"/>
                <w:color w:val="auto"/>
                <w:highlight w:val="none"/>
                <w:lang w:val="en-US" w:eastAsia="zh-CN"/>
              </w:rPr>
              <w:t>厂界噪声不满足相应标准要求；</w:t>
            </w:r>
          </w:p>
          <w:p>
            <w:pPr>
              <w:numPr>
                <w:ilvl w:val="0"/>
                <w:numId w:val="22"/>
              </w:numPr>
              <w:rPr>
                <w:rFonts w:hint="eastAsia"/>
                <w:color w:val="auto"/>
                <w:highlight w:val="none"/>
                <w:lang w:val="en-US" w:eastAsia="zh-CN"/>
              </w:rPr>
            </w:pPr>
            <w:r>
              <w:rPr>
                <w:rFonts w:hint="eastAsia"/>
                <w:color w:val="auto"/>
                <w:highlight w:val="none"/>
                <w:lang w:val="en-US" w:eastAsia="zh-CN"/>
              </w:rPr>
              <w:t>烘干、烧结还原过程产生的有机废气采用单级活性炭治理，不满足现行环保要求。</w:t>
            </w:r>
          </w:p>
          <w:p>
            <w:pPr>
              <w:numPr>
                <w:ilvl w:val="0"/>
                <w:numId w:val="4"/>
              </w:numPr>
              <w:ind w:left="0" w:leftChars="0" w:firstLine="0" w:firstLineChars="0"/>
              <w:rPr>
                <w:rFonts w:hint="eastAsia"/>
                <w:b/>
                <w:bCs/>
                <w:color w:val="auto"/>
                <w:highlight w:val="none"/>
                <w:lang w:val="en-US" w:eastAsia="zh-CN"/>
              </w:rPr>
            </w:pPr>
            <w:r>
              <w:rPr>
                <w:rFonts w:hint="eastAsia"/>
                <w:b/>
                <w:bCs/>
                <w:color w:val="auto"/>
                <w:highlight w:val="none"/>
                <w:lang w:val="en-US" w:eastAsia="zh-CN"/>
              </w:rPr>
              <w:t>整改措施</w:t>
            </w:r>
          </w:p>
          <w:p>
            <w:pPr>
              <w:numPr>
                <w:ilvl w:val="0"/>
                <w:numId w:val="23"/>
              </w:numPr>
              <w:bidi w:val="0"/>
              <w:rPr>
                <w:rFonts w:hint="eastAsia"/>
                <w:color w:val="auto"/>
                <w:lang w:val="en-US" w:eastAsia="zh-CN"/>
              </w:rPr>
            </w:pPr>
            <w:r>
              <w:rPr>
                <w:rFonts w:hint="eastAsia"/>
                <w:color w:val="auto"/>
                <w:lang w:val="en-US" w:eastAsia="zh-CN"/>
              </w:rPr>
              <w:t>本项目建成后淘汰部分设备，同时调整平面布局，经全厂噪声预测，项目建成后厂界噪声可满足相应标准要求；</w:t>
            </w:r>
          </w:p>
          <w:p>
            <w:pPr>
              <w:numPr>
                <w:ilvl w:val="0"/>
                <w:numId w:val="23"/>
              </w:numPr>
              <w:bidi w:val="0"/>
              <w:rPr>
                <w:rFonts w:hint="default"/>
                <w:color w:val="auto"/>
                <w:lang w:val="en-US" w:eastAsia="zh-CN"/>
              </w:rPr>
            </w:pPr>
            <w:r>
              <w:rPr>
                <w:rFonts w:hint="eastAsia"/>
                <w:color w:val="auto"/>
                <w:lang w:val="en-US" w:eastAsia="zh-CN"/>
              </w:rPr>
              <w:t>本项目建成后，淘汰现有活性炭吸附装置，将其替换为两级活性炭吸附装置，并根据相关要求填装活性炭，印刷、印刷烘干、覆膜过程产生的废气与石墨烯电发热体生产线烘干及烧结还原废气，采用风机引入1套两级活性炭吸附装置进行处理，处理后与喷镀废气一起通过1根30m高排气筒排放至大气中，可满足现行环保要求。</w:t>
            </w:r>
          </w:p>
          <w:p>
            <w:pPr>
              <w:bidi w:val="0"/>
              <w:ind w:left="0" w:leftChars="0" w:firstLine="0" w:firstLineChars="0"/>
              <w:rPr>
                <w:rFonts w:hint="default"/>
                <w:b/>
                <w:bCs/>
                <w:color w:val="auto"/>
                <w:lang w:val="en-US" w:eastAsia="zh-CN"/>
              </w:rPr>
            </w:pPr>
            <w:r>
              <w:rPr>
                <w:rFonts w:hint="eastAsia"/>
                <w:b/>
                <w:bCs/>
                <w:color w:val="auto"/>
                <w:lang w:val="en-US" w:eastAsia="zh-CN"/>
              </w:rPr>
              <w:t>6、与项目相关的其他问题</w:t>
            </w:r>
          </w:p>
          <w:p>
            <w:pPr>
              <w:bidi w:val="0"/>
              <w:rPr>
                <w:rFonts w:hint="default"/>
                <w:color w:val="auto"/>
                <w:lang w:val="en-US" w:eastAsia="zh-CN"/>
              </w:rPr>
            </w:pPr>
            <w:r>
              <w:rPr>
                <w:rFonts w:hint="eastAsia"/>
                <w:color w:val="auto"/>
                <w:lang w:val="en-US" w:eastAsia="zh-CN"/>
              </w:rPr>
              <w:t>现有工程镀膜、烘干及烧结还原废气排放口污染物排放执行《电子工业污染物排放标准（二次征求意见稿）》（环境保护部办公厅 环办标征函[2018]11号）表5大气污染物特别排放限值，但由于该标准至今尚未发布，本次评价建议镀膜、烘干及烧结还原废气排放口污染物中氟化物、氯化氢有组织排放执行《大气污染物综合排放标准》（GB16297-1996）中相关限值：氯化物最高允许排放浓度100mg/m</w:t>
            </w:r>
            <w:r>
              <w:rPr>
                <w:rFonts w:hint="eastAsia"/>
                <w:color w:val="auto"/>
                <w:vertAlign w:val="superscript"/>
                <w:lang w:val="en-US" w:eastAsia="zh-CN"/>
              </w:rPr>
              <w:t>3</w:t>
            </w:r>
            <w:r>
              <w:rPr>
                <w:rFonts w:hint="eastAsia"/>
                <w:color w:val="auto"/>
                <w:lang w:val="en-US" w:eastAsia="zh-CN"/>
              </w:rPr>
              <w:t>，最高允许排放速率1.4kg/h，氟化物最高允许排放浓度9.0mg/m</w:t>
            </w:r>
            <w:r>
              <w:rPr>
                <w:rFonts w:hint="eastAsia"/>
                <w:color w:val="auto"/>
                <w:vertAlign w:val="superscript"/>
                <w:lang w:val="en-US" w:eastAsia="zh-CN"/>
              </w:rPr>
              <w:t>3</w:t>
            </w:r>
            <w:r>
              <w:rPr>
                <w:rFonts w:hint="eastAsia"/>
                <w:color w:val="auto"/>
                <w:lang w:val="en-US" w:eastAsia="zh-CN"/>
              </w:rPr>
              <w:t>，最高允许排放速率0.59kg/h，非甲烷总烃有组织排放执行</w:t>
            </w:r>
            <w:r>
              <w:rPr>
                <w:rFonts w:hint="default" w:ascii="Times New Roman" w:hAnsi="Times New Roman" w:eastAsia="宋体" w:cs="Times New Roman"/>
                <w:color w:val="auto"/>
                <w:sz w:val="24"/>
                <w:szCs w:val="24"/>
              </w:rPr>
              <w:t>《工业企业挥发性有机物排放控制标准》（DB13 2322-2016）表1中</w:t>
            </w:r>
            <w:r>
              <w:rPr>
                <w:rFonts w:hint="default" w:ascii="Times New Roman" w:hAnsi="Times New Roman" w:eastAsia="宋体" w:cs="Times New Roman"/>
                <w:color w:val="auto"/>
                <w:sz w:val="24"/>
                <w:szCs w:val="24"/>
                <w:lang w:eastAsia="zh-CN"/>
              </w:rPr>
              <w:t>其他行业</w:t>
            </w:r>
            <w:r>
              <w:rPr>
                <w:rFonts w:hint="default" w:ascii="Times New Roman" w:hAnsi="Times New Roman" w:eastAsia="宋体" w:cs="Times New Roman"/>
                <w:color w:val="auto"/>
                <w:sz w:val="24"/>
                <w:szCs w:val="24"/>
              </w:rPr>
              <w:t>最高允许排放浓度：非甲烷总烃</w:t>
            </w:r>
            <w:r>
              <w:rPr>
                <w:rFonts w:hint="default" w:ascii="Times New Roman" w:hAnsi="Times New Roman" w:eastAsia="宋体" w:cs="Times New Roman"/>
                <w:color w:val="auto"/>
                <w:sz w:val="24"/>
                <w:szCs w:val="24"/>
                <w:lang w:val="en-US" w:eastAsia="zh-CN"/>
              </w:rPr>
              <w:t>8</w:t>
            </w:r>
            <w:r>
              <w:rPr>
                <w:rFonts w:hint="default" w:ascii="Times New Roman" w:hAnsi="Times New Roman" w:eastAsia="宋体" w:cs="Times New Roman"/>
                <w:color w:val="auto"/>
                <w:sz w:val="24"/>
                <w:szCs w:val="24"/>
              </w:rPr>
              <w:t>0mg/</w:t>
            </w:r>
            <w:r>
              <w:rPr>
                <w:rFonts w:hint="default" w:ascii="Times New Roman" w:hAnsi="Times New Roman" w:eastAsia="宋体" w:cs="Times New Roman"/>
                <w:color w:val="auto"/>
                <w:sz w:val="24"/>
                <w:szCs w:val="24"/>
                <w:lang w:eastAsia="zh-CN"/>
              </w:rPr>
              <w:t>m</w:t>
            </w:r>
            <w:r>
              <w:rPr>
                <w:rFonts w:hint="eastAsia" w:ascii="Times New Roman" w:hAnsi="Times New Roman" w:cs="Times New Roman"/>
                <w:color w:val="auto"/>
                <w:sz w:val="24"/>
                <w:szCs w:val="24"/>
                <w:vertAlign w:val="superscript"/>
                <w:lang w:val="en-US" w:eastAsia="zh-CN"/>
              </w:rPr>
              <w:t>3</w:t>
            </w:r>
            <w:r>
              <w:rPr>
                <w:rFonts w:hint="eastAsia" w:ascii="Times New Roman" w:hAnsi="Times New Roman" w:cs="Times New Roman"/>
                <w:color w:val="auto"/>
                <w:sz w:val="24"/>
                <w:szCs w:val="24"/>
                <w:lang w:val="en-US" w:eastAsia="zh-CN"/>
              </w:rPr>
              <w:t>，排气筒高度不低于15m，且应高出周围200m半径范围的建筑5m以上。同时企业承诺氯化氢排放浓度不高于10mg/m</w:t>
            </w:r>
            <w:r>
              <w:rPr>
                <w:rFonts w:hint="eastAsia" w:ascii="Times New Roman" w:hAnsi="Times New Roman" w:cs="Times New Roman"/>
                <w:color w:val="auto"/>
                <w:sz w:val="24"/>
                <w:szCs w:val="24"/>
                <w:vertAlign w:val="superscript"/>
                <w:lang w:val="en-US" w:eastAsia="zh-CN"/>
              </w:rPr>
              <w:t>3</w:t>
            </w:r>
            <w:r>
              <w:rPr>
                <w:rFonts w:hint="eastAsia" w:ascii="Times New Roman" w:hAnsi="Times New Roman" w:cs="Times New Roman"/>
                <w:color w:val="auto"/>
                <w:sz w:val="24"/>
                <w:szCs w:val="24"/>
                <w:lang w:val="en-US" w:eastAsia="zh-CN"/>
              </w:rPr>
              <w:t>，氟化物排放浓度不高于3mg/m</w:t>
            </w:r>
            <w:r>
              <w:rPr>
                <w:rFonts w:hint="eastAsia" w:ascii="Times New Roman" w:hAnsi="Times New Roman" w:cs="Times New Roman"/>
                <w:color w:val="auto"/>
                <w:sz w:val="24"/>
                <w:szCs w:val="24"/>
                <w:vertAlign w:val="superscript"/>
                <w:lang w:val="en-US" w:eastAsia="zh-CN"/>
              </w:rPr>
              <w:t>3</w:t>
            </w:r>
            <w:r>
              <w:rPr>
                <w:rFonts w:hint="eastAsia" w:ascii="Times New Roman" w:hAnsi="Times New Roman" w:cs="Times New Roman"/>
                <w:color w:val="auto"/>
                <w:sz w:val="24"/>
                <w:szCs w:val="24"/>
                <w:lang w:val="en-US" w:eastAsia="zh-CN"/>
              </w:rPr>
              <w:t>，非甲烷总烃排放浓度不高于50mg/m</w:t>
            </w:r>
            <w:r>
              <w:rPr>
                <w:rFonts w:hint="eastAsia" w:ascii="Times New Roman" w:hAnsi="Times New Roman" w:cs="Times New Roman"/>
                <w:color w:val="auto"/>
                <w:sz w:val="24"/>
                <w:szCs w:val="24"/>
                <w:vertAlign w:val="superscript"/>
                <w:lang w:val="en-US" w:eastAsia="zh-CN"/>
              </w:rPr>
              <w:t>3</w:t>
            </w:r>
            <w:r>
              <w:rPr>
                <w:rFonts w:hint="eastAsia" w:ascii="Times New Roman" w:hAnsi="Times New Roman" w:cs="Times New Roman"/>
                <w:color w:val="auto"/>
                <w:sz w:val="24"/>
                <w:szCs w:val="24"/>
                <w:lang w:val="en-US" w:eastAsia="zh-CN"/>
              </w:rPr>
              <w:t>。待</w:t>
            </w:r>
            <w:r>
              <w:rPr>
                <w:rFonts w:hint="eastAsia"/>
                <w:color w:val="auto"/>
                <w:lang w:val="en-US" w:eastAsia="zh-CN"/>
              </w:rPr>
              <w:t>《电子工业污染物排放标准》发布正式标准后，可参照执行。</w:t>
            </w:r>
          </w:p>
          <w:p>
            <w:pPr>
              <w:bidi w:val="0"/>
              <w:rPr>
                <w:rFonts w:hint="default"/>
                <w:color w:val="auto"/>
                <w:lang w:val="en-US" w:eastAsia="zh-CN"/>
              </w:rPr>
            </w:pPr>
          </w:p>
          <w:p>
            <w:pPr>
              <w:bidi w:val="0"/>
              <w:rPr>
                <w:rFonts w:hint="default"/>
                <w:color w:val="auto"/>
                <w:lang w:val="en-US" w:eastAsia="zh-CN"/>
              </w:rPr>
            </w:pPr>
          </w:p>
          <w:p>
            <w:pPr>
              <w:bidi w:val="0"/>
              <w:rPr>
                <w:rFonts w:hint="default"/>
                <w:color w:val="auto"/>
                <w:lang w:val="en-US" w:eastAsia="zh-CN"/>
              </w:rPr>
            </w:pPr>
          </w:p>
          <w:p>
            <w:pPr>
              <w:bidi w:val="0"/>
              <w:rPr>
                <w:rFonts w:hint="default"/>
                <w:color w:val="auto"/>
                <w:lang w:val="en-US" w:eastAsia="zh-CN"/>
              </w:rPr>
            </w:pPr>
          </w:p>
          <w:p>
            <w:pPr>
              <w:bidi w:val="0"/>
              <w:rPr>
                <w:rFonts w:hint="default"/>
                <w:color w:val="auto"/>
                <w:lang w:val="en-US" w:eastAsia="zh-CN"/>
              </w:rPr>
            </w:pPr>
          </w:p>
          <w:p>
            <w:pPr>
              <w:bidi w:val="0"/>
              <w:rPr>
                <w:rFonts w:hint="default"/>
                <w:color w:val="auto"/>
                <w:lang w:val="en-US" w:eastAsia="zh-CN"/>
              </w:rPr>
            </w:pPr>
          </w:p>
          <w:p>
            <w:pPr>
              <w:bidi w:val="0"/>
              <w:rPr>
                <w:rFonts w:hint="default"/>
                <w:color w:val="auto"/>
                <w:lang w:val="en-US" w:eastAsia="zh-CN"/>
              </w:rPr>
            </w:pPr>
          </w:p>
          <w:p>
            <w:pPr>
              <w:bidi w:val="0"/>
              <w:rPr>
                <w:rFonts w:hint="default"/>
                <w:color w:val="auto"/>
                <w:lang w:val="en-US" w:eastAsia="zh-CN"/>
              </w:rPr>
            </w:pPr>
          </w:p>
          <w:p>
            <w:pPr>
              <w:bidi w:val="0"/>
              <w:rPr>
                <w:rFonts w:hint="default"/>
                <w:color w:val="auto"/>
                <w:lang w:val="en-US" w:eastAsia="zh-CN"/>
              </w:rPr>
            </w:pPr>
          </w:p>
          <w:p>
            <w:pPr>
              <w:bidi w:val="0"/>
              <w:rPr>
                <w:rFonts w:hint="default"/>
                <w:color w:val="auto"/>
                <w:lang w:val="en-US" w:eastAsia="zh-CN"/>
              </w:rPr>
            </w:pPr>
          </w:p>
          <w:p>
            <w:pPr>
              <w:bidi w:val="0"/>
              <w:rPr>
                <w:rFonts w:hint="default"/>
                <w:color w:val="auto"/>
                <w:lang w:val="en-US" w:eastAsia="zh-CN"/>
              </w:rPr>
            </w:pPr>
          </w:p>
          <w:p>
            <w:pPr>
              <w:bidi w:val="0"/>
              <w:rPr>
                <w:rFonts w:hint="default"/>
                <w:color w:val="auto"/>
                <w:lang w:val="en-US" w:eastAsia="zh-CN"/>
              </w:rPr>
            </w:pPr>
          </w:p>
          <w:p>
            <w:pPr>
              <w:bidi w:val="0"/>
              <w:rPr>
                <w:rFonts w:hint="default"/>
                <w:color w:val="auto"/>
                <w:lang w:val="en-US" w:eastAsia="zh-CN"/>
              </w:rPr>
            </w:pPr>
          </w:p>
          <w:p>
            <w:pPr>
              <w:bidi w:val="0"/>
              <w:rPr>
                <w:rFonts w:hint="default"/>
                <w:color w:val="auto"/>
                <w:lang w:val="en-US" w:eastAsia="zh-CN"/>
              </w:rPr>
            </w:pPr>
          </w:p>
          <w:p>
            <w:pPr>
              <w:bidi w:val="0"/>
              <w:rPr>
                <w:rFonts w:hint="default"/>
                <w:color w:val="auto"/>
                <w:lang w:val="en-US" w:eastAsia="zh-CN"/>
              </w:rPr>
            </w:pPr>
          </w:p>
          <w:p>
            <w:pPr>
              <w:bidi w:val="0"/>
              <w:rPr>
                <w:rFonts w:hint="default"/>
                <w:color w:val="auto"/>
                <w:lang w:val="en-US" w:eastAsia="zh-CN"/>
              </w:rPr>
            </w:pPr>
          </w:p>
          <w:p>
            <w:pPr>
              <w:bidi w:val="0"/>
              <w:rPr>
                <w:rFonts w:hint="default"/>
                <w:color w:val="auto"/>
                <w:lang w:val="en-US" w:eastAsia="zh-CN"/>
              </w:rPr>
            </w:pPr>
          </w:p>
        </w:tc>
      </w:tr>
    </w:tbl>
    <w:p>
      <w:pPr>
        <w:rPr>
          <w:rFonts w:hint="eastAsia" w:ascii="黑体" w:hAnsi="黑体" w:eastAsia="黑体" w:cs="Times New Roman"/>
          <w:snapToGrid w:val="0"/>
          <w:color w:val="auto"/>
          <w:sz w:val="30"/>
          <w:szCs w:val="30"/>
          <w:highlight w:val="none"/>
        </w:rPr>
        <w:sectPr>
          <w:pgSz w:w="11906" w:h="16838"/>
          <w:pgMar w:top="1440" w:right="1247" w:bottom="1440" w:left="1417"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pStyle w:val="21"/>
        <w:keepNext w:val="0"/>
        <w:keepLines w:val="0"/>
        <w:pageBreakBefore w:val="0"/>
        <w:widowControl/>
        <w:kinsoku/>
        <w:wordWrap/>
        <w:overflowPunct/>
        <w:topLinePunct w:val="0"/>
        <w:autoSpaceDE/>
        <w:autoSpaceDN/>
        <w:bidi w:val="0"/>
        <w:adjustRightInd/>
        <w:snapToGrid/>
        <w:ind w:firstLine="0" w:firstLineChars="0"/>
        <w:jc w:val="center"/>
        <w:textAlignment w:val="auto"/>
        <w:outlineLvl w:val="0"/>
        <w:rPr>
          <w:rFonts w:hint="eastAsia" w:ascii="黑体" w:hAnsi="黑体" w:eastAsia="黑体" w:cs="Times New Roman"/>
          <w:snapToGrid w:val="0"/>
          <w:color w:val="auto"/>
          <w:sz w:val="30"/>
          <w:szCs w:val="30"/>
          <w:highlight w:val="none"/>
        </w:rPr>
      </w:pPr>
      <w:bookmarkStart w:id="4" w:name="_Toc31686"/>
      <w:r>
        <w:rPr>
          <w:rFonts w:hint="eastAsia" w:ascii="黑体" w:hAnsi="黑体" w:eastAsia="黑体" w:cs="Times New Roman"/>
          <w:snapToGrid w:val="0"/>
          <w:color w:val="auto"/>
          <w:sz w:val="30"/>
          <w:szCs w:val="30"/>
          <w:highlight w:val="none"/>
        </w:rPr>
        <w:t>三、区域环境质量现状、环境保护目标及评价标准</w:t>
      </w:r>
      <w:bookmarkEnd w:id="4"/>
    </w:p>
    <w:tbl>
      <w:tblPr>
        <w:tblStyle w:val="24"/>
        <w:tblW w:w="935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54"/>
        <w:gridCol w:w="850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64" w:hRule="atLeast"/>
          <w:jc w:val="center"/>
        </w:trPr>
        <w:tc>
          <w:tcPr>
            <w:tcW w:w="854" w:type="dxa"/>
            <w:noWrap w:val="0"/>
            <w:vAlign w:val="center"/>
          </w:tcPr>
          <w:p>
            <w:pPr>
              <w:pStyle w:val="32"/>
              <w:bidi w:val="0"/>
              <w:rPr>
                <w:rFonts w:hint="eastAsia"/>
                <w:color w:val="auto"/>
                <w:sz w:val="24"/>
                <w:szCs w:val="24"/>
                <w:highlight w:val="none"/>
              </w:rPr>
            </w:pPr>
            <w:r>
              <w:rPr>
                <w:rFonts w:hint="eastAsia"/>
                <w:color w:val="auto"/>
                <w:sz w:val="24"/>
                <w:szCs w:val="24"/>
                <w:highlight w:val="none"/>
              </w:rPr>
              <w:t>区域</w:t>
            </w:r>
          </w:p>
          <w:p>
            <w:pPr>
              <w:pStyle w:val="32"/>
              <w:bidi w:val="0"/>
              <w:rPr>
                <w:rFonts w:hint="eastAsia"/>
                <w:color w:val="auto"/>
                <w:sz w:val="24"/>
                <w:szCs w:val="24"/>
                <w:highlight w:val="none"/>
              </w:rPr>
            </w:pPr>
            <w:r>
              <w:rPr>
                <w:rFonts w:hint="eastAsia"/>
                <w:color w:val="auto"/>
                <w:sz w:val="24"/>
                <w:szCs w:val="24"/>
                <w:highlight w:val="none"/>
              </w:rPr>
              <w:t>环境</w:t>
            </w:r>
          </w:p>
          <w:p>
            <w:pPr>
              <w:pStyle w:val="32"/>
              <w:bidi w:val="0"/>
              <w:rPr>
                <w:rFonts w:hint="eastAsia"/>
                <w:color w:val="auto"/>
                <w:sz w:val="24"/>
                <w:szCs w:val="24"/>
                <w:highlight w:val="none"/>
              </w:rPr>
            </w:pPr>
            <w:r>
              <w:rPr>
                <w:rFonts w:hint="eastAsia"/>
                <w:color w:val="auto"/>
                <w:sz w:val="24"/>
                <w:szCs w:val="24"/>
                <w:highlight w:val="none"/>
              </w:rPr>
              <w:t>质量</w:t>
            </w:r>
          </w:p>
          <w:p>
            <w:pPr>
              <w:pStyle w:val="32"/>
              <w:bidi w:val="0"/>
              <w:rPr>
                <w:color w:val="auto"/>
                <w:sz w:val="24"/>
                <w:szCs w:val="24"/>
                <w:highlight w:val="none"/>
              </w:rPr>
            </w:pPr>
            <w:r>
              <w:rPr>
                <w:rFonts w:hint="eastAsia"/>
                <w:color w:val="auto"/>
                <w:sz w:val="24"/>
                <w:szCs w:val="24"/>
                <w:highlight w:val="none"/>
              </w:rPr>
              <w:t>现状</w:t>
            </w:r>
          </w:p>
        </w:tc>
        <w:tc>
          <w:tcPr>
            <w:tcW w:w="8500"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default"/>
                <w:b/>
                <w:bCs/>
                <w:color w:val="auto"/>
                <w:highlight w:val="none"/>
              </w:rPr>
            </w:pPr>
            <w:r>
              <w:rPr>
                <w:rFonts w:hint="default"/>
                <w:b/>
                <w:bCs/>
                <w:color w:val="auto"/>
                <w:highlight w:val="none"/>
              </w:rPr>
              <w:t>1</w:t>
            </w:r>
            <w:r>
              <w:rPr>
                <w:rFonts w:hint="eastAsia"/>
                <w:b/>
                <w:bCs/>
                <w:color w:val="auto"/>
                <w:highlight w:val="none"/>
                <w:lang w:eastAsia="zh-CN"/>
              </w:rPr>
              <w:t>、</w:t>
            </w:r>
            <w:r>
              <w:rPr>
                <w:rFonts w:hint="default"/>
                <w:b/>
                <w:bCs/>
                <w:color w:val="auto"/>
                <w:highlight w:val="none"/>
              </w:rPr>
              <w:t>环境空气</w:t>
            </w:r>
          </w:p>
          <w:p>
            <w:pPr>
              <w:bidi w:val="0"/>
              <w:rPr>
                <w:rFonts w:hint="default"/>
                <w:color w:val="auto"/>
                <w:highlight w:val="none"/>
              </w:rPr>
            </w:pPr>
            <w:r>
              <w:rPr>
                <w:rFonts w:hint="eastAsia"/>
                <w:color w:val="auto"/>
                <w:highlight w:val="none"/>
              </w:rPr>
              <w:t>（1）</w:t>
            </w:r>
            <w:r>
              <w:rPr>
                <w:rFonts w:hint="default"/>
                <w:color w:val="auto"/>
                <w:highlight w:val="none"/>
              </w:rPr>
              <w:t>项目所在区域环境质量达标情况</w:t>
            </w:r>
          </w:p>
          <w:p>
            <w:pPr>
              <w:bidi w:val="0"/>
              <w:rPr>
                <w:rFonts w:hint="default"/>
                <w:color w:val="auto"/>
                <w:highlight w:val="none"/>
              </w:rPr>
            </w:pPr>
            <w:r>
              <w:rPr>
                <w:rFonts w:hint="default"/>
                <w:color w:val="auto"/>
                <w:highlight w:val="none"/>
              </w:rPr>
              <w:t>项目所在区域环境空气质量现状数据采用唐山市生态环境局公开发布的</w:t>
            </w:r>
            <w:r>
              <w:rPr>
                <w:rFonts w:hint="default"/>
                <w:color w:val="auto"/>
                <w:highlight w:val="none"/>
                <w:lang w:val="zh-CN"/>
              </w:rPr>
              <w:t>《20</w:t>
            </w:r>
            <w:r>
              <w:rPr>
                <w:rFonts w:hint="eastAsia"/>
                <w:color w:val="auto"/>
                <w:highlight w:val="none"/>
                <w:lang w:val="en-US" w:eastAsia="zh-CN"/>
              </w:rPr>
              <w:t>22</w:t>
            </w:r>
            <w:r>
              <w:rPr>
                <w:rFonts w:hint="default"/>
                <w:color w:val="auto"/>
                <w:highlight w:val="none"/>
                <w:lang w:val="zh-CN"/>
              </w:rPr>
              <w:t>年唐山市</w:t>
            </w:r>
            <w:r>
              <w:rPr>
                <w:rFonts w:hint="eastAsia"/>
                <w:color w:val="auto"/>
                <w:highlight w:val="none"/>
                <w:lang w:val="en-US" w:eastAsia="zh-CN"/>
              </w:rPr>
              <w:t>生态</w:t>
            </w:r>
            <w:r>
              <w:rPr>
                <w:rFonts w:hint="default"/>
                <w:color w:val="auto"/>
                <w:highlight w:val="none"/>
                <w:lang w:val="zh-CN"/>
              </w:rPr>
              <w:t>环境状况公报》中唐山市空气质量数据，</w:t>
            </w:r>
            <w:r>
              <w:rPr>
                <w:rFonts w:hint="default"/>
                <w:color w:val="auto"/>
                <w:highlight w:val="none"/>
              </w:rPr>
              <w:t>具体情况见下表。</w:t>
            </w:r>
          </w:p>
          <w:p>
            <w:pPr>
              <w:pStyle w:val="31"/>
              <w:bidi w:val="0"/>
              <w:rPr>
                <w:rFonts w:hint="default"/>
                <w:color w:val="auto"/>
                <w:highlight w:val="none"/>
              </w:rPr>
            </w:pPr>
            <w:r>
              <w:rPr>
                <w:rFonts w:hint="default"/>
                <w:color w:val="auto"/>
                <w:sz w:val="21"/>
                <w:szCs w:val="21"/>
                <w:highlight w:val="none"/>
              </w:rPr>
              <w:t>表</w:t>
            </w:r>
            <w:r>
              <w:rPr>
                <w:rFonts w:hint="eastAsia"/>
                <w:color w:val="auto"/>
                <w:sz w:val="21"/>
                <w:szCs w:val="21"/>
                <w:highlight w:val="none"/>
                <w:lang w:val="en-US" w:eastAsia="zh-CN"/>
              </w:rPr>
              <w:t xml:space="preserve">22  </w:t>
            </w:r>
            <w:r>
              <w:rPr>
                <w:rFonts w:hint="default"/>
                <w:color w:val="auto"/>
                <w:sz w:val="21"/>
                <w:szCs w:val="21"/>
                <w:highlight w:val="none"/>
              </w:rPr>
              <w:t>20</w:t>
            </w:r>
            <w:r>
              <w:rPr>
                <w:rFonts w:hint="eastAsia"/>
                <w:color w:val="auto"/>
                <w:sz w:val="21"/>
                <w:szCs w:val="21"/>
                <w:highlight w:val="none"/>
                <w:lang w:val="en-US" w:eastAsia="zh-CN"/>
              </w:rPr>
              <w:t>22</w:t>
            </w:r>
            <w:r>
              <w:rPr>
                <w:rFonts w:hint="default"/>
                <w:color w:val="auto"/>
                <w:sz w:val="21"/>
                <w:szCs w:val="21"/>
                <w:highlight w:val="none"/>
              </w:rPr>
              <w:t>年区域环境质量现状评价表</w:t>
            </w:r>
          </w:p>
          <w:tbl>
            <w:tblPr>
              <w:tblStyle w:val="24"/>
              <w:tblW w:w="827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823"/>
              <w:gridCol w:w="1860"/>
              <w:gridCol w:w="1668"/>
              <w:gridCol w:w="1539"/>
              <w:gridCol w:w="1230"/>
              <w:gridCol w:w="115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802"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default"/>
                      <w:color w:val="auto"/>
                      <w:sz w:val="21"/>
                      <w:szCs w:val="21"/>
                      <w:highlight w:val="none"/>
                    </w:rPr>
                    <w:t>污染物</w:t>
                  </w:r>
                </w:p>
              </w:tc>
              <w:tc>
                <w:tcPr>
                  <w:tcW w:w="1813"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default"/>
                      <w:color w:val="auto"/>
                      <w:sz w:val="21"/>
                      <w:szCs w:val="21"/>
                      <w:highlight w:val="none"/>
                    </w:rPr>
                    <w:t>年评价指标</w:t>
                  </w:r>
                </w:p>
              </w:tc>
              <w:tc>
                <w:tcPr>
                  <w:tcW w:w="1625"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default"/>
                      <w:color w:val="auto"/>
                      <w:sz w:val="21"/>
                      <w:szCs w:val="21"/>
                      <w:highlight w:val="none"/>
                    </w:rPr>
                    <w:t>现状浓度</w:t>
                  </w:r>
                  <w:r>
                    <w:rPr>
                      <w:rFonts w:hint="eastAsia"/>
                      <w:color w:val="auto"/>
                      <w:sz w:val="21"/>
                      <w:szCs w:val="21"/>
                      <w:highlight w:val="none"/>
                      <w:lang w:eastAsia="zh-CN"/>
                    </w:rPr>
                    <w:t>（</w:t>
                  </w:r>
                  <w:r>
                    <w:rPr>
                      <w:rFonts w:hint="default"/>
                      <w:color w:val="auto"/>
                      <w:sz w:val="21"/>
                      <w:szCs w:val="21"/>
                      <w:highlight w:val="none"/>
                    </w:rPr>
                    <w:t>μg/m</w:t>
                  </w:r>
                  <w:r>
                    <w:rPr>
                      <w:rFonts w:hint="default"/>
                      <w:color w:val="auto"/>
                      <w:sz w:val="21"/>
                      <w:szCs w:val="21"/>
                      <w:highlight w:val="none"/>
                      <w:vertAlign w:val="superscript"/>
                    </w:rPr>
                    <w:t>3</w:t>
                  </w:r>
                  <w:r>
                    <w:rPr>
                      <w:rFonts w:hint="eastAsia"/>
                      <w:color w:val="auto"/>
                      <w:sz w:val="21"/>
                      <w:szCs w:val="21"/>
                      <w:highlight w:val="none"/>
                      <w:lang w:eastAsia="zh-CN"/>
                    </w:rPr>
                    <w:t>）</w:t>
                  </w:r>
                </w:p>
              </w:tc>
              <w:tc>
                <w:tcPr>
                  <w:tcW w:w="1500"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default"/>
                      <w:color w:val="auto"/>
                      <w:sz w:val="21"/>
                      <w:szCs w:val="21"/>
                      <w:highlight w:val="none"/>
                    </w:rPr>
                    <w:t>标准值</w:t>
                  </w:r>
                  <w:r>
                    <w:rPr>
                      <w:rFonts w:hint="eastAsia"/>
                      <w:color w:val="auto"/>
                      <w:sz w:val="21"/>
                      <w:szCs w:val="21"/>
                      <w:highlight w:val="none"/>
                      <w:lang w:eastAsia="zh-CN"/>
                    </w:rPr>
                    <w:t>（</w:t>
                  </w:r>
                  <w:r>
                    <w:rPr>
                      <w:rFonts w:hint="default"/>
                      <w:color w:val="auto"/>
                      <w:sz w:val="21"/>
                      <w:szCs w:val="21"/>
                      <w:highlight w:val="none"/>
                    </w:rPr>
                    <w:t>μg/m</w:t>
                  </w:r>
                  <w:r>
                    <w:rPr>
                      <w:rFonts w:hint="default"/>
                      <w:color w:val="auto"/>
                      <w:sz w:val="21"/>
                      <w:szCs w:val="21"/>
                      <w:highlight w:val="none"/>
                      <w:vertAlign w:val="superscript"/>
                    </w:rPr>
                    <w:t>3</w:t>
                  </w:r>
                  <w:r>
                    <w:rPr>
                      <w:rFonts w:hint="eastAsia"/>
                      <w:color w:val="auto"/>
                      <w:sz w:val="21"/>
                      <w:szCs w:val="21"/>
                      <w:highlight w:val="none"/>
                      <w:lang w:eastAsia="zh-CN"/>
                    </w:rPr>
                    <w:t>）</w:t>
                  </w:r>
                </w:p>
              </w:tc>
              <w:tc>
                <w:tcPr>
                  <w:tcW w:w="1199"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default"/>
                      <w:color w:val="auto"/>
                      <w:sz w:val="21"/>
                      <w:szCs w:val="21"/>
                      <w:highlight w:val="none"/>
                    </w:rPr>
                    <w:t>占标率</w:t>
                  </w:r>
                  <w:r>
                    <w:rPr>
                      <w:rFonts w:hint="eastAsia"/>
                      <w:color w:val="auto"/>
                      <w:sz w:val="21"/>
                      <w:szCs w:val="21"/>
                      <w:highlight w:val="none"/>
                      <w:lang w:eastAsia="zh-CN"/>
                    </w:rPr>
                    <w:t>（</w:t>
                  </w:r>
                  <w:r>
                    <w:rPr>
                      <w:rFonts w:hint="default"/>
                      <w:color w:val="auto"/>
                      <w:sz w:val="21"/>
                      <w:szCs w:val="21"/>
                      <w:highlight w:val="none"/>
                    </w:rPr>
                    <w:t>%</w:t>
                  </w:r>
                  <w:r>
                    <w:rPr>
                      <w:rFonts w:hint="eastAsia"/>
                      <w:color w:val="auto"/>
                      <w:sz w:val="21"/>
                      <w:szCs w:val="21"/>
                      <w:highlight w:val="none"/>
                      <w:lang w:eastAsia="zh-CN"/>
                    </w:rPr>
                    <w:t>）</w:t>
                  </w:r>
                </w:p>
              </w:tc>
              <w:tc>
                <w:tcPr>
                  <w:tcW w:w="1127"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default"/>
                      <w:color w:val="auto"/>
                      <w:sz w:val="21"/>
                      <w:szCs w:val="21"/>
                      <w:highlight w:val="none"/>
                    </w:rPr>
                    <w:t>达标情况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96" w:hRule="atLeast"/>
                <w:jc w:val="center"/>
              </w:trPr>
              <w:tc>
                <w:tcPr>
                  <w:tcW w:w="802"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default"/>
                      <w:color w:val="auto"/>
                      <w:sz w:val="21"/>
                      <w:szCs w:val="21"/>
                      <w:highlight w:val="none"/>
                    </w:rPr>
                    <w:t>SO</w:t>
                  </w:r>
                  <w:r>
                    <w:rPr>
                      <w:rFonts w:hint="default"/>
                      <w:color w:val="auto"/>
                      <w:sz w:val="21"/>
                      <w:szCs w:val="21"/>
                      <w:highlight w:val="none"/>
                      <w:vertAlign w:val="subscript"/>
                    </w:rPr>
                    <w:t>2</w:t>
                  </w:r>
                </w:p>
              </w:tc>
              <w:tc>
                <w:tcPr>
                  <w:tcW w:w="1813"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default"/>
                      <w:color w:val="auto"/>
                      <w:sz w:val="21"/>
                      <w:szCs w:val="21"/>
                      <w:highlight w:val="none"/>
                    </w:rPr>
                    <w:t>年平均质量浓度</w:t>
                  </w:r>
                </w:p>
              </w:tc>
              <w:tc>
                <w:tcPr>
                  <w:tcW w:w="1625"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8</w:t>
                  </w:r>
                </w:p>
              </w:tc>
              <w:tc>
                <w:tcPr>
                  <w:tcW w:w="1500"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default"/>
                      <w:color w:val="auto"/>
                      <w:sz w:val="21"/>
                      <w:szCs w:val="21"/>
                      <w:highlight w:val="none"/>
                    </w:rPr>
                    <w:t>60</w:t>
                  </w:r>
                </w:p>
              </w:tc>
              <w:tc>
                <w:tcPr>
                  <w:tcW w:w="1199"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13.3</w:t>
                  </w:r>
                </w:p>
              </w:tc>
              <w:tc>
                <w:tcPr>
                  <w:tcW w:w="1127"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default"/>
                      <w:color w:val="auto"/>
                      <w:sz w:val="21"/>
                      <w:szCs w:val="21"/>
                      <w:highlight w:val="none"/>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69" w:hRule="atLeast"/>
                <w:jc w:val="center"/>
              </w:trPr>
              <w:tc>
                <w:tcPr>
                  <w:tcW w:w="802"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default"/>
                      <w:color w:val="auto"/>
                      <w:sz w:val="21"/>
                      <w:szCs w:val="21"/>
                      <w:highlight w:val="none"/>
                    </w:rPr>
                    <w:t>NO</w:t>
                  </w:r>
                  <w:r>
                    <w:rPr>
                      <w:rFonts w:hint="default"/>
                      <w:color w:val="auto"/>
                      <w:sz w:val="21"/>
                      <w:szCs w:val="21"/>
                      <w:highlight w:val="none"/>
                      <w:vertAlign w:val="subscript"/>
                    </w:rPr>
                    <w:t>2</w:t>
                  </w:r>
                </w:p>
              </w:tc>
              <w:tc>
                <w:tcPr>
                  <w:tcW w:w="1813"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default"/>
                      <w:color w:val="auto"/>
                      <w:sz w:val="21"/>
                      <w:szCs w:val="21"/>
                      <w:highlight w:val="none"/>
                    </w:rPr>
                    <w:t>年平均质量浓度</w:t>
                  </w:r>
                </w:p>
              </w:tc>
              <w:tc>
                <w:tcPr>
                  <w:tcW w:w="1625"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32</w:t>
                  </w:r>
                </w:p>
              </w:tc>
              <w:tc>
                <w:tcPr>
                  <w:tcW w:w="1500"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default"/>
                      <w:color w:val="auto"/>
                      <w:sz w:val="21"/>
                      <w:szCs w:val="21"/>
                      <w:highlight w:val="none"/>
                    </w:rPr>
                    <w:t>40</w:t>
                  </w:r>
                </w:p>
              </w:tc>
              <w:tc>
                <w:tcPr>
                  <w:tcW w:w="1199"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80</w:t>
                  </w:r>
                </w:p>
              </w:tc>
              <w:tc>
                <w:tcPr>
                  <w:tcW w:w="1127"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default"/>
                      <w:color w:val="auto"/>
                      <w:sz w:val="21"/>
                      <w:szCs w:val="21"/>
                      <w:highlight w:val="none"/>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63" w:hRule="atLeast"/>
                <w:jc w:val="center"/>
              </w:trPr>
              <w:tc>
                <w:tcPr>
                  <w:tcW w:w="802"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default"/>
                      <w:color w:val="auto"/>
                      <w:sz w:val="21"/>
                      <w:szCs w:val="21"/>
                      <w:highlight w:val="none"/>
                    </w:rPr>
                    <w:t>PM</w:t>
                  </w:r>
                  <w:r>
                    <w:rPr>
                      <w:rFonts w:hint="default"/>
                      <w:color w:val="auto"/>
                      <w:sz w:val="21"/>
                      <w:szCs w:val="21"/>
                      <w:highlight w:val="none"/>
                      <w:vertAlign w:val="subscript"/>
                    </w:rPr>
                    <w:t>10</w:t>
                  </w:r>
                </w:p>
              </w:tc>
              <w:tc>
                <w:tcPr>
                  <w:tcW w:w="1813"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default"/>
                      <w:color w:val="auto"/>
                      <w:sz w:val="21"/>
                      <w:szCs w:val="21"/>
                      <w:highlight w:val="none"/>
                    </w:rPr>
                    <w:t>年平均质量浓度</w:t>
                  </w:r>
                </w:p>
              </w:tc>
              <w:tc>
                <w:tcPr>
                  <w:tcW w:w="1625"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67</w:t>
                  </w:r>
                </w:p>
              </w:tc>
              <w:tc>
                <w:tcPr>
                  <w:tcW w:w="1500"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default"/>
                      <w:color w:val="auto"/>
                      <w:sz w:val="21"/>
                      <w:szCs w:val="21"/>
                      <w:highlight w:val="none"/>
                    </w:rPr>
                    <w:t>70</w:t>
                  </w:r>
                </w:p>
              </w:tc>
              <w:tc>
                <w:tcPr>
                  <w:tcW w:w="1199"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95.7</w:t>
                  </w:r>
                </w:p>
              </w:tc>
              <w:tc>
                <w:tcPr>
                  <w:tcW w:w="1127"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default"/>
                      <w:color w:val="auto"/>
                      <w:sz w:val="21"/>
                      <w:szCs w:val="21"/>
                      <w:highlight w:val="none"/>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7" w:hRule="atLeast"/>
                <w:jc w:val="center"/>
              </w:trPr>
              <w:tc>
                <w:tcPr>
                  <w:tcW w:w="802"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default"/>
                      <w:color w:val="auto"/>
                      <w:sz w:val="21"/>
                      <w:szCs w:val="21"/>
                      <w:highlight w:val="none"/>
                    </w:rPr>
                    <w:t>PM</w:t>
                  </w:r>
                  <w:r>
                    <w:rPr>
                      <w:rFonts w:hint="default"/>
                      <w:color w:val="auto"/>
                      <w:sz w:val="21"/>
                      <w:szCs w:val="21"/>
                      <w:highlight w:val="none"/>
                      <w:vertAlign w:val="subscript"/>
                    </w:rPr>
                    <w:t>2.5</w:t>
                  </w:r>
                </w:p>
              </w:tc>
              <w:tc>
                <w:tcPr>
                  <w:tcW w:w="1813"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default"/>
                      <w:color w:val="auto"/>
                      <w:sz w:val="21"/>
                      <w:szCs w:val="21"/>
                      <w:highlight w:val="none"/>
                    </w:rPr>
                    <w:t>年平均质量浓度</w:t>
                  </w:r>
                </w:p>
              </w:tc>
              <w:tc>
                <w:tcPr>
                  <w:tcW w:w="1625"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37</w:t>
                  </w:r>
                </w:p>
              </w:tc>
              <w:tc>
                <w:tcPr>
                  <w:tcW w:w="1500"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default"/>
                      <w:color w:val="auto"/>
                      <w:sz w:val="21"/>
                      <w:szCs w:val="21"/>
                      <w:highlight w:val="none"/>
                    </w:rPr>
                    <w:t>35</w:t>
                  </w:r>
                </w:p>
              </w:tc>
              <w:tc>
                <w:tcPr>
                  <w:tcW w:w="1199"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105.7</w:t>
                  </w:r>
                </w:p>
              </w:tc>
              <w:tc>
                <w:tcPr>
                  <w:tcW w:w="1127"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default"/>
                      <w:color w:val="auto"/>
                      <w:sz w:val="21"/>
                      <w:szCs w:val="21"/>
                      <w:highlight w:val="none"/>
                    </w:rPr>
                    <w:t>超标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89" w:hRule="atLeast"/>
                <w:jc w:val="center"/>
              </w:trPr>
              <w:tc>
                <w:tcPr>
                  <w:tcW w:w="802"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default"/>
                      <w:color w:val="auto"/>
                      <w:sz w:val="21"/>
                      <w:szCs w:val="21"/>
                      <w:highlight w:val="none"/>
                    </w:rPr>
                    <w:t>CO</w:t>
                  </w:r>
                </w:p>
              </w:tc>
              <w:tc>
                <w:tcPr>
                  <w:tcW w:w="1813"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日均值第95百分位浓度</w:t>
                  </w:r>
                </w:p>
              </w:tc>
              <w:tc>
                <w:tcPr>
                  <w:tcW w:w="1625"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1500</w:t>
                  </w:r>
                </w:p>
              </w:tc>
              <w:tc>
                <w:tcPr>
                  <w:tcW w:w="1500"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default"/>
                      <w:color w:val="auto"/>
                      <w:sz w:val="21"/>
                      <w:szCs w:val="21"/>
                      <w:highlight w:val="none"/>
                    </w:rPr>
                    <w:t>4000</w:t>
                  </w:r>
                </w:p>
              </w:tc>
              <w:tc>
                <w:tcPr>
                  <w:tcW w:w="1199"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37.5</w:t>
                  </w:r>
                </w:p>
              </w:tc>
              <w:tc>
                <w:tcPr>
                  <w:tcW w:w="1127"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default"/>
                      <w:color w:val="auto"/>
                      <w:sz w:val="21"/>
                      <w:szCs w:val="21"/>
                      <w:highlight w:val="none"/>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69" w:hRule="atLeast"/>
                <w:jc w:val="center"/>
              </w:trPr>
              <w:tc>
                <w:tcPr>
                  <w:tcW w:w="802"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default"/>
                      <w:color w:val="auto"/>
                      <w:sz w:val="21"/>
                      <w:szCs w:val="21"/>
                      <w:highlight w:val="none"/>
                    </w:rPr>
                    <w:t>O</w:t>
                  </w:r>
                  <w:r>
                    <w:rPr>
                      <w:rFonts w:hint="default"/>
                      <w:color w:val="auto"/>
                      <w:sz w:val="21"/>
                      <w:szCs w:val="21"/>
                      <w:highlight w:val="none"/>
                      <w:vertAlign w:val="subscript"/>
                    </w:rPr>
                    <w:t>3</w:t>
                  </w:r>
                </w:p>
              </w:tc>
              <w:tc>
                <w:tcPr>
                  <w:tcW w:w="1813"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日最大8h平均第90百分位浓度</w:t>
                  </w:r>
                </w:p>
              </w:tc>
              <w:tc>
                <w:tcPr>
                  <w:tcW w:w="1625"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182</w:t>
                  </w:r>
                </w:p>
              </w:tc>
              <w:tc>
                <w:tcPr>
                  <w:tcW w:w="1500"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default"/>
                      <w:color w:val="auto"/>
                      <w:sz w:val="21"/>
                      <w:szCs w:val="21"/>
                      <w:highlight w:val="none"/>
                    </w:rPr>
                    <w:t>160</w:t>
                  </w:r>
                </w:p>
              </w:tc>
              <w:tc>
                <w:tcPr>
                  <w:tcW w:w="1199"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113.8</w:t>
                  </w:r>
                </w:p>
              </w:tc>
              <w:tc>
                <w:tcPr>
                  <w:tcW w:w="1127"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default"/>
                      <w:color w:val="auto"/>
                      <w:sz w:val="21"/>
                      <w:szCs w:val="21"/>
                      <w:highlight w:val="none"/>
                    </w:rPr>
                    <w:t>超标</w:t>
                  </w:r>
                </w:p>
              </w:tc>
            </w:tr>
          </w:tbl>
          <w:p>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outlineLvl w:val="9"/>
              <w:rPr>
                <w:rFonts w:hint="default" w:ascii="Times New Roman" w:hAnsi="Times New Roman" w:eastAsia="宋体" w:cs="Times New Roman"/>
                <w:color w:val="auto"/>
                <w:kern w:val="2"/>
                <w:sz w:val="24"/>
                <w:szCs w:val="21"/>
                <w:highlight w:val="none"/>
                <w:shd w:val="clear" w:color="auto" w:fill="auto"/>
                <w:lang w:val="en-US" w:eastAsia="zh-CN" w:bidi="ar"/>
              </w:rPr>
            </w:pPr>
            <w:r>
              <w:rPr>
                <w:rFonts w:hint="default" w:ascii="Times New Roman" w:hAnsi="Times New Roman" w:eastAsia="宋体" w:cs="Times New Roman"/>
                <w:color w:val="auto"/>
                <w:kern w:val="2"/>
                <w:sz w:val="24"/>
                <w:szCs w:val="21"/>
                <w:highlight w:val="none"/>
                <w:shd w:val="clear" w:color="auto" w:fill="auto"/>
                <w:lang w:val="en-US" w:eastAsia="zh-CN" w:bidi="ar"/>
              </w:rPr>
              <w:t>由上表可知，SO</w:t>
            </w:r>
            <w:r>
              <w:rPr>
                <w:rFonts w:hint="default" w:ascii="Times New Roman" w:hAnsi="Times New Roman" w:eastAsia="宋体" w:cs="Times New Roman"/>
                <w:color w:val="auto"/>
                <w:kern w:val="2"/>
                <w:sz w:val="24"/>
                <w:szCs w:val="21"/>
                <w:highlight w:val="none"/>
                <w:shd w:val="clear" w:color="auto" w:fill="auto"/>
                <w:vertAlign w:val="subscript"/>
                <w:lang w:val="en-US" w:eastAsia="zh-CN" w:bidi="ar"/>
              </w:rPr>
              <w:t>2</w:t>
            </w:r>
            <w:r>
              <w:rPr>
                <w:rFonts w:hint="eastAsia" w:ascii="Times New Roman" w:hAnsi="Times New Roman" w:eastAsia="宋体" w:cs="Times New Roman"/>
                <w:color w:val="auto"/>
                <w:kern w:val="2"/>
                <w:sz w:val="24"/>
                <w:szCs w:val="21"/>
                <w:highlight w:val="none"/>
                <w:shd w:val="clear" w:color="auto" w:fill="auto"/>
                <w:vertAlign w:val="baseline"/>
                <w:lang w:val="en-US" w:eastAsia="zh-CN" w:bidi="ar"/>
              </w:rPr>
              <w:t>、</w:t>
            </w:r>
            <w:r>
              <w:rPr>
                <w:rFonts w:hint="default"/>
                <w:color w:val="auto"/>
                <w:sz w:val="24"/>
                <w:szCs w:val="24"/>
                <w:highlight w:val="none"/>
              </w:rPr>
              <w:t>NO</w:t>
            </w:r>
            <w:r>
              <w:rPr>
                <w:rFonts w:hint="default"/>
                <w:color w:val="auto"/>
                <w:sz w:val="24"/>
                <w:szCs w:val="24"/>
                <w:highlight w:val="none"/>
                <w:vertAlign w:val="subscript"/>
              </w:rPr>
              <w:t>2</w:t>
            </w:r>
            <w:r>
              <w:rPr>
                <w:rFonts w:hint="eastAsia"/>
                <w:color w:val="auto"/>
                <w:sz w:val="24"/>
                <w:szCs w:val="24"/>
                <w:highlight w:val="none"/>
                <w:vertAlign w:val="baseline"/>
                <w:lang w:eastAsia="zh-CN"/>
              </w:rPr>
              <w:t>、</w:t>
            </w:r>
            <w:r>
              <w:rPr>
                <w:rFonts w:hint="default" w:ascii="Times New Roman" w:hAnsi="Times New Roman" w:eastAsia="宋体" w:cs="Times New Roman"/>
                <w:color w:val="auto"/>
                <w:kern w:val="2"/>
                <w:sz w:val="24"/>
                <w:szCs w:val="21"/>
                <w:highlight w:val="none"/>
                <w:shd w:val="clear" w:color="auto" w:fill="auto"/>
                <w:lang w:val="en-US" w:eastAsia="zh-CN" w:bidi="ar"/>
              </w:rPr>
              <w:t>PM</w:t>
            </w:r>
            <w:r>
              <w:rPr>
                <w:rFonts w:hint="eastAsia" w:cs="Times New Roman"/>
                <w:color w:val="auto"/>
                <w:kern w:val="2"/>
                <w:sz w:val="24"/>
                <w:szCs w:val="21"/>
                <w:highlight w:val="none"/>
                <w:shd w:val="clear" w:color="auto" w:fill="auto"/>
                <w:vertAlign w:val="subscript"/>
                <w:lang w:val="en-US" w:eastAsia="zh-CN" w:bidi="ar"/>
              </w:rPr>
              <w:t>10</w:t>
            </w:r>
            <w:r>
              <w:rPr>
                <w:rFonts w:hint="default" w:ascii="Times New Roman" w:hAnsi="Times New Roman" w:eastAsia="宋体" w:cs="Times New Roman"/>
                <w:color w:val="auto"/>
                <w:kern w:val="2"/>
                <w:sz w:val="24"/>
                <w:szCs w:val="21"/>
                <w:highlight w:val="none"/>
                <w:shd w:val="clear" w:color="auto" w:fill="auto"/>
                <w:lang w:val="en-US" w:eastAsia="zh-CN" w:bidi="ar"/>
              </w:rPr>
              <w:t>的年平均质量浓度达标，CO</w:t>
            </w:r>
            <w:r>
              <w:rPr>
                <w:rFonts w:hint="eastAsia" w:ascii="Times New Roman" w:hAnsi="Times New Roman" w:eastAsia="宋体" w:cs="Times New Roman"/>
                <w:color w:val="auto"/>
                <w:kern w:val="2"/>
                <w:sz w:val="24"/>
                <w:szCs w:val="21"/>
                <w:highlight w:val="none"/>
                <w:shd w:val="clear" w:color="auto" w:fill="auto"/>
                <w:lang w:val="en-US" w:eastAsia="zh-CN" w:bidi="ar"/>
              </w:rPr>
              <w:t>的日均值第95百分位浓度</w:t>
            </w:r>
            <w:r>
              <w:rPr>
                <w:rFonts w:hint="default" w:ascii="Times New Roman" w:hAnsi="Times New Roman" w:eastAsia="宋体" w:cs="Times New Roman"/>
                <w:color w:val="auto"/>
                <w:kern w:val="2"/>
                <w:sz w:val="24"/>
                <w:szCs w:val="21"/>
                <w:highlight w:val="none"/>
                <w:shd w:val="clear" w:color="auto" w:fill="auto"/>
                <w:lang w:val="en-US" w:eastAsia="zh-CN" w:bidi="ar"/>
              </w:rPr>
              <w:t>达标，PM</w:t>
            </w:r>
            <w:r>
              <w:rPr>
                <w:rFonts w:hint="eastAsia" w:cs="Times New Roman"/>
                <w:color w:val="auto"/>
                <w:kern w:val="2"/>
                <w:sz w:val="24"/>
                <w:szCs w:val="21"/>
                <w:highlight w:val="none"/>
                <w:shd w:val="clear" w:color="auto" w:fill="auto"/>
                <w:vertAlign w:val="subscript"/>
                <w:lang w:val="en-US" w:eastAsia="zh-CN" w:bidi="ar"/>
              </w:rPr>
              <w:t>2.5</w:t>
            </w:r>
            <w:r>
              <w:rPr>
                <w:rFonts w:hint="default" w:ascii="Times New Roman" w:hAnsi="Times New Roman" w:eastAsia="宋体" w:cs="Times New Roman"/>
                <w:color w:val="auto"/>
                <w:kern w:val="2"/>
                <w:sz w:val="24"/>
                <w:szCs w:val="21"/>
                <w:highlight w:val="none"/>
                <w:shd w:val="clear" w:color="auto" w:fill="auto"/>
                <w:lang w:val="en-US" w:eastAsia="zh-CN" w:bidi="ar"/>
              </w:rPr>
              <w:t>的年平均质量浓度不达标，O</w:t>
            </w:r>
            <w:r>
              <w:rPr>
                <w:rFonts w:hint="default" w:ascii="Times New Roman" w:hAnsi="Times New Roman" w:eastAsia="宋体" w:cs="Times New Roman"/>
                <w:color w:val="auto"/>
                <w:kern w:val="2"/>
                <w:sz w:val="24"/>
                <w:szCs w:val="21"/>
                <w:highlight w:val="none"/>
                <w:shd w:val="clear" w:color="auto" w:fill="auto"/>
                <w:vertAlign w:val="subscript"/>
                <w:lang w:val="en-US" w:eastAsia="zh-CN" w:bidi="ar"/>
              </w:rPr>
              <w:t>3</w:t>
            </w:r>
            <w:r>
              <w:rPr>
                <w:rFonts w:hint="default" w:ascii="Times New Roman" w:hAnsi="Times New Roman" w:eastAsia="宋体" w:cs="Times New Roman"/>
                <w:color w:val="auto"/>
                <w:kern w:val="2"/>
                <w:sz w:val="24"/>
                <w:szCs w:val="21"/>
                <w:highlight w:val="none"/>
                <w:shd w:val="clear" w:color="auto" w:fill="auto"/>
                <w:lang w:val="en-US" w:eastAsia="zh-CN" w:bidi="ar"/>
              </w:rPr>
              <w:t>的日最大8h平均第90百分位浓度不达标，故项目所在区域环境空气质量不达标，属于不达标区。</w:t>
            </w:r>
          </w:p>
          <w:p>
            <w:pPr>
              <w:bidi w:val="0"/>
              <w:rPr>
                <w:rFonts w:hint="default"/>
                <w:color w:val="auto"/>
                <w:highlight w:val="none"/>
              </w:rPr>
            </w:pPr>
            <w:r>
              <w:rPr>
                <w:rFonts w:hint="default"/>
                <w:color w:val="auto"/>
                <w:highlight w:val="none"/>
              </w:rPr>
              <w:t>唐山市属于大气污染重点区域，监测数据客观的反映了唐山市环境空气质量的现状。分析超标原因为：随着唐山市工业的快速发展、能源消耗和机动车保有量的快速增长，排放的大量二氧化硫、氮氧化物与挥发性有机物导致细颗粒物等二次污染呈加剧态势。</w:t>
            </w:r>
            <w:r>
              <w:rPr>
                <w:rFonts w:ascii="Times New Roman" w:hAnsi="Times New Roman" w:eastAsia="宋体" w:cs="Times New Roman"/>
                <w:color w:val="auto"/>
                <w:sz w:val="24"/>
                <w:szCs w:val="24"/>
                <w:highlight w:val="none"/>
              </w:rPr>
              <w:t>根据</w:t>
            </w:r>
            <w:r>
              <w:rPr>
                <w:rFonts w:hint="eastAsia" w:cs="Times New Roman"/>
                <w:color w:val="auto"/>
                <w:sz w:val="24"/>
                <w:szCs w:val="24"/>
                <w:highlight w:val="none"/>
                <w:lang w:eastAsia="zh-CN"/>
              </w:rPr>
              <w:t>《京津冀及周边地区、汾渭平原2020—2021年秋冬季大气污染综合治理攻坚行动方案》、《唐山市2023年第一季度大气污染综合治理工作方案》</w:t>
            </w:r>
            <w:r>
              <w:rPr>
                <w:rFonts w:hint="default" w:ascii="Times New Roman" w:hAnsi="Times New Roman" w:eastAsia="宋体" w:cs="Times New Roman"/>
                <w:color w:val="auto"/>
                <w:sz w:val="24"/>
                <w:szCs w:val="24"/>
                <w:highlight w:val="none"/>
                <w:lang w:val="en-US" w:eastAsia="zh-CN"/>
              </w:rPr>
              <w:t>可知，按照</w:t>
            </w:r>
            <w:r>
              <w:rPr>
                <w:rFonts w:hint="eastAsia"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分级、分类、分区域、分气象</w:t>
            </w:r>
            <w:r>
              <w:rPr>
                <w:rFonts w:hint="eastAsia"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原则，实施精准治理、精细管控，做到问题、时间、区位、对象和措施</w:t>
            </w:r>
            <w:r>
              <w:rPr>
                <w:rFonts w:hint="eastAsia"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五个精准</w:t>
            </w:r>
            <w:r>
              <w:rPr>
                <w:rFonts w:hint="eastAsia"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，推动大气环境质量持续有效改善，项目所在区域空气质量将会逐步得到改善。</w:t>
            </w:r>
          </w:p>
          <w:p>
            <w:pPr>
              <w:bidi w:val="0"/>
              <w:rPr>
                <w:rFonts w:hint="default"/>
                <w:color w:val="auto"/>
                <w:highlight w:val="none"/>
              </w:rPr>
            </w:pPr>
            <w:r>
              <w:rPr>
                <w:rFonts w:hint="eastAsia"/>
                <w:color w:val="auto"/>
                <w:highlight w:val="none"/>
              </w:rPr>
              <w:t>（2）</w:t>
            </w:r>
            <w:r>
              <w:rPr>
                <w:rFonts w:hint="default"/>
                <w:color w:val="auto"/>
                <w:highlight w:val="none"/>
              </w:rPr>
              <w:t>项目所在区域污染物环境质量现状</w:t>
            </w:r>
          </w:p>
          <w:p>
            <w:pPr>
              <w:bidi w:val="0"/>
              <w:rPr>
                <w:rFonts w:hint="default"/>
                <w:color w:val="auto"/>
                <w:highlight w:val="none"/>
              </w:rPr>
            </w:pPr>
            <w:r>
              <w:rPr>
                <w:rFonts w:hint="eastAsia"/>
                <w:color w:val="auto"/>
                <w:highlight w:val="none"/>
              </w:rPr>
              <w:t>①</w:t>
            </w:r>
            <w:r>
              <w:rPr>
                <w:rFonts w:hint="default"/>
                <w:color w:val="auto"/>
                <w:highlight w:val="none"/>
              </w:rPr>
              <w:t>基本污染物环境质量现状评价</w:t>
            </w:r>
          </w:p>
          <w:p>
            <w:pPr>
              <w:bidi w:val="0"/>
              <w:rPr>
                <w:rFonts w:hint="eastAsia"/>
                <w:color w:val="auto"/>
                <w:szCs w:val="24"/>
                <w:highlight w:val="none"/>
                <w:lang w:val="en-US" w:eastAsia="zh-CN"/>
              </w:rPr>
            </w:pPr>
            <w:r>
              <w:rPr>
                <w:rFonts w:hint="eastAsia" w:ascii="Times New Roman" w:hAnsi="Times New Roman" w:eastAsia="宋体" w:cs="Times New Roman"/>
                <w:color w:val="auto"/>
                <w:sz w:val="24"/>
                <w:szCs w:val="21"/>
                <w:highlight w:val="none"/>
                <w:shd w:val="clear" w:color="auto" w:fill="auto"/>
                <w:lang w:val="en-US" w:eastAsia="zh-CN"/>
              </w:rPr>
              <w:t>根据《建设项目环境影响报告表编制技术指南（污染影响类）（试行）》“常规污染物引用与建设项目距离近的有效数据，包括近3年的规划环境影响评价的监测数据，国家、地方环境空气质量监测网数据或生态环境主管部门公开发布的质量数据等”。因此，本评价在分析区域大气环境质量现状时，对于常规因子</w:t>
            </w:r>
            <w:r>
              <w:rPr>
                <w:rFonts w:hint="eastAsia" w:ascii="Times New Roman" w:hAnsi="Times New Roman" w:cs="Times New Roman"/>
                <w:color w:val="auto"/>
                <w:sz w:val="24"/>
                <w:szCs w:val="21"/>
                <w:highlight w:val="none"/>
                <w:shd w:val="clear" w:color="auto" w:fill="auto"/>
                <w:lang w:val="en-US" w:eastAsia="zh-CN"/>
              </w:rPr>
              <w:t>，引用</w:t>
            </w:r>
            <w:r>
              <w:rPr>
                <w:rFonts w:ascii="Times New Roman" w:hAnsi="Times New Roman"/>
                <w:color w:val="auto"/>
                <w:szCs w:val="24"/>
                <w:highlight w:val="none"/>
                <w:lang w:val="en-US" w:eastAsia="zh-CN"/>
              </w:rPr>
              <w:t>《</w:t>
            </w:r>
            <w:r>
              <w:rPr>
                <w:rFonts w:hint="eastAsia" w:ascii="Times New Roman" w:hAnsi="Times New Roman"/>
                <w:color w:val="auto"/>
                <w:szCs w:val="24"/>
                <w:highlight w:val="none"/>
                <w:lang w:val="en-US" w:eastAsia="zh-CN"/>
              </w:rPr>
              <w:t>202</w:t>
            </w:r>
            <w:r>
              <w:rPr>
                <w:rFonts w:hint="eastAsia"/>
                <w:color w:val="auto"/>
                <w:szCs w:val="24"/>
                <w:highlight w:val="none"/>
                <w:lang w:val="en-US" w:eastAsia="zh-CN"/>
              </w:rPr>
              <w:t>2</w:t>
            </w:r>
            <w:r>
              <w:rPr>
                <w:rFonts w:hint="eastAsia" w:ascii="Times New Roman" w:hAnsi="Times New Roman"/>
                <w:color w:val="auto"/>
                <w:szCs w:val="24"/>
                <w:highlight w:val="none"/>
                <w:lang w:val="en-US" w:eastAsia="zh-CN"/>
              </w:rPr>
              <w:t>年唐山市生态环境状况公报</w:t>
            </w:r>
            <w:r>
              <w:rPr>
                <w:rFonts w:ascii="Times New Roman" w:hAnsi="Times New Roman"/>
                <w:color w:val="auto"/>
                <w:szCs w:val="24"/>
                <w:highlight w:val="none"/>
                <w:lang w:val="en-US" w:eastAsia="zh-CN"/>
              </w:rPr>
              <w:t>》</w:t>
            </w:r>
            <w:r>
              <w:rPr>
                <w:rFonts w:hint="eastAsia" w:ascii="Times New Roman" w:hAnsi="Times New Roman"/>
                <w:color w:val="auto"/>
                <w:szCs w:val="24"/>
                <w:highlight w:val="none"/>
                <w:lang w:val="en-US" w:eastAsia="zh-CN"/>
              </w:rPr>
              <w:t>中</w:t>
            </w:r>
            <w:r>
              <w:rPr>
                <w:rFonts w:hint="eastAsia"/>
                <w:color w:val="auto"/>
                <w:szCs w:val="24"/>
                <w:highlight w:val="none"/>
                <w:lang w:val="en-US" w:eastAsia="zh-CN"/>
              </w:rPr>
              <w:t>高新技术开发区</w:t>
            </w:r>
            <w:r>
              <w:rPr>
                <w:rFonts w:hint="eastAsia" w:ascii="Times New Roman" w:hAnsi="Times New Roman"/>
                <w:color w:val="auto"/>
                <w:szCs w:val="24"/>
                <w:highlight w:val="none"/>
                <w:lang w:val="en-US" w:eastAsia="zh-CN"/>
              </w:rPr>
              <w:t>环境空气质量数据，环境空气质量数据</w:t>
            </w:r>
            <w:r>
              <w:rPr>
                <w:rFonts w:hint="eastAsia"/>
                <w:color w:val="auto"/>
                <w:szCs w:val="24"/>
                <w:highlight w:val="none"/>
                <w:lang w:val="en-US" w:eastAsia="zh-CN"/>
              </w:rPr>
              <w:t>见下表。</w:t>
            </w:r>
          </w:p>
          <w:p>
            <w:pPr>
              <w:keepNext w:val="0"/>
              <w:keepLines w:val="0"/>
              <w:pageBreakBefore w:val="0"/>
              <w:widowControl w:val="0"/>
              <w:kinsoku/>
              <w:wordWrap/>
              <w:overflowPunct/>
              <w:topLinePunct w:val="0"/>
              <w:autoSpaceDE w:val="0"/>
              <w:autoSpaceDN w:val="0"/>
              <w:bidi w:val="0"/>
              <w:adjustRightInd w:val="0"/>
              <w:snapToGrid/>
              <w:spacing w:line="480" w:lineRule="exact"/>
              <w:ind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表</w:t>
            </w:r>
            <w:r>
              <w:rPr>
                <w:rFonts w:hint="eastAsia" w:cs="Times New Roman"/>
                <w:b/>
                <w:bCs/>
                <w:color w:val="auto"/>
                <w:sz w:val="21"/>
                <w:szCs w:val="21"/>
                <w:highlight w:val="none"/>
                <w:lang w:val="en-US" w:eastAsia="zh-CN"/>
              </w:rPr>
              <w:t>23</w:t>
            </w:r>
            <w:r>
              <w:rPr>
                <w:rFonts w:hint="default" w:ascii="Times New Roman" w:hAnsi="Times New Roman" w:eastAsia="宋体" w:cs="Times New Roman"/>
                <w:b/>
                <w:bCs/>
                <w:color w:val="auto"/>
                <w:sz w:val="21"/>
                <w:szCs w:val="21"/>
                <w:highlight w:val="none"/>
              </w:rPr>
              <w:t xml:space="preserve">  202</w:t>
            </w:r>
            <w:r>
              <w:rPr>
                <w:rFonts w:hint="eastAsia" w:ascii="Times New Roman" w:hAnsi="Times New Roman" w:eastAsia="宋体" w:cs="Times New Roman"/>
                <w:b/>
                <w:bCs/>
                <w:color w:val="auto"/>
                <w:sz w:val="21"/>
                <w:szCs w:val="21"/>
                <w:highlight w:val="none"/>
                <w:lang w:val="en-US" w:eastAsia="zh-CN"/>
              </w:rPr>
              <w:t>2</w:t>
            </w:r>
            <w:r>
              <w:rPr>
                <w:rFonts w:hint="default" w:ascii="Times New Roman" w:hAnsi="Times New Roman" w:eastAsia="宋体" w:cs="Times New Roman"/>
                <w:b/>
                <w:bCs/>
                <w:color w:val="auto"/>
                <w:sz w:val="21"/>
                <w:szCs w:val="21"/>
                <w:highlight w:val="none"/>
              </w:rPr>
              <w:t>年</w:t>
            </w:r>
            <w:r>
              <w:rPr>
                <w:rFonts w:hint="eastAsia" w:cs="Times New Roman"/>
                <w:b/>
                <w:bCs/>
                <w:color w:val="auto"/>
                <w:sz w:val="21"/>
                <w:szCs w:val="21"/>
                <w:highlight w:val="none"/>
                <w:lang w:val="en-US" w:eastAsia="zh-CN"/>
              </w:rPr>
              <w:t>高新技术开发区</w:t>
            </w:r>
            <w:r>
              <w:rPr>
                <w:rFonts w:hint="default" w:ascii="Times New Roman" w:hAnsi="Times New Roman" w:eastAsia="宋体" w:cs="Times New Roman"/>
                <w:b/>
                <w:bCs/>
                <w:color w:val="auto"/>
                <w:sz w:val="21"/>
                <w:szCs w:val="21"/>
                <w:highlight w:val="none"/>
              </w:rPr>
              <w:t>环境空气质量浓度值情况</w:t>
            </w:r>
            <w:r>
              <w:rPr>
                <w:rFonts w:hint="eastAsia" w:ascii="Times New Roman" w:hAnsi="Times New Roman" w:eastAsia="宋体" w:cs="Times New Roman"/>
                <w:b/>
                <w:bCs/>
                <w:color w:val="auto"/>
                <w:sz w:val="21"/>
                <w:szCs w:val="21"/>
                <w:highlight w:val="none"/>
                <w:lang w:val="en-US" w:eastAsia="zh-CN"/>
              </w:rPr>
              <w:t>一览</w:t>
            </w:r>
            <w:r>
              <w:rPr>
                <w:rFonts w:hint="default" w:ascii="Times New Roman" w:hAnsi="Times New Roman" w:eastAsia="宋体" w:cs="Times New Roman"/>
                <w:b/>
                <w:bCs/>
                <w:color w:val="auto"/>
                <w:sz w:val="21"/>
                <w:szCs w:val="21"/>
                <w:highlight w:val="none"/>
              </w:rPr>
              <w:t>表</w:t>
            </w:r>
          </w:p>
          <w:tbl>
            <w:tblPr>
              <w:tblStyle w:val="24"/>
              <w:tblW w:w="827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823"/>
              <w:gridCol w:w="1860"/>
              <w:gridCol w:w="1668"/>
              <w:gridCol w:w="1539"/>
              <w:gridCol w:w="1230"/>
              <w:gridCol w:w="115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802"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default"/>
                      <w:color w:val="auto"/>
                      <w:sz w:val="21"/>
                      <w:szCs w:val="21"/>
                      <w:highlight w:val="none"/>
                    </w:rPr>
                  </w:pPr>
                  <w:r>
                    <w:rPr>
                      <w:rFonts w:hint="default"/>
                      <w:color w:val="auto"/>
                      <w:sz w:val="21"/>
                      <w:szCs w:val="21"/>
                      <w:highlight w:val="none"/>
                    </w:rPr>
                    <w:t>污染物</w:t>
                  </w:r>
                </w:p>
              </w:tc>
              <w:tc>
                <w:tcPr>
                  <w:tcW w:w="1813"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default"/>
                      <w:color w:val="auto"/>
                      <w:sz w:val="21"/>
                      <w:szCs w:val="21"/>
                      <w:highlight w:val="none"/>
                    </w:rPr>
                  </w:pPr>
                  <w:r>
                    <w:rPr>
                      <w:rFonts w:hint="default"/>
                      <w:color w:val="auto"/>
                      <w:sz w:val="21"/>
                      <w:szCs w:val="21"/>
                      <w:highlight w:val="none"/>
                    </w:rPr>
                    <w:t>年评价指标</w:t>
                  </w:r>
                </w:p>
              </w:tc>
              <w:tc>
                <w:tcPr>
                  <w:tcW w:w="1625"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default"/>
                      <w:color w:val="auto"/>
                      <w:sz w:val="21"/>
                      <w:szCs w:val="21"/>
                      <w:highlight w:val="none"/>
                    </w:rPr>
                  </w:pPr>
                  <w:r>
                    <w:rPr>
                      <w:rFonts w:hint="default"/>
                      <w:color w:val="auto"/>
                      <w:sz w:val="21"/>
                      <w:szCs w:val="21"/>
                      <w:highlight w:val="none"/>
                    </w:rPr>
                    <w:t>现状浓度</w:t>
                  </w:r>
                  <w:r>
                    <w:rPr>
                      <w:rFonts w:hint="eastAsia"/>
                      <w:color w:val="auto"/>
                      <w:sz w:val="21"/>
                      <w:szCs w:val="21"/>
                      <w:highlight w:val="none"/>
                      <w:lang w:eastAsia="zh-CN"/>
                    </w:rPr>
                    <w:t>（</w:t>
                  </w:r>
                  <w:r>
                    <w:rPr>
                      <w:rFonts w:hint="default"/>
                      <w:color w:val="auto"/>
                      <w:sz w:val="21"/>
                      <w:szCs w:val="21"/>
                      <w:highlight w:val="none"/>
                    </w:rPr>
                    <w:t>μg/m</w:t>
                  </w:r>
                  <w:r>
                    <w:rPr>
                      <w:rFonts w:hint="default"/>
                      <w:color w:val="auto"/>
                      <w:sz w:val="21"/>
                      <w:szCs w:val="21"/>
                      <w:highlight w:val="none"/>
                      <w:vertAlign w:val="superscript"/>
                    </w:rPr>
                    <w:t>3</w:t>
                  </w:r>
                  <w:r>
                    <w:rPr>
                      <w:rFonts w:hint="eastAsia"/>
                      <w:color w:val="auto"/>
                      <w:sz w:val="21"/>
                      <w:szCs w:val="21"/>
                      <w:highlight w:val="none"/>
                      <w:lang w:eastAsia="zh-CN"/>
                    </w:rPr>
                    <w:t>）</w:t>
                  </w:r>
                </w:p>
              </w:tc>
              <w:tc>
                <w:tcPr>
                  <w:tcW w:w="1500"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default"/>
                      <w:color w:val="auto"/>
                      <w:sz w:val="21"/>
                      <w:szCs w:val="21"/>
                      <w:highlight w:val="none"/>
                    </w:rPr>
                  </w:pPr>
                  <w:r>
                    <w:rPr>
                      <w:rFonts w:hint="default"/>
                      <w:color w:val="auto"/>
                      <w:sz w:val="21"/>
                      <w:szCs w:val="21"/>
                      <w:highlight w:val="none"/>
                    </w:rPr>
                    <w:t>标准值</w:t>
                  </w:r>
                  <w:r>
                    <w:rPr>
                      <w:rFonts w:hint="eastAsia"/>
                      <w:color w:val="auto"/>
                      <w:sz w:val="21"/>
                      <w:szCs w:val="21"/>
                      <w:highlight w:val="none"/>
                      <w:lang w:eastAsia="zh-CN"/>
                    </w:rPr>
                    <w:t>（</w:t>
                  </w:r>
                  <w:r>
                    <w:rPr>
                      <w:rFonts w:hint="default"/>
                      <w:color w:val="auto"/>
                      <w:sz w:val="21"/>
                      <w:szCs w:val="21"/>
                      <w:highlight w:val="none"/>
                    </w:rPr>
                    <w:t>μg/m</w:t>
                  </w:r>
                  <w:r>
                    <w:rPr>
                      <w:rFonts w:hint="default"/>
                      <w:color w:val="auto"/>
                      <w:sz w:val="21"/>
                      <w:szCs w:val="21"/>
                      <w:highlight w:val="none"/>
                      <w:vertAlign w:val="superscript"/>
                    </w:rPr>
                    <w:t>3</w:t>
                  </w:r>
                  <w:r>
                    <w:rPr>
                      <w:rFonts w:hint="eastAsia"/>
                      <w:color w:val="auto"/>
                      <w:sz w:val="21"/>
                      <w:szCs w:val="21"/>
                      <w:highlight w:val="none"/>
                      <w:lang w:eastAsia="zh-CN"/>
                    </w:rPr>
                    <w:t>）</w:t>
                  </w:r>
                </w:p>
              </w:tc>
              <w:tc>
                <w:tcPr>
                  <w:tcW w:w="1199"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default"/>
                      <w:color w:val="auto"/>
                      <w:sz w:val="21"/>
                      <w:szCs w:val="21"/>
                      <w:highlight w:val="none"/>
                    </w:rPr>
                  </w:pPr>
                  <w:r>
                    <w:rPr>
                      <w:rFonts w:hint="default"/>
                      <w:color w:val="auto"/>
                      <w:sz w:val="21"/>
                      <w:szCs w:val="21"/>
                      <w:highlight w:val="none"/>
                    </w:rPr>
                    <w:t>占标率</w:t>
                  </w:r>
                  <w:r>
                    <w:rPr>
                      <w:rFonts w:hint="eastAsia"/>
                      <w:color w:val="auto"/>
                      <w:sz w:val="21"/>
                      <w:szCs w:val="21"/>
                      <w:highlight w:val="none"/>
                      <w:lang w:eastAsia="zh-CN"/>
                    </w:rPr>
                    <w:t>（</w:t>
                  </w:r>
                  <w:r>
                    <w:rPr>
                      <w:rFonts w:hint="default"/>
                      <w:color w:val="auto"/>
                      <w:sz w:val="21"/>
                      <w:szCs w:val="21"/>
                      <w:highlight w:val="none"/>
                    </w:rPr>
                    <w:t>%</w:t>
                  </w:r>
                  <w:r>
                    <w:rPr>
                      <w:rFonts w:hint="eastAsia"/>
                      <w:color w:val="auto"/>
                      <w:sz w:val="21"/>
                      <w:szCs w:val="21"/>
                      <w:highlight w:val="none"/>
                      <w:lang w:eastAsia="zh-CN"/>
                    </w:rPr>
                    <w:t>）</w:t>
                  </w:r>
                </w:p>
              </w:tc>
              <w:tc>
                <w:tcPr>
                  <w:tcW w:w="1127"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default"/>
                      <w:color w:val="auto"/>
                      <w:sz w:val="21"/>
                      <w:szCs w:val="21"/>
                      <w:highlight w:val="none"/>
                    </w:rPr>
                  </w:pPr>
                  <w:r>
                    <w:rPr>
                      <w:rFonts w:hint="default"/>
                      <w:color w:val="auto"/>
                      <w:sz w:val="21"/>
                      <w:szCs w:val="21"/>
                      <w:highlight w:val="none"/>
                    </w:rPr>
                    <w:t>达标情况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9" w:hRule="atLeast"/>
                <w:jc w:val="center"/>
              </w:trPr>
              <w:tc>
                <w:tcPr>
                  <w:tcW w:w="802"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default"/>
                      <w:color w:val="auto"/>
                      <w:sz w:val="21"/>
                      <w:szCs w:val="21"/>
                      <w:highlight w:val="none"/>
                    </w:rPr>
                  </w:pPr>
                  <w:r>
                    <w:rPr>
                      <w:rFonts w:hint="default"/>
                      <w:color w:val="auto"/>
                      <w:sz w:val="21"/>
                      <w:szCs w:val="21"/>
                      <w:highlight w:val="none"/>
                    </w:rPr>
                    <w:t>SO</w:t>
                  </w:r>
                  <w:r>
                    <w:rPr>
                      <w:rFonts w:hint="default"/>
                      <w:color w:val="auto"/>
                      <w:sz w:val="21"/>
                      <w:szCs w:val="21"/>
                      <w:highlight w:val="none"/>
                      <w:vertAlign w:val="subscript"/>
                    </w:rPr>
                    <w:t>2</w:t>
                  </w:r>
                </w:p>
              </w:tc>
              <w:tc>
                <w:tcPr>
                  <w:tcW w:w="1813"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default"/>
                      <w:color w:val="auto"/>
                      <w:sz w:val="21"/>
                      <w:szCs w:val="21"/>
                      <w:highlight w:val="none"/>
                    </w:rPr>
                  </w:pPr>
                  <w:r>
                    <w:rPr>
                      <w:rFonts w:hint="default"/>
                      <w:color w:val="auto"/>
                      <w:sz w:val="21"/>
                      <w:szCs w:val="21"/>
                      <w:highlight w:val="none"/>
                    </w:rPr>
                    <w:t>年平均质量浓度</w:t>
                  </w:r>
                </w:p>
              </w:tc>
              <w:tc>
                <w:tcPr>
                  <w:tcW w:w="1625"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9</w:t>
                  </w:r>
                </w:p>
              </w:tc>
              <w:tc>
                <w:tcPr>
                  <w:tcW w:w="1500"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default"/>
                      <w:color w:val="auto"/>
                      <w:sz w:val="21"/>
                      <w:szCs w:val="21"/>
                      <w:highlight w:val="none"/>
                    </w:rPr>
                  </w:pPr>
                  <w:r>
                    <w:rPr>
                      <w:rFonts w:hint="default"/>
                      <w:color w:val="auto"/>
                      <w:sz w:val="21"/>
                      <w:szCs w:val="21"/>
                      <w:highlight w:val="none"/>
                    </w:rPr>
                    <w:t>60</w:t>
                  </w:r>
                </w:p>
              </w:tc>
              <w:tc>
                <w:tcPr>
                  <w:tcW w:w="1199"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 xml:space="preserve">15.0 </w:t>
                  </w:r>
                </w:p>
              </w:tc>
              <w:tc>
                <w:tcPr>
                  <w:tcW w:w="1127"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default"/>
                      <w:color w:val="auto"/>
                      <w:sz w:val="21"/>
                      <w:szCs w:val="21"/>
                      <w:highlight w:val="none"/>
                    </w:rPr>
                  </w:pPr>
                  <w:r>
                    <w:rPr>
                      <w:rFonts w:hint="default"/>
                      <w:color w:val="auto"/>
                      <w:sz w:val="21"/>
                      <w:szCs w:val="21"/>
                      <w:highlight w:val="none"/>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34" w:hRule="atLeast"/>
                <w:jc w:val="center"/>
              </w:trPr>
              <w:tc>
                <w:tcPr>
                  <w:tcW w:w="802"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default"/>
                      <w:color w:val="auto"/>
                      <w:sz w:val="21"/>
                      <w:szCs w:val="21"/>
                      <w:highlight w:val="none"/>
                    </w:rPr>
                  </w:pPr>
                  <w:r>
                    <w:rPr>
                      <w:rFonts w:hint="default"/>
                      <w:color w:val="auto"/>
                      <w:sz w:val="21"/>
                      <w:szCs w:val="21"/>
                      <w:highlight w:val="none"/>
                    </w:rPr>
                    <w:t>NO</w:t>
                  </w:r>
                  <w:r>
                    <w:rPr>
                      <w:rFonts w:hint="default"/>
                      <w:color w:val="auto"/>
                      <w:sz w:val="21"/>
                      <w:szCs w:val="21"/>
                      <w:highlight w:val="none"/>
                      <w:vertAlign w:val="subscript"/>
                    </w:rPr>
                    <w:t>2</w:t>
                  </w:r>
                </w:p>
              </w:tc>
              <w:tc>
                <w:tcPr>
                  <w:tcW w:w="1813"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default"/>
                      <w:color w:val="auto"/>
                      <w:sz w:val="21"/>
                      <w:szCs w:val="21"/>
                      <w:highlight w:val="none"/>
                    </w:rPr>
                  </w:pPr>
                  <w:r>
                    <w:rPr>
                      <w:rFonts w:hint="default"/>
                      <w:color w:val="auto"/>
                      <w:sz w:val="21"/>
                      <w:szCs w:val="21"/>
                      <w:highlight w:val="none"/>
                    </w:rPr>
                    <w:t>年平均质量浓度</w:t>
                  </w:r>
                </w:p>
              </w:tc>
              <w:tc>
                <w:tcPr>
                  <w:tcW w:w="1625"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31</w:t>
                  </w:r>
                </w:p>
              </w:tc>
              <w:tc>
                <w:tcPr>
                  <w:tcW w:w="1500"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default"/>
                      <w:color w:val="auto"/>
                      <w:sz w:val="21"/>
                      <w:szCs w:val="21"/>
                      <w:highlight w:val="none"/>
                    </w:rPr>
                  </w:pPr>
                  <w:r>
                    <w:rPr>
                      <w:rFonts w:hint="default"/>
                      <w:color w:val="auto"/>
                      <w:sz w:val="21"/>
                      <w:szCs w:val="21"/>
                      <w:highlight w:val="none"/>
                    </w:rPr>
                    <w:t>40</w:t>
                  </w:r>
                </w:p>
              </w:tc>
              <w:tc>
                <w:tcPr>
                  <w:tcW w:w="1199"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 xml:space="preserve">77.5 </w:t>
                  </w:r>
                </w:p>
              </w:tc>
              <w:tc>
                <w:tcPr>
                  <w:tcW w:w="1127"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default"/>
                      <w:color w:val="auto"/>
                      <w:sz w:val="21"/>
                      <w:szCs w:val="21"/>
                      <w:highlight w:val="none"/>
                    </w:rPr>
                  </w:pPr>
                  <w:r>
                    <w:rPr>
                      <w:rFonts w:hint="default"/>
                      <w:color w:val="auto"/>
                      <w:sz w:val="21"/>
                      <w:szCs w:val="21"/>
                      <w:highlight w:val="none"/>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43" w:hRule="atLeast"/>
                <w:jc w:val="center"/>
              </w:trPr>
              <w:tc>
                <w:tcPr>
                  <w:tcW w:w="802"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default"/>
                      <w:color w:val="auto"/>
                      <w:sz w:val="21"/>
                      <w:szCs w:val="21"/>
                      <w:highlight w:val="none"/>
                    </w:rPr>
                  </w:pPr>
                  <w:r>
                    <w:rPr>
                      <w:rFonts w:hint="default"/>
                      <w:color w:val="auto"/>
                      <w:sz w:val="21"/>
                      <w:szCs w:val="21"/>
                      <w:highlight w:val="none"/>
                    </w:rPr>
                    <w:t>PM</w:t>
                  </w:r>
                  <w:r>
                    <w:rPr>
                      <w:rFonts w:hint="default"/>
                      <w:color w:val="auto"/>
                      <w:sz w:val="21"/>
                      <w:szCs w:val="21"/>
                      <w:highlight w:val="none"/>
                      <w:vertAlign w:val="subscript"/>
                    </w:rPr>
                    <w:t>10</w:t>
                  </w:r>
                </w:p>
              </w:tc>
              <w:tc>
                <w:tcPr>
                  <w:tcW w:w="1813"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default"/>
                      <w:color w:val="auto"/>
                      <w:sz w:val="21"/>
                      <w:szCs w:val="21"/>
                      <w:highlight w:val="none"/>
                    </w:rPr>
                  </w:pPr>
                  <w:r>
                    <w:rPr>
                      <w:rFonts w:hint="default"/>
                      <w:color w:val="auto"/>
                      <w:sz w:val="21"/>
                      <w:szCs w:val="21"/>
                      <w:highlight w:val="none"/>
                    </w:rPr>
                    <w:t>年平均质量浓度</w:t>
                  </w:r>
                </w:p>
              </w:tc>
              <w:tc>
                <w:tcPr>
                  <w:tcW w:w="1625"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60</w:t>
                  </w:r>
                </w:p>
              </w:tc>
              <w:tc>
                <w:tcPr>
                  <w:tcW w:w="1500"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default"/>
                      <w:color w:val="auto"/>
                      <w:sz w:val="21"/>
                      <w:szCs w:val="21"/>
                      <w:highlight w:val="none"/>
                    </w:rPr>
                  </w:pPr>
                  <w:r>
                    <w:rPr>
                      <w:rFonts w:hint="default"/>
                      <w:color w:val="auto"/>
                      <w:sz w:val="21"/>
                      <w:szCs w:val="21"/>
                      <w:highlight w:val="none"/>
                    </w:rPr>
                    <w:t>70</w:t>
                  </w:r>
                </w:p>
              </w:tc>
              <w:tc>
                <w:tcPr>
                  <w:tcW w:w="1199"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 xml:space="preserve">85.7 </w:t>
                  </w:r>
                </w:p>
              </w:tc>
              <w:tc>
                <w:tcPr>
                  <w:tcW w:w="1127"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default"/>
                      <w:color w:val="auto"/>
                      <w:sz w:val="21"/>
                      <w:szCs w:val="21"/>
                      <w:highlight w:val="none"/>
                    </w:rPr>
                  </w:pPr>
                  <w:r>
                    <w:rPr>
                      <w:rFonts w:hint="eastAsia"/>
                      <w:color w:val="auto"/>
                      <w:sz w:val="21"/>
                      <w:szCs w:val="21"/>
                      <w:highlight w:val="none"/>
                      <w:lang w:val="en-US" w:eastAsia="zh-CN"/>
                    </w:rPr>
                    <w:t>达</w:t>
                  </w:r>
                  <w:r>
                    <w:rPr>
                      <w:rFonts w:hint="default"/>
                      <w:color w:val="auto"/>
                      <w:sz w:val="21"/>
                      <w:szCs w:val="21"/>
                      <w:highlight w:val="none"/>
                    </w:rPr>
                    <w:t>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7" w:hRule="atLeast"/>
                <w:jc w:val="center"/>
              </w:trPr>
              <w:tc>
                <w:tcPr>
                  <w:tcW w:w="802"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default"/>
                      <w:color w:val="auto"/>
                      <w:sz w:val="21"/>
                      <w:szCs w:val="21"/>
                      <w:highlight w:val="none"/>
                    </w:rPr>
                  </w:pPr>
                  <w:r>
                    <w:rPr>
                      <w:rFonts w:hint="default"/>
                      <w:color w:val="auto"/>
                      <w:sz w:val="21"/>
                      <w:szCs w:val="21"/>
                      <w:highlight w:val="none"/>
                    </w:rPr>
                    <w:t>PM</w:t>
                  </w:r>
                  <w:r>
                    <w:rPr>
                      <w:rFonts w:hint="default"/>
                      <w:color w:val="auto"/>
                      <w:sz w:val="21"/>
                      <w:szCs w:val="21"/>
                      <w:highlight w:val="none"/>
                      <w:vertAlign w:val="subscript"/>
                    </w:rPr>
                    <w:t>2.5</w:t>
                  </w:r>
                </w:p>
              </w:tc>
              <w:tc>
                <w:tcPr>
                  <w:tcW w:w="1813"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default"/>
                      <w:color w:val="auto"/>
                      <w:sz w:val="21"/>
                      <w:szCs w:val="21"/>
                      <w:highlight w:val="none"/>
                    </w:rPr>
                  </w:pPr>
                  <w:r>
                    <w:rPr>
                      <w:rFonts w:hint="default"/>
                      <w:color w:val="auto"/>
                      <w:sz w:val="21"/>
                      <w:szCs w:val="21"/>
                      <w:highlight w:val="none"/>
                    </w:rPr>
                    <w:t>年平均质量浓度</w:t>
                  </w:r>
                </w:p>
              </w:tc>
              <w:tc>
                <w:tcPr>
                  <w:tcW w:w="1625"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33</w:t>
                  </w:r>
                </w:p>
              </w:tc>
              <w:tc>
                <w:tcPr>
                  <w:tcW w:w="1500"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default"/>
                      <w:color w:val="auto"/>
                      <w:sz w:val="21"/>
                      <w:szCs w:val="21"/>
                      <w:highlight w:val="none"/>
                    </w:rPr>
                  </w:pPr>
                  <w:r>
                    <w:rPr>
                      <w:rFonts w:hint="default"/>
                      <w:color w:val="auto"/>
                      <w:sz w:val="21"/>
                      <w:szCs w:val="21"/>
                      <w:highlight w:val="none"/>
                    </w:rPr>
                    <w:t>35</w:t>
                  </w:r>
                </w:p>
              </w:tc>
              <w:tc>
                <w:tcPr>
                  <w:tcW w:w="1199"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 xml:space="preserve">94.3 </w:t>
                  </w:r>
                </w:p>
              </w:tc>
              <w:tc>
                <w:tcPr>
                  <w:tcW w:w="1127"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default"/>
                      <w:color w:val="auto"/>
                      <w:sz w:val="21"/>
                      <w:szCs w:val="21"/>
                      <w:highlight w:val="none"/>
                    </w:rPr>
                  </w:pPr>
                  <w:r>
                    <w:rPr>
                      <w:rFonts w:hint="eastAsia"/>
                      <w:color w:val="auto"/>
                      <w:sz w:val="21"/>
                      <w:szCs w:val="21"/>
                      <w:highlight w:val="none"/>
                      <w:lang w:val="en-US" w:eastAsia="zh-CN"/>
                    </w:rPr>
                    <w:t>达</w:t>
                  </w:r>
                  <w:r>
                    <w:rPr>
                      <w:rFonts w:hint="default"/>
                      <w:color w:val="auto"/>
                      <w:sz w:val="21"/>
                      <w:szCs w:val="21"/>
                      <w:highlight w:val="none"/>
                    </w:rPr>
                    <w:t>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59" w:hRule="atLeast"/>
                <w:jc w:val="center"/>
              </w:trPr>
              <w:tc>
                <w:tcPr>
                  <w:tcW w:w="802"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default"/>
                      <w:color w:val="auto"/>
                      <w:sz w:val="21"/>
                      <w:szCs w:val="21"/>
                      <w:highlight w:val="none"/>
                    </w:rPr>
                  </w:pPr>
                  <w:r>
                    <w:rPr>
                      <w:rFonts w:hint="default"/>
                      <w:color w:val="auto"/>
                      <w:sz w:val="21"/>
                      <w:szCs w:val="21"/>
                      <w:highlight w:val="none"/>
                    </w:rPr>
                    <w:t>CO</w:t>
                  </w:r>
                </w:p>
              </w:tc>
              <w:tc>
                <w:tcPr>
                  <w:tcW w:w="1813"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日均值第95百分位浓度</w:t>
                  </w:r>
                </w:p>
              </w:tc>
              <w:tc>
                <w:tcPr>
                  <w:tcW w:w="1625"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1600</w:t>
                  </w:r>
                </w:p>
              </w:tc>
              <w:tc>
                <w:tcPr>
                  <w:tcW w:w="1500"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default"/>
                      <w:color w:val="auto"/>
                      <w:sz w:val="21"/>
                      <w:szCs w:val="21"/>
                      <w:highlight w:val="none"/>
                    </w:rPr>
                  </w:pPr>
                  <w:r>
                    <w:rPr>
                      <w:rFonts w:hint="default"/>
                      <w:color w:val="auto"/>
                      <w:sz w:val="21"/>
                      <w:szCs w:val="21"/>
                      <w:highlight w:val="none"/>
                    </w:rPr>
                    <w:t>4000</w:t>
                  </w:r>
                </w:p>
              </w:tc>
              <w:tc>
                <w:tcPr>
                  <w:tcW w:w="1199"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 xml:space="preserve">40.0 </w:t>
                  </w:r>
                </w:p>
              </w:tc>
              <w:tc>
                <w:tcPr>
                  <w:tcW w:w="1127"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default"/>
                      <w:color w:val="auto"/>
                      <w:sz w:val="21"/>
                      <w:szCs w:val="21"/>
                      <w:highlight w:val="none"/>
                    </w:rPr>
                  </w:pPr>
                  <w:r>
                    <w:rPr>
                      <w:rFonts w:hint="default"/>
                      <w:color w:val="auto"/>
                      <w:sz w:val="21"/>
                      <w:szCs w:val="21"/>
                      <w:highlight w:val="none"/>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99" w:hRule="atLeast"/>
                <w:jc w:val="center"/>
              </w:trPr>
              <w:tc>
                <w:tcPr>
                  <w:tcW w:w="802"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default"/>
                      <w:color w:val="auto"/>
                      <w:sz w:val="21"/>
                      <w:szCs w:val="21"/>
                      <w:highlight w:val="none"/>
                    </w:rPr>
                  </w:pPr>
                  <w:r>
                    <w:rPr>
                      <w:rFonts w:hint="default"/>
                      <w:color w:val="auto"/>
                      <w:sz w:val="21"/>
                      <w:szCs w:val="21"/>
                      <w:highlight w:val="none"/>
                    </w:rPr>
                    <w:t>O</w:t>
                  </w:r>
                  <w:r>
                    <w:rPr>
                      <w:rFonts w:hint="default"/>
                      <w:color w:val="auto"/>
                      <w:sz w:val="21"/>
                      <w:szCs w:val="21"/>
                      <w:highlight w:val="none"/>
                      <w:vertAlign w:val="subscript"/>
                    </w:rPr>
                    <w:t>3</w:t>
                  </w:r>
                </w:p>
              </w:tc>
              <w:tc>
                <w:tcPr>
                  <w:tcW w:w="1813"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日最大8h平均第90百分位浓度</w:t>
                  </w:r>
                </w:p>
              </w:tc>
              <w:tc>
                <w:tcPr>
                  <w:tcW w:w="1625"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182</w:t>
                  </w:r>
                </w:p>
              </w:tc>
              <w:tc>
                <w:tcPr>
                  <w:tcW w:w="1500"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default"/>
                      <w:color w:val="auto"/>
                      <w:sz w:val="21"/>
                      <w:szCs w:val="21"/>
                      <w:highlight w:val="none"/>
                    </w:rPr>
                  </w:pPr>
                  <w:r>
                    <w:rPr>
                      <w:rFonts w:hint="default"/>
                      <w:color w:val="auto"/>
                      <w:sz w:val="21"/>
                      <w:szCs w:val="21"/>
                      <w:highlight w:val="none"/>
                    </w:rPr>
                    <w:t>160</w:t>
                  </w:r>
                </w:p>
              </w:tc>
              <w:tc>
                <w:tcPr>
                  <w:tcW w:w="1199"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 xml:space="preserve">113.8 </w:t>
                  </w:r>
                </w:p>
              </w:tc>
              <w:tc>
                <w:tcPr>
                  <w:tcW w:w="1127"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default"/>
                      <w:color w:val="auto"/>
                      <w:sz w:val="21"/>
                      <w:szCs w:val="21"/>
                      <w:highlight w:val="none"/>
                    </w:rPr>
                  </w:pPr>
                  <w:r>
                    <w:rPr>
                      <w:rFonts w:hint="eastAsia"/>
                      <w:color w:val="auto"/>
                      <w:sz w:val="21"/>
                      <w:szCs w:val="21"/>
                      <w:highlight w:val="none"/>
                      <w:lang w:val="en-US" w:eastAsia="zh-CN"/>
                    </w:rPr>
                    <w:t>超标</w:t>
                  </w:r>
                </w:p>
              </w:tc>
            </w:tr>
          </w:tbl>
          <w:p>
            <w:pPr>
              <w:keepNext w:val="0"/>
              <w:keepLines w:val="0"/>
              <w:pageBreakBefore w:val="0"/>
              <w:widowControl w:val="0"/>
              <w:kinsoku/>
              <w:wordWrap/>
              <w:overflowPunct/>
              <w:topLinePunct w:val="0"/>
              <w:autoSpaceDE/>
              <w:autoSpaceDN/>
              <w:bidi w:val="0"/>
              <w:adjustRightInd/>
              <w:snapToGrid/>
              <w:spacing w:line="480" w:lineRule="exact"/>
              <w:ind w:firstLine="500" w:firstLineChars="200"/>
              <w:textAlignment w:val="auto"/>
              <w:rPr>
                <w:rFonts w:hint="eastAsia"/>
                <w:color w:val="auto"/>
                <w:spacing w:val="5"/>
                <w:szCs w:val="21"/>
                <w:highlight w:val="none"/>
              </w:rPr>
            </w:pPr>
            <w:r>
              <w:rPr>
                <w:color w:val="auto"/>
                <w:spacing w:val="5"/>
                <w:szCs w:val="21"/>
                <w:highlight w:val="none"/>
              </w:rPr>
              <w:t>根据上表可知，项目所在区域环境空气质量评价指标中</w:t>
            </w:r>
            <w:r>
              <w:rPr>
                <w:rFonts w:hint="default" w:ascii="Times New Roman" w:hAnsi="Times New Roman" w:eastAsia="宋体" w:cs="Times New Roman"/>
                <w:color w:val="auto"/>
                <w:kern w:val="2"/>
                <w:sz w:val="24"/>
                <w:szCs w:val="21"/>
                <w:highlight w:val="none"/>
                <w:shd w:val="clear" w:color="auto" w:fill="auto"/>
                <w:lang w:val="en-US" w:eastAsia="zh-CN" w:bidi="ar"/>
              </w:rPr>
              <w:t>，SO</w:t>
            </w:r>
            <w:r>
              <w:rPr>
                <w:rFonts w:hint="default" w:ascii="Times New Roman" w:hAnsi="Times New Roman" w:eastAsia="宋体" w:cs="Times New Roman"/>
                <w:color w:val="auto"/>
                <w:kern w:val="2"/>
                <w:sz w:val="24"/>
                <w:szCs w:val="21"/>
                <w:highlight w:val="none"/>
                <w:shd w:val="clear" w:color="auto" w:fill="auto"/>
                <w:vertAlign w:val="subscript"/>
                <w:lang w:val="en-US" w:eastAsia="zh-CN" w:bidi="ar"/>
              </w:rPr>
              <w:t>2</w:t>
            </w:r>
            <w:r>
              <w:rPr>
                <w:rFonts w:hint="eastAsia" w:ascii="Times New Roman" w:hAnsi="Times New Roman" w:eastAsia="宋体" w:cs="Times New Roman"/>
                <w:color w:val="auto"/>
                <w:kern w:val="2"/>
                <w:sz w:val="24"/>
                <w:szCs w:val="21"/>
                <w:highlight w:val="none"/>
                <w:shd w:val="clear" w:color="auto" w:fill="auto"/>
                <w:vertAlign w:val="baseline"/>
                <w:lang w:val="en-US" w:eastAsia="zh-CN" w:bidi="ar"/>
              </w:rPr>
              <w:t>、</w:t>
            </w:r>
            <w:r>
              <w:rPr>
                <w:rFonts w:hint="default"/>
                <w:color w:val="auto"/>
                <w:sz w:val="24"/>
                <w:szCs w:val="24"/>
                <w:highlight w:val="none"/>
              </w:rPr>
              <w:t>NO</w:t>
            </w:r>
            <w:r>
              <w:rPr>
                <w:rFonts w:hint="default"/>
                <w:color w:val="auto"/>
                <w:sz w:val="24"/>
                <w:szCs w:val="24"/>
                <w:highlight w:val="none"/>
                <w:vertAlign w:val="subscript"/>
              </w:rPr>
              <w:t>2</w:t>
            </w:r>
            <w:r>
              <w:rPr>
                <w:rFonts w:hint="eastAsia"/>
                <w:color w:val="auto"/>
                <w:sz w:val="24"/>
                <w:szCs w:val="24"/>
                <w:highlight w:val="none"/>
                <w:vertAlign w:val="baseline"/>
                <w:lang w:eastAsia="zh-CN"/>
              </w:rPr>
              <w:t>、</w:t>
            </w:r>
            <w:r>
              <w:rPr>
                <w:rFonts w:hint="default" w:ascii="Times New Roman" w:hAnsi="Times New Roman" w:eastAsia="宋体" w:cs="Times New Roman"/>
                <w:color w:val="auto"/>
                <w:kern w:val="2"/>
                <w:sz w:val="24"/>
                <w:szCs w:val="21"/>
                <w:highlight w:val="none"/>
                <w:shd w:val="clear" w:color="auto" w:fill="auto"/>
                <w:lang w:val="en-US" w:eastAsia="zh-CN" w:bidi="ar"/>
              </w:rPr>
              <w:t>PM</w:t>
            </w:r>
            <w:r>
              <w:rPr>
                <w:rFonts w:hint="default" w:ascii="Times New Roman" w:hAnsi="Times New Roman" w:eastAsia="宋体" w:cs="Times New Roman"/>
                <w:color w:val="auto"/>
                <w:kern w:val="2"/>
                <w:sz w:val="24"/>
                <w:szCs w:val="21"/>
                <w:highlight w:val="none"/>
                <w:shd w:val="clear" w:color="auto" w:fill="auto"/>
                <w:vertAlign w:val="subscript"/>
                <w:lang w:val="en-US" w:eastAsia="zh-CN" w:bidi="ar"/>
              </w:rPr>
              <w:t>2.5</w:t>
            </w:r>
            <w:r>
              <w:rPr>
                <w:rFonts w:hint="default" w:ascii="Times New Roman" w:hAnsi="Times New Roman" w:eastAsia="宋体" w:cs="Times New Roman"/>
                <w:color w:val="auto"/>
                <w:kern w:val="2"/>
                <w:sz w:val="24"/>
                <w:szCs w:val="21"/>
                <w:highlight w:val="none"/>
                <w:shd w:val="clear" w:color="auto" w:fill="auto"/>
                <w:lang w:val="en-US" w:eastAsia="zh-CN" w:bidi="ar"/>
              </w:rPr>
              <w:t>、PM</w:t>
            </w:r>
            <w:r>
              <w:rPr>
                <w:rFonts w:hint="default" w:ascii="Times New Roman" w:hAnsi="Times New Roman" w:eastAsia="宋体" w:cs="Times New Roman"/>
                <w:color w:val="auto"/>
                <w:kern w:val="2"/>
                <w:sz w:val="24"/>
                <w:szCs w:val="21"/>
                <w:highlight w:val="none"/>
                <w:shd w:val="clear" w:color="auto" w:fill="auto"/>
                <w:vertAlign w:val="subscript"/>
                <w:lang w:val="en-US" w:eastAsia="zh-CN" w:bidi="ar"/>
              </w:rPr>
              <w:t>10</w:t>
            </w:r>
            <w:r>
              <w:rPr>
                <w:rFonts w:hint="default" w:ascii="Times New Roman" w:hAnsi="Times New Roman" w:eastAsia="宋体" w:cs="Times New Roman"/>
                <w:color w:val="auto"/>
                <w:kern w:val="2"/>
                <w:sz w:val="24"/>
                <w:szCs w:val="21"/>
                <w:highlight w:val="none"/>
                <w:shd w:val="clear" w:color="auto" w:fill="auto"/>
                <w:lang w:val="en-US" w:eastAsia="zh-CN" w:bidi="ar"/>
              </w:rPr>
              <w:t>的年平均质量浓度达标，CO</w:t>
            </w:r>
            <w:r>
              <w:rPr>
                <w:rFonts w:hint="eastAsia" w:ascii="Times New Roman" w:hAnsi="Times New Roman" w:eastAsia="宋体" w:cs="Times New Roman"/>
                <w:color w:val="auto"/>
                <w:kern w:val="2"/>
                <w:sz w:val="24"/>
                <w:szCs w:val="21"/>
                <w:highlight w:val="none"/>
                <w:shd w:val="clear" w:color="auto" w:fill="auto"/>
                <w:lang w:val="en-US" w:eastAsia="zh-CN" w:bidi="ar"/>
              </w:rPr>
              <w:t>的日均值第95百分位浓度</w:t>
            </w:r>
            <w:r>
              <w:rPr>
                <w:rFonts w:hint="default" w:ascii="Times New Roman" w:hAnsi="Times New Roman" w:eastAsia="宋体" w:cs="Times New Roman"/>
                <w:color w:val="auto"/>
                <w:kern w:val="2"/>
                <w:sz w:val="24"/>
                <w:szCs w:val="21"/>
                <w:highlight w:val="none"/>
                <w:shd w:val="clear" w:color="auto" w:fill="auto"/>
                <w:lang w:val="en-US" w:eastAsia="zh-CN" w:bidi="ar"/>
              </w:rPr>
              <w:t>达标</w:t>
            </w:r>
            <w:r>
              <w:rPr>
                <w:rFonts w:hint="eastAsia" w:ascii="Times New Roman" w:hAnsi="Times New Roman" w:eastAsia="宋体" w:cs="Times New Roman"/>
                <w:color w:val="auto"/>
                <w:kern w:val="2"/>
                <w:sz w:val="24"/>
                <w:szCs w:val="21"/>
                <w:highlight w:val="none"/>
                <w:shd w:val="clear" w:color="auto" w:fill="auto"/>
                <w:lang w:val="en-US" w:eastAsia="zh-CN" w:bidi="ar"/>
              </w:rPr>
              <w:t>，</w:t>
            </w:r>
            <w:r>
              <w:rPr>
                <w:rFonts w:hint="default" w:ascii="Times New Roman" w:hAnsi="Times New Roman" w:eastAsia="宋体" w:cs="Times New Roman"/>
                <w:color w:val="auto"/>
                <w:kern w:val="2"/>
                <w:sz w:val="24"/>
                <w:szCs w:val="21"/>
                <w:highlight w:val="none"/>
                <w:shd w:val="clear" w:color="auto" w:fill="auto"/>
                <w:lang w:val="en-US" w:eastAsia="zh-CN" w:bidi="ar"/>
              </w:rPr>
              <w:t>O</w:t>
            </w:r>
            <w:r>
              <w:rPr>
                <w:rFonts w:hint="default" w:ascii="Times New Roman" w:hAnsi="Times New Roman" w:eastAsia="宋体" w:cs="Times New Roman"/>
                <w:color w:val="auto"/>
                <w:kern w:val="2"/>
                <w:sz w:val="24"/>
                <w:szCs w:val="21"/>
                <w:highlight w:val="none"/>
                <w:shd w:val="clear" w:color="auto" w:fill="auto"/>
                <w:vertAlign w:val="subscript"/>
                <w:lang w:val="en-US" w:eastAsia="zh-CN" w:bidi="ar"/>
              </w:rPr>
              <w:t>3</w:t>
            </w:r>
            <w:r>
              <w:rPr>
                <w:rFonts w:hint="default" w:ascii="Times New Roman" w:hAnsi="Times New Roman" w:eastAsia="宋体" w:cs="Times New Roman"/>
                <w:color w:val="auto"/>
                <w:kern w:val="2"/>
                <w:sz w:val="24"/>
                <w:szCs w:val="21"/>
                <w:highlight w:val="none"/>
                <w:shd w:val="clear" w:color="auto" w:fill="auto"/>
                <w:lang w:val="en-US" w:eastAsia="zh-CN" w:bidi="ar"/>
              </w:rPr>
              <w:t>的日最大8h平均第90百分位浓度</w:t>
            </w:r>
            <w:r>
              <w:rPr>
                <w:rFonts w:hint="eastAsia" w:cs="Times New Roman"/>
                <w:color w:val="auto"/>
                <w:kern w:val="2"/>
                <w:sz w:val="24"/>
                <w:szCs w:val="21"/>
                <w:highlight w:val="none"/>
                <w:shd w:val="clear" w:color="auto" w:fill="auto"/>
                <w:lang w:val="en-US" w:eastAsia="zh-CN" w:bidi="ar"/>
              </w:rPr>
              <w:t>不</w:t>
            </w:r>
            <w:r>
              <w:rPr>
                <w:rFonts w:hint="default" w:ascii="Times New Roman" w:hAnsi="Times New Roman" w:eastAsia="宋体" w:cs="Times New Roman"/>
                <w:color w:val="auto"/>
                <w:kern w:val="2"/>
                <w:sz w:val="24"/>
                <w:szCs w:val="21"/>
                <w:highlight w:val="none"/>
                <w:shd w:val="clear" w:color="auto" w:fill="auto"/>
                <w:lang w:val="en-US" w:eastAsia="zh-CN" w:bidi="ar"/>
              </w:rPr>
              <w:t>达标</w:t>
            </w:r>
            <w:r>
              <w:rPr>
                <w:color w:val="auto"/>
                <w:spacing w:val="5"/>
                <w:szCs w:val="21"/>
                <w:highlight w:val="none"/>
              </w:rPr>
              <w:t>。</w:t>
            </w:r>
          </w:p>
          <w:p>
            <w:pPr>
              <w:bidi w:val="0"/>
              <w:rPr>
                <w:rFonts w:hint="default"/>
                <w:color w:val="auto"/>
                <w:highlight w:val="none"/>
              </w:rPr>
            </w:pPr>
            <w:r>
              <w:rPr>
                <w:rFonts w:hint="eastAsia"/>
                <w:color w:val="auto"/>
                <w:highlight w:val="none"/>
              </w:rPr>
              <w:t>②</w:t>
            </w:r>
            <w:r>
              <w:rPr>
                <w:rFonts w:hint="default"/>
                <w:color w:val="auto"/>
                <w:highlight w:val="none"/>
              </w:rPr>
              <w:t>其他污染物环境质量现状评价</w:t>
            </w:r>
          </w:p>
          <w:p>
            <w:pPr>
              <w:bidi w:val="0"/>
              <w:rPr>
                <w:rFonts w:hint="eastAsia"/>
                <w:color w:val="auto"/>
                <w:highlight w:val="none"/>
                <w:lang w:val="en-US" w:eastAsia="zh-CN"/>
              </w:rPr>
            </w:pPr>
            <w:r>
              <w:rPr>
                <w:rFonts w:hint="eastAsia"/>
                <w:color w:val="auto"/>
                <w:highlight w:val="none"/>
                <w:lang w:val="en-US" w:eastAsia="zh-CN"/>
              </w:rPr>
              <w:t>根据《建设项目环境影响报告表编制技术指南 （污染影响类）（试行）》“排放国家、地方环境空气质量标准中有标准限值要求的特征污染物时，引用建设项目周边5千米范围内近3年的现有监测数据，无相关数据的选择当季主导风向下风向1个点位补充不少于3天的监测数据”。本项目生产过程排放的特征污染物为非甲烷总、氯化氢（因现状镀膜工序与印刷、印刷烘干、镀膜、烘干及烧结还原工序共用1根排气筒，本次评价对其可达标排放性进行了分析，但由于本次评价镀膜工序生产工艺、产污节点均不发生变化，仅因产品方案调整，其污染物排放量减少，因此，本次评价未将该工序产生的氟化物作为特征污染物），其中非甲烷总烃有地方环境空气质量标准。本次在评价特征污染物环境质量现状时，引用建设项目周边5千米范围内近3年的现有监测数据进行分析。</w:t>
            </w:r>
          </w:p>
          <w:p>
            <w:pPr>
              <w:bidi w:val="0"/>
              <w:rPr>
                <w:rFonts w:hint="default" w:ascii="Times New Roman" w:hAnsi="Times New Roman" w:eastAsia="宋体" w:cs="Times New Roman"/>
                <w:color w:val="auto"/>
                <w:spacing w:val="0"/>
                <w:position w:val="0"/>
                <w:sz w:val="24"/>
                <w:szCs w:val="21"/>
                <w:highlight w:val="none"/>
                <w:shd w:val="clear" w:color="auto" w:fill="auto"/>
                <w:lang w:eastAsia="zh-TW"/>
              </w:rPr>
            </w:pPr>
            <w:r>
              <w:rPr>
                <w:rFonts w:hint="eastAsia"/>
                <w:color w:val="auto"/>
                <w:highlight w:val="none"/>
                <w:lang w:val="en-US" w:eastAsia="zh-CN"/>
              </w:rPr>
              <w:t>非甲烷总烃环境质量现状检测数据引用高新区北部拓展区环境影响跟踪评价环境质量现状监测数据，检测时间为2020年11月30日</w:t>
            </w:r>
            <w:r>
              <w:rPr>
                <w:rFonts w:hint="default" w:ascii="Times New Roman" w:hAnsi="Times New Roman" w:eastAsia="宋体" w:cs="Times New Roman"/>
                <w:color w:val="auto"/>
                <w:spacing w:val="0"/>
                <w:position w:val="0"/>
                <w:sz w:val="24"/>
                <w:szCs w:val="21"/>
                <w:highlight w:val="none"/>
                <w:shd w:val="clear" w:color="auto" w:fill="auto"/>
                <w:lang w:eastAsia="zh-TW"/>
              </w:rPr>
              <w:t>～</w:t>
            </w:r>
            <w:r>
              <w:rPr>
                <w:rFonts w:hint="eastAsia"/>
                <w:color w:val="auto"/>
                <w:highlight w:val="none"/>
                <w:lang w:val="en-US" w:eastAsia="zh-CN"/>
              </w:rPr>
              <w:t>2020年12月06日，检测点位为三益庄，位于本项目东侧2550m处，</w:t>
            </w:r>
            <w:r>
              <w:rPr>
                <w:rFonts w:hint="default" w:ascii="Times New Roman" w:hAnsi="Times New Roman" w:eastAsia="宋体" w:cs="Times New Roman"/>
                <w:color w:val="auto"/>
                <w:spacing w:val="0"/>
                <w:position w:val="0"/>
                <w:sz w:val="24"/>
                <w:szCs w:val="21"/>
                <w:highlight w:val="none"/>
                <w:shd w:val="clear" w:color="auto" w:fill="auto"/>
                <w:lang w:eastAsia="zh-TW"/>
              </w:rPr>
              <w:t>引用数据</w:t>
            </w:r>
            <w:r>
              <w:rPr>
                <w:rFonts w:hint="eastAsia" w:ascii="Times New Roman" w:hAnsi="Times New Roman" w:eastAsia="宋体" w:cs="Times New Roman"/>
                <w:color w:val="auto"/>
                <w:spacing w:val="0"/>
                <w:position w:val="0"/>
                <w:sz w:val="24"/>
                <w:szCs w:val="21"/>
                <w:highlight w:val="none"/>
                <w:shd w:val="clear" w:color="auto" w:fill="auto"/>
                <w:lang w:val="en-US" w:eastAsia="zh-CN"/>
              </w:rPr>
              <w:t>符合</w:t>
            </w:r>
            <w:r>
              <w:rPr>
                <w:rFonts w:hint="eastAsia" w:ascii="Times New Roman" w:hAnsi="Times New Roman" w:eastAsia="宋体" w:cs="Times New Roman"/>
                <w:color w:val="auto"/>
                <w:sz w:val="24"/>
                <w:szCs w:val="21"/>
                <w:highlight w:val="none"/>
                <w:shd w:val="clear" w:color="auto" w:fill="auto"/>
                <w:lang w:val="en-US" w:eastAsia="zh-CN"/>
              </w:rPr>
              <w:t>《建设项目环境影响报告表编制技术指南（污染影响类）（试行）》要求，</w:t>
            </w:r>
            <w:r>
              <w:rPr>
                <w:rFonts w:hint="default" w:ascii="Times New Roman" w:hAnsi="Times New Roman" w:eastAsia="宋体" w:cs="Times New Roman"/>
                <w:color w:val="auto"/>
                <w:spacing w:val="0"/>
                <w:position w:val="0"/>
                <w:sz w:val="24"/>
                <w:szCs w:val="21"/>
                <w:highlight w:val="none"/>
                <w:shd w:val="clear" w:color="auto" w:fill="auto"/>
                <w:lang w:eastAsia="zh-TW"/>
              </w:rPr>
              <w:t>引用数据可用。</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0" w:firstLineChars="0"/>
              <w:jc w:val="center"/>
              <w:textAlignment w:val="auto"/>
              <w:rPr>
                <w:rFonts w:hint="default" w:ascii="Times New Roman" w:hAnsi="Times New Roman" w:eastAsia="宋体" w:cs="Times New Roman"/>
                <w:b/>
                <w:color w:val="auto"/>
                <w:spacing w:val="0"/>
                <w:kern w:val="0"/>
                <w:position w:val="0"/>
                <w:sz w:val="21"/>
                <w:szCs w:val="21"/>
                <w:highlight w:val="none"/>
                <w:shd w:val="clear" w:color="auto" w:fill="auto"/>
                <w:lang w:val="en-US" w:eastAsia="zh-CN"/>
              </w:rPr>
            </w:pPr>
            <w:r>
              <w:rPr>
                <w:rFonts w:hint="default" w:ascii="Times New Roman" w:hAnsi="Times New Roman" w:eastAsia="宋体" w:cs="Times New Roman"/>
                <w:b/>
                <w:color w:val="auto"/>
                <w:spacing w:val="0"/>
                <w:kern w:val="0"/>
                <w:position w:val="0"/>
                <w:sz w:val="21"/>
                <w:szCs w:val="21"/>
                <w:highlight w:val="none"/>
                <w:shd w:val="clear" w:color="auto" w:fill="auto"/>
                <w:lang w:val="en-US" w:eastAsia="zh-CN"/>
              </w:rPr>
              <w:t>表</w:t>
            </w:r>
            <w:r>
              <w:rPr>
                <w:rFonts w:hint="eastAsia" w:cs="Times New Roman"/>
                <w:b/>
                <w:color w:val="auto"/>
                <w:spacing w:val="0"/>
                <w:kern w:val="0"/>
                <w:position w:val="0"/>
                <w:sz w:val="21"/>
                <w:szCs w:val="21"/>
                <w:highlight w:val="none"/>
                <w:shd w:val="clear" w:color="auto" w:fill="auto"/>
                <w:lang w:val="en-US" w:eastAsia="zh-CN"/>
              </w:rPr>
              <w:t>24</w:t>
            </w:r>
            <w:r>
              <w:rPr>
                <w:rFonts w:hint="eastAsia" w:ascii="Times New Roman" w:hAnsi="Times New Roman" w:eastAsia="宋体" w:cs="Times New Roman"/>
                <w:b/>
                <w:color w:val="auto"/>
                <w:spacing w:val="0"/>
                <w:kern w:val="0"/>
                <w:position w:val="0"/>
                <w:sz w:val="21"/>
                <w:szCs w:val="21"/>
                <w:highlight w:val="none"/>
                <w:shd w:val="clear" w:color="auto" w:fill="auto"/>
                <w:lang w:val="en-US" w:eastAsia="zh-CN"/>
              </w:rPr>
              <w:t xml:space="preserve">  </w:t>
            </w:r>
            <w:r>
              <w:rPr>
                <w:rFonts w:hint="default" w:ascii="Times New Roman" w:hAnsi="Times New Roman" w:eastAsia="宋体" w:cs="Times New Roman"/>
                <w:b/>
                <w:color w:val="auto"/>
                <w:spacing w:val="0"/>
                <w:kern w:val="0"/>
                <w:position w:val="0"/>
                <w:sz w:val="21"/>
                <w:szCs w:val="21"/>
                <w:highlight w:val="none"/>
                <w:shd w:val="clear" w:color="auto" w:fill="auto"/>
                <w:lang w:val="en-US" w:eastAsia="zh-CN"/>
              </w:rPr>
              <w:t>其他污染物环境质量现状</w:t>
            </w:r>
            <w:r>
              <w:rPr>
                <w:rFonts w:hint="eastAsia" w:ascii="Times New Roman" w:hAnsi="Times New Roman" w:eastAsia="宋体" w:cs="Times New Roman"/>
                <w:b/>
                <w:color w:val="auto"/>
                <w:spacing w:val="0"/>
                <w:kern w:val="0"/>
                <w:position w:val="0"/>
                <w:sz w:val="21"/>
                <w:szCs w:val="21"/>
                <w:highlight w:val="none"/>
                <w:shd w:val="clear" w:color="auto" w:fill="auto"/>
                <w:lang w:val="en-US" w:eastAsia="zh-CN"/>
              </w:rPr>
              <w:t>检测</w:t>
            </w:r>
            <w:r>
              <w:rPr>
                <w:rFonts w:hint="default" w:ascii="Times New Roman" w:hAnsi="Times New Roman" w:eastAsia="宋体" w:cs="Times New Roman"/>
                <w:b/>
                <w:color w:val="auto"/>
                <w:spacing w:val="0"/>
                <w:kern w:val="0"/>
                <w:position w:val="0"/>
                <w:sz w:val="21"/>
                <w:szCs w:val="21"/>
                <w:highlight w:val="none"/>
                <w:shd w:val="clear" w:color="auto" w:fill="auto"/>
                <w:lang w:val="en-US" w:eastAsia="zh-CN"/>
              </w:rPr>
              <w:t>结果</w:t>
            </w:r>
            <w:r>
              <w:rPr>
                <w:rFonts w:hint="eastAsia" w:cs="Times New Roman"/>
                <w:b/>
                <w:color w:val="auto"/>
                <w:spacing w:val="0"/>
                <w:kern w:val="0"/>
                <w:position w:val="0"/>
                <w:sz w:val="21"/>
                <w:szCs w:val="21"/>
                <w:highlight w:val="none"/>
                <w:shd w:val="clear" w:color="auto" w:fill="auto"/>
                <w:lang w:val="en-US" w:eastAsia="zh-CN"/>
              </w:rPr>
              <w:t>一览表</w:t>
            </w:r>
          </w:p>
          <w:tbl>
            <w:tblPr>
              <w:tblStyle w:val="24"/>
              <w:tblW w:w="822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917"/>
              <w:gridCol w:w="1188"/>
              <w:gridCol w:w="1163"/>
              <w:gridCol w:w="1234"/>
              <w:gridCol w:w="1122"/>
              <w:gridCol w:w="1072"/>
              <w:gridCol w:w="804"/>
              <w:gridCol w:w="72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17" w:type="dxa"/>
                  <w:vMerge w:val="restart"/>
                  <w:noWrap w:val="0"/>
                  <w:vAlign w:val="center"/>
                </w:tcPr>
                <w:p>
                  <w:pPr>
                    <w:pStyle w:val="43"/>
                    <w:keepNext w:val="0"/>
                    <w:keepLines w:val="0"/>
                    <w:pageBreakBefore w:val="0"/>
                    <w:shd w:val="clear" w:color="auto" w:fill="auto"/>
                    <w:kinsoku/>
                    <w:wordWrap/>
                    <w:overflowPunct/>
                    <w:topLinePunct w:val="0"/>
                    <w:autoSpaceDE/>
                    <w:autoSpaceDN/>
                    <w:bidi w:val="0"/>
                    <w:adjustRightInd w:val="0"/>
                    <w:snapToGrid/>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检测</w:t>
                  </w:r>
                  <w:r>
                    <w:rPr>
                      <w:rFonts w:hint="default" w:ascii="Times New Roman" w:hAnsi="Times New Roman" w:eastAsia="宋体" w:cs="Times New Roman"/>
                      <w:color w:val="auto"/>
                      <w:sz w:val="21"/>
                      <w:szCs w:val="21"/>
                      <w:highlight w:val="none"/>
                      <w:shd w:val="clear" w:color="auto" w:fill="auto"/>
                      <w:lang w:val="en-US" w:eastAsia="zh-CN"/>
                    </w:rPr>
                    <w:t>点位</w:t>
                  </w:r>
                </w:p>
              </w:tc>
              <w:tc>
                <w:tcPr>
                  <w:tcW w:w="1188" w:type="dxa"/>
                  <w:vMerge w:val="restart"/>
                  <w:noWrap w:val="0"/>
                  <w:vAlign w:val="center"/>
                </w:tcPr>
                <w:p>
                  <w:pPr>
                    <w:pStyle w:val="43"/>
                    <w:keepNext w:val="0"/>
                    <w:keepLines w:val="0"/>
                    <w:pageBreakBefore w:val="0"/>
                    <w:shd w:val="clear" w:color="auto" w:fill="auto"/>
                    <w:kinsoku/>
                    <w:wordWrap/>
                    <w:overflowPunct/>
                    <w:topLinePunct w:val="0"/>
                    <w:autoSpaceDE/>
                    <w:autoSpaceDN/>
                    <w:bidi w:val="0"/>
                    <w:adjustRightInd w:val="0"/>
                    <w:snapToGrid/>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lang w:val="en-US" w:eastAsia="zh-CN"/>
                    </w:rPr>
                    <w:t>污染物</w:t>
                  </w:r>
                </w:p>
              </w:tc>
              <w:tc>
                <w:tcPr>
                  <w:tcW w:w="1163" w:type="dxa"/>
                  <w:vMerge w:val="restart"/>
                  <w:noWrap w:val="0"/>
                  <w:vAlign w:val="center"/>
                </w:tcPr>
                <w:p>
                  <w:pPr>
                    <w:pStyle w:val="43"/>
                    <w:keepNext w:val="0"/>
                    <w:keepLines w:val="0"/>
                    <w:pageBreakBefore w:val="0"/>
                    <w:shd w:val="clear" w:color="auto" w:fill="auto"/>
                    <w:kinsoku/>
                    <w:wordWrap/>
                    <w:overflowPunct/>
                    <w:topLinePunct w:val="0"/>
                    <w:autoSpaceDE/>
                    <w:autoSpaceDN/>
                    <w:bidi w:val="0"/>
                    <w:adjustRightInd w:val="0"/>
                    <w:snapToGrid/>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lang w:val="en-US" w:eastAsia="zh-CN"/>
                    </w:rPr>
                    <w:t>平均时间</w:t>
                  </w:r>
                </w:p>
              </w:tc>
              <w:tc>
                <w:tcPr>
                  <w:tcW w:w="1234" w:type="dxa"/>
                  <w:vMerge w:val="restart"/>
                  <w:noWrap w:val="0"/>
                  <w:vAlign w:val="center"/>
                </w:tcPr>
                <w:p>
                  <w:pPr>
                    <w:pStyle w:val="43"/>
                    <w:keepNext w:val="0"/>
                    <w:keepLines w:val="0"/>
                    <w:pageBreakBefore w:val="0"/>
                    <w:shd w:val="clear" w:color="auto" w:fill="auto"/>
                    <w:kinsoku/>
                    <w:wordWrap/>
                    <w:overflowPunct/>
                    <w:topLinePunct w:val="0"/>
                    <w:autoSpaceDE/>
                    <w:autoSpaceDN/>
                    <w:bidi w:val="0"/>
                    <w:adjustRightInd w:val="0"/>
                    <w:snapToGrid/>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lang w:val="en-US" w:eastAsia="zh-CN"/>
                    </w:rPr>
                    <w:t>评价标准（μg/m</w:t>
                  </w:r>
                  <w:r>
                    <w:rPr>
                      <w:rFonts w:hint="default" w:ascii="Times New Roman" w:hAnsi="Times New Roman" w:eastAsia="宋体" w:cs="Times New Roman"/>
                      <w:color w:val="auto"/>
                      <w:sz w:val="21"/>
                      <w:szCs w:val="21"/>
                      <w:highlight w:val="none"/>
                      <w:shd w:val="clear" w:color="auto" w:fill="auto"/>
                      <w:vertAlign w:val="superscript"/>
                      <w:lang w:val="en-US" w:eastAsia="zh-CN"/>
                    </w:rPr>
                    <w:t>3</w:t>
                  </w:r>
                  <w:r>
                    <w:rPr>
                      <w:rFonts w:hint="default" w:ascii="Times New Roman" w:hAnsi="Times New Roman" w:eastAsia="宋体" w:cs="Times New Roman"/>
                      <w:color w:val="auto"/>
                      <w:sz w:val="21"/>
                      <w:szCs w:val="21"/>
                      <w:highlight w:val="none"/>
                      <w:shd w:val="clear" w:color="auto" w:fill="auto"/>
                      <w:lang w:val="en-US" w:eastAsia="zh-CN"/>
                    </w:rPr>
                    <w:t>）</w:t>
                  </w:r>
                </w:p>
              </w:tc>
              <w:tc>
                <w:tcPr>
                  <w:tcW w:w="1122" w:type="dxa"/>
                  <w:vMerge w:val="restart"/>
                  <w:noWrap w:val="0"/>
                  <w:vAlign w:val="center"/>
                </w:tcPr>
                <w:p>
                  <w:pPr>
                    <w:pStyle w:val="43"/>
                    <w:keepNext w:val="0"/>
                    <w:keepLines w:val="0"/>
                    <w:pageBreakBefore w:val="0"/>
                    <w:shd w:val="clear" w:color="auto" w:fill="auto"/>
                    <w:kinsoku/>
                    <w:wordWrap/>
                    <w:overflowPunct/>
                    <w:topLinePunct w:val="0"/>
                    <w:autoSpaceDE/>
                    <w:autoSpaceDN/>
                    <w:bidi w:val="0"/>
                    <w:adjustRightInd w:val="0"/>
                    <w:snapToGrid/>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检测</w:t>
                  </w:r>
                  <w:r>
                    <w:rPr>
                      <w:rFonts w:hint="default" w:ascii="Times New Roman" w:hAnsi="Times New Roman" w:eastAsia="宋体" w:cs="Times New Roman"/>
                      <w:color w:val="auto"/>
                      <w:sz w:val="21"/>
                      <w:szCs w:val="21"/>
                      <w:highlight w:val="none"/>
                      <w:shd w:val="clear" w:color="auto" w:fill="auto"/>
                      <w:lang w:val="en-US" w:eastAsia="zh-CN"/>
                    </w:rPr>
                    <w:t>浓度范围（μg/m</w:t>
                  </w:r>
                  <w:r>
                    <w:rPr>
                      <w:rFonts w:hint="default" w:ascii="Times New Roman" w:hAnsi="Times New Roman" w:eastAsia="宋体" w:cs="Times New Roman"/>
                      <w:color w:val="auto"/>
                      <w:sz w:val="21"/>
                      <w:szCs w:val="21"/>
                      <w:highlight w:val="none"/>
                      <w:shd w:val="clear" w:color="auto" w:fill="auto"/>
                      <w:vertAlign w:val="superscript"/>
                      <w:lang w:val="en-US" w:eastAsia="zh-CN"/>
                    </w:rPr>
                    <w:t>3</w:t>
                  </w:r>
                  <w:r>
                    <w:rPr>
                      <w:rFonts w:hint="default" w:ascii="Times New Roman" w:hAnsi="Times New Roman" w:eastAsia="宋体" w:cs="Times New Roman"/>
                      <w:color w:val="auto"/>
                      <w:sz w:val="21"/>
                      <w:szCs w:val="21"/>
                      <w:highlight w:val="none"/>
                      <w:shd w:val="clear" w:color="auto" w:fill="auto"/>
                      <w:lang w:val="en-US" w:eastAsia="zh-CN"/>
                    </w:rPr>
                    <w:t>）</w:t>
                  </w:r>
                </w:p>
              </w:tc>
              <w:tc>
                <w:tcPr>
                  <w:tcW w:w="1072" w:type="dxa"/>
                  <w:vMerge w:val="restart"/>
                  <w:noWrap w:val="0"/>
                  <w:vAlign w:val="center"/>
                </w:tcPr>
                <w:p>
                  <w:pPr>
                    <w:pStyle w:val="43"/>
                    <w:keepNext w:val="0"/>
                    <w:keepLines w:val="0"/>
                    <w:pageBreakBefore w:val="0"/>
                    <w:shd w:val="clear" w:color="auto" w:fill="auto"/>
                    <w:kinsoku/>
                    <w:wordWrap/>
                    <w:overflowPunct/>
                    <w:topLinePunct w:val="0"/>
                    <w:autoSpaceDE/>
                    <w:autoSpaceDN/>
                    <w:bidi w:val="0"/>
                    <w:adjustRightInd w:val="0"/>
                    <w:snapToGrid/>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lang w:val="en-US" w:eastAsia="zh-CN"/>
                    </w:rPr>
                    <w:t>最大浓度占标率</w:t>
                  </w:r>
                  <w:r>
                    <w:rPr>
                      <w:rFonts w:hint="eastAsia" w:eastAsia="宋体" w:cs="Times New Roman"/>
                      <w:color w:val="auto"/>
                      <w:sz w:val="21"/>
                      <w:szCs w:val="21"/>
                      <w:highlight w:val="none"/>
                      <w:shd w:val="clear" w:color="auto" w:fill="auto"/>
                      <w:lang w:val="en-US" w:eastAsia="zh-CN"/>
                    </w:rPr>
                    <w:t>（</w:t>
                  </w:r>
                  <w:r>
                    <w:rPr>
                      <w:rFonts w:hint="default" w:ascii="Times New Roman" w:hAnsi="Times New Roman" w:eastAsia="宋体" w:cs="Times New Roman"/>
                      <w:color w:val="auto"/>
                      <w:sz w:val="21"/>
                      <w:szCs w:val="21"/>
                      <w:highlight w:val="none"/>
                      <w:shd w:val="clear" w:color="auto" w:fill="auto"/>
                      <w:lang w:val="en-US" w:eastAsia="zh-CN"/>
                    </w:rPr>
                    <w:t>%</w:t>
                  </w:r>
                  <w:r>
                    <w:rPr>
                      <w:rFonts w:hint="eastAsia" w:eastAsia="宋体" w:cs="Times New Roman"/>
                      <w:color w:val="auto"/>
                      <w:sz w:val="21"/>
                      <w:szCs w:val="21"/>
                      <w:highlight w:val="none"/>
                      <w:shd w:val="clear" w:color="auto" w:fill="auto"/>
                      <w:lang w:val="en-US" w:eastAsia="zh-CN"/>
                    </w:rPr>
                    <w:t>）</w:t>
                  </w:r>
                </w:p>
              </w:tc>
              <w:tc>
                <w:tcPr>
                  <w:tcW w:w="804" w:type="dxa"/>
                  <w:vMerge w:val="restart"/>
                  <w:noWrap w:val="0"/>
                  <w:vAlign w:val="center"/>
                </w:tcPr>
                <w:p>
                  <w:pPr>
                    <w:pStyle w:val="43"/>
                    <w:keepNext w:val="0"/>
                    <w:keepLines w:val="0"/>
                    <w:pageBreakBefore w:val="0"/>
                    <w:shd w:val="clear" w:color="auto" w:fill="auto"/>
                    <w:kinsoku/>
                    <w:wordWrap/>
                    <w:overflowPunct/>
                    <w:topLinePunct w:val="0"/>
                    <w:autoSpaceDE/>
                    <w:autoSpaceDN/>
                    <w:bidi w:val="0"/>
                    <w:adjustRightInd w:val="0"/>
                    <w:snapToGrid/>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lang w:val="en-US" w:eastAsia="zh-CN"/>
                    </w:rPr>
                    <w:t>超标率</w:t>
                  </w:r>
                  <w:r>
                    <w:rPr>
                      <w:rFonts w:hint="eastAsia" w:eastAsia="宋体" w:cs="Times New Roman"/>
                      <w:color w:val="auto"/>
                      <w:sz w:val="21"/>
                      <w:szCs w:val="21"/>
                      <w:highlight w:val="none"/>
                      <w:shd w:val="clear" w:color="auto" w:fill="auto"/>
                      <w:lang w:val="en-US" w:eastAsia="zh-CN"/>
                    </w:rPr>
                    <w:t>（</w:t>
                  </w:r>
                  <w:r>
                    <w:rPr>
                      <w:rFonts w:hint="default" w:ascii="Times New Roman" w:hAnsi="Times New Roman" w:eastAsia="宋体" w:cs="Times New Roman"/>
                      <w:color w:val="auto"/>
                      <w:sz w:val="21"/>
                      <w:szCs w:val="21"/>
                      <w:highlight w:val="none"/>
                      <w:shd w:val="clear" w:color="auto" w:fill="auto"/>
                      <w:lang w:val="en-US" w:eastAsia="zh-CN"/>
                    </w:rPr>
                    <w:t>%</w:t>
                  </w:r>
                  <w:r>
                    <w:rPr>
                      <w:rFonts w:hint="eastAsia" w:eastAsia="宋体" w:cs="Times New Roman"/>
                      <w:color w:val="auto"/>
                      <w:sz w:val="21"/>
                      <w:szCs w:val="21"/>
                      <w:highlight w:val="none"/>
                      <w:shd w:val="clear" w:color="auto" w:fill="auto"/>
                      <w:lang w:val="en-US" w:eastAsia="zh-CN"/>
                    </w:rPr>
                    <w:t>）</w:t>
                  </w:r>
                </w:p>
              </w:tc>
              <w:tc>
                <w:tcPr>
                  <w:tcW w:w="720" w:type="dxa"/>
                  <w:vMerge w:val="restart"/>
                  <w:noWrap w:val="0"/>
                  <w:vAlign w:val="center"/>
                </w:tcPr>
                <w:p>
                  <w:pPr>
                    <w:pStyle w:val="43"/>
                    <w:keepNext w:val="0"/>
                    <w:keepLines w:val="0"/>
                    <w:pageBreakBefore w:val="0"/>
                    <w:shd w:val="clear" w:color="auto" w:fill="auto"/>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lang w:val="en-US" w:eastAsia="zh-CN"/>
                    </w:rPr>
                    <w:t>达标情况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03" w:hRule="atLeast"/>
                <w:jc w:val="center"/>
              </w:trPr>
              <w:tc>
                <w:tcPr>
                  <w:tcW w:w="917" w:type="dxa"/>
                  <w:vMerge w:val="continue"/>
                  <w:noWrap w:val="0"/>
                  <w:vAlign w:val="center"/>
                </w:tcPr>
                <w:p>
                  <w:pPr>
                    <w:pStyle w:val="43"/>
                    <w:keepNext w:val="0"/>
                    <w:keepLines w:val="0"/>
                    <w:pageBreakBefore w:val="0"/>
                    <w:kinsoku/>
                    <w:wordWrap/>
                    <w:overflowPunct/>
                    <w:topLinePunct w:val="0"/>
                    <w:autoSpaceDE/>
                    <w:autoSpaceDN/>
                    <w:bidi w:val="0"/>
                    <w:adjustRightInd w:val="0"/>
                    <w:snapToGrid/>
                    <w:ind w:firstLine="0" w:firstLineChars="0"/>
                    <w:jc w:val="center"/>
                    <w:textAlignment w:val="auto"/>
                    <w:rPr>
                      <w:rFonts w:hint="default" w:ascii="Times New Roman" w:hAnsi="Times New Roman" w:eastAsia="宋体" w:cs="Times New Roman"/>
                      <w:color w:val="auto"/>
                      <w:sz w:val="21"/>
                      <w:szCs w:val="21"/>
                      <w:highlight w:val="none"/>
                      <w:shd w:val="clear" w:color="auto" w:fill="auto"/>
                    </w:rPr>
                  </w:pPr>
                </w:p>
              </w:tc>
              <w:tc>
                <w:tcPr>
                  <w:tcW w:w="1188" w:type="dxa"/>
                  <w:vMerge w:val="continue"/>
                  <w:noWrap w:val="0"/>
                  <w:vAlign w:val="center"/>
                </w:tcPr>
                <w:p>
                  <w:pPr>
                    <w:pStyle w:val="43"/>
                    <w:keepNext w:val="0"/>
                    <w:keepLines w:val="0"/>
                    <w:pageBreakBefore w:val="0"/>
                    <w:kinsoku/>
                    <w:wordWrap/>
                    <w:overflowPunct/>
                    <w:topLinePunct w:val="0"/>
                    <w:autoSpaceDE/>
                    <w:autoSpaceDN/>
                    <w:bidi w:val="0"/>
                    <w:adjustRightInd w:val="0"/>
                    <w:snapToGrid/>
                    <w:ind w:firstLine="0" w:firstLineChars="0"/>
                    <w:jc w:val="center"/>
                    <w:textAlignment w:val="auto"/>
                    <w:rPr>
                      <w:rFonts w:hint="default" w:ascii="Times New Roman" w:hAnsi="Times New Roman" w:eastAsia="宋体" w:cs="Times New Roman"/>
                      <w:color w:val="auto"/>
                      <w:sz w:val="21"/>
                      <w:szCs w:val="21"/>
                      <w:highlight w:val="none"/>
                      <w:shd w:val="clear" w:color="auto" w:fill="auto"/>
                    </w:rPr>
                  </w:pPr>
                </w:p>
              </w:tc>
              <w:tc>
                <w:tcPr>
                  <w:tcW w:w="1163" w:type="dxa"/>
                  <w:vMerge w:val="continue"/>
                  <w:noWrap w:val="0"/>
                  <w:vAlign w:val="center"/>
                </w:tcPr>
                <w:p>
                  <w:pPr>
                    <w:pStyle w:val="43"/>
                    <w:keepNext w:val="0"/>
                    <w:keepLines w:val="0"/>
                    <w:pageBreakBefore w:val="0"/>
                    <w:kinsoku/>
                    <w:wordWrap/>
                    <w:overflowPunct/>
                    <w:topLinePunct w:val="0"/>
                    <w:autoSpaceDE/>
                    <w:autoSpaceDN/>
                    <w:bidi w:val="0"/>
                    <w:adjustRightInd w:val="0"/>
                    <w:snapToGrid/>
                    <w:ind w:firstLine="0" w:firstLineChars="0"/>
                    <w:jc w:val="center"/>
                    <w:textAlignment w:val="auto"/>
                    <w:rPr>
                      <w:rFonts w:hint="default" w:ascii="Times New Roman" w:hAnsi="Times New Roman" w:eastAsia="宋体" w:cs="Times New Roman"/>
                      <w:color w:val="auto"/>
                      <w:sz w:val="21"/>
                      <w:szCs w:val="21"/>
                      <w:highlight w:val="none"/>
                      <w:shd w:val="clear" w:color="auto" w:fill="auto"/>
                    </w:rPr>
                  </w:pPr>
                </w:p>
              </w:tc>
              <w:tc>
                <w:tcPr>
                  <w:tcW w:w="1234" w:type="dxa"/>
                  <w:vMerge w:val="continue"/>
                  <w:noWrap w:val="0"/>
                  <w:vAlign w:val="center"/>
                </w:tcPr>
                <w:p>
                  <w:pPr>
                    <w:pStyle w:val="43"/>
                    <w:keepNext w:val="0"/>
                    <w:keepLines w:val="0"/>
                    <w:pageBreakBefore w:val="0"/>
                    <w:kinsoku/>
                    <w:wordWrap/>
                    <w:overflowPunct/>
                    <w:topLinePunct w:val="0"/>
                    <w:autoSpaceDE/>
                    <w:autoSpaceDN/>
                    <w:bidi w:val="0"/>
                    <w:adjustRightInd w:val="0"/>
                    <w:snapToGrid/>
                    <w:ind w:firstLine="0" w:firstLineChars="0"/>
                    <w:jc w:val="center"/>
                    <w:textAlignment w:val="auto"/>
                    <w:rPr>
                      <w:rFonts w:hint="default" w:ascii="Times New Roman" w:hAnsi="Times New Roman" w:eastAsia="宋体" w:cs="Times New Roman"/>
                      <w:color w:val="auto"/>
                      <w:sz w:val="21"/>
                      <w:szCs w:val="21"/>
                      <w:highlight w:val="none"/>
                      <w:shd w:val="clear" w:color="auto" w:fill="auto"/>
                    </w:rPr>
                  </w:pPr>
                </w:p>
              </w:tc>
              <w:tc>
                <w:tcPr>
                  <w:tcW w:w="1122" w:type="dxa"/>
                  <w:vMerge w:val="continue"/>
                  <w:noWrap w:val="0"/>
                  <w:vAlign w:val="center"/>
                </w:tcPr>
                <w:p>
                  <w:pPr>
                    <w:pStyle w:val="43"/>
                    <w:keepNext w:val="0"/>
                    <w:keepLines w:val="0"/>
                    <w:pageBreakBefore w:val="0"/>
                    <w:kinsoku/>
                    <w:wordWrap/>
                    <w:overflowPunct/>
                    <w:topLinePunct w:val="0"/>
                    <w:autoSpaceDE/>
                    <w:autoSpaceDN/>
                    <w:bidi w:val="0"/>
                    <w:adjustRightInd w:val="0"/>
                    <w:snapToGrid/>
                    <w:ind w:firstLine="0" w:firstLineChars="0"/>
                    <w:jc w:val="center"/>
                    <w:textAlignment w:val="auto"/>
                    <w:rPr>
                      <w:rFonts w:hint="default" w:ascii="Times New Roman" w:hAnsi="Times New Roman" w:eastAsia="宋体" w:cs="Times New Roman"/>
                      <w:color w:val="auto"/>
                      <w:sz w:val="21"/>
                      <w:szCs w:val="21"/>
                      <w:highlight w:val="none"/>
                      <w:shd w:val="clear" w:color="auto" w:fill="auto"/>
                    </w:rPr>
                  </w:pPr>
                </w:p>
              </w:tc>
              <w:tc>
                <w:tcPr>
                  <w:tcW w:w="1072" w:type="dxa"/>
                  <w:vMerge w:val="continue"/>
                  <w:noWrap w:val="0"/>
                  <w:vAlign w:val="center"/>
                </w:tcPr>
                <w:p>
                  <w:pPr>
                    <w:pStyle w:val="43"/>
                    <w:keepNext w:val="0"/>
                    <w:keepLines w:val="0"/>
                    <w:pageBreakBefore w:val="0"/>
                    <w:kinsoku/>
                    <w:wordWrap/>
                    <w:overflowPunct/>
                    <w:topLinePunct w:val="0"/>
                    <w:autoSpaceDE/>
                    <w:autoSpaceDN/>
                    <w:bidi w:val="0"/>
                    <w:adjustRightInd w:val="0"/>
                    <w:snapToGrid/>
                    <w:ind w:firstLine="0" w:firstLineChars="0"/>
                    <w:jc w:val="center"/>
                    <w:textAlignment w:val="auto"/>
                    <w:rPr>
                      <w:rFonts w:hint="default" w:ascii="Times New Roman" w:hAnsi="Times New Roman" w:eastAsia="宋体" w:cs="Times New Roman"/>
                      <w:color w:val="auto"/>
                      <w:sz w:val="21"/>
                      <w:szCs w:val="21"/>
                      <w:highlight w:val="none"/>
                      <w:shd w:val="clear" w:color="auto" w:fill="auto"/>
                    </w:rPr>
                  </w:pPr>
                </w:p>
              </w:tc>
              <w:tc>
                <w:tcPr>
                  <w:tcW w:w="804" w:type="dxa"/>
                  <w:vMerge w:val="continue"/>
                  <w:noWrap w:val="0"/>
                  <w:vAlign w:val="center"/>
                </w:tcPr>
                <w:p>
                  <w:pPr>
                    <w:pStyle w:val="43"/>
                    <w:keepNext w:val="0"/>
                    <w:keepLines w:val="0"/>
                    <w:pageBreakBefore w:val="0"/>
                    <w:kinsoku/>
                    <w:wordWrap/>
                    <w:overflowPunct/>
                    <w:topLinePunct w:val="0"/>
                    <w:autoSpaceDE/>
                    <w:autoSpaceDN/>
                    <w:bidi w:val="0"/>
                    <w:adjustRightInd w:val="0"/>
                    <w:snapToGrid/>
                    <w:ind w:firstLine="0" w:firstLineChars="0"/>
                    <w:jc w:val="center"/>
                    <w:textAlignment w:val="auto"/>
                    <w:rPr>
                      <w:rFonts w:hint="default" w:ascii="Times New Roman" w:hAnsi="Times New Roman" w:eastAsia="宋体" w:cs="Times New Roman"/>
                      <w:color w:val="auto"/>
                      <w:sz w:val="21"/>
                      <w:szCs w:val="21"/>
                      <w:highlight w:val="none"/>
                      <w:shd w:val="clear" w:color="auto" w:fill="auto"/>
                    </w:rPr>
                  </w:pPr>
                </w:p>
              </w:tc>
              <w:tc>
                <w:tcPr>
                  <w:tcW w:w="720" w:type="dxa"/>
                  <w:vMerge w:val="continue"/>
                  <w:noWrap w:val="0"/>
                  <w:vAlign w:val="center"/>
                </w:tcPr>
                <w:p>
                  <w:pPr>
                    <w:pStyle w:val="43"/>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shd w:val="clear" w:color="auto" w:fill="auto"/>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51" w:hRule="atLeast"/>
                <w:jc w:val="center"/>
              </w:trPr>
              <w:tc>
                <w:tcPr>
                  <w:tcW w:w="917" w:type="dxa"/>
                  <w:noWrap w:val="0"/>
                  <w:vAlign w:val="center"/>
                </w:tcPr>
                <w:p>
                  <w:pPr>
                    <w:pStyle w:val="43"/>
                    <w:keepNext w:val="0"/>
                    <w:keepLines w:val="0"/>
                    <w:pageBreakBefore w:val="0"/>
                    <w:shd w:val="clear" w:color="auto" w:fill="auto"/>
                    <w:kinsoku/>
                    <w:wordWrap/>
                    <w:overflowPunct/>
                    <w:topLinePunct w:val="0"/>
                    <w:autoSpaceDE/>
                    <w:autoSpaceDN/>
                    <w:bidi w:val="0"/>
                    <w:adjustRightInd w:val="0"/>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color w:val="auto"/>
                      <w:highlight w:val="none"/>
                      <w:lang w:val="en-US" w:eastAsia="zh-CN"/>
                    </w:rPr>
                    <w:t>三益庄</w:t>
                  </w:r>
                </w:p>
              </w:tc>
              <w:tc>
                <w:tcPr>
                  <w:tcW w:w="1188" w:type="dxa"/>
                  <w:noWrap w:val="0"/>
                  <w:vAlign w:val="center"/>
                </w:tcPr>
                <w:p>
                  <w:pPr>
                    <w:pStyle w:val="43"/>
                    <w:keepNext w:val="0"/>
                    <w:keepLines w:val="0"/>
                    <w:pageBreakBefore w:val="0"/>
                    <w:shd w:val="clear" w:color="auto" w:fill="auto"/>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eastAsia" w:cs="Times New Roman"/>
                      <w:color w:val="auto"/>
                      <w:sz w:val="21"/>
                      <w:szCs w:val="21"/>
                      <w:highlight w:val="none"/>
                      <w:shd w:val="clear" w:color="auto" w:fill="auto"/>
                      <w:lang w:val="en-US" w:eastAsia="zh-CN"/>
                    </w:rPr>
                    <w:t>非甲烷总烃</w:t>
                  </w:r>
                </w:p>
              </w:tc>
              <w:tc>
                <w:tcPr>
                  <w:tcW w:w="1163" w:type="dxa"/>
                  <w:noWrap w:val="0"/>
                  <w:vAlign w:val="center"/>
                </w:tcPr>
                <w:p>
                  <w:pPr>
                    <w:pStyle w:val="43"/>
                    <w:keepNext w:val="0"/>
                    <w:keepLines w:val="0"/>
                    <w:pageBreakBefore w:val="0"/>
                    <w:shd w:val="clear" w:color="auto" w:fill="auto"/>
                    <w:kinsoku/>
                    <w:wordWrap/>
                    <w:overflowPunct/>
                    <w:topLinePunct w:val="0"/>
                    <w:autoSpaceDE/>
                    <w:autoSpaceDN/>
                    <w:bidi w:val="0"/>
                    <w:adjustRightInd w:val="0"/>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cs="Times New Roman"/>
                      <w:color w:val="auto"/>
                      <w:sz w:val="21"/>
                      <w:szCs w:val="21"/>
                      <w:highlight w:val="none"/>
                      <w:shd w:val="clear" w:color="auto" w:fill="auto"/>
                      <w:lang w:val="en-US" w:eastAsia="zh-CN"/>
                    </w:rPr>
                    <w:t>1</w:t>
                  </w:r>
                  <w:r>
                    <w:rPr>
                      <w:rFonts w:hint="default" w:ascii="Times New Roman" w:hAnsi="Times New Roman" w:eastAsia="宋体" w:cs="Times New Roman"/>
                      <w:color w:val="auto"/>
                      <w:sz w:val="21"/>
                      <w:szCs w:val="21"/>
                      <w:highlight w:val="none"/>
                      <w:shd w:val="clear" w:color="auto" w:fill="auto"/>
                      <w:lang w:val="en-US" w:eastAsia="zh-CN"/>
                    </w:rPr>
                    <w:t>小时平均</w:t>
                  </w:r>
                </w:p>
              </w:tc>
              <w:tc>
                <w:tcPr>
                  <w:tcW w:w="1234" w:type="dxa"/>
                  <w:noWrap w:val="0"/>
                  <w:vAlign w:val="center"/>
                </w:tcPr>
                <w:p>
                  <w:pPr>
                    <w:pStyle w:val="41"/>
                    <w:keepNext w:val="0"/>
                    <w:keepLines w:val="0"/>
                    <w:pageBreakBefore w:val="0"/>
                    <w:widowControl w:val="0"/>
                    <w:kinsoku/>
                    <w:wordWrap/>
                    <w:overflowPunct/>
                    <w:topLinePunct w:val="0"/>
                    <w:autoSpaceDE/>
                    <w:autoSpaceDN/>
                    <w:bidi w:val="0"/>
                    <w:adjustRightInd w:val="0"/>
                    <w:snapToGrid/>
                    <w:spacing w:line="240" w:lineRule="auto"/>
                    <w:ind w:left="0" w:leftChars="0" w:right="0" w:rightChars="0" w:firstLine="0" w:firstLineChars="0"/>
                    <w:textAlignment w:val="auto"/>
                    <w:rPr>
                      <w:rFonts w:hint="default" w:ascii="Times New Roman" w:hAnsi="Times New Roman" w:eastAsia="宋体" w:cs="Times New Roman"/>
                      <w:bCs/>
                      <w:color w:val="auto"/>
                      <w:kern w:val="2"/>
                      <w:sz w:val="21"/>
                      <w:szCs w:val="21"/>
                      <w:highlight w:val="none"/>
                      <w:lang w:val="en-US" w:eastAsia="zh-CN" w:bidi="ar"/>
                    </w:rPr>
                  </w:pPr>
                  <w:r>
                    <w:rPr>
                      <w:rFonts w:hint="eastAsia"/>
                      <w:color w:val="auto"/>
                      <w:sz w:val="21"/>
                      <w:szCs w:val="21"/>
                      <w:highlight w:val="none"/>
                      <w:lang w:val="en-US" w:eastAsia="zh-CN"/>
                    </w:rPr>
                    <w:t>2000</w:t>
                  </w:r>
                </w:p>
              </w:tc>
              <w:tc>
                <w:tcPr>
                  <w:tcW w:w="1122" w:type="dxa"/>
                  <w:noWrap w:val="0"/>
                  <w:vAlign w:val="center"/>
                </w:tcPr>
                <w:p>
                  <w:pPr>
                    <w:pStyle w:val="43"/>
                    <w:keepNext w:val="0"/>
                    <w:keepLines w:val="0"/>
                    <w:pageBreakBefore w:val="0"/>
                    <w:shd w:val="clear" w:color="auto" w:fill="auto"/>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eastAsia" w:cs="Times New Roman"/>
                      <w:color w:val="auto"/>
                      <w:sz w:val="21"/>
                      <w:szCs w:val="21"/>
                      <w:highlight w:val="none"/>
                      <w:shd w:val="clear" w:color="auto" w:fill="auto"/>
                      <w:lang w:val="en-US" w:eastAsia="zh-CN"/>
                    </w:rPr>
                    <w:t>730～990</w:t>
                  </w:r>
                </w:p>
              </w:tc>
              <w:tc>
                <w:tcPr>
                  <w:tcW w:w="1072" w:type="dxa"/>
                  <w:noWrap w:val="0"/>
                  <w:vAlign w:val="center"/>
                </w:tcPr>
                <w:p>
                  <w:pPr>
                    <w:pStyle w:val="43"/>
                    <w:keepNext w:val="0"/>
                    <w:keepLines w:val="0"/>
                    <w:pageBreakBefore w:val="0"/>
                    <w:shd w:val="clear" w:color="auto" w:fill="auto"/>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eastAsia" w:cs="Times New Roman"/>
                      <w:color w:val="auto"/>
                      <w:sz w:val="21"/>
                      <w:szCs w:val="21"/>
                      <w:highlight w:val="none"/>
                      <w:shd w:val="clear" w:color="auto" w:fill="auto"/>
                      <w:lang w:val="en-US" w:eastAsia="zh-CN"/>
                    </w:rPr>
                    <w:t>49.5</w:t>
                  </w:r>
                </w:p>
              </w:tc>
              <w:tc>
                <w:tcPr>
                  <w:tcW w:w="804" w:type="dxa"/>
                  <w:noWrap w:val="0"/>
                  <w:vAlign w:val="center"/>
                </w:tcPr>
                <w:p>
                  <w:pPr>
                    <w:pStyle w:val="43"/>
                    <w:keepNext w:val="0"/>
                    <w:keepLines w:val="0"/>
                    <w:pageBreakBefore w:val="0"/>
                    <w:shd w:val="clear" w:color="auto" w:fill="auto"/>
                    <w:kinsoku/>
                    <w:wordWrap/>
                    <w:overflowPunct/>
                    <w:topLinePunct w:val="0"/>
                    <w:autoSpaceDE/>
                    <w:autoSpaceDN/>
                    <w:bidi w:val="0"/>
                    <w:adjustRightInd w:val="0"/>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eastAsia="宋体" w:cs="Times New Roman"/>
                      <w:color w:val="auto"/>
                      <w:sz w:val="21"/>
                      <w:szCs w:val="21"/>
                      <w:highlight w:val="none"/>
                      <w:shd w:val="clear" w:color="auto" w:fill="auto"/>
                      <w:lang w:val="en-US" w:eastAsia="zh-CN"/>
                    </w:rPr>
                    <w:t>0</w:t>
                  </w:r>
                </w:p>
              </w:tc>
              <w:tc>
                <w:tcPr>
                  <w:tcW w:w="720" w:type="dxa"/>
                  <w:noWrap w:val="0"/>
                  <w:vAlign w:val="center"/>
                </w:tcPr>
                <w:p>
                  <w:pPr>
                    <w:pStyle w:val="43"/>
                    <w:keepNext w:val="0"/>
                    <w:keepLines w:val="0"/>
                    <w:pageBreakBefore w:val="0"/>
                    <w:shd w:val="clear" w:color="auto" w:fill="auto"/>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eastAsia="宋体" w:cs="Times New Roman"/>
                      <w:color w:val="auto"/>
                      <w:sz w:val="21"/>
                      <w:szCs w:val="21"/>
                      <w:highlight w:val="none"/>
                      <w:shd w:val="clear" w:color="auto" w:fill="auto"/>
                      <w:lang w:val="en-US" w:eastAsia="zh-CN"/>
                    </w:rPr>
                    <w:t>达标</w:t>
                  </w:r>
                </w:p>
              </w:tc>
            </w:tr>
          </w:tbl>
          <w:p>
            <w:pPr>
              <w:bidi w:val="0"/>
              <w:rPr>
                <w:rFonts w:hint="default"/>
                <w:color w:val="auto"/>
                <w:highlight w:val="none"/>
              </w:rPr>
            </w:pPr>
            <w:r>
              <w:rPr>
                <w:rFonts w:hint="default"/>
                <w:color w:val="auto"/>
                <w:highlight w:val="none"/>
              </w:rPr>
              <w:t>由上表可以看出，其他污染物非甲烷总烃</w:t>
            </w:r>
            <w:r>
              <w:rPr>
                <w:rFonts w:hint="eastAsia"/>
                <w:color w:val="auto"/>
                <w:highlight w:val="none"/>
                <w:lang w:val="en-US" w:eastAsia="zh-CN"/>
              </w:rPr>
              <w:t>1</w:t>
            </w:r>
            <w:r>
              <w:rPr>
                <w:rFonts w:hint="default"/>
                <w:color w:val="auto"/>
                <w:highlight w:val="none"/>
              </w:rPr>
              <w:t>小时</w:t>
            </w:r>
            <w:r>
              <w:rPr>
                <w:rFonts w:hint="eastAsia"/>
                <w:color w:val="auto"/>
                <w:highlight w:val="none"/>
                <w:lang w:val="en-US" w:eastAsia="zh-CN"/>
              </w:rPr>
              <w:t>平均</w:t>
            </w:r>
            <w:r>
              <w:rPr>
                <w:rFonts w:hint="default"/>
                <w:color w:val="auto"/>
                <w:highlight w:val="none"/>
              </w:rPr>
              <w:t>浓度满足《环境空气质量 非甲烷总烃</w:t>
            </w:r>
            <w:r>
              <w:rPr>
                <w:rFonts w:hint="eastAsia"/>
                <w:color w:val="auto"/>
                <w:highlight w:val="none"/>
                <w:lang w:val="en-US" w:eastAsia="zh-CN"/>
              </w:rPr>
              <w:t>限值</w:t>
            </w:r>
            <w:r>
              <w:rPr>
                <w:rFonts w:hint="default"/>
                <w:color w:val="auto"/>
                <w:highlight w:val="none"/>
              </w:rPr>
              <w:t>》（DB13/1577-2012）</w:t>
            </w:r>
            <w:r>
              <w:rPr>
                <w:rFonts w:hint="eastAsia"/>
                <w:color w:val="auto"/>
                <w:highlight w:val="none"/>
                <w:lang w:val="en-US" w:eastAsia="zh-CN"/>
              </w:rPr>
              <w:t>限值的要求</w:t>
            </w:r>
            <w:r>
              <w:rPr>
                <w:rFonts w:hint="eastAsia"/>
                <w:color w:val="auto"/>
                <w:highlight w:val="none"/>
                <w:lang w:eastAsia="zh-CN"/>
              </w:rPr>
              <w:t>。</w:t>
            </w:r>
          </w:p>
          <w:p>
            <w:pPr>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b/>
                <w:bCs/>
                <w:color w:val="auto"/>
                <w:highlight w:val="none"/>
              </w:rPr>
            </w:pPr>
            <w:r>
              <w:rPr>
                <w:rFonts w:hint="eastAsia"/>
                <w:b/>
                <w:bCs/>
                <w:color w:val="auto"/>
                <w:highlight w:val="none"/>
                <w:lang w:val="en-US" w:eastAsia="zh-CN"/>
              </w:rPr>
              <w:t>2、</w:t>
            </w:r>
            <w:r>
              <w:rPr>
                <w:rFonts w:hint="default"/>
                <w:b/>
                <w:bCs/>
                <w:color w:val="auto"/>
                <w:highlight w:val="none"/>
              </w:rPr>
              <w:t>声环境</w:t>
            </w:r>
          </w:p>
          <w:p>
            <w:pPr>
              <w:bidi w:val="0"/>
              <w:rPr>
                <w:rFonts w:hint="default"/>
                <w:color w:val="auto"/>
                <w:highlight w:val="none"/>
                <w:lang w:val="en-US" w:eastAsia="zh-CN"/>
              </w:rPr>
            </w:pPr>
            <w:r>
              <w:rPr>
                <w:rFonts w:hint="default"/>
                <w:color w:val="auto"/>
                <w:highlight w:val="none"/>
                <w:lang w:val="en-US" w:eastAsia="zh-CN"/>
              </w:rPr>
              <w:t>本项目</w:t>
            </w:r>
            <w:r>
              <w:rPr>
                <w:rFonts w:hint="default"/>
                <w:color w:val="auto"/>
                <w:highlight w:val="none"/>
                <w:lang w:val="zh-CN"/>
              </w:rPr>
              <w:t>厂址</w:t>
            </w:r>
            <w:r>
              <w:rPr>
                <w:rFonts w:hint="default"/>
                <w:color w:val="auto"/>
                <w:highlight w:val="none"/>
                <w:lang w:val="zh-CN" w:eastAsia="zh-CN"/>
              </w:rPr>
              <w:t>所在地</w:t>
            </w:r>
            <w:r>
              <w:rPr>
                <w:rFonts w:hint="eastAsia"/>
                <w:color w:val="auto"/>
                <w:highlight w:val="none"/>
                <w:lang w:val="en-US" w:eastAsia="zh-CN"/>
              </w:rPr>
              <w:t>主要为工业</w:t>
            </w:r>
            <w:r>
              <w:rPr>
                <w:rFonts w:hint="default"/>
                <w:color w:val="auto"/>
                <w:highlight w:val="none"/>
                <w:lang w:val="zh-CN"/>
              </w:rPr>
              <w:t>用地，</w:t>
            </w:r>
            <w:r>
              <w:rPr>
                <w:rFonts w:hint="eastAsia"/>
                <w:color w:val="auto"/>
                <w:highlight w:val="none"/>
                <w:lang w:val="en-US" w:eastAsia="zh-CN"/>
              </w:rPr>
              <w:t>厂界外50米范围内无声环境敏感点，</w:t>
            </w:r>
            <w:r>
              <w:rPr>
                <w:rFonts w:hint="default"/>
                <w:color w:val="auto"/>
                <w:highlight w:val="none"/>
                <w:lang w:val="zh-CN"/>
              </w:rPr>
              <w:t>项目所在地声环境质量较好</w:t>
            </w:r>
            <w:r>
              <w:rPr>
                <w:rFonts w:hint="default"/>
                <w:color w:val="auto"/>
                <w:highlight w:val="none"/>
                <w:lang w:val="en-US" w:eastAsia="zh-CN"/>
              </w:rPr>
              <w:t>。</w:t>
            </w:r>
          </w:p>
          <w:p>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eastAsia="宋体"/>
                <w:b/>
                <w:bCs/>
                <w:color w:val="auto"/>
                <w:highlight w:val="none"/>
                <w:lang w:val="en-US" w:eastAsia="zh-CN"/>
              </w:rPr>
            </w:pPr>
            <w:r>
              <w:rPr>
                <w:b/>
                <w:bCs/>
                <w:color w:val="auto"/>
                <w:highlight w:val="none"/>
              </w:rPr>
              <w:t>3、地表水</w:t>
            </w:r>
            <w:r>
              <w:rPr>
                <w:rFonts w:hint="eastAsia"/>
                <w:b/>
                <w:bCs/>
                <w:color w:val="auto"/>
                <w:highlight w:val="none"/>
                <w:lang w:val="en-US" w:eastAsia="zh-CN"/>
              </w:rPr>
              <w:t>环境</w:t>
            </w:r>
          </w:p>
          <w:p>
            <w:pPr>
              <w:pStyle w:val="44"/>
              <w:keepNext w:val="0"/>
              <w:keepLines w:val="0"/>
              <w:pageBreakBefore w:val="0"/>
              <w:kinsoku/>
              <w:wordWrap/>
              <w:overflowPunct/>
              <w:topLinePunct w:val="0"/>
              <w:autoSpaceDE/>
              <w:autoSpaceDN/>
              <w:bidi w:val="0"/>
              <w:snapToGrid/>
              <w:spacing w:line="480" w:lineRule="exact"/>
              <w:ind w:firstLine="480" w:firstLineChars="200"/>
              <w:textAlignment w:val="auto"/>
              <w:rPr>
                <w:rFonts w:hint="eastAsia" w:eastAsia="宋体" w:cs="Times New Roman"/>
                <w:bCs/>
                <w:smallCaps w:val="0"/>
                <w:snapToGrid/>
                <w:color w:val="auto"/>
                <w:spacing w:val="0"/>
                <w:kern w:val="2"/>
                <w:position w:val="0"/>
                <w:sz w:val="24"/>
                <w:szCs w:val="24"/>
                <w:highlight w:val="none"/>
                <w:lang w:val="en-US" w:eastAsia="zh-CN" w:bidi="ar-SA"/>
              </w:rPr>
            </w:pPr>
            <w:r>
              <w:rPr>
                <w:rFonts w:hint="eastAsia" w:eastAsia="宋体" w:cs="Times New Roman"/>
                <w:bCs/>
                <w:smallCaps w:val="0"/>
                <w:snapToGrid/>
                <w:color w:val="auto"/>
                <w:spacing w:val="0"/>
                <w:kern w:val="2"/>
                <w:position w:val="0"/>
                <w:sz w:val="24"/>
                <w:szCs w:val="24"/>
                <w:highlight w:val="none"/>
                <w:lang w:val="en-US" w:eastAsia="zh-CN" w:bidi="ar-SA"/>
              </w:rPr>
              <w:t>本项目无废水产生，</w:t>
            </w:r>
            <w:r>
              <w:rPr>
                <w:rFonts w:hint="eastAsia" w:ascii="Times New Roman" w:hAnsi="Times New Roman" w:eastAsia="宋体" w:cs="Times New Roman"/>
                <w:color w:val="auto"/>
                <w:sz w:val="24"/>
                <w:szCs w:val="24"/>
                <w:highlight w:val="none"/>
                <w:shd w:val="clear" w:color="auto" w:fill="auto"/>
                <w:lang w:val="en-US" w:eastAsia="zh-CN"/>
              </w:rPr>
              <w:t>不会对周边地表</w:t>
            </w:r>
            <w:r>
              <w:rPr>
                <w:rFonts w:hint="default" w:ascii="Times New Roman" w:hAnsi="Times New Roman" w:eastAsia="宋体" w:cs="Times New Roman"/>
                <w:color w:val="auto"/>
                <w:sz w:val="24"/>
                <w:szCs w:val="24"/>
                <w:highlight w:val="none"/>
                <w:shd w:val="clear" w:color="auto" w:fill="auto"/>
              </w:rPr>
              <w:t>水环境</w:t>
            </w:r>
            <w:r>
              <w:rPr>
                <w:rFonts w:hint="eastAsia" w:ascii="Times New Roman" w:hAnsi="Times New Roman" w:eastAsia="宋体" w:cs="Times New Roman"/>
                <w:color w:val="auto"/>
                <w:sz w:val="24"/>
                <w:szCs w:val="24"/>
                <w:highlight w:val="none"/>
                <w:shd w:val="clear" w:color="auto" w:fill="auto"/>
                <w:lang w:val="en-US" w:eastAsia="zh-CN"/>
              </w:rPr>
              <w:t>造成</w:t>
            </w:r>
            <w:r>
              <w:rPr>
                <w:rFonts w:hint="default" w:ascii="Times New Roman" w:hAnsi="Times New Roman" w:eastAsia="宋体" w:cs="Times New Roman"/>
                <w:color w:val="auto"/>
                <w:sz w:val="24"/>
                <w:szCs w:val="24"/>
                <w:highlight w:val="none"/>
                <w:shd w:val="clear" w:color="auto" w:fill="auto"/>
              </w:rPr>
              <w:t>影响</w:t>
            </w:r>
            <w:r>
              <w:rPr>
                <w:rFonts w:hint="eastAsia" w:eastAsia="宋体" w:cs="Times New Roman"/>
                <w:bCs/>
                <w:smallCaps w:val="0"/>
                <w:snapToGrid/>
                <w:color w:val="auto"/>
                <w:spacing w:val="0"/>
                <w:kern w:val="2"/>
                <w:position w:val="0"/>
                <w:sz w:val="24"/>
                <w:szCs w:val="24"/>
                <w:highlight w:val="none"/>
                <w:lang w:val="en-US" w:eastAsia="zh-CN" w:bidi="ar-SA"/>
              </w:rPr>
              <w:t>。</w:t>
            </w:r>
          </w:p>
          <w:p>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根据《2022年唐山市生态环境状况公报》，2022年全市共有地表水国、省考监测断面14个，分布于滦河、还乡河、陡河、青龙河、蓟运河、煤河、淋河、黎河、沙河9条河流，2022年国、省考核9条河流14个断面水质全部达标，11个断面达到地表水Ⅲ类及以上水质标准，优良（Ⅰ-Ⅲ）比例为78.57%。</w:t>
            </w:r>
          </w:p>
          <w:p>
            <w:pPr>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Times New Roman" w:hAnsi="Times New Roman" w:eastAsia="宋体" w:cs="Times New Roman"/>
                <w:b/>
                <w:bCs/>
                <w:color w:val="auto"/>
                <w:highlight w:val="none"/>
                <w:lang w:val="en-US" w:eastAsia="zh-CN"/>
              </w:rPr>
            </w:pPr>
            <w:r>
              <w:rPr>
                <w:rFonts w:hint="eastAsia" w:cs="Times New Roman"/>
                <w:b/>
                <w:bCs/>
                <w:color w:val="auto"/>
                <w:highlight w:val="none"/>
                <w:lang w:val="en-US" w:eastAsia="zh-CN"/>
              </w:rPr>
              <w:t>4、</w:t>
            </w:r>
            <w:r>
              <w:rPr>
                <w:rFonts w:hint="eastAsia" w:ascii="Times New Roman" w:hAnsi="Times New Roman" w:eastAsia="宋体" w:cs="Times New Roman"/>
                <w:b/>
                <w:bCs/>
                <w:color w:val="auto"/>
                <w:highlight w:val="none"/>
                <w:lang w:val="en-US" w:eastAsia="zh-CN"/>
              </w:rPr>
              <w:t>地下水环境</w:t>
            </w:r>
          </w:p>
          <w:p>
            <w:pPr>
              <w:bidi w:val="0"/>
              <w:rPr>
                <w:rFonts w:hint="eastAsia"/>
                <w:color w:val="auto"/>
                <w:lang w:val="en-US" w:eastAsia="zh-CN"/>
              </w:rPr>
            </w:pPr>
            <w:r>
              <w:rPr>
                <w:rFonts w:hint="eastAsia"/>
                <w:color w:val="auto"/>
                <w:lang w:val="en-US" w:eastAsia="zh-CN"/>
              </w:rPr>
              <w:t>本项目不在地下水水源地保护区内，项目厂界外500米范围内无地下水集中式饮用水水源和热水、矿泉水、温泉等特殊地下水资源，无地下水环境保护目标。</w:t>
            </w:r>
          </w:p>
          <w:p>
            <w:pPr>
              <w:bidi w:val="0"/>
              <w:rPr>
                <w:rFonts w:hint="default"/>
                <w:color w:val="auto"/>
                <w:highlight w:val="none"/>
                <w:lang w:val="en-US" w:eastAsia="zh-CN"/>
              </w:rPr>
            </w:pPr>
            <w:r>
              <w:rPr>
                <w:rFonts w:hint="eastAsia"/>
                <w:color w:val="auto"/>
                <w:lang w:val="en-US" w:eastAsia="zh-CN"/>
              </w:rPr>
              <w:t>现有工程使用的镀膜液、电极银浆、润滑油密闭桶装，储存于危险品储存区，</w:t>
            </w:r>
            <w:r>
              <w:rPr>
                <w:rFonts w:hint="eastAsia"/>
                <w:color w:val="auto"/>
                <w:highlight w:val="none"/>
                <w:lang w:val="en-US" w:eastAsia="zh-CN"/>
              </w:rPr>
              <w:t>地面进行硬化、防腐防渗处理，渗透系数</w:t>
            </w:r>
            <w:r>
              <w:rPr>
                <w:rFonts w:hint="default" w:ascii="Times New Roman" w:hAnsi="Times New Roman" w:cs="Times New Roman"/>
                <w:color w:val="auto"/>
                <w:highlight w:val="none"/>
                <w:lang w:val="en-US" w:eastAsia="zh-CN"/>
              </w:rPr>
              <w:t>≤</w:t>
            </w:r>
            <w:r>
              <w:rPr>
                <w:rFonts w:hint="eastAsia"/>
                <w:color w:val="auto"/>
                <w:highlight w:val="none"/>
                <w:lang w:val="en-US" w:eastAsia="zh-CN"/>
              </w:rPr>
              <w:t>10</w:t>
            </w:r>
            <w:r>
              <w:rPr>
                <w:rFonts w:hint="eastAsia"/>
                <w:color w:val="auto"/>
                <w:highlight w:val="none"/>
                <w:vertAlign w:val="superscript"/>
                <w:lang w:val="en-US" w:eastAsia="zh-CN"/>
              </w:rPr>
              <w:t>-10</w:t>
            </w:r>
            <w:r>
              <w:rPr>
                <w:rFonts w:hint="eastAsia"/>
                <w:color w:val="auto"/>
                <w:highlight w:val="none"/>
                <w:lang w:val="en-US" w:eastAsia="zh-CN"/>
              </w:rPr>
              <w:t>cm/s；废润滑油液桶装加盖，储存在危废间内，下设铁质托盘，地面及裙角进行硬化、防腐防渗处理，渗透系数</w:t>
            </w:r>
            <w:r>
              <w:rPr>
                <w:rFonts w:hint="default" w:ascii="Times New Roman" w:hAnsi="Times New Roman" w:cs="Times New Roman"/>
                <w:color w:val="auto"/>
                <w:highlight w:val="none"/>
                <w:lang w:val="en-US" w:eastAsia="zh-CN"/>
              </w:rPr>
              <w:t>≤</w:t>
            </w:r>
            <w:r>
              <w:rPr>
                <w:rFonts w:hint="eastAsia"/>
                <w:color w:val="auto"/>
                <w:highlight w:val="none"/>
                <w:lang w:val="en-US" w:eastAsia="zh-CN"/>
              </w:rPr>
              <w:t>10</w:t>
            </w:r>
            <w:r>
              <w:rPr>
                <w:rFonts w:hint="eastAsia"/>
                <w:color w:val="auto"/>
                <w:highlight w:val="none"/>
                <w:vertAlign w:val="superscript"/>
                <w:lang w:val="en-US" w:eastAsia="zh-CN"/>
              </w:rPr>
              <w:t>-10</w:t>
            </w:r>
            <w:r>
              <w:rPr>
                <w:rFonts w:hint="eastAsia"/>
                <w:color w:val="auto"/>
                <w:highlight w:val="none"/>
                <w:lang w:val="en-US" w:eastAsia="zh-CN"/>
              </w:rPr>
              <w:t>cm/s；碱液喷淋塔循环水箱采用封闭的碳钢结构，内部涂刷防腐材料；基体镀膜冷却用水储存于塑料箱中，防止生产过程中发生跑、冒、滴、漏现象；使用润滑油设备下方设置铁质焊接托盘，无缝隙，不渗漏，确保废润滑油不落地；生产车间其他区域的建设进行基础防渗处理。</w:t>
            </w:r>
          </w:p>
          <w:p>
            <w:pPr>
              <w:bidi w:val="0"/>
              <w:rPr>
                <w:rFonts w:hint="eastAsia"/>
                <w:color w:val="auto"/>
                <w:highlight w:val="yellow"/>
                <w:lang w:val="en-US" w:eastAsia="zh-CN"/>
              </w:rPr>
            </w:pPr>
            <w:r>
              <w:rPr>
                <w:rFonts w:hint="eastAsia"/>
                <w:color w:val="auto"/>
                <w:highlight w:val="none"/>
                <w:lang w:val="en-US" w:eastAsia="zh-CN"/>
              </w:rPr>
              <w:t>本项目所用润滑油、导电浆料原料密闭桶装储存于现有危险品储存区；新增废润滑油桶装加盖，暂存于现有危废间内；新增使用润滑油设备下方设置铁质焊接托盘，无缝隙，不渗漏，确保废润滑油不落地。</w:t>
            </w:r>
          </w:p>
          <w:p>
            <w:pPr>
              <w:bidi w:val="0"/>
              <w:rPr>
                <w:rFonts w:hint="default"/>
                <w:color w:val="auto"/>
                <w:highlight w:val="none"/>
                <w:lang w:val="en-US" w:eastAsia="zh-CN"/>
              </w:rPr>
            </w:pPr>
            <w:r>
              <w:rPr>
                <w:rFonts w:hint="eastAsia"/>
                <w:color w:val="auto"/>
                <w:highlight w:val="none"/>
                <w:lang w:val="en-US" w:eastAsia="zh-CN"/>
              </w:rPr>
              <w:t>综上所述，现有工程已采取相应措施，阻断了地下水环境污染途径，本项目采取相应措施后，阻断了地下水环境污染途径，故不开展地下水环境质量现状调查。</w:t>
            </w:r>
          </w:p>
          <w:p>
            <w:pPr>
              <w:bidi w:val="0"/>
              <w:ind w:left="0" w:leftChars="0" w:firstLine="0" w:firstLineChars="0"/>
              <w:rPr>
                <w:b/>
                <w:bCs/>
                <w:color w:val="auto"/>
                <w:highlight w:val="none"/>
              </w:rPr>
            </w:pPr>
            <w:r>
              <w:rPr>
                <w:rFonts w:hint="eastAsia"/>
                <w:b/>
                <w:bCs/>
                <w:color w:val="auto"/>
                <w:highlight w:val="none"/>
                <w:lang w:val="en-US" w:eastAsia="zh-CN"/>
              </w:rPr>
              <w:t>5</w:t>
            </w:r>
            <w:r>
              <w:rPr>
                <w:b/>
                <w:bCs/>
                <w:color w:val="auto"/>
                <w:highlight w:val="none"/>
              </w:rPr>
              <w:t>、生态</w:t>
            </w:r>
          </w:p>
          <w:p>
            <w:pPr>
              <w:bidi w:val="0"/>
              <w:rPr>
                <w:rFonts w:hint="default"/>
                <w:color w:val="auto"/>
                <w:highlight w:val="none"/>
                <w:lang w:val="zh-CN"/>
              </w:rPr>
            </w:pPr>
            <w:r>
              <w:rPr>
                <w:rFonts w:hint="eastAsia"/>
                <w:color w:val="auto"/>
                <w:highlight w:val="none"/>
                <w:lang w:val="en-US" w:eastAsia="zh-CN"/>
              </w:rPr>
              <w:t>本项目</w:t>
            </w:r>
            <w:r>
              <w:rPr>
                <w:rFonts w:hint="eastAsia"/>
                <w:color w:val="auto"/>
                <w:highlight w:val="none"/>
                <w:lang w:val="zh-CN" w:eastAsia="zh-CN"/>
              </w:rPr>
              <w:t>不新增占地，</w:t>
            </w:r>
            <w:r>
              <w:rPr>
                <w:rFonts w:hint="eastAsia"/>
                <w:color w:val="auto"/>
                <w:highlight w:val="none"/>
                <w:lang w:val="en-US" w:eastAsia="zh-CN"/>
              </w:rPr>
              <w:t>在厂区内进行建设，</w:t>
            </w:r>
            <w:r>
              <w:rPr>
                <w:rFonts w:hint="eastAsia"/>
                <w:color w:val="auto"/>
                <w:szCs w:val="21"/>
                <w:highlight w:val="none"/>
              </w:rPr>
              <w:t>无需</w:t>
            </w:r>
            <w:r>
              <w:rPr>
                <w:color w:val="auto"/>
                <w:szCs w:val="21"/>
                <w:highlight w:val="none"/>
              </w:rPr>
              <w:t>开展</w:t>
            </w:r>
            <w:r>
              <w:rPr>
                <w:rFonts w:hint="eastAsia"/>
                <w:color w:val="auto"/>
                <w:szCs w:val="21"/>
                <w:highlight w:val="none"/>
              </w:rPr>
              <w:t>生态</w:t>
            </w:r>
            <w:r>
              <w:rPr>
                <w:color w:val="auto"/>
                <w:szCs w:val="21"/>
                <w:highlight w:val="none"/>
              </w:rPr>
              <w:t>现状调查</w:t>
            </w:r>
            <w:r>
              <w:rPr>
                <w:rFonts w:hint="eastAsia"/>
                <w:color w:val="auto"/>
                <w:highlight w:val="none"/>
                <w:lang w:val="zh-CN"/>
              </w:rPr>
              <w:t>。</w:t>
            </w:r>
          </w:p>
          <w:p>
            <w:pPr>
              <w:keepNext w:val="0"/>
              <w:keepLines w:val="0"/>
              <w:pageBreakBefore w:val="0"/>
              <w:widowControl w:val="0"/>
              <w:numPr>
                <w:ilvl w:val="0"/>
                <w:numId w:val="24"/>
              </w:numPr>
              <w:kinsoku/>
              <w:wordWrap/>
              <w:overflowPunct/>
              <w:topLinePunct w:val="0"/>
              <w:autoSpaceDE/>
              <w:autoSpaceDN/>
              <w:bidi w:val="0"/>
              <w:adjustRightInd/>
              <w:snapToGrid/>
              <w:spacing w:line="480" w:lineRule="atLeast"/>
              <w:ind w:firstLine="0" w:firstLineChars="0"/>
              <w:textAlignment w:val="auto"/>
              <w:rPr>
                <w:rFonts w:hint="eastAsia" w:ascii="Times New Roman" w:hAnsi="Times New Roman" w:eastAsia="宋体" w:cs="Times New Roman"/>
                <w:b/>
                <w:color w:val="auto"/>
                <w:sz w:val="24"/>
                <w:highlight w:val="none"/>
                <w:lang w:val="en-US" w:eastAsia="zh-CN"/>
              </w:rPr>
            </w:pPr>
            <w:r>
              <w:rPr>
                <w:rFonts w:hint="eastAsia" w:ascii="Times New Roman" w:hAnsi="Times New Roman" w:eastAsia="宋体" w:cs="Times New Roman"/>
                <w:b/>
                <w:color w:val="auto"/>
                <w:sz w:val="24"/>
                <w:highlight w:val="none"/>
                <w:lang w:val="en-US" w:eastAsia="zh-CN"/>
              </w:rPr>
              <w:t>电磁辐射</w:t>
            </w:r>
          </w:p>
          <w:p>
            <w:pPr>
              <w:bidi w:val="0"/>
              <w:rPr>
                <w:rFonts w:hint="default"/>
                <w:color w:val="auto"/>
                <w:highlight w:val="none"/>
                <w:lang w:val="en-US" w:eastAsia="zh-CN"/>
              </w:rPr>
            </w:pPr>
            <w:r>
              <w:rPr>
                <w:rFonts w:hint="eastAsia"/>
                <w:color w:val="auto"/>
                <w:highlight w:val="none"/>
                <w:lang w:val="en-US" w:eastAsia="zh-CN"/>
              </w:rPr>
              <w:t>本项目为其他家用电力器具制造，不涉及电磁辐射。</w:t>
            </w:r>
          </w:p>
          <w:p>
            <w:pPr>
              <w:numPr>
                <w:ilvl w:val="0"/>
                <w:numId w:val="24"/>
              </w:numPr>
              <w:ind w:left="0" w:leftChars="0" w:firstLine="0" w:firstLineChars="0"/>
              <w:rPr>
                <w:rFonts w:hint="eastAsia" w:ascii="Times New Roman" w:hAnsi="Times New Roman" w:eastAsia="宋体" w:cs="Times New Roman"/>
                <w:b/>
                <w:color w:val="auto"/>
                <w:sz w:val="24"/>
                <w:highlight w:val="none"/>
                <w:lang w:val="en-US" w:eastAsia="zh-CN"/>
              </w:rPr>
            </w:pPr>
            <w:r>
              <w:rPr>
                <w:rFonts w:hint="eastAsia" w:ascii="Times New Roman" w:hAnsi="Times New Roman" w:eastAsia="宋体" w:cs="Times New Roman"/>
                <w:b/>
                <w:color w:val="auto"/>
                <w:sz w:val="24"/>
                <w:highlight w:val="none"/>
                <w:lang w:val="en-US" w:eastAsia="zh-CN"/>
              </w:rPr>
              <w:t>土壤环境</w:t>
            </w:r>
          </w:p>
          <w:p>
            <w:pPr>
              <w:bidi w:val="0"/>
              <w:rPr>
                <w:rFonts w:hint="default"/>
                <w:color w:val="auto"/>
                <w:highlight w:val="none"/>
                <w:lang w:val="en-US" w:eastAsia="zh-CN"/>
              </w:rPr>
            </w:pPr>
            <w:r>
              <w:rPr>
                <w:rFonts w:hint="eastAsia"/>
                <w:color w:val="auto"/>
                <w:lang w:val="en-US" w:eastAsia="zh-CN"/>
              </w:rPr>
              <w:t>现有工程使用的镀膜液、电极银浆、润滑油密闭桶装，储存于危险品储存区，</w:t>
            </w:r>
            <w:r>
              <w:rPr>
                <w:rFonts w:hint="eastAsia"/>
                <w:color w:val="auto"/>
                <w:highlight w:val="none"/>
                <w:lang w:val="en-US" w:eastAsia="zh-CN"/>
              </w:rPr>
              <w:t>地面进行硬化、防腐防渗处理，渗透系数</w:t>
            </w:r>
            <w:r>
              <w:rPr>
                <w:rFonts w:hint="default" w:ascii="Times New Roman" w:hAnsi="Times New Roman" w:cs="Times New Roman"/>
                <w:color w:val="auto"/>
                <w:highlight w:val="none"/>
                <w:lang w:val="en-US" w:eastAsia="zh-CN"/>
              </w:rPr>
              <w:t>≤</w:t>
            </w:r>
            <w:r>
              <w:rPr>
                <w:rFonts w:hint="eastAsia"/>
                <w:color w:val="auto"/>
                <w:highlight w:val="none"/>
                <w:lang w:val="en-US" w:eastAsia="zh-CN"/>
              </w:rPr>
              <w:t>10</w:t>
            </w:r>
            <w:r>
              <w:rPr>
                <w:rFonts w:hint="eastAsia"/>
                <w:color w:val="auto"/>
                <w:highlight w:val="none"/>
                <w:vertAlign w:val="superscript"/>
                <w:lang w:val="en-US" w:eastAsia="zh-CN"/>
              </w:rPr>
              <w:t>-10</w:t>
            </w:r>
            <w:r>
              <w:rPr>
                <w:rFonts w:hint="eastAsia"/>
                <w:color w:val="auto"/>
                <w:highlight w:val="none"/>
                <w:lang w:val="en-US" w:eastAsia="zh-CN"/>
              </w:rPr>
              <w:t>cm/s；废润滑油液桶装加盖，储存在危废间内，下设铁质托盘，地面及裙角进行硬化、防腐防渗处理，渗透系数</w:t>
            </w:r>
            <w:r>
              <w:rPr>
                <w:rFonts w:hint="default" w:ascii="Times New Roman" w:hAnsi="Times New Roman" w:cs="Times New Roman"/>
                <w:color w:val="auto"/>
                <w:highlight w:val="none"/>
                <w:lang w:val="en-US" w:eastAsia="zh-CN"/>
              </w:rPr>
              <w:t>≤</w:t>
            </w:r>
            <w:r>
              <w:rPr>
                <w:rFonts w:hint="eastAsia"/>
                <w:color w:val="auto"/>
                <w:highlight w:val="none"/>
                <w:lang w:val="en-US" w:eastAsia="zh-CN"/>
              </w:rPr>
              <w:t>10</w:t>
            </w:r>
            <w:r>
              <w:rPr>
                <w:rFonts w:hint="eastAsia"/>
                <w:color w:val="auto"/>
                <w:highlight w:val="none"/>
                <w:vertAlign w:val="superscript"/>
                <w:lang w:val="en-US" w:eastAsia="zh-CN"/>
              </w:rPr>
              <w:t>-10</w:t>
            </w:r>
            <w:r>
              <w:rPr>
                <w:rFonts w:hint="eastAsia"/>
                <w:color w:val="auto"/>
                <w:highlight w:val="none"/>
                <w:lang w:val="en-US" w:eastAsia="zh-CN"/>
              </w:rPr>
              <w:t>cm/s；碱液喷淋塔循环水箱采用封闭的碳钢结构，内部涂刷防腐材料；基体镀膜冷却用水储存于塑料箱中，防止生产过程中发生跑、冒、滴、漏现象；使用润滑油设备下方设置铁质焊接托盘，无缝隙，不渗漏，确保废润滑油不落地；生产车间其他区域的建设进行基础防渗处理。</w:t>
            </w:r>
          </w:p>
          <w:p>
            <w:pPr>
              <w:bidi w:val="0"/>
              <w:rPr>
                <w:rFonts w:hint="eastAsia"/>
                <w:color w:val="auto"/>
                <w:highlight w:val="yellow"/>
                <w:lang w:val="en-US" w:eastAsia="zh-CN"/>
              </w:rPr>
            </w:pPr>
            <w:r>
              <w:rPr>
                <w:rFonts w:hint="eastAsia"/>
                <w:color w:val="auto"/>
                <w:highlight w:val="none"/>
                <w:lang w:val="en-US" w:eastAsia="zh-CN"/>
              </w:rPr>
              <w:t>本项目所用润滑油、导电浆料原料密闭桶装储存于现有危险品储存区；新增废润滑油桶装加盖，暂存于现有危废间内；新增使用润滑油设备下方设置铁质焊接托盘，无缝隙，不渗漏，确保废润滑油不落地。</w:t>
            </w:r>
          </w:p>
          <w:p>
            <w:pPr>
              <w:bidi w:val="0"/>
              <w:rPr>
                <w:color w:val="auto"/>
              </w:rPr>
            </w:pPr>
            <w:r>
              <w:rPr>
                <w:rFonts w:hint="eastAsia"/>
                <w:color w:val="auto"/>
                <w:lang w:val="en-US" w:eastAsia="zh-CN"/>
              </w:rPr>
              <w:t>综上所述，现有工程已采取相应措施，阻断了土壤环境污染途径，本项目采取相应措施后，阻断了土壤环境污染途径，故不开展土壤环境质量现状调查。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64" w:hRule="atLeast"/>
          <w:jc w:val="center"/>
        </w:trPr>
        <w:tc>
          <w:tcPr>
            <w:tcW w:w="854" w:type="dxa"/>
            <w:noWrap w:val="0"/>
            <w:vAlign w:val="center"/>
          </w:tcPr>
          <w:p>
            <w:pPr>
              <w:pStyle w:val="32"/>
              <w:bidi w:val="0"/>
              <w:rPr>
                <w:rFonts w:hint="eastAsia"/>
                <w:color w:val="auto"/>
                <w:sz w:val="24"/>
                <w:szCs w:val="24"/>
                <w:highlight w:val="none"/>
              </w:rPr>
            </w:pPr>
            <w:r>
              <w:rPr>
                <w:rFonts w:hint="eastAsia"/>
                <w:color w:val="auto"/>
                <w:sz w:val="24"/>
                <w:szCs w:val="24"/>
                <w:highlight w:val="none"/>
              </w:rPr>
              <w:t>环境</w:t>
            </w:r>
          </w:p>
          <w:p>
            <w:pPr>
              <w:pStyle w:val="32"/>
              <w:bidi w:val="0"/>
              <w:rPr>
                <w:rFonts w:hint="eastAsia"/>
                <w:color w:val="auto"/>
                <w:sz w:val="24"/>
                <w:szCs w:val="24"/>
                <w:highlight w:val="none"/>
              </w:rPr>
            </w:pPr>
            <w:r>
              <w:rPr>
                <w:rFonts w:hint="eastAsia"/>
                <w:color w:val="auto"/>
                <w:sz w:val="24"/>
                <w:szCs w:val="24"/>
                <w:highlight w:val="none"/>
              </w:rPr>
              <w:t>保护</w:t>
            </w:r>
          </w:p>
          <w:p>
            <w:pPr>
              <w:pStyle w:val="32"/>
              <w:bidi w:val="0"/>
              <w:ind w:firstLine="0" w:firstLineChars="0"/>
              <w:rPr>
                <w:rFonts w:hint="eastAsia" w:ascii="Times New Roman" w:hAnsi="Times New Roman" w:eastAsia="宋体" w:cs="Times New Roman"/>
                <w:color w:val="auto"/>
                <w:kern w:val="1"/>
                <w:sz w:val="24"/>
                <w:szCs w:val="24"/>
                <w:highlight w:val="none"/>
                <w:lang w:val="en-US" w:eastAsia="zh-CN" w:bidi="ar-SA"/>
              </w:rPr>
            </w:pPr>
            <w:r>
              <w:rPr>
                <w:rFonts w:hint="eastAsia"/>
                <w:color w:val="auto"/>
                <w:sz w:val="24"/>
                <w:szCs w:val="24"/>
                <w:highlight w:val="none"/>
              </w:rPr>
              <w:t>目标</w:t>
            </w:r>
          </w:p>
        </w:tc>
        <w:tc>
          <w:tcPr>
            <w:tcW w:w="8500" w:type="dxa"/>
            <w:noWrap w:val="0"/>
            <w:vAlign w:val="center"/>
          </w:tcPr>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Times New Roman" w:hAnsi="Times New Roman" w:eastAsia="宋体"/>
                <w:b w:val="0"/>
                <w:bCs w:val="0"/>
                <w:color w:val="auto"/>
                <w:sz w:val="24"/>
                <w:szCs w:val="24"/>
                <w:highlight w:val="none"/>
                <w:lang w:val="en-US" w:eastAsia="zh-CN"/>
              </w:rPr>
            </w:pPr>
            <w:r>
              <w:rPr>
                <w:rFonts w:hint="eastAsia" w:ascii="Times New Roman" w:hAnsi="Times New Roman" w:eastAsia="宋体"/>
                <w:b w:val="0"/>
                <w:bCs w:val="0"/>
                <w:color w:val="auto"/>
                <w:sz w:val="24"/>
                <w:szCs w:val="24"/>
                <w:highlight w:val="none"/>
                <w:lang w:val="en-US" w:eastAsia="zh-CN"/>
              </w:rPr>
              <w:t>大气环境：厂界外500m范围内</w:t>
            </w:r>
            <w:r>
              <w:rPr>
                <w:rFonts w:hint="eastAsia"/>
                <w:b w:val="0"/>
                <w:bCs w:val="0"/>
                <w:color w:val="auto"/>
                <w:sz w:val="24"/>
                <w:szCs w:val="24"/>
                <w:highlight w:val="none"/>
                <w:lang w:val="en-US" w:eastAsia="zh-CN"/>
              </w:rPr>
              <w:t>的大气环境保护目标为</w:t>
            </w:r>
            <w:r>
              <w:rPr>
                <w:rFonts w:hint="eastAsia"/>
                <w:color w:val="auto"/>
                <w:sz w:val="24"/>
                <w:szCs w:val="24"/>
                <w:highlight w:val="none"/>
                <w:lang w:val="en-US" w:eastAsia="zh-CN"/>
              </w:rPr>
              <w:t>东侧250m处的龙湖·天境尘林间居民区和东北侧300m处的凤城凯旋公馆2期居民区</w:t>
            </w:r>
            <w:r>
              <w:rPr>
                <w:rFonts w:hint="eastAsia" w:ascii="Times New Roman" w:hAnsi="Times New Roman" w:eastAsia="宋体"/>
                <w:b w:val="0"/>
                <w:bCs w:val="0"/>
                <w:color w:val="auto"/>
                <w:sz w:val="24"/>
                <w:szCs w:val="24"/>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Times New Roman" w:hAnsi="Times New Roman" w:eastAsia="宋体"/>
                <w:b w:val="0"/>
                <w:bCs w:val="0"/>
                <w:color w:val="auto"/>
                <w:sz w:val="24"/>
                <w:szCs w:val="24"/>
                <w:highlight w:val="none"/>
                <w:lang w:val="en-US" w:eastAsia="zh-CN"/>
              </w:rPr>
            </w:pPr>
            <w:r>
              <w:rPr>
                <w:rFonts w:hint="eastAsia" w:ascii="Times New Roman" w:hAnsi="Times New Roman" w:eastAsia="宋体"/>
                <w:b w:val="0"/>
                <w:bCs w:val="0"/>
                <w:color w:val="auto"/>
                <w:sz w:val="24"/>
                <w:szCs w:val="24"/>
                <w:highlight w:val="none"/>
                <w:lang w:val="en-US" w:eastAsia="zh-CN"/>
              </w:rPr>
              <w:t>声环境：厂界外50m范围内</w:t>
            </w:r>
            <w:r>
              <w:rPr>
                <w:rFonts w:hint="eastAsia"/>
                <w:b w:val="0"/>
                <w:bCs w:val="0"/>
                <w:color w:val="auto"/>
                <w:sz w:val="24"/>
                <w:szCs w:val="24"/>
                <w:highlight w:val="none"/>
                <w:lang w:val="en-US" w:eastAsia="zh-CN"/>
              </w:rPr>
              <w:t>无</w:t>
            </w:r>
            <w:r>
              <w:rPr>
                <w:rFonts w:hint="eastAsia" w:ascii="Times New Roman" w:hAnsi="Times New Roman" w:eastAsia="宋体"/>
                <w:b w:val="0"/>
                <w:bCs w:val="0"/>
                <w:color w:val="auto"/>
                <w:sz w:val="24"/>
                <w:szCs w:val="24"/>
                <w:highlight w:val="none"/>
                <w:lang w:val="en-US" w:eastAsia="zh-CN"/>
              </w:rPr>
              <w:t>声环境保护目标；</w:t>
            </w:r>
          </w:p>
          <w:p>
            <w:pPr>
              <w:bidi w:val="0"/>
              <w:rPr>
                <w:rFonts w:hint="eastAsia"/>
                <w:color w:val="auto"/>
                <w:lang w:val="en-US" w:eastAsia="zh-CN"/>
              </w:rPr>
            </w:pPr>
            <w:r>
              <w:rPr>
                <w:rFonts w:hint="eastAsia"/>
                <w:color w:val="auto"/>
                <w:lang w:val="en-US" w:eastAsia="zh-CN"/>
              </w:rPr>
              <w:t>地下水环境：厂界外500m范围内无地下水集中式饮用水水源和热水、矿泉水、温泉等特殊地下水资源，地下水环境保护目标主要为占地范围内的潜水含水层；</w:t>
            </w:r>
          </w:p>
          <w:p>
            <w:pPr>
              <w:keepNext w:val="0"/>
              <w:keepLines w:val="0"/>
              <w:pageBreakBefore w:val="0"/>
              <w:widowControl w:val="0"/>
              <w:kinsoku/>
              <w:wordWrap/>
              <w:overflowPunct/>
              <w:topLinePunct/>
              <w:autoSpaceDE/>
              <w:autoSpaceDN/>
              <w:bidi w:val="0"/>
              <w:adjustRightInd w:val="0"/>
              <w:snapToGrid/>
              <w:spacing w:before="0" w:line="480" w:lineRule="exact"/>
              <w:ind w:firstLine="480" w:firstLineChars="200"/>
              <w:jc w:val="left"/>
              <w:textAlignment w:val="auto"/>
              <w:rPr>
                <w:rFonts w:hint="eastAsia"/>
                <w:color w:val="auto"/>
                <w:sz w:val="24"/>
                <w:szCs w:val="24"/>
                <w:highlight w:val="none"/>
                <w:lang w:val="en-US" w:eastAsia="zh-CN"/>
              </w:rPr>
            </w:pPr>
            <w:r>
              <w:rPr>
                <w:rFonts w:hint="eastAsia" w:ascii="Times New Roman" w:hAnsi="Times New Roman" w:eastAsia="宋体"/>
                <w:b w:val="0"/>
                <w:bCs w:val="0"/>
                <w:color w:val="auto"/>
                <w:sz w:val="24"/>
                <w:szCs w:val="24"/>
                <w:highlight w:val="none"/>
                <w:lang w:val="en-US" w:eastAsia="zh-CN"/>
              </w:rPr>
              <w:t>生态环境：本项目用地范围内无生态环境保护目标</w:t>
            </w:r>
            <w:r>
              <w:rPr>
                <w:rFonts w:hint="eastAsia"/>
                <w:color w:val="auto"/>
                <w:sz w:val="24"/>
                <w:szCs w:val="24"/>
                <w:highlight w:val="none"/>
                <w:lang w:val="en-US" w:eastAsia="zh-CN"/>
              </w:rPr>
              <w:t>。</w:t>
            </w:r>
          </w:p>
          <w:p>
            <w:pPr>
              <w:bidi w:val="0"/>
              <w:rPr>
                <w:rFonts w:hint="default"/>
                <w:color w:val="auto"/>
                <w:highlight w:val="none"/>
              </w:rPr>
            </w:pPr>
            <w:r>
              <w:rPr>
                <w:rFonts w:hint="eastAsia"/>
                <w:color w:val="auto"/>
                <w:highlight w:val="none"/>
                <w:lang w:val="en-US" w:eastAsia="zh-CN"/>
              </w:rPr>
              <w:t>本项目</w:t>
            </w:r>
            <w:r>
              <w:rPr>
                <w:rFonts w:hint="default"/>
                <w:color w:val="auto"/>
                <w:highlight w:val="none"/>
              </w:rPr>
              <w:t>环境保护目标见下表。</w:t>
            </w:r>
          </w:p>
          <w:p>
            <w:pPr>
              <w:keepNext w:val="0"/>
              <w:keepLines w:val="0"/>
              <w:pageBreakBefore w:val="0"/>
              <w:widowControl w:val="0"/>
              <w:kinsoku/>
              <w:wordWrap/>
              <w:overflowPunct/>
              <w:topLinePunct w:val="0"/>
              <w:autoSpaceDE w:val="0"/>
              <w:autoSpaceDN w:val="0"/>
              <w:bidi w:val="0"/>
              <w:adjustRightInd w:val="0"/>
              <w:snapToGrid/>
              <w:spacing w:before="0" w:line="440" w:lineRule="exact"/>
              <w:ind w:firstLine="0" w:firstLineChars="0"/>
              <w:jc w:val="center"/>
              <w:textAlignment w:val="auto"/>
              <w:rPr>
                <w:rFonts w:hint="default" w:ascii="Times New Roman" w:hAnsi="Times New Roman" w:eastAsia="宋体" w:cs="Times New Roman"/>
                <w:b/>
                <w:bCs/>
                <w:color w:val="auto"/>
                <w:sz w:val="21"/>
                <w:szCs w:val="21"/>
                <w:highlight w:val="none"/>
                <w:lang w:eastAsia="zh-CN"/>
              </w:rPr>
            </w:pPr>
            <w:r>
              <w:rPr>
                <w:rFonts w:hint="default" w:ascii="Times New Roman" w:hAnsi="Times New Roman" w:eastAsia="宋体" w:cs="Times New Roman"/>
                <w:b/>
                <w:bCs/>
                <w:color w:val="auto"/>
                <w:sz w:val="21"/>
                <w:szCs w:val="21"/>
                <w:highlight w:val="none"/>
                <w:lang w:eastAsia="zh-CN"/>
              </w:rPr>
              <w:t>表</w:t>
            </w:r>
            <w:r>
              <w:rPr>
                <w:rFonts w:hint="eastAsia" w:cs="Times New Roman"/>
                <w:b/>
                <w:bCs/>
                <w:color w:val="auto"/>
                <w:sz w:val="21"/>
                <w:szCs w:val="21"/>
                <w:highlight w:val="none"/>
                <w:lang w:val="en-US" w:eastAsia="zh-CN"/>
              </w:rPr>
              <w:t>25</w:t>
            </w:r>
            <w:r>
              <w:rPr>
                <w:rFonts w:hint="default" w:ascii="Times New Roman" w:hAnsi="Times New Roman" w:eastAsia="宋体" w:cs="Times New Roman"/>
                <w:b/>
                <w:bCs/>
                <w:color w:val="auto"/>
                <w:sz w:val="21"/>
                <w:szCs w:val="21"/>
                <w:highlight w:val="none"/>
                <w:lang w:eastAsia="zh-CN"/>
              </w:rPr>
              <w:t xml:space="preserve">  环境保护目标一览表</w:t>
            </w:r>
          </w:p>
          <w:tbl>
            <w:tblPr>
              <w:tblStyle w:val="24"/>
              <w:tblW w:w="833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80"/>
              <w:gridCol w:w="1133"/>
              <w:gridCol w:w="1217"/>
              <w:gridCol w:w="1140"/>
              <w:gridCol w:w="662"/>
              <w:gridCol w:w="832"/>
              <w:gridCol w:w="786"/>
              <w:gridCol w:w="740"/>
              <w:gridCol w:w="94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857" w:type="dxa"/>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eastAsia" w:ascii="Times New Roman" w:hAnsi="Times New Roman" w:eastAsia="宋体" w:cs="Times New Roman"/>
                      <w:color w:val="auto"/>
                      <w:sz w:val="21"/>
                      <w:szCs w:val="21"/>
                      <w:highlight w:val="none"/>
                      <w:lang w:eastAsia="zh-CN"/>
                    </w:rPr>
                  </w:pPr>
                  <w:r>
                    <w:rPr>
                      <w:rFonts w:hint="eastAsia" w:ascii="Times New Roman" w:hAnsi="Times New Roman" w:cs="Times New Roman"/>
                      <w:color w:val="auto"/>
                      <w:sz w:val="21"/>
                      <w:szCs w:val="21"/>
                      <w:highlight w:val="none"/>
                      <w:lang w:val="en-US" w:eastAsia="zh-CN"/>
                    </w:rPr>
                    <w:t>类别</w:t>
                  </w:r>
                </w:p>
              </w:tc>
              <w:tc>
                <w:tcPr>
                  <w:tcW w:w="1103" w:type="dxa"/>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保护对象</w:t>
                  </w:r>
                </w:p>
              </w:tc>
              <w:tc>
                <w:tcPr>
                  <w:tcW w:w="2295" w:type="dxa"/>
                  <w:gridSpan w:val="2"/>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eastAsia" w:ascii="Times New Roman" w:hAnsi="Times New Roman" w:eastAsia="宋体" w:cs="Times New Roman"/>
                      <w:color w:val="auto"/>
                      <w:sz w:val="21"/>
                      <w:szCs w:val="21"/>
                      <w:highlight w:val="none"/>
                      <w:lang w:eastAsia="zh-CN"/>
                    </w:rPr>
                  </w:pPr>
                  <w:r>
                    <w:rPr>
                      <w:rFonts w:hint="eastAsia" w:cs="Times New Roman"/>
                      <w:color w:val="auto"/>
                      <w:sz w:val="21"/>
                      <w:szCs w:val="21"/>
                      <w:highlight w:val="none"/>
                      <w:lang w:val="en-US" w:eastAsia="zh-CN"/>
                    </w:rPr>
                    <w:t>坐标</w:t>
                  </w:r>
                </w:p>
              </w:tc>
              <w:tc>
                <w:tcPr>
                  <w:tcW w:w="645" w:type="dxa"/>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保护对象</w:t>
                  </w:r>
                </w:p>
              </w:tc>
              <w:tc>
                <w:tcPr>
                  <w:tcW w:w="810" w:type="dxa"/>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保护内容</w:t>
                  </w:r>
                </w:p>
              </w:tc>
              <w:tc>
                <w:tcPr>
                  <w:tcW w:w="765" w:type="dxa"/>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环境功能区</w:t>
                  </w:r>
                </w:p>
              </w:tc>
              <w:tc>
                <w:tcPr>
                  <w:tcW w:w="720" w:type="dxa"/>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相对厂址方位</w:t>
                  </w:r>
                </w:p>
              </w:tc>
              <w:tc>
                <w:tcPr>
                  <w:tcW w:w="919" w:type="dxa"/>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相对厂界距离</w:t>
                  </w:r>
                  <w:r>
                    <w:rPr>
                      <w:rFonts w:hint="eastAsia"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m</w:t>
                  </w:r>
                  <w:r>
                    <w:rPr>
                      <w:rFonts w:hint="eastAsia" w:cs="Times New Roman"/>
                      <w:color w:val="auto"/>
                      <w:sz w:val="21"/>
                      <w:szCs w:val="21"/>
                      <w:highlight w:val="none"/>
                      <w:lang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857"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color w:val="auto"/>
                      <w:sz w:val="21"/>
                      <w:szCs w:val="21"/>
                      <w:highlight w:val="none"/>
                    </w:rPr>
                  </w:pPr>
                </w:p>
              </w:tc>
              <w:tc>
                <w:tcPr>
                  <w:tcW w:w="1103"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default" w:ascii="Times New Roman" w:hAnsi="Times New Roman" w:eastAsia="宋体" w:cs="Times New Roman"/>
                      <w:color w:val="auto"/>
                      <w:sz w:val="21"/>
                      <w:szCs w:val="21"/>
                      <w:highlight w:val="none"/>
                    </w:rPr>
                  </w:pPr>
                </w:p>
              </w:tc>
              <w:tc>
                <w:tcPr>
                  <w:tcW w:w="1185"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东经（°）</w:t>
                  </w:r>
                </w:p>
              </w:tc>
              <w:tc>
                <w:tcPr>
                  <w:tcW w:w="1110"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北纬（°）</w:t>
                  </w:r>
                </w:p>
              </w:tc>
              <w:tc>
                <w:tcPr>
                  <w:tcW w:w="64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default" w:ascii="Times New Roman" w:hAnsi="Times New Roman" w:eastAsia="宋体" w:cs="Times New Roman"/>
                      <w:color w:val="auto"/>
                      <w:sz w:val="21"/>
                      <w:szCs w:val="21"/>
                      <w:highlight w:val="none"/>
                    </w:rPr>
                  </w:pPr>
                </w:p>
              </w:tc>
              <w:tc>
                <w:tcPr>
                  <w:tcW w:w="810"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default" w:ascii="Times New Roman" w:hAnsi="Times New Roman" w:eastAsia="宋体" w:cs="Times New Roman"/>
                      <w:color w:val="auto"/>
                      <w:sz w:val="21"/>
                      <w:szCs w:val="21"/>
                      <w:highlight w:val="none"/>
                    </w:rPr>
                  </w:pPr>
                </w:p>
              </w:tc>
              <w:tc>
                <w:tcPr>
                  <w:tcW w:w="76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default" w:ascii="Times New Roman" w:hAnsi="Times New Roman" w:eastAsia="宋体" w:cs="Times New Roman"/>
                      <w:color w:val="auto"/>
                      <w:sz w:val="21"/>
                      <w:szCs w:val="21"/>
                      <w:highlight w:val="none"/>
                    </w:rPr>
                  </w:pPr>
                </w:p>
              </w:tc>
              <w:tc>
                <w:tcPr>
                  <w:tcW w:w="720"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919"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default" w:ascii="Times New Roman" w:hAnsi="Times New Roman" w:eastAsia="宋体" w:cs="Times New Roman"/>
                      <w:color w:val="auto"/>
                      <w:sz w:val="21"/>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857" w:type="dxa"/>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大气环境</w:t>
                  </w:r>
                </w:p>
              </w:tc>
              <w:tc>
                <w:tcPr>
                  <w:tcW w:w="1103"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龙湖·天境尘林间</w:t>
                  </w:r>
                </w:p>
              </w:tc>
              <w:tc>
                <w:tcPr>
                  <w:tcW w:w="1185"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118.152818</w:t>
                  </w:r>
                </w:p>
              </w:tc>
              <w:tc>
                <w:tcPr>
                  <w:tcW w:w="1110"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39.705777</w:t>
                  </w:r>
                </w:p>
              </w:tc>
              <w:tc>
                <w:tcPr>
                  <w:tcW w:w="645"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居民</w:t>
                  </w:r>
                </w:p>
              </w:tc>
              <w:tc>
                <w:tcPr>
                  <w:tcW w:w="810"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居民区</w:t>
                  </w:r>
                </w:p>
              </w:tc>
              <w:tc>
                <w:tcPr>
                  <w:tcW w:w="765"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二类区</w:t>
                  </w:r>
                </w:p>
              </w:tc>
              <w:tc>
                <w:tcPr>
                  <w:tcW w:w="720"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E</w:t>
                  </w:r>
                </w:p>
              </w:tc>
              <w:tc>
                <w:tcPr>
                  <w:tcW w:w="919"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857"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eastAsia" w:ascii="Times New Roman" w:hAnsi="Times New Roman" w:cs="Times New Roman"/>
                      <w:color w:val="auto"/>
                      <w:sz w:val="21"/>
                      <w:szCs w:val="21"/>
                      <w:highlight w:val="none"/>
                      <w:lang w:val="en-US" w:eastAsia="zh-CN"/>
                    </w:rPr>
                  </w:pPr>
                </w:p>
              </w:tc>
              <w:tc>
                <w:tcPr>
                  <w:tcW w:w="1103"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凤城凯旋公馆2期</w:t>
                  </w:r>
                </w:p>
              </w:tc>
              <w:tc>
                <w:tcPr>
                  <w:tcW w:w="1185"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118.152671</w:t>
                  </w:r>
                </w:p>
              </w:tc>
              <w:tc>
                <w:tcPr>
                  <w:tcW w:w="1110"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39.708435</w:t>
                  </w:r>
                </w:p>
              </w:tc>
              <w:tc>
                <w:tcPr>
                  <w:tcW w:w="645"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居民</w:t>
                  </w:r>
                </w:p>
              </w:tc>
              <w:tc>
                <w:tcPr>
                  <w:tcW w:w="810"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eastAsia"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居民区</w:t>
                  </w:r>
                </w:p>
              </w:tc>
              <w:tc>
                <w:tcPr>
                  <w:tcW w:w="765"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二类区</w:t>
                  </w:r>
                </w:p>
              </w:tc>
              <w:tc>
                <w:tcPr>
                  <w:tcW w:w="720"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NE</w:t>
                  </w:r>
                </w:p>
              </w:tc>
              <w:tc>
                <w:tcPr>
                  <w:tcW w:w="919"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300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857"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地下水环境</w:t>
                  </w:r>
                </w:p>
              </w:tc>
              <w:tc>
                <w:tcPr>
                  <w:tcW w:w="1103"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厂区内地下水潜水层</w:t>
                  </w:r>
                </w:p>
              </w:tc>
              <w:tc>
                <w:tcPr>
                  <w:tcW w:w="1185"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w:t>
                  </w:r>
                </w:p>
              </w:tc>
              <w:tc>
                <w:tcPr>
                  <w:tcW w:w="1110"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w:t>
                  </w:r>
                </w:p>
              </w:tc>
              <w:tc>
                <w:tcPr>
                  <w:tcW w:w="645"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地下水</w:t>
                  </w:r>
                </w:p>
              </w:tc>
              <w:tc>
                <w:tcPr>
                  <w:tcW w:w="810"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地下水潜水层</w:t>
                  </w:r>
                </w:p>
              </w:tc>
              <w:tc>
                <w:tcPr>
                  <w:tcW w:w="765"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Ⅲ</w:t>
                  </w:r>
                  <w:r>
                    <w:rPr>
                      <w:rFonts w:hint="eastAsia" w:cs="Times New Roman"/>
                      <w:color w:val="auto"/>
                      <w:sz w:val="21"/>
                      <w:szCs w:val="21"/>
                      <w:highlight w:val="none"/>
                      <w:lang w:val="en-US" w:eastAsia="zh-CN"/>
                    </w:rPr>
                    <w:t>类区</w:t>
                  </w:r>
                </w:p>
              </w:tc>
              <w:tc>
                <w:tcPr>
                  <w:tcW w:w="1639" w:type="dxa"/>
                  <w:gridSpan w:val="2"/>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占地范围内</w:t>
                  </w:r>
                </w:p>
              </w:tc>
            </w:tr>
          </w:tbl>
          <w:p>
            <w:pPr>
              <w:keepNext w:val="0"/>
              <w:keepLines w:val="0"/>
              <w:pageBreakBefore w:val="0"/>
              <w:widowControl w:val="0"/>
              <w:kinsoku/>
              <w:wordWrap/>
              <w:overflowPunct/>
              <w:topLinePunct/>
              <w:autoSpaceDE/>
              <w:autoSpaceDN/>
              <w:bidi w:val="0"/>
              <w:adjustRightInd w:val="0"/>
              <w:snapToGrid/>
              <w:spacing w:before="0" w:line="480" w:lineRule="exact"/>
              <w:ind w:firstLine="480" w:firstLineChars="200"/>
              <w:jc w:val="left"/>
              <w:textAlignment w:val="auto"/>
              <w:rPr>
                <w:rFonts w:hint="default"/>
                <w:color w:val="auto"/>
                <w:sz w:val="24"/>
                <w:szCs w:val="24"/>
                <w:highlight w:val="none"/>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39" w:hRule="atLeast"/>
          <w:jc w:val="center"/>
        </w:trPr>
        <w:tc>
          <w:tcPr>
            <w:tcW w:w="854" w:type="dxa"/>
            <w:noWrap w:val="0"/>
            <w:vAlign w:val="center"/>
          </w:tcPr>
          <w:p>
            <w:pPr>
              <w:pStyle w:val="32"/>
              <w:bidi w:val="0"/>
              <w:rPr>
                <w:rFonts w:hint="eastAsia"/>
                <w:color w:val="auto"/>
                <w:sz w:val="24"/>
                <w:szCs w:val="24"/>
                <w:highlight w:val="none"/>
              </w:rPr>
            </w:pPr>
            <w:r>
              <w:rPr>
                <w:rFonts w:hint="eastAsia"/>
                <w:color w:val="auto"/>
                <w:sz w:val="24"/>
                <w:szCs w:val="24"/>
                <w:highlight w:val="none"/>
              </w:rPr>
              <w:t>污染</w:t>
            </w:r>
          </w:p>
          <w:p>
            <w:pPr>
              <w:pStyle w:val="32"/>
              <w:bidi w:val="0"/>
              <w:rPr>
                <w:rFonts w:hint="eastAsia"/>
                <w:color w:val="auto"/>
                <w:sz w:val="24"/>
                <w:szCs w:val="24"/>
                <w:highlight w:val="none"/>
              </w:rPr>
            </w:pPr>
            <w:r>
              <w:rPr>
                <w:rFonts w:hint="eastAsia"/>
                <w:color w:val="auto"/>
                <w:sz w:val="24"/>
                <w:szCs w:val="24"/>
                <w:highlight w:val="none"/>
              </w:rPr>
              <w:t>物排</w:t>
            </w:r>
          </w:p>
          <w:p>
            <w:pPr>
              <w:pStyle w:val="32"/>
              <w:bidi w:val="0"/>
              <w:rPr>
                <w:rFonts w:hint="eastAsia"/>
                <w:color w:val="auto"/>
                <w:sz w:val="24"/>
                <w:szCs w:val="24"/>
                <w:highlight w:val="none"/>
              </w:rPr>
            </w:pPr>
            <w:r>
              <w:rPr>
                <w:rFonts w:hint="eastAsia"/>
                <w:color w:val="auto"/>
                <w:sz w:val="24"/>
                <w:szCs w:val="24"/>
                <w:highlight w:val="none"/>
              </w:rPr>
              <w:t>放控</w:t>
            </w:r>
          </w:p>
          <w:p>
            <w:pPr>
              <w:pStyle w:val="32"/>
              <w:bidi w:val="0"/>
              <w:rPr>
                <w:rFonts w:hint="eastAsia"/>
                <w:color w:val="auto"/>
                <w:sz w:val="24"/>
                <w:szCs w:val="24"/>
                <w:highlight w:val="none"/>
              </w:rPr>
            </w:pPr>
            <w:r>
              <w:rPr>
                <w:rFonts w:hint="eastAsia"/>
                <w:color w:val="auto"/>
                <w:sz w:val="24"/>
                <w:szCs w:val="24"/>
                <w:highlight w:val="none"/>
              </w:rPr>
              <w:t>制标</w:t>
            </w:r>
          </w:p>
          <w:p>
            <w:pPr>
              <w:pStyle w:val="32"/>
              <w:bidi w:val="0"/>
              <w:ind w:firstLine="0" w:firstLineChars="0"/>
              <w:rPr>
                <w:rFonts w:hint="eastAsia" w:ascii="Times New Roman" w:hAnsi="Times New Roman" w:eastAsia="宋体" w:cs="Times New Roman"/>
                <w:color w:val="auto"/>
                <w:kern w:val="1"/>
                <w:sz w:val="24"/>
                <w:szCs w:val="24"/>
                <w:highlight w:val="none"/>
                <w:lang w:val="en-US" w:eastAsia="zh-CN" w:bidi="ar-SA"/>
              </w:rPr>
            </w:pPr>
            <w:r>
              <w:rPr>
                <w:rFonts w:hint="eastAsia"/>
                <w:color w:val="auto"/>
                <w:sz w:val="24"/>
                <w:szCs w:val="24"/>
                <w:highlight w:val="none"/>
              </w:rPr>
              <w:t>准</w:t>
            </w:r>
          </w:p>
        </w:tc>
        <w:tc>
          <w:tcPr>
            <w:tcW w:w="8500" w:type="dxa"/>
            <w:noWrap w:val="0"/>
            <w:vAlign w:val="center"/>
          </w:tcPr>
          <w:p>
            <w:pPr>
              <w:numPr>
                <w:ilvl w:val="0"/>
                <w:numId w:val="25"/>
              </w:numPr>
              <w:bidi w:val="0"/>
              <w:rPr>
                <w:rFonts w:hint="eastAsia"/>
                <w:b w:val="0"/>
                <w:bCs w:val="0"/>
                <w:color w:val="auto"/>
                <w:highlight w:val="none"/>
                <w:vertAlign w:val="baseline"/>
                <w:lang w:val="en-US" w:eastAsia="zh-CN"/>
              </w:rPr>
            </w:pPr>
            <w:r>
              <w:rPr>
                <w:rFonts w:hint="eastAsia"/>
                <w:color w:val="auto"/>
                <w:lang w:val="en-US" w:eastAsia="zh-CN"/>
              </w:rPr>
              <w:t>非甲烷总烃有组织排放执行</w:t>
            </w:r>
            <w:r>
              <w:rPr>
                <w:rFonts w:hint="default" w:ascii="Times New Roman" w:hAnsi="Times New Roman" w:eastAsia="宋体" w:cs="Times New Roman"/>
                <w:color w:val="auto"/>
                <w:sz w:val="24"/>
                <w:szCs w:val="24"/>
              </w:rPr>
              <w:t>《工业企业挥发性有机物排放控制标准》（DB13 2322-2016）表1中</w:t>
            </w:r>
            <w:r>
              <w:rPr>
                <w:rFonts w:hint="default" w:ascii="Times New Roman" w:hAnsi="Times New Roman" w:eastAsia="宋体" w:cs="Times New Roman"/>
                <w:color w:val="auto"/>
                <w:sz w:val="24"/>
                <w:szCs w:val="24"/>
                <w:lang w:eastAsia="zh-CN"/>
              </w:rPr>
              <w:t>其他行业</w:t>
            </w:r>
            <w:r>
              <w:rPr>
                <w:rFonts w:hint="default" w:ascii="Times New Roman" w:hAnsi="Times New Roman" w:eastAsia="宋体" w:cs="Times New Roman"/>
                <w:color w:val="auto"/>
                <w:sz w:val="24"/>
                <w:szCs w:val="24"/>
              </w:rPr>
              <w:t>最高允许排放浓度：非甲烷总烃</w:t>
            </w:r>
            <w:r>
              <w:rPr>
                <w:rFonts w:hint="default" w:ascii="Times New Roman" w:hAnsi="Times New Roman" w:eastAsia="宋体" w:cs="Times New Roman"/>
                <w:color w:val="auto"/>
                <w:sz w:val="24"/>
                <w:szCs w:val="24"/>
                <w:lang w:val="en-US" w:eastAsia="zh-CN"/>
              </w:rPr>
              <w:t>8</w:t>
            </w:r>
            <w:r>
              <w:rPr>
                <w:rFonts w:hint="default" w:ascii="Times New Roman" w:hAnsi="Times New Roman" w:eastAsia="宋体" w:cs="Times New Roman"/>
                <w:color w:val="auto"/>
                <w:sz w:val="24"/>
                <w:szCs w:val="24"/>
              </w:rPr>
              <w:t>0mg/</w:t>
            </w:r>
            <w:r>
              <w:rPr>
                <w:rFonts w:hint="default" w:ascii="Times New Roman" w:hAnsi="Times New Roman" w:eastAsia="宋体" w:cs="Times New Roman"/>
                <w:color w:val="auto"/>
                <w:sz w:val="24"/>
                <w:szCs w:val="24"/>
                <w:lang w:eastAsia="zh-CN"/>
              </w:rPr>
              <w:t>m</w:t>
            </w:r>
            <w:r>
              <w:rPr>
                <w:rFonts w:hint="eastAsia" w:ascii="Times New Roman" w:hAnsi="Times New Roman" w:cs="Times New Roman"/>
                <w:color w:val="auto"/>
                <w:sz w:val="24"/>
                <w:szCs w:val="24"/>
                <w:vertAlign w:val="superscript"/>
                <w:lang w:val="en-US" w:eastAsia="zh-CN"/>
              </w:rPr>
              <w:t>3</w:t>
            </w:r>
            <w:r>
              <w:rPr>
                <w:rFonts w:hint="eastAsia"/>
                <w:b w:val="0"/>
                <w:bCs w:val="0"/>
                <w:color w:val="auto"/>
                <w:highlight w:val="none"/>
                <w:vertAlign w:val="baseline"/>
                <w:lang w:val="en-US" w:eastAsia="zh-CN"/>
              </w:rPr>
              <w:t>。排气筒高度不低于15m，且应高出周围200m半径范围的建筑5m以上，同时执行企业承诺限值：</w:t>
            </w:r>
            <w:r>
              <w:rPr>
                <w:rFonts w:hint="eastAsia" w:ascii="Times New Roman" w:hAnsi="Times New Roman" w:cs="Times New Roman"/>
                <w:color w:val="auto"/>
                <w:sz w:val="24"/>
                <w:szCs w:val="24"/>
                <w:lang w:val="en-US" w:eastAsia="zh-CN"/>
              </w:rPr>
              <w:t>非甲烷总烃排放浓度不高于50mg/m</w:t>
            </w:r>
            <w:r>
              <w:rPr>
                <w:rFonts w:hint="eastAsia" w:ascii="Times New Roman" w:hAnsi="Times New Roman" w:cs="Times New Roman"/>
                <w:color w:val="auto"/>
                <w:sz w:val="24"/>
                <w:szCs w:val="24"/>
                <w:vertAlign w:val="superscript"/>
                <w:lang w:val="en-US" w:eastAsia="zh-CN"/>
              </w:rPr>
              <w:t>3</w:t>
            </w:r>
            <w:r>
              <w:rPr>
                <w:rFonts w:hint="eastAsia" w:ascii="Times New Roman" w:hAnsi="Times New Roman" w:cs="Times New Roman"/>
                <w:color w:val="auto"/>
                <w:sz w:val="24"/>
                <w:szCs w:val="24"/>
                <w:vertAlign w:val="baseline"/>
                <w:lang w:val="en-US" w:eastAsia="zh-CN"/>
              </w:rPr>
              <w:t>。</w:t>
            </w:r>
          </w:p>
          <w:p>
            <w:pPr>
              <w:numPr>
                <w:ilvl w:val="0"/>
                <w:numId w:val="25"/>
              </w:numPr>
              <w:bidi w:val="0"/>
              <w:ind w:left="0" w:leftChars="0" w:firstLine="480" w:firstLineChars="200"/>
              <w:rPr>
                <w:rFonts w:hint="eastAsia"/>
                <w:b w:val="0"/>
                <w:bCs w:val="0"/>
                <w:color w:val="auto"/>
                <w:highlight w:val="none"/>
                <w:vertAlign w:val="baseline"/>
                <w:lang w:val="en-US" w:eastAsia="zh-CN"/>
              </w:rPr>
            </w:pPr>
            <w:r>
              <w:rPr>
                <w:rFonts w:hint="eastAsia"/>
                <w:b w:val="0"/>
                <w:bCs w:val="0"/>
                <w:color w:val="auto"/>
                <w:highlight w:val="none"/>
                <w:vertAlign w:val="baseline"/>
                <w:lang w:val="en-US" w:eastAsia="zh-CN"/>
              </w:rPr>
              <w:t>非甲烷总烃无组织排放执行</w:t>
            </w:r>
            <w:r>
              <w:rPr>
                <w:color w:val="auto"/>
                <w:sz w:val="24"/>
                <w:szCs w:val="24"/>
                <w:highlight w:val="none"/>
              </w:rPr>
              <w:t>《工业企业挥发性有机物排放控制标准》（DB13/2322-2016）</w:t>
            </w:r>
            <w:r>
              <w:rPr>
                <w:rFonts w:hint="eastAsia"/>
                <w:color w:val="auto"/>
                <w:sz w:val="24"/>
                <w:szCs w:val="24"/>
                <w:highlight w:val="none"/>
              </w:rPr>
              <w:t>表</w:t>
            </w:r>
            <w:r>
              <w:rPr>
                <w:color w:val="auto"/>
                <w:sz w:val="24"/>
                <w:szCs w:val="24"/>
                <w:highlight w:val="none"/>
              </w:rPr>
              <w:t>2</w:t>
            </w:r>
            <w:r>
              <w:rPr>
                <w:rFonts w:hint="eastAsia"/>
                <w:color w:val="auto"/>
                <w:sz w:val="24"/>
                <w:szCs w:val="24"/>
                <w:highlight w:val="none"/>
              </w:rPr>
              <w:t>企业边界大气污染物浓度限值中其他企业：非甲烷总烃</w:t>
            </w:r>
            <w:r>
              <w:rPr>
                <w:color w:val="auto"/>
                <w:sz w:val="24"/>
                <w:szCs w:val="24"/>
                <w:highlight w:val="none"/>
              </w:rPr>
              <w:t>2.0mg/m</w:t>
            </w:r>
            <w:r>
              <w:rPr>
                <w:color w:val="auto"/>
                <w:sz w:val="24"/>
                <w:szCs w:val="24"/>
                <w:highlight w:val="none"/>
                <w:vertAlign w:val="superscript"/>
              </w:rPr>
              <w:t>3</w:t>
            </w:r>
            <w:r>
              <w:rPr>
                <w:rFonts w:hint="eastAsia"/>
                <w:color w:val="auto"/>
                <w:sz w:val="24"/>
                <w:szCs w:val="24"/>
                <w:highlight w:val="none"/>
                <w:vertAlign w:val="baseline"/>
                <w:lang w:eastAsia="zh-CN"/>
              </w:rPr>
              <w:t>，</w:t>
            </w:r>
            <w:r>
              <w:rPr>
                <w:rFonts w:hint="eastAsia"/>
                <w:color w:val="auto"/>
                <w:sz w:val="24"/>
                <w:szCs w:val="24"/>
                <w:highlight w:val="none"/>
                <w:lang w:val="en-US" w:eastAsia="zh-CN"/>
              </w:rPr>
              <w:t>同时执行</w:t>
            </w:r>
            <w:r>
              <w:rPr>
                <w:rFonts w:hint="eastAsia"/>
                <w:color w:val="auto"/>
                <w:sz w:val="24"/>
                <w:szCs w:val="24"/>
                <w:highlight w:val="none"/>
                <w:lang w:eastAsia="zh-CN"/>
              </w:rPr>
              <w:t>《</w:t>
            </w:r>
            <w:r>
              <w:rPr>
                <w:rFonts w:hint="eastAsia"/>
                <w:color w:val="auto"/>
                <w:sz w:val="24"/>
                <w:szCs w:val="24"/>
                <w:highlight w:val="none"/>
                <w:lang w:val="en-US" w:eastAsia="zh-CN"/>
              </w:rPr>
              <w:t>挥发性有机物无组织排放控制标准</w:t>
            </w:r>
            <w:r>
              <w:rPr>
                <w:rFonts w:hint="eastAsia"/>
                <w:color w:val="auto"/>
                <w:sz w:val="24"/>
                <w:szCs w:val="24"/>
                <w:highlight w:val="none"/>
                <w:lang w:eastAsia="zh-CN"/>
              </w:rPr>
              <w:t>》（</w:t>
            </w:r>
            <w:r>
              <w:rPr>
                <w:rFonts w:hint="eastAsia"/>
                <w:color w:val="auto"/>
                <w:sz w:val="24"/>
                <w:szCs w:val="24"/>
                <w:highlight w:val="none"/>
                <w:lang w:val="en-US" w:eastAsia="zh-CN"/>
              </w:rPr>
              <w:t>GB37822-2019</w:t>
            </w:r>
            <w:r>
              <w:rPr>
                <w:rFonts w:hint="eastAsia"/>
                <w:color w:val="auto"/>
                <w:sz w:val="24"/>
                <w:szCs w:val="24"/>
                <w:highlight w:val="none"/>
                <w:lang w:eastAsia="zh-CN"/>
              </w:rPr>
              <w:t>）</w:t>
            </w:r>
            <w:r>
              <w:rPr>
                <w:rFonts w:hint="eastAsia"/>
                <w:color w:val="auto"/>
                <w:sz w:val="24"/>
                <w:szCs w:val="24"/>
                <w:highlight w:val="none"/>
                <w:lang w:val="en-US" w:eastAsia="zh-CN"/>
              </w:rPr>
              <w:t>附录A表A.1厂区内VOCs无组织排放限值中厂房外监控点1h平均浓度限值：非甲烷总烃6mg</w:t>
            </w:r>
            <w:r>
              <w:rPr>
                <w:rFonts w:hint="default"/>
                <w:color w:val="auto"/>
                <w:sz w:val="24"/>
                <w:szCs w:val="24"/>
                <w:highlight w:val="none"/>
              </w:rPr>
              <w:t>/m</w:t>
            </w:r>
            <w:r>
              <w:rPr>
                <w:rFonts w:hint="default"/>
                <w:color w:val="auto"/>
                <w:sz w:val="24"/>
                <w:szCs w:val="24"/>
                <w:highlight w:val="none"/>
                <w:vertAlign w:val="superscript"/>
              </w:rPr>
              <w:t>3</w:t>
            </w:r>
            <w:r>
              <w:rPr>
                <w:rFonts w:hint="eastAsia"/>
                <w:color w:val="auto"/>
                <w:sz w:val="24"/>
                <w:szCs w:val="24"/>
                <w:highlight w:val="none"/>
                <w:lang w:eastAsia="zh-CN"/>
              </w:rPr>
              <w:t>，</w:t>
            </w:r>
            <w:r>
              <w:rPr>
                <w:rFonts w:hint="eastAsia"/>
                <w:color w:val="auto"/>
                <w:sz w:val="24"/>
                <w:szCs w:val="24"/>
                <w:highlight w:val="none"/>
                <w:lang w:val="en-US" w:eastAsia="zh-CN"/>
              </w:rPr>
              <w:t>任意一次浓度限值：非甲烷总烃20mg</w:t>
            </w:r>
            <w:r>
              <w:rPr>
                <w:rFonts w:hint="default"/>
                <w:color w:val="auto"/>
                <w:sz w:val="24"/>
                <w:szCs w:val="24"/>
                <w:highlight w:val="none"/>
              </w:rPr>
              <w:t>/m</w:t>
            </w:r>
            <w:r>
              <w:rPr>
                <w:rFonts w:hint="default"/>
                <w:color w:val="auto"/>
                <w:sz w:val="24"/>
                <w:szCs w:val="24"/>
                <w:highlight w:val="none"/>
                <w:vertAlign w:val="superscript"/>
              </w:rPr>
              <w:t>3</w:t>
            </w:r>
            <w:r>
              <w:rPr>
                <w:rFonts w:hint="eastAsia"/>
                <w:color w:val="auto"/>
                <w:sz w:val="24"/>
                <w:szCs w:val="24"/>
                <w:highlight w:val="none"/>
                <w:vertAlign w:val="baseline"/>
                <w:lang w:val="en-US" w:eastAsia="zh-CN"/>
              </w:rPr>
              <w:t>的要求</w:t>
            </w:r>
            <w:r>
              <w:rPr>
                <w:rFonts w:hint="eastAsia"/>
                <w:color w:val="auto"/>
                <w:sz w:val="24"/>
                <w:szCs w:val="24"/>
                <w:highlight w:val="none"/>
              </w:rPr>
              <w:t>。</w:t>
            </w:r>
          </w:p>
          <w:p>
            <w:pPr>
              <w:bidi w:val="0"/>
              <w:rPr>
                <w:rFonts w:hint="eastAsia" w:eastAsia="宋体"/>
                <w:color w:val="auto"/>
                <w:highlight w:val="none"/>
                <w:lang w:val="en-US" w:eastAsia="zh-CN"/>
              </w:rPr>
            </w:pPr>
            <w:r>
              <w:rPr>
                <w:rFonts w:hint="eastAsia"/>
                <w:color w:val="auto"/>
                <w:highlight w:val="none"/>
                <w:lang w:eastAsia="zh-CN"/>
              </w:rPr>
              <w:t>（</w:t>
            </w:r>
            <w:r>
              <w:rPr>
                <w:rFonts w:hint="eastAsia"/>
                <w:color w:val="auto"/>
                <w:highlight w:val="none"/>
                <w:lang w:val="en-US" w:eastAsia="zh-CN"/>
              </w:rPr>
              <w:t>3</w:t>
            </w:r>
            <w:r>
              <w:rPr>
                <w:rFonts w:hint="eastAsia"/>
                <w:color w:val="auto"/>
                <w:highlight w:val="none"/>
                <w:lang w:eastAsia="zh-CN"/>
              </w:rPr>
              <w:t>）</w:t>
            </w:r>
            <w:r>
              <w:rPr>
                <w:rFonts w:hint="eastAsia"/>
                <w:color w:val="auto"/>
                <w:highlight w:val="none"/>
                <w:lang w:val="en-US" w:eastAsia="zh-CN"/>
              </w:rPr>
              <w:t>氯化氢无组织排放执行</w:t>
            </w:r>
            <w:r>
              <w:rPr>
                <w:rFonts w:hint="default"/>
                <w:color w:val="auto"/>
                <w:sz w:val="24"/>
                <w:szCs w:val="24"/>
                <w:highlight w:val="none"/>
              </w:rPr>
              <w:t>《大气污染物综合排放标准》（GB16297-1996）表2中无组织排放监控浓度限值要求：</w:t>
            </w:r>
            <w:r>
              <w:rPr>
                <w:rFonts w:hint="eastAsia"/>
                <w:color w:val="auto"/>
                <w:sz w:val="24"/>
                <w:szCs w:val="24"/>
                <w:highlight w:val="none"/>
                <w:lang w:val="en-US" w:eastAsia="zh-CN"/>
              </w:rPr>
              <w:t>氯化氢</w:t>
            </w:r>
            <w:r>
              <w:rPr>
                <w:rFonts w:hint="default"/>
                <w:color w:val="auto"/>
                <w:sz w:val="24"/>
                <w:szCs w:val="24"/>
                <w:highlight w:val="none"/>
              </w:rPr>
              <w:t>无组织排放周界外浓度最高</w:t>
            </w:r>
            <w:r>
              <w:rPr>
                <w:rFonts w:hint="eastAsia"/>
                <w:color w:val="auto"/>
                <w:sz w:val="24"/>
                <w:szCs w:val="24"/>
                <w:highlight w:val="none"/>
                <w:lang w:val="en-US" w:eastAsia="zh-CN"/>
              </w:rPr>
              <w:t>0.2</w:t>
            </w:r>
            <w:r>
              <w:rPr>
                <w:rFonts w:hint="default"/>
                <w:color w:val="auto"/>
                <w:sz w:val="24"/>
                <w:szCs w:val="24"/>
                <w:highlight w:val="none"/>
              </w:rPr>
              <w:t>mg/m</w:t>
            </w:r>
            <w:r>
              <w:rPr>
                <w:rFonts w:hint="default"/>
                <w:color w:val="auto"/>
                <w:sz w:val="24"/>
                <w:szCs w:val="24"/>
                <w:highlight w:val="none"/>
                <w:vertAlign w:val="superscript"/>
              </w:rPr>
              <w:t>3</w:t>
            </w:r>
            <w:r>
              <w:rPr>
                <w:rFonts w:hint="eastAsia"/>
                <w:color w:val="auto"/>
                <w:sz w:val="24"/>
                <w:szCs w:val="24"/>
                <w:highlight w:val="none"/>
                <w:vertAlign w:val="baseline"/>
                <w:lang w:eastAsia="zh-CN"/>
              </w:rPr>
              <w:t>。</w:t>
            </w:r>
          </w:p>
          <w:p>
            <w:pPr>
              <w:bidi w:val="0"/>
              <w:rPr>
                <w:rFonts w:hint="eastAsia"/>
                <w:color w:val="auto"/>
                <w:highlight w:val="none"/>
                <w:lang w:eastAsia="zh-CN"/>
              </w:rPr>
            </w:pPr>
            <w:r>
              <w:rPr>
                <w:rFonts w:hint="eastAsia"/>
                <w:color w:val="auto"/>
                <w:highlight w:val="none"/>
                <w:lang w:eastAsia="zh-CN"/>
              </w:rPr>
              <w:t>（</w:t>
            </w:r>
            <w:r>
              <w:rPr>
                <w:rFonts w:hint="eastAsia"/>
                <w:color w:val="auto"/>
                <w:highlight w:val="none"/>
                <w:lang w:val="en-US" w:eastAsia="zh-CN"/>
              </w:rPr>
              <w:t>4</w:t>
            </w:r>
            <w:r>
              <w:rPr>
                <w:rFonts w:hint="eastAsia"/>
                <w:color w:val="auto"/>
                <w:highlight w:val="none"/>
                <w:lang w:eastAsia="zh-CN"/>
              </w:rPr>
              <w:t>）</w:t>
            </w:r>
            <w:r>
              <w:rPr>
                <w:color w:val="auto"/>
                <w:highlight w:val="none"/>
              </w:rPr>
              <w:t>厂界噪声执行《工业企业厂界环境噪声排放标准》（GB12348-2008）</w:t>
            </w:r>
            <w:r>
              <w:rPr>
                <w:rFonts w:hint="eastAsia"/>
                <w:color w:val="auto"/>
                <w:highlight w:val="none"/>
                <w:lang w:val="en-US" w:eastAsia="zh-CN"/>
              </w:rPr>
              <w:t>2</w:t>
            </w:r>
            <w:r>
              <w:rPr>
                <w:color w:val="auto"/>
                <w:highlight w:val="none"/>
              </w:rPr>
              <w:t>类标准</w:t>
            </w:r>
            <w:r>
              <w:rPr>
                <w:rFonts w:hint="eastAsia"/>
                <w:color w:val="auto"/>
                <w:highlight w:val="none"/>
                <w:lang w:val="en-US" w:eastAsia="zh-CN"/>
              </w:rPr>
              <w:t>：昼间60dB（A），夜间50dB（A）</w:t>
            </w:r>
            <w:r>
              <w:rPr>
                <w:rFonts w:hint="eastAsia"/>
                <w:color w:val="auto"/>
                <w:highlight w:val="none"/>
                <w:lang w:eastAsia="zh-CN"/>
              </w:rPr>
              <w:t>。</w:t>
            </w:r>
          </w:p>
          <w:p>
            <w:pPr>
              <w:bidi w:val="0"/>
              <w:rPr>
                <w:rFonts w:hint="eastAsia" w:ascii="宋体" w:hAnsi="宋体" w:eastAsia="宋体" w:cs="宋体"/>
                <w:color w:val="auto"/>
                <w:sz w:val="24"/>
                <w:szCs w:val="24"/>
                <w:highlight w:val="none"/>
                <w:lang w:eastAsia="zh-CN"/>
              </w:rPr>
            </w:pPr>
            <w:r>
              <w:rPr>
                <w:rFonts w:hint="default" w:ascii="Times New Roman" w:hAnsi="Times New Roman" w:eastAsia="宋体" w:cs="Times New Roman"/>
                <w:color w:val="auto"/>
                <w:sz w:val="24"/>
                <w:szCs w:val="24"/>
                <w:highlight w:val="none"/>
                <w:lang w:val="en-US" w:eastAsia="zh-CN"/>
              </w:rPr>
              <w:t>（</w:t>
            </w:r>
            <w:r>
              <w:rPr>
                <w:rFonts w:hint="eastAsia"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kern w:val="24"/>
                <w:sz w:val="24"/>
                <w:highlight w:val="none"/>
              </w:rPr>
              <w:t>一般固体废物执行《中华人民共和国固体废物污染环境防治法》中第二十条第一款：产生、收集、贮存、运输、利用、处置固体废物的单位和其他生产经营者</w:t>
            </w:r>
            <w:r>
              <w:rPr>
                <w:rFonts w:hint="eastAsia" w:ascii="宋体" w:hAnsi="宋体" w:cs="宋体"/>
                <w:color w:val="auto"/>
                <w:kern w:val="24"/>
                <w:sz w:val="24"/>
                <w:highlight w:val="none"/>
                <w:lang w:eastAsia="zh-CN"/>
              </w:rPr>
              <w:t>，</w:t>
            </w:r>
            <w:r>
              <w:rPr>
                <w:rFonts w:hint="default" w:ascii="Times New Roman" w:hAnsi="Times New Roman" w:eastAsia="宋体" w:cs="Times New Roman"/>
                <w:color w:val="auto"/>
                <w:kern w:val="24"/>
                <w:sz w:val="24"/>
                <w:highlight w:val="none"/>
              </w:rPr>
              <w:t>应当采取防扬散、防流失、防渗漏或者其他防止污染环境的措施</w:t>
            </w:r>
            <w:r>
              <w:rPr>
                <w:rFonts w:hint="eastAsia" w:ascii="Times New Roman" w:hAnsi="Times New Roman" w:eastAsia="宋体" w:cs="Times New Roman"/>
                <w:color w:val="auto"/>
                <w:kern w:val="24"/>
                <w:sz w:val="24"/>
                <w:highlight w:val="none"/>
                <w:lang w:eastAsia="zh-CN"/>
              </w:rPr>
              <w:t>，</w:t>
            </w:r>
            <w:r>
              <w:rPr>
                <w:rFonts w:hint="default" w:ascii="Times New Roman" w:hAnsi="Times New Roman" w:eastAsia="宋体" w:cs="Times New Roman"/>
                <w:color w:val="auto"/>
                <w:kern w:val="24"/>
                <w:sz w:val="24"/>
                <w:highlight w:val="none"/>
              </w:rPr>
              <w:t>不得擅自倾倒、堆放、丢弃、遗撒固体废物。营运期生活垃圾处置参照执行《中华人民共和国固体废物污染环境防治法》（2020年9月1日</w:t>
            </w:r>
            <w:r>
              <w:rPr>
                <w:rFonts w:hint="eastAsia" w:ascii="宋体" w:hAnsi="宋体" w:eastAsia="宋体" w:cs="宋体"/>
                <w:color w:val="auto"/>
                <w:kern w:val="24"/>
                <w:sz w:val="24"/>
                <w:highlight w:val="none"/>
              </w:rPr>
              <w:t>）</w:t>
            </w:r>
            <w:r>
              <w:rPr>
                <w:rFonts w:hint="eastAsia" w:ascii="宋体" w:hAnsi="宋体" w:eastAsia="宋体" w:cs="宋体"/>
                <w:color w:val="auto"/>
                <w:kern w:val="24"/>
                <w:sz w:val="24"/>
                <w:highlight w:val="none"/>
                <w:lang w:eastAsia="zh-CN"/>
              </w:rPr>
              <w:t>“</w:t>
            </w:r>
            <w:r>
              <w:rPr>
                <w:rFonts w:hint="eastAsia" w:ascii="宋体" w:hAnsi="宋体" w:eastAsia="宋体" w:cs="宋体"/>
                <w:color w:val="auto"/>
                <w:kern w:val="24"/>
                <w:sz w:val="24"/>
                <w:highlight w:val="none"/>
              </w:rPr>
              <w:t>第四章生活垃圾</w:t>
            </w:r>
            <w:r>
              <w:rPr>
                <w:rFonts w:hint="eastAsia" w:ascii="宋体" w:hAnsi="宋体" w:eastAsia="宋体" w:cs="宋体"/>
                <w:color w:val="auto"/>
                <w:kern w:val="24"/>
                <w:sz w:val="24"/>
                <w:highlight w:val="none"/>
                <w:lang w:eastAsia="zh-CN"/>
              </w:rPr>
              <w:t>”</w:t>
            </w:r>
            <w:r>
              <w:rPr>
                <w:rFonts w:hint="eastAsia" w:ascii="宋体" w:hAnsi="宋体" w:eastAsia="宋体" w:cs="宋体"/>
                <w:color w:val="auto"/>
                <w:kern w:val="24"/>
                <w:sz w:val="24"/>
                <w:highlight w:val="none"/>
              </w:rPr>
              <w:t>的相关规定</w:t>
            </w:r>
            <w:r>
              <w:rPr>
                <w:rFonts w:hint="eastAsia" w:ascii="宋体" w:hAnsi="宋体" w:eastAsia="宋体" w:cs="宋体"/>
                <w:color w:val="auto"/>
                <w:kern w:val="24"/>
                <w:sz w:val="24"/>
                <w:highlight w:val="none"/>
                <w:lang w:eastAsia="zh-CN"/>
              </w:rPr>
              <w:t>。</w:t>
            </w:r>
          </w:p>
          <w:p>
            <w:pPr>
              <w:bidi w:val="0"/>
              <w:ind w:firstLine="480" w:firstLineChars="200"/>
              <w:rPr>
                <w:rFonts w:hint="eastAsia" w:ascii="Times New Roman" w:hAnsi="Times New Roman" w:eastAsia="宋体" w:cs="Times New Roman"/>
                <w:color w:val="auto"/>
                <w:kern w:val="2"/>
                <w:sz w:val="24"/>
                <w:szCs w:val="24"/>
                <w:highlight w:val="none"/>
                <w:lang w:val="en-US" w:eastAsia="zh-CN" w:bidi="ar-SA"/>
              </w:rPr>
            </w:pPr>
            <w:r>
              <w:rPr>
                <w:rFonts w:hint="eastAsia"/>
                <w:color w:val="auto"/>
                <w:highlight w:val="none"/>
                <w:lang w:val="en-US" w:eastAsia="zh-CN"/>
              </w:rPr>
              <w:t>（6）</w:t>
            </w:r>
            <w:r>
              <w:rPr>
                <w:rFonts w:hint="eastAsia"/>
                <w:color w:val="auto"/>
                <w:highlight w:val="none"/>
              </w:rPr>
              <w:t>危险废物执行《危险废物贮存污染控制标准》（GB18597-20</w:t>
            </w:r>
            <w:r>
              <w:rPr>
                <w:rFonts w:hint="eastAsia"/>
                <w:color w:val="auto"/>
                <w:highlight w:val="none"/>
                <w:lang w:val="en-US" w:eastAsia="zh-CN"/>
              </w:rPr>
              <w:t>23</w:t>
            </w:r>
            <w:r>
              <w:rPr>
                <w:rFonts w:hint="eastAsia"/>
                <w:color w:val="auto"/>
                <w:highlight w:val="none"/>
              </w:rPr>
              <w:t>）中的标准。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64" w:hRule="atLeast"/>
          <w:jc w:val="center"/>
        </w:trPr>
        <w:tc>
          <w:tcPr>
            <w:tcW w:w="854" w:type="dxa"/>
            <w:noWrap w:val="0"/>
            <w:vAlign w:val="center"/>
          </w:tcPr>
          <w:p>
            <w:pPr>
              <w:pStyle w:val="32"/>
              <w:bidi w:val="0"/>
              <w:rPr>
                <w:rFonts w:hint="eastAsia"/>
                <w:color w:val="auto"/>
                <w:sz w:val="24"/>
                <w:szCs w:val="24"/>
                <w:highlight w:val="none"/>
              </w:rPr>
            </w:pPr>
            <w:r>
              <w:rPr>
                <w:rFonts w:hint="eastAsia"/>
                <w:color w:val="auto"/>
                <w:sz w:val="24"/>
                <w:szCs w:val="24"/>
                <w:highlight w:val="none"/>
              </w:rPr>
              <w:t>总量</w:t>
            </w:r>
          </w:p>
          <w:p>
            <w:pPr>
              <w:pStyle w:val="32"/>
              <w:bidi w:val="0"/>
              <w:rPr>
                <w:rFonts w:hint="eastAsia"/>
                <w:color w:val="auto"/>
                <w:sz w:val="24"/>
                <w:szCs w:val="24"/>
                <w:highlight w:val="none"/>
              </w:rPr>
            </w:pPr>
            <w:r>
              <w:rPr>
                <w:rFonts w:hint="eastAsia"/>
                <w:color w:val="auto"/>
                <w:sz w:val="24"/>
                <w:szCs w:val="24"/>
                <w:highlight w:val="none"/>
              </w:rPr>
              <w:t>控制</w:t>
            </w:r>
          </w:p>
          <w:p>
            <w:pPr>
              <w:pStyle w:val="32"/>
              <w:bidi w:val="0"/>
              <w:ind w:firstLine="0" w:firstLineChars="0"/>
              <w:rPr>
                <w:rFonts w:hint="eastAsia" w:ascii="Times New Roman" w:hAnsi="Times New Roman" w:eastAsia="宋体" w:cs="Times New Roman"/>
                <w:color w:val="auto"/>
                <w:kern w:val="1"/>
                <w:sz w:val="24"/>
                <w:szCs w:val="24"/>
                <w:highlight w:val="none"/>
                <w:lang w:val="en-US" w:eastAsia="zh-CN" w:bidi="ar-SA"/>
              </w:rPr>
            </w:pPr>
            <w:r>
              <w:rPr>
                <w:rFonts w:hint="eastAsia"/>
                <w:color w:val="auto"/>
                <w:sz w:val="24"/>
                <w:szCs w:val="24"/>
                <w:highlight w:val="none"/>
              </w:rPr>
              <w:t>指标</w:t>
            </w:r>
          </w:p>
        </w:tc>
        <w:tc>
          <w:tcPr>
            <w:tcW w:w="8500" w:type="dxa"/>
            <w:noWrap w:val="0"/>
            <w:vAlign w:val="center"/>
          </w:tcPr>
          <w:p>
            <w:pPr>
              <w:pStyle w:val="9"/>
              <w:rPr>
                <w:rFonts w:hint="default"/>
                <w:color w:val="auto"/>
                <w:highlight w:val="none"/>
              </w:rPr>
            </w:pPr>
            <w:r>
              <w:rPr>
                <w:rFonts w:hint="default"/>
                <w:color w:val="auto"/>
                <w:highlight w:val="none"/>
              </w:rPr>
              <w:t>根据</w:t>
            </w:r>
            <w:r>
              <w:rPr>
                <w:rFonts w:hint="eastAsia"/>
                <w:color w:val="auto"/>
                <w:highlight w:val="none"/>
                <w:lang w:val="en-US" w:eastAsia="zh-CN"/>
              </w:rPr>
              <w:t>国家总量控制相关要求</w:t>
            </w:r>
            <w:r>
              <w:rPr>
                <w:rFonts w:hint="default"/>
                <w:color w:val="auto"/>
                <w:highlight w:val="none"/>
              </w:rPr>
              <w:t>，同时根据</w:t>
            </w:r>
            <w:r>
              <w:rPr>
                <w:rFonts w:hint="default"/>
                <w:color w:val="auto"/>
                <w:highlight w:val="none"/>
                <w:lang w:eastAsia="zh-CN"/>
              </w:rPr>
              <w:t>河北</w:t>
            </w:r>
            <w:r>
              <w:rPr>
                <w:rFonts w:hint="default"/>
                <w:color w:val="auto"/>
                <w:highlight w:val="none"/>
              </w:rPr>
              <w:t>省环保厅的要求，以及项目厂址区域环境质量现状、外排污染物特征，确定总量控制因子为：</w:t>
            </w:r>
          </w:p>
          <w:p>
            <w:pPr>
              <w:bidi w:val="0"/>
              <w:rPr>
                <w:rFonts w:hint="default"/>
                <w:color w:val="auto"/>
                <w:highlight w:val="none"/>
              </w:rPr>
            </w:pPr>
            <w:r>
              <w:rPr>
                <w:rFonts w:hint="default"/>
                <w:color w:val="auto"/>
                <w:highlight w:val="none"/>
              </w:rPr>
              <w:t>废气：SO</w:t>
            </w:r>
            <w:r>
              <w:rPr>
                <w:rFonts w:hint="default"/>
                <w:color w:val="auto"/>
                <w:highlight w:val="none"/>
                <w:vertAlign w:val="subscript"/>
              </w:rPr>
              <w:t>2</w:t>
            </w:r>
            <w:r>
              <w:rPr>
                <w:rFonts w:hint="default"/>
                <w:color w:val="auto"/>
                <w:highlight w:val="none"/>
              </w:rPr>
              <w:t>、NO</w:t>
            </w:r>
            <w:r>
              <w:rPr>
                <w:rFonts w:hint="default"/>
                <w:color w:val="auto"/>
                <w:highlight w:val="none"/>
                <w:vertAlign w:val="subscript"/>
              </w:rPr>
              <w:t>X</w:t>
            </w:r>
            <w:r>
              <w:rPr>
                <w:rFonts w:hint="default"/>
                <w:color w:val="auto"/>
                <w:highlight w:val="none"/>
              </w:rPr>
              <w:t>；</w:t>
            </w:r>
          </w:p>
          <w:p>
            <w:pPr>
              <w:bidi w:val="0"/>
              <w:rPr>
                <w:rFonts w:hint="eastAsia"/>
                <w:color w:val="auto"/>
                <w:highlight w:val="none"/>
                <w:lang w:eastAsia="zh-CN"/>
              </w:rPr>
            </w:pPr>
            <w:r>
              <w:rPr>
                <w:rFonts w:hint="default"/>
                <w:color w:val="auto"/>
                <w:highlight w:val="none"/>
              </w:rPr>
              <w:t>废水：COD、氨氮</w:t>
            </w:r>
            <w:r>
              <w:rPr>
                <w:rFonts w:hint="eastAsia"/>
                <w:color w:val="auto"/>
                <w:highlight w:val="none"/>
                <w:lang w:eastAsia="zh-CN"/>
              </w:rPr>
              <w:t>、</w:t>
            </w:r>
            <w:r>
              <w:rPr>
                <w:rFonts w:hint="eastAsia"/>
                <w:color w:val="auto"/>
                <w:highlight w:val="none"/>
                <w:lang w:val="en-US" w:eastAsia="zh-CN"/>
              </w:rPr>
              <w:t>总氮</w:t>
            </w:r>
            <w:r>
              <w:rPr>
                <w:rFonts w:hint="eastAsia"/>
                <w:color w:val="auto"/>
                <w:highlight w:val="none"/>
                <w:lang w:eastAsia="zh-CN"/>
              </w:rPr>
              <w:t>；</w:t>
            </w:r>
          </w:p>
          <w:p>
            <w:pPr>
              <w:bidi w:val="0"/>
              <w:rPr>
                <w:rFonts w:hint="default"/>
                <w:color w:val="auto"/>
                <w:highlight w:val="none"/>
                <w:lang w:val="en-US" w:eastAsia="zh-CN"/>
              </w:rPr>
            </w:pPr>
            <w:r>
              <w:rPr>
                <w:rFonts w:hint="eastAsia"/>
                <w:color w:val="auto"/>
                <w:highlight w:val="none"/>
                <w:lang w:val="en-US" w:eastAsia="zh-CN"/>
              </w:rPr>
              <w:t>其他污染物：非甲烷总烃、氟化物、氯化氢。</w:t>
            </w:r>
          </w:p>
          <w:p>
            <w:pPr>
              <w:bidi w:val="0"/>
              <w:rPr>
                <w:rFonts w:hint="default"/>
                <w:color w:val="auto"/>
                <w:highlight w:val="none"/>
              </w:rPr>
            </w:pPr>
            <w:r>
              <w:rPr>
                <w:rFonts w:hint="default" w:ascii="Times New Roman" w:hAnsi="Times New Roman" w:cs="Times New Roman"/>
                <w:color w:val="auto"/>
                <w:highlight w:val="none"/>
              </w:rPr>
              <w:t>根据《关于印发&lt;建设项目主要污染物排放总量指标审核及管理暂行办法&gt; 的通知》（环发[2014]197号）中指标审核规定</w:t>
            </w:r>
            <w:r>
              <w:rPr>
                <w:rFonts w:hint="eastAsia" w:ascii="宋体" w:hAnsi="宋体" w:eastAsia="宋体" w:cs="宋体"/>
                <w:color w:val="auto"/>
                <w:highlight w:val="none"/>
              </w:rPr>
              <w:t>“火电、钢铁、水泥、造纸、印染行业建设项目所需替代的主要污染物排放总量指标采用绩效方法核定，其他行业依照国家或地方污染物排放标准及单位产品基准排水量（行业最高允许排水量）、烟气量等予以核定”。</w:t>
            </w:r>
            <w:r>
              <w:rPr>
                <w:rFonts w:hint="default" w:ascii="Times New Roman" w:hAnsi="Times New Roman" w:cs="Times New Roman"/>
                <w:color w:val="auto"/>
                <w:highlight w:val="none"/>
              </w:rPr>
              <w:t>项目污染</w:t>
            </w:r>
            <w:r>
              <w:rPr>
                <w:rFonts w:hint="default" w:ascii="Times New Roman" w:hAnsi="Times New Roman" w:cs="Times New Roman"/>
                <w:color w:val="auto"/>
                <w:highlight w:val="none"/>
                <w:lang w:val="en-US" w:eastAsia="zh-CN"/>
              </w:rPr>
              <w:t>物</w:t>
            </w:r>
            <w:r>
              <w:rPr>
                <w:rFonts w:hint="default" w:ascii="Times New Roman" w:hAnsi="Times New Roman" w:cs="Times New Roman"/>
                <w:color w:val="auto"/>
                <w:highlight w:val="none"/>
              </w:rPr>
              <w:t>总量指标按照排放标准进行核定。</w:t>
            </w:r>
          </w:p>
          <w:p>
            <w:pPr>
              <w:bidi w:val="0"/>
              <w:ind w:left="0" w:leftChars="0" w:firstLine="0" w:firstLineChars="0"/>
              <w:rPr>
                <w:rFonts w:hint="eastAsia"/>
                <w:color w:val="auto"/>
                <w:highlight w:val="none"/>
                <w:lang w:val="en-US" w:eastAsia="zh-CN"/>
              </w:rPr>
            </w:pPr>
            <w:r>
              <w:rPr>
                <w:rFonts w:hint="eastAsia"/>
                <w:color w:val="auto"/>
                <w:highlight w:val="none"/>
                <w:lang w:val="en-US" w:eastAsia="zh-CN"/>
              </w:rPr>
              <w:t>本项目建成后污染物总量控制指标为</w:t>
            </w:r>
            <w:r>
              <w:rPr>
                <w:rFonts w:hint="eastAsia"/>
                <w:color w:val="auto"/>
                <w:highlight w:val="none"/>
                <w:lang w:eastAsia="zh-CN"/>
              </w:rPr>
              <w:t>：</w:t>
            </w:r>
          </w:p>
          <w:p>
            <w:pPr>
              <w:numPr>
                <w:ilvl w:val="0"/>
                <w:numId w:val="26"/>
              </w:numPr>
              <w:bidi w:val="0"/>
              <w:rPr>
                <w:rFonts w:hint="eastAsia"/>
                <w:color w:val="auto"/>
                <w:highlight w:val="none"/>
                <w:lang w:val="en-US" w:eastAsia="zh-CN"/>
              </w:rPr>
            </w:pPr>
            <w:r>
              <w:rPr>
                <w:rFonts w:hint="eastAsia"/>
                <w:color w:val="auto"/>
                <w:highlight w:val="none"/>
                <w:lang w:val="en-US" w:eastAsia="zh-CN"/>
              </w:rPr>
              <w:t>废水</w:t>
            </w:r>
          </w:p>
          <w:p>
            <w:pPr>
              <w:pStyle w:val="44"/>
              <w:ind w:firstLine="480"/>
              <w:rPr>
                <w:rFonts w:hint="default" w:ascii="Times New Roman" w:hAnsi="Times New Roman" w:eastAsia="宋体" w:cs="Times New Roman"/>
                <w:color w:val="auto"/>
                <w:spacing w:val="0"/>
                <w:position w:val="0"/>
                <w:highlight w:val="none"/>
                <w:lang w:val="en-US" w:eastAsia="zh-CN"/>
              </w:rPr>
            </w:pPr>
            <w:r>
              <w:rPr>
                <w:rFonts w:hint="eastAsia" w:eastAsia="宋体" w:cs="Times New Roman"/>
                <w:color w:val="auto"/>
                <w:spacing w:val="0"/>
                <w:position w:val="0"/>
                <w:highlight w:val="none"/>
                <w:lang w:val="en-US" w:eastAsia="zh-CN"/>
              </w:rPr>
              <w:t>本项目无废水产生，COD、氨氮、总氮总量控制指标均为0t/a。根据环评及批复现有工程总量控制指标为COD0t/a，氨氮0t/a，故本项目建成后全厂废水总量控制指标为COD0t/a，氨氮0t/a，总氮0t/a。</w:t>
            </w:r>
          </w:p>
          <w:p>
            <w:pPr>
              <w:numPr>
                <w:ilvl w:val="0"/>
                <w:numId w:val="26"/>
              </w:numPr>
              <w:bidi w:val="0"/>
              <w:rPr>
                <w:rFonts w:hint="eastAsia"/>
                <w:color w:val="auto"/>
                <w:highlight w:val="none"/>
                <w:lang w:val="en-US" w:eastAsia="zh-CN"/>
              </w:rPr>
            </w:pPr>
            <w:r>
              <w:rPr>
                <w:rFonts w:hint="eastAsia"/>
                <w:color w:val="auto"/>
                <w:highlight w:val="none"/>
                <w:lang w:val="en-US" w:eastAsia="zh-CN"/>
              </w:rPr>
              <w:t>废气</w:t>
            </w:r>
          </w:p>
          <w:p>
            <w:pPr>
              <w:bidi w:val="0"/>
              <w:rPr>
                <w:rFonts w:hint="default" w:ascii="Times New Roman" w:hAnsi="Times New Roman" w:eastAsia="宋体" w:cs="Times New Roman"/>
                <w:color w:val="auto"/>
                <w:sz w:val="24"/>
                <w:szCs w:val="24"/>
                <w:highlight w:val="none"/>
                <w:lang w:val="en-US" w:eastAsia="zh-CN"/>
              </w:rPr>
            </w:pPr>
            <w:r>
              <w:rPr>
                <w:rFonts w:hint="eastAsia"/>
                <w:color w:val="auto"/>
                <w:sz w:val="24"/>
                <w:highlight w:val="none"/>
                <w:lang w:val="en-US" w:eastAsia="zh-CN"/>
              </w:rPr>
              <w:t>本项目</w:t>
            </w:r>
            <w:r>
              <w:rPr>
                <w:rFonts w:hint="default" w:ascii="Times New Roman" w:hAnsi="Times New Roman" w:eastAsia="宋体" w:cs="Times New Roman"/>
                <w:color w:val="auto"/>
                <w:sz w:val="24"/>
                <w:szCs w:val="24"/>
                <w:highlight w:val="none"/>
              </w:rPr>
              <w:t>不设锅炉等燃煤、燃气设施</w:t>
            </w:r>
            <w:r>
              <w:rPr>
                <w:rFonts w:hint="eastAsia"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无SO</w:t>
            </w:r>
            <w:r>
              <w:rPr>
                <w:rFonts w:hint="default" w:ascii="Times New Roman" w:hAnsi="Times New Roman" w:eastAsia="宋体" w:cs="Times New Roman"/>
                <w:color w:val="auto"/>
                <w:kern w:val="2"/>
                <w:sz w:val="24"/>
                <w:szCs w:val="24"/>
                <w:highlight w:val="none"/>
                <w:vertAlign w:val="subscript"/>
                <w:lang w:val="en-US" w:eastAsia="zh-CN" w:bidi="ar-SA"/>
              </w:rPr>
              <w:t>2</w:t>
            </w:r>
            <w:r>
              <w:rPr>
                <w:rFonts w:hint="default" w:ascii="Times New Roman" w:hAnsi="Times New Roman" w:eastAsia="宋体" w:cs="Times New Roman"/>
                <w:color w:val="auto"/>
                <w:sz w:val="24"/>
                <w:szCs w:val="24"/>
                <w:highlight w:val="none"/>
              </w:rPr>
              <w:t>、NO</w:t>
            </w:r>
            <w:r>
              <w:rPr>
                <w:rFonts w:hint="default" w:ascii="Times New Roman" w:hAnsi="Times New Roman" w:eastAsia="宋体" w:cs="Times New Roman"/>
                <w:color w:val="auto"/>
                <w:kern w:val="2"/>
                <w:sz w:val="24"/>
                <w:szCs w:val="24"/>
                <w:highlight w:val="none"/>
                <w:vertAlign w:val="subscript"/>
                <w:lang w:val="en-US" w:eastAsia="zh-CN" w:bidi="ar-SA"/>
              </w:rPr>
              <w:t>X</w:t>
            </w:r>
            <w:r>
              <w:rPr>
                <w:rFonts w:hint="default" w:ascii="Times New Roman" w:hAnsi="Times New Roman" w:eastAsia="宋体" w:cs="Times New Roman"/>
                <w:color w:val="auto"/>
                <w:sz w:val="24"/>
                <w:szCs w:val="24"/>
                <w:highlight w:val="none"/>
              </w:rPr>
              <w:t>产生。因此，本项目SO</w:t>
            </w:r>
            <w:r>
              <w:rPr>
                <w:rFonts w:hint="default" w:ascii="Times New Roman" w:hAnsi="Times New Roman" w:eastAsia="宋体" w:cs="Times New Roman"/>
                <w:color w:val="auto"/>
                <w:kern w:val="2"/>
                <w:sz w:val="24"/>
                <w:szCs w:val="24"/>
                <w:highlight w:val="none"/>
                <w:vertAlign w:val="subscript"/>
                <w:lang w:val="en-US" w:eastAsia="zh-CN" w:bidi="ar-SA"/>
              </w:rPr>
              <w:t>2</w:t>
            </w:r>
            <w:r>
              <w:rPr>
                <w:rFonts w:hint="default" w:ascii="Times New Roman" w:hAnsi="Times New Roman" w:eastAsia="宋体" w:cs="Times New Roman"/>
                <w:color w:val="auto"/>
                <w:sz w:val="24"/>
                <w:szCs w:val="24"/>
                <w:highlight w:val="none"/>
              </w:rPr>
              <w:t>、NO</w:t>
            </w:r>
            <w:r>
              <w:rPr>
                <w:rFonts w:hint="default" w:ascii="Times New Roman" w:hAnsi="Times New Roman" w:eastAsia="宋体" w:cs="Times New Roman"/>
                <w:color w:val="auto"/>
                <w:kern w:val="2"/>
                <w:sz w:val="24"/>
                <w:szCs w:val="24"/>
                <w:highlight w:val="none"/>
                <w:vertAlign w:val="subscript"/>
                <w:lang w:val="en-US" w:eastAsia="zh-CN" w:bidi="ar-SA"/>
              </w:rPr>
              <w:t>X</w:t>
            </w:r>
            <w:r>
              <w:rPr>
                <w:rFonts w:hint="default" w:ascii="Times New Roman" w:hAnsi="Times New Roman" w:eastAsia="宋体" w:cs="Times New Roman"/>
                <w:color w:val="auto"/>
                <w:sz w:val="24"/>
                <w:szCs w:val="24"/>
                <w:highlight w:val="none"/>
              </w:rPr>
              <w:t>总量控制指标均为0t/a。</w:t>
            </w:r>
            <w:r>
              <w:rPr>
                <w:rFonts w:hint="eastAsia" w:eastAsia="宋体" w:cs="Times New Roman"/>
                <w:color w:val="auto"/>
                <w:sz w:val="24"/>
                <w:szCs w:val="24"/>
                <w:highlight w:val="none"/>
                <w:lang w:val="en-US" w:eastAsia="zh-CN"/>
              </w:rPr>
              <w:t>根据</w:t>
            </w:r>
            <w:r>
              <w:rPr>
                <w:rFonts w:hint="eastAsia" w:eastAsia="宋体" w:cs="Times New Roman"/>
                <w:color w:val="auto"/>
                <w:spacing w:val="0"/>
                <w:position w:val="0"/>
                <w:highlight w:val="none"/>
                <w:lang w:val="en-US" w:eastAsia="zh-CN"/>
              </w:rPr>
              <w:t>环评及批复现有工程总量控制指标为SO</w:t>
            </w:r>
            <w:r>
              <w:rPr>
                <w:rFonts w:hint="eastAsia" w:eastAsia="宋体" w:cs="Times New Roman"/>
                <w:color w:val="auto"/>
                <w:spacing w:val="0"/>
                <w:position w:val="0"/>
                <w:highlight w:val="none"/>
                <w:vertAlign w:val="subscript"/>
                <w:lang w:val="en-US" w:eastAsia="zh-CN"/>
              </w:rPr>
              <w:t>2</w:t>
            </w:r>
            <w:r>
              <w:rPr>
                <w:rFonts w:hint="eastAsia" w:eastAsia="宋体" w:cs="Times New Roman"/>
                <w:color w:val="auto"/>
                <w:spacing w:val="0"/>
                <w:position w:val="0"/>
                <w:highlight w:val="none"/>
                <w:lang w:val="en-US" w:eastAsia="zh-CN"/>
              </w:rPr>
              <w:t>0t/a，NOx0t/a</w:t>
            </w:r>
            <w:r>
              <w:rPr>
                <w:rFonts w:hint="eastAsia" w:cs="Times New Roman"/>
                <w:color w:val="auto"/>
                <w:spacing w:val="0"/>
                <w:position w:val="0"/>
                <w:highlight w:val="none"/>
                <w:lang w:val="en-US" w:eastAsia="zh-CN"/>
              </w:rPr>
              <w:t>，故本项目建成后全厂废气总量控制指标为</w:t>
            </w:r>
            <w:r>
              <w:rPr>
                <w:rFonts w:hint="eastAsia" w:eastAsia="宋体" w:cs="Times New Roman"/>
                <w:color w:val="auto"/>
                <w:spacing w:val="0"/>
                <w:position w:val="0"/>
                <w:highlight w:val="none"/>
                <w:lang w:val="en-US" w:eastAsia="zh-CN"/>
              </w:rPr>
              <w:t>SO</w:t>
            </w:r>
            <w:r>
              <w:rPr>
                <w:rFonts w:hint="eastAsia" w:eastAsia="宋体" w:cs="Times New Roman"/>
                <w:color w:val="auto"/>
                <w:spacing w:val="0"/>
                <w:position w:val="0"/>
                <w:highlight w:val="none"/>
                <w:vertAlign w:val="subscript"/>
                <w:lang w:val="en-US" w:eastAsia="zh-CN"/>
              </w:rPr>
              <w:t>2</w:t>
            </w:r>
            <w:r>
              <w:rPr>
                <w:rFonts w:hint="eastAsia" w:eastAsia="宋体" w:cs="Times New Roman"/>
                <w:color w:val="auto"/>
                <w:spacing w:val="0"/>
                <w:position w:val="0"/>
                <w:highlight w:val="none"/>
                <w:lang w:val="en-US" w:eastAsia="zh-CN"/>
              </w:rPr>
              <w:t>0t/a，NOx0t/a</w:t>
            </w:r>
            <w:r>
              <w:rPr>
                <w:rFonts w:hint="eastAsia" w:cs="Times New Roman"/>
                <w:color w:val="auto"/>
                <w:spacing w:val="0"/>
                <w:position w:val="0"/>
                <w:highlight w:val="none"/>
                <w:lang w:val="en-US" w:eastAsia="zh-CN"/>
              </w:rPr>
              <w:t>。</w:t>
            </w:r>
          </w:p>
          <w:p>
            <w:pPr>
              <w:bidi w:val="0"/>
              <w:rPr>
                <w:rFonts w:hint="default" w:ascii="Times New Roman" w:hAnsi="Times New Roman" w:eastAsia="宋体" w:cs="Times New Roman"/>
                <w:color w:val="auto"/>
                <w:sz w:val="24"/>
                <w:szCs w:val="24"/>
                <w:highlight w:val="none"/>
                <w:lang w:val="en-US" w:eastAsia="zh-CN"/>
              </w:rPr>
            </w:pPr>
            <w:r>
              <w:rPr>
                <w:rFonts w:hint="eastAsia" w:eastAsia="宋体" w:cs="Times New Roman"/>
                <w:color w:val="auto"/>
                <w:sz w:val="24"/>
                <w:szCs w:val="24"/>
                <w:highlight w:val="none"/>
                <w:lang w:eastAsia="zh-CN"/>
              </w:rPr>
              <w:t>（</w:t>
            </w:r>
            <w:r>
              <w:rPr>
                <w:rFonts w:hint="eastAsia" w:eastAsia="宋体" w:cs="Times New Roman"/>
                <w:color w:val="auto"/>
                <w:sz w:val="24"/>
                <w:szCs w:val="24"/>
                <w:highlight w:val="none"/>
                <w:lang w:val="en-US" w:eastAsia="zh-CN"/>
              </w:rPr>
              <w:t>3</w:t>
            </w:r>
            <w:r>
              <w:rPr>
                <w:rFonts w:hint="eastAsia" w:eastAsia="宋体" w:cs="Times New Roman"/>
                <w:color w:val="auto"/>
                <w:sz w:val="24"/>
                <w:szCs w:val="24"/>
                <w:highlight w:val="none"/>
                <w:lang w:eastAsia="zh-CN"/>
              </w:rPr>
              <w:t>）</w:t>
            </w:r>
            <w:r>
              <w:rPr>
                <w:rFonts w:hint="eastAsia" w:eastAsia="宋体" w:cs="Times New Roman"/>
                <w:color w:val="auto"/>
                <w:sz w:val="24"/>
                <w:szCs w:val="24"/>
                <w:highlight w:val="none"/>
                <w:lang w:val="en-US" w:eastAsia="zh-CN"/>
              </w:rPr>
              <w:t>其他污染物</w:t>
            </w:r>
          </w:p>
          <w:p>
            <w:pPr>
              <w:bidi w:val="0"/>
              <w:rPr>
                <w:rFonts w:hint="eastAsia"/>
                <w:color w:val="auto"/>
                <w:sz w:val="24"/>
                <w:highlight w:val="none"/>
                <w:lang w:val="en-US" w:eastAsia="zh-CN"/>
              </w:rPr>
            </w:pPr>
            <w:r>
              <w:rPr>
                <w:rFonts w:hint="eastAsia"/>
                <w:color w:val="auto"/>
                <w:sz w:val="24"/>
                <w:highlight w:val="none"/>
                <w:lang w:val="en-US" w:eastAsia="zh-CN"/>
              </w:rPr>
              <w:t>本项目建成后，印刷、印刷烘干、覆膜废气（本项目新增）与烘干、烧结还原废气（现有）一起采用风量为15000m</w:t>
            </w:r>
            <w:r>
              <w:rPr>
                <w:rFonts w:hint="eastAsia"/>
                <w:color w:val="auto"/>
                <w:sz w:val="24"/>
                <w:highlight w:val="none"/>
                <w:vertAlign w:val="superscript"/>
                <w:lang w:val="en-US" w:eastAsia="zh-CN"/>
              </w:rPr>
              <w:t>3</w:t>
            </w:r>
            <w:r>
              <w:rPr>
                <w:rFonts w:hint="eastAsia"/>
                <w:color w:val="auto"/>
                <w:sz w:val="24"/>
                <w:highlight w:val="none"/>
                <w:lang w:val="en-US" w:eastAsia="zh-CN"/>
              </w:rPr>
              <w:t>/h的风机引入1套两级活性炭吸附装置进行处理，处理后与经三级串联的碱液喷淋塔（风机风量1800m</w:t>
            </w:r>
            <w:r>
              <w:rPr>
                <w:rFonts w:hint="eastAsia"/>
                <w:color w:val="auto"/>
                <w:sz w:val="24"/>
                <w:highlight w:val="none"/>
                <w:vertAlign w:val="superscript"/>
                <w:lang w:val="en-US" w:eastAsia="zh-CN"/>
              </w:rPr>
              <w:t>3</w:t>
            </w:r>
            <w:r>
              <w:rPr>
                <w:rFonts w:hint="eastAsia"/>
                <w:color w:val="auto"/>
                <w:sz w:val="24"/>
                <w:highlight w:val="none"/>
                <w:lang w:val="en-US" w:eastAsia="zh-CN"/>
              </w:rPr>
              <w:t>/h）净化处理的镀膜废气一起通过1根30m高排气筒排放，</w:t>
            </w:r>
            <w:r>
              <w:rPr>
                <w:rFonts w:hint="default"/>
                <w:color w:val="auto"/>
                <w:highlight w:val="none"/>
              </w:rPr>
              <w:t>根据执行标准</w:t>
            </w:r>
            <w:r>
              <w:rPr>
                <w:rFonts w:hint="eastAsia"/>
                <w:color w:val="auto"/>
                <w:highlight w:val="none"/>
                <w:lang w:val="en-US" w:eastAsia="zh-CN"/>
              </w:rPr>
              <w:t>和风机风量</w:t>
            </w:r>
            <w:r>
              <w:rPr>
                <w:rFonts w:hint="default"/>
                <w:color w:val="auto"/>
                <w:highlight w:val="none"/>
              </w:rPr>
              <w:t>核算总量</w:t>
            </w:r>
            <w:r>
              <w:rPr>
                <w:rFonts w:hint="eastAsia"/>
                <w:color w:val="auto"/>
                <w:highlight w:val="none"/>
                <w:lang w:eastAsia="zh-CN"/>
              </w:rPr>
              <w:t>，</w:t>
            </w:r>
            <w:r>
              <w:rPr>
                <w:rFonts w:hint="eastAsia"/>
                <w:color w:val="auto"/>
                <w:sz w:val="24"/>
                <w:highlight w:val="none"/>
                <w:lang w:val="en-US" w:eastAsia="zh-CN"/>
              </w:rPr>
              <w:t>项目建成后全厂其他污染物总量控制指标为：</w:t>
            </w:r>
          </w:p>
          <w:p>
            <w:pPr>
              <w:keepNext w:val="0"/>
              <w:keepLines w:val="0"/>
              <w:pageBreakBefore w:val="0"/>
              <w:widowControl w:val="0"/>
              <w:kinsoku/>
              <w:wordWrap w:val="0"/>
              <w:overflowPunct/>
              <w:topLinePunct w:val="0"/>
              <w:autoSpaceDE/>
              <w:autoSpaceDN/>
              <w:bidi w:val="0"/>
              <w:adjustRightInd/>
              <w:snapToGrid/>
              <w:textAlignment w:val="auto"/>
              <w:rPr>
                <w:rFonts w:hint="eastAsia"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非甲烷总烃</w:t>
            </w:r>
            <w:r>
              <w:rPr>
                <w:rFonts w:hint="eastAsia" w:ascii="Times New Roman" w:hAnsi="Times New Roman" w:cs="Times New Roman"/>
                <w:color w:val="auto"/>
                <w:sz w:val="24"/>
                <w:highlight w:val="none"/>
                <w:lang w:val="en-US" w:eastAsia="zh-CN"/>
              </w:rPr>
              <w:t>总量控制指标</w:t>
            </w:r>
            <w:r>
              <w:rPr>
                <w:rFonts w:hint="default" w:ascii="Times New Roman" w:hAnsi="Times New Roman" w:cs="Times New Roman"/>
                <w:color w:val="auto"/>
                <w:sz w:val="24"/>
                <w:highlight w:val="none"/>
                <w:lang w:val="en-US" w:eastAsia="zh-CN"/>
              </w:rPr>
              <w:t>=（15000m</w:t>
            </w:r>
            <w:r>
              <w:rPr>
                <w:rFonts w:hint="default" w:ascii="Times New Roman" w:hAnsi="Times New Roman" w:cs="Times New Roman"/>
                <w:color w:val="auto"/>
                <w:sz w:val="24"/>
                <w:highlight w:val="none"/>
                <w:vertAlign w:val="superscript"/>
                <w:lang w:val="en-US" w:eastAsia="zh-CN"/>
              </w:rPr>
              <w:t>3</w:t>
            </w:r>
            <w:r>
              <w:rPr>
                <w:rFonts w:hint="default" w:ascii="Times New Roman" w:hAnsi="Times New Roman" w:cs="Times New Roman"/>
                <w:color w:val="auto"/>
                <w:sz w:val="24"/>
                <w:highlight w:val="none"/>
                <w:lang w:val="en-US" w:eastAsia="zh-CN"/>
              </w:rPr>
              <w:t>/h+1800m</w:t>
            </w:r>
            <w:r>
              <w:rPr>
                <w:rFonts w:hint="default" w:ascii="Times New Roman" w:hAnsi="Times New Roman" w:cs="Times New Roman"/>
                <w:color w:val="auto"/>
                <w:sz w:val="24"/>
                <w:highlight w:val="none"/>
                <w:vertAlign w:val="superscript"/>
                <w:lang w:val="en-US" w:eastAsia="zh-CN"/>
              </w:rPr>
              <w:t>3</w:t>
            </w:r>
            <w:r>
              <w:rPr>
                <w:rFonts w:hint="default" w:ascii="Times New Roman" w:hAnsi="Times New Roman" w:cs="Times New Roman"/>
                <w:color w:val="auto"/>
                <w:sz w:val="24"/>
                <w:highlight w:val="none"/>
                <w:lang w:val="en-US" w:eastAsia="zh-CN"/>
              </w:rPr>
              <w:t>/h）×4800h/a×50mg/m</w:t>
            </w:r>
            <w:r>
              <w:rPr>
                <w:rFonts w:hint="default" w:ascii="Times New Roman" w:hAnsi="Times New Roman" w:cs="Times New Roman"/>
                <w:color w:val="auto"/>
                <w:sz w:val="24"/>
                <w:highlight w:val="none"/>
                <w:vertAlign w:val="superscript"/>
                <w:lang w:val="en-US" w:eastAsia="zh-CN"/>
              </w:rPr>
              <w:t>3</w:t>
            </w:r>
            <w:r>
              <w:rPr>
                <w:rFonts w:hint="default" w:ascii="Times New Roman" w:hAnsi="Times New Roman" w:cs="Times New Roman"/>
                <w:color w:val="auto"/>
                <w:sz w:val="24"/>
                <w:highlight w:val="none"/>
                <w:lang w:val="en-US" w:eastAsia="zh-CN"/>
              </w:rPr>
              <w:t>×</w:t>
            </w:r>
            <w:r>
              <w:rPr>
                <w:rFonts w:hint="eastAsia" w:ascii="Times New Roman" w:hAnsi="Times New Roman" w:cs="Times New Roman"/>
                <w:color w:val="auto"/>
                <w:sz w:val="24"/>
                <w:highlight w:val="none"/>
                <w:lang w:val="en-US" w:eastAsia="zh-CN"/>
              </w:rPr>
              <w:t>10</w:t>
            </w:r>
            <w:r>
              <w:rPr>
                <w:rFonts w:hint="eastAsia" w:ascii="Times New Roman" w:hAnsi="Times New Roman" w:cs="Times New Roman"/>
                <w:color w:val="auto"/>
                <w:sz w:val="24"/>
                <w:highlight w:val="none"/>
                <w:vertAlign w:val="superscript"/>
                <w:lang w:val="en-US" w:eastAsia="zh-CN"/>
              </w:rPr>
              <w:t>-9</w:t>
            </w:r>
            <w:r>
              <w:rPr>
                <w:rFonts w:hint="eastAsia" w:ascii="Times New Roman" w:hAnsi="Times New Roman" w:cs="Times New Roman"/>
                <w:color w:val="auto"/>
                <w:sz w:val="24"/>
                <w:highlight w:val="none"/>
                <w:lang w:val="en-US" w:eastAsia="zh-CN"/>
              </w:rPr>
              <w:t>=4.032t/a；</w:t>
            </w:r>
          </w:p>
          <w:p>
            <w:pPr>
              <w:keepNext w:val="0"/>
              <w:keepLines w:val="0"/>
              <w:pageBreakBefore w:val="0"/>
              <w:widowControl w:val="0"/>
              <w:kinsoku/>
              <w:wordWrap w:val="0"/>
              <w:overflowPunct/>
              <w:topLinePunct w:val="0"/>
              <w:autoSpaceDE/>
              <w:autoSpaceDN/>
              <w:bidi w:val="0"/>
              <w:adjustRightInd/>
              <w:snapToGrid/>
              <w:textAlignment w:val="auto"/>
              <w:rPr>
                <w:rFonts w:hint="eastAsia" w:ascii="Times New Roman" w:hAnsi="Times New Roman" w:cs="Times New Roman"/>
                <w:color w:val="auto"/>
                <w:sz w:val="24"/>
                <w:highlight w:val="none"/>
                <w:lang w:val="en-US" w:eastAsia="zh-CN"/>
              </w:rPr>
            </w:pPr>
            <w:r>
              <w:rPr>
                <w:rFonts w:hint="eastAsia" w:ascii="Times New Roman" w:hAnsi="Times New Roman" w:cs="Times New Roman"/>
                <w:color w:val="auto"/>
                <w:spacing w:val="6"/>
                <w:sz w:val="24"/>
                <w:highlight w:val="none"/>
                <w:lang w:val="en-US" w:eastAsia="zh-CN"/>
              </w:rPr>
              <w:t>氯化氢总量控制指标</w:t>
            </w:r>
            <w:r>
              <w:rPr>
                <w:rFonts w:hint="default" w:ascii="Times New Roman" w:hAnsi="Times New Roman" w:cs="Times New Roman"/>
                <w:color w:val="auto"/>
                <w:spacing w:val="6"/>
                <w:sz w:val="24"/>
                <w:highlight w:val="none"/>
                <w:lang w:val="en-US" w:eastAsia="zh-CN"/>
              </w:rPr>
              <w:t>=（15000m</w:t>
            </w:r>
            <w:r>
              <w:rPr>
                <w:rFonts w:hint="default" w:ascii="Times New Roman" w:hAnsi="Times New Roman" w:cs="Times New Roman"/>
                <w:color w:val="auto"/>
                <w:spacing w:val="6"/>
                <w:sz w:val="24"/>
                <w:highlight w:val="none"/>
                <w:vertAlign w:val="superscript"/>
                <w:lang w:val="en-US" w:eastAsia="zh-CN"/>
              </w:rPr>
              <w:t>3</w:t>
            </w:r>
            <w:r>
              <w:rPr>
                <w:rFonts w:hint="default" w:ascii="Times New Roman" w:hAnsi="Times New Roman" w:cs="Times New Roman"/>
                <w:color w:val="auto"/>
                <w:spacing w:val="6"/>
                <w:sz w:val="24"/>
                <w:highlight w:val="none"/>
                <w:lang w:val="en-US" w:eastAsia="zh-CN"/>
              </w:rPr>
              <w:t>/h+1800m</w:t>
            </w:r>
            <w:r>
              <w:rPr>
                <w:rFonts w:hint="default" w:ascii="Times New Roman" w:hAnsi="Times New Roman" w:cs="Times New Roman"/>
                <w:color w:val="auto"/>
                <w:spacing w:val="6"/>
                <w:sz w:val="24"/>
                <w:highlight w:val="none"/>
                <w:vertAlign w:val="superscript"/>
                <w:lang w:val="en-US" w:eastAsia="zh-CN"/>
              </w:rPr>
              <w:t>3</w:t>
            </w:r>
            <w:r>
              <w:rPr>
                <w:rFonts w:hint="default" w:ascii="Times New Roman" w:hAnsi="Times New Roman" w:cs="Times New Roman"/>
                <w:color w:val="auto"/>
                <w:spacing w:val="6"/>
                <w:sz w:val="24"/>
                <w:highlight w:val="none"/>
                <w:lang w:val="en-US" w:eastAsia="zh-CN"/>
              </w:rPr>
              <w:t>/h）×4800h/a×</w:t>
            </w:r>
            <w:r>
              <w:rPr>
                <w:rFonts w:hint="eastAsia" w:ascii="Times New Roman" w:hAnsi="Times New Roman" w:cs="Times New Roman"/>
                <w:color w:val="auto"/>
                <w:spacing w:val="6"/>
                <w:sz w:val="24"/>
                <w:highlight w:val="none"/>
                <w:lang w:val="en-US" w:eastAsia="zh-CN"/>
              </w:rPr>
              <w:t>10</w:t>
            </w:r>
            <w:r>
              <w:rPr>
                <w:rFonts w:hint="default" w:ascii="Times New Roman" w:hAnsi="Times New Roman" w:cs="Times New Roman"/>
                <w:color w:val="auto"/>
                <w:spacing w:val="6"/>
                <w:sz w:val="24"/>
                <w:highlight w:val="none"/>
                <w:lang w:val="en-US" w:eastAsia="zh-CN"/>
              </w:rPr>
              <w:t>mg/m</w:t>
            </w:r>
            <w:r>
              <w:rPr>
                <w:rFonts w:hint="default" w:ascii="Times New Roman" w:hAnsi="Times New Roman" w:cs="Times New Roman"/>
                <w:color w:val="auto"/>
                <w:spacing w:val="6"/>
                <w:sz w:val="24"/>
                <w:highlight w:val="none"/>
                <w:vertAlign w:val="superscript"/>
                <w:lang w:val="en-US" w:eastAsia="zh-CN"/>
              </w:rPr>
              <w:t>3</w:t>
            </w:r>
            <w:r>
              <w:rPr>
                <w:rFonts w:hint="default" w:ascii="Times New Roman" w:hAnsi="Times New Roman" w:cs="Times New Roman"/>
                <w:color w:val="auto"/>
                <w:spacing w:val="6"/>
                <w:sz w:val="24"/>
                <w:highlight w:val="none"/>
                <w:lang w:val="en-US" w:eastAsia="zh-CN"/>
              </w:rPr>
              <w:t>×</w:t>
            </w:r>
            <w:r>
              <w:rPr>
                <w:rFonts w:hint="eastAsia" w:ascii="Times New Roman" w:hAnsi="Times New Roman" w:cs="Times New Roman"/>
                <w:color w:val="auto"/>
                <w:spacing w:val="6"/>
                <w:sz w:val="24"/>
                <w:highlight w:val="none"/>
                <w:lang w:val="en-US" w:eastAsia="zh-CN"/>
              </w:rPr>
              <w:t>10</w:t>
            </w:r>
            <w:r>
              <w:rPr>
                <w:rFonts w:hint="eastAsia" w:ascii="Times New Roman" w:hAnsi="Times New Roman" w:cs="Times New Roman"/>
                <w:color w:val="auto"/>
                <w:spacing w:val="6"/>
                <w:sz w:val="24"/>
                <w:highlight w:val="none"/>
                <w:vertAlign w:val="superscript"/>
                <w:lang w:val="en-US" w:eastAsia="zh-CN"/>
              </w:rPr>
              <w:t>-9</w:t>
            </w:r>
            <w:r>
              <w:rPr>
                <w:rFonts w:hint="eastAsia" w:ascii="Times New Roman" w:hAnsi="Times New Roman" w:cs="Times New Roman"/>
                <w:color w:val="auto"/>
                <w:spacing w:val="6"/>
                <w:sz w:val="24"/>
                <w:highlight w:val="none"/>
                <w:lang w:val="en-US" w:eastAsia="zh-CN"/>
              </w:rPr>
              <w:t>=</w:t>
            </w:r>
            <w:r>
              <w:rPr>
                <w:rFonts w:hint="eastAsia" w:ascii="Times New Roman" w:hAnsi="Times New Roman" w:cs="Times New Roman"/>
                <w:color w:val="auto"/>
                <w:sz w:val="24"/>
                <w:highlight w:val="none"/>
                <w:lang w:val="en-US" w:eastAsia="zh-CN"/>
              </w:rPr>
              <w:t>0.806t/a；</w:t>
            </w:r>
          </w:p>
          <w:p>
            <w:pPr>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cs="Times New Roman"/>
                <w:color w:val="auto"/>
                <w:sz w:val="24"/>
                <w:highlight w:val="none"/>
                <w:lang w:val="en-US" w:eastAsia="zh-CN"/>
              </w:rPr>
            </w:pPr>
            <w:r>
              <w:rPr>
                <w:rFonts w:hint="eastAsia" w:ascii="Times New Roman" w:hAnsi="Times New Roman" w:cs="Times New Roman"/>
                <w:color w:val="auto"/>
                <w:spacing w:val="6"/>
                <w:sz w:val="24"/>
                <w:highlight w:val="none"/>
                <w:lang w:val="en-US" w:eastAsia="zh-CN"/>
              </w:rPr>
              <w:t>氟化物总量控制指标</w:t>
            </w:r>
            <w:r>
              <w:rPr>
                <w:rFonts w:hint="default" w:ascii="Times New Roman" w:hAnsi="Times New Roman" w:cs="Times New Roman"/>
                <w:color w:val="auto"/>
                <w:spacing w:val="6"/>
                <w:sz w:val="24"/>
                <w:highlight w:val="none"/>
                <w:lang w:val="en-US" w:eastAsia="zh-CN"/>
              </w:rPr>
              <w:t>=</w:t>
            </w:r>
            <w:r>
              <w:rPr>
                <w:rFonts w:hint="default" w:ascii="Times New Roman" w:hAnsi="Times New Roman" w:cs="Times New Roman"/>
                <w:color w:val="auto"/>
                <w:spacing w:val="11"/>
                <w:sz w:val="24"/>
                <w:highlight w:val="none"/>
                <w:lang w:val="en-US" w:eastAsia="zh-CN"/>
              </w:rPr>
              <w:t>（15000m</w:t>
            </w:r>
            <w:r>
              <w:rPr>
                <w:rFonts w:hint="default" w:ascii="Times New Roman" w:hAnsi="Times New Roman" w:cs="Times New Roman"/>
                <w:color w:val="auto"/>
                <w:spacing w:val="11"/>
                <w:sz w:val="24"/>
                <w:highlight w:val="none"/>
                <w:vertAlign w:val="superscript"/>
                <w:lang w:val="en-US" w:eastAsia="zh-CN"/>
              </w:rPr>
              <w:t>3</w:t>
            </w:r>
            <w:r>
              <w:rPr>
                <w:rFonts w:hint="default" w:ascii="Times New Roman" w:hAnsi="Times New Roman" w:cs="Times New Roman"/>
                <w:color w:val="auto"/>
                <w:spacing w:val="11"/>
                <w:sz w:val="24"/>
                <w:highlight w:val="none"/>
                <w:lang w:val="en-US" w:eastAsia="zh-CN"/>
              </w:rPr>
              <w:t>/h+1800m</w:t>
            </w:r>
            <w:r>
              <w:rPr>
                <w:rFonts w:hint="default" w:ascii="Times New Roman" w:hAnsi="Times New Roman" w:cs="Times New Roman"/>
                <w:color w:val="auto"/>
                <w:spacing w:val="11"/>
                <w:sz w:val="24"/>
                <w:highlight w:val="none"/>
                <w:vertAlign w:val="superscript"/>
                <w:lang w:val="en-US" w:eastAsia="zh-CN"/>
              </w:rPr>
              <w:t>3</w:t>
            </w:r>
            <w:r>
              <w:rPr>
                <w:rFonts w:hint="default" w:ascii="Times New Roman" w:hAnsi="Times New Roman" w:cs="Times New Roman"/>
                <w:color w:val="auto"/>
                <w:spacing w:val="11"/>
                <w:sz w:val="24"/>
                <w:highlight w:val="none"/>
                <w:lang w:val="en-US" w:eastAsia="zh-CN"/>
              </w:rPr>
              <w:t>/h）×4800h/a×</w:t>
            </w:r>
            <w:r>
              <w:rPr>
                <w:rFonts w:hint="eastAsia" w:ascii="Times New Roman" w:hAnsi="Times New Roman" w:cs="Times New Roman"/>
                <w:color w:val="auto"/>
                <w:spacing w:val="11"/>
                <w:sz w:val="24"/>
                <w:highlight w:val="none"/>
                <w:lang w:val="en-US" w:eastAsia="zh-CN"/>
              </w:rPr>
              <w:t>3</w:t>
            </w:r>
            <w:r>
              <w:rPr>
                <w:rFonts w:hint="default" w:ascii="Times New Roman" w:hAnsi="Times New Roman" w:cs="Times New Roman"/>
                <w:color w:val="auto"/>
                <w:spacing w:val="11"/>
                <w:sz w:val="24"/>
                <w:highlight w:val="none"/>
                <w:lang w:val="en-US" w:eastAsia="zh-CN"/>
              </w:rPr>
              <w:t>mg/m</w:t>
            </w:r>
            <w:r>
              <w:rPr>
                <w:rFonts w:hint="default" w:ascii="Times New Roman" w:hAnsi="Times New Roman" w:cs="Times New Roman"/>
                <w:color w:val="auto"/>
                <w:spacing w:val="11"/>
                <w:sz w:val="24"/>
                <w:highlight w:val="none"/>
                <w:vertAlign w:val="superscript"/>
                <w:lang w:val="en-US" w:eastAsia="zh-CN"/>
              </w:rPr>
              <w:t>3</w:t>
            </w:r>
            <w:r>
              <w:rPr>
                <w:rFonts w:hint="default" w:ascii="Times New Roman" w:hAnsi="Times New Roman" w:cs="Times New Roman"/>
                <w:color w:val="auto"/>
                <w:spacing w:val="11"/>
                <w:sz w:val="24"/>
                <w:highlight w:val="none"/>
                <w:lang w:val="en-US" w:eastAsia="zh-CN"/>
              </w:rPr>
              <w:t>×</w:t>
            </w:r>
            <w:r>
              <w:rPr>
                <w:rFonts w:hint="eastAsia" w:ascii="Times New Roman" w:hAnsi="Times New Roman" w:cs="Times New Roman"/>
                <w:color w:val="auto"/>
                <w:spacing w:val="11"/>
                <w:sz w:val="24"/>
                <w:highlight w:val="none"/>
                <w:lang w:val="en-US" w:eastAsia="zh-CN"/>
              </w:rPr>
              <w:t>10</w:t>
            </w:r>
            <w:r>
              <w:rPr>
                <w:rFonts w:hint="eastAsia" w:ascii="Times New Roman" w:hAnsi="Times New Roman" w:cs="Times New Roman"/>
                <w:color w:val="auto"/>
                <w:spacing w:val="11"/>
                <w:sz w:val="24"/>
                <w:highlight w:val="none"/>
                <w:vertAlign w:val="superscript"/>
                <w:lang w:val="en-US" w:eastAsia="zh-CN"/>
              </w:rPr>
              <w:t>-9</w:t>
            </w:r>
            <w:r>
              <w:rPr>
                <w:rFonts w:hint="eastAsia" w:ascii="Times New Roman" w:hAnsi="Times New Roman" w:cs="Times New Roman"/>
                <w:color w:val="auto"/>
                <w:spacing w:val="6"/>
                <w:sz w:val="24"/>
                <w:highlight w:val="none"/>
                <w:lang w:val="en-US" w:eastAsia="zh-CN"/>
              </w:rPr>
              <w:t>=</w:t>
            </w:r>
            <w:r>
              <w:rPr>
                <w:rFonts w:hint="eastAsia" w:ascii="Times New Roman" w:hAnsi="Times New Roman" w:cs="Times New Roman"/>
                <w:color w:val="auto"/>
                <w:sz w:val="24"/>
                <w:highlight w:val="none"/>
                <w:lang w:val="en-US" w:eastAsia="zh-CN"/>
              </w:rPr>
              <w:t>0.242t/a；</w:t>
            </w:r>
          </w:p>
          <w:p>
            <w:pPr>
              <w:bidi w:val="0"/>
              <w:rPr>
                <w:rFonts w:hint="default" w:ascii="Times New Roman" w:hAnsi="Times New Roman" w:eastAsia="宋体" w:cs="Times New Roman"/>
                <w:color w:val="auto"/>
                <w:sz w:val="24"/>
                <w:highlight w:val="none"/>
                <w:lang w:val="en-US" w:eastAsia="zh-CN"/>
              </w:rPr>
            </w:pPr>
            <w:r>
              <w:rPr>
                <w:rFonts w:hint="eastAsia" w:ascii="Times New Roman" w:hAnsi="Times New Roman" w:cs="Times New Roman"/>
                <w:color w:val="auto"/>
                <w:sz w:val="24"/>
                <w:highlight w:val="none"/>
                <w:lang w:val="en-US" w:eastAsia="zh-CN"/>
              </w:rPr>
              <w:t>综上，本项目建成后全厂总量控制指标为</w:t>
            </w:r>
            <w:r>
              <w:rPr>
                <w:rFonts w:hint="eastAsia" w:eastAsia="宋体" w:cs="Times New Roman"/>
                <w:color w:val="auto"/>
                <w:spacing w:val="0"/>
                <w:position w:val="0"/>
                <w:highlight w:val="none"/>
                <w:lang w:val="en-US" w:eastAsia="zh-CN"/>
              </w:rPr>
              <w:t>COD0t/a，氨氮0t/a，总氮0t/a，SO</w:t>
            </w:r>
            <w:r>
              <w:rPr>
                <w:rFonts w:hint="eastAsia" w:eastAsia="宋体" w:cs="Times New Roman"/>
                <w:color w:val="auto"/>
                <w:spacing w:val="0"/>
                <w:position w:val="0"/>
                <w:highlight w:val="none"/>
                <w:vertAlign w:val="subscript"/>
                <w:lang w:val="en-US" w:eastAsia="zh-CN"/>
              </w:rPr>
              <w:t>2</w:t>
            </w:r>
            <w:r>
              <w:rPr>
                <w:rFonts w:hint="eastAsia" w:eastAsia="宋体" w:cs="Times New Roman"/>
                <w:color w:val="auto"/>
                <w:spacing w:val="0"/>
                <w:position w:val="0"/>
                <w:highlight w:val="none"/>
                <w:lang w:val="en-US" w:eastAsia="zh-CN"/>
              </w:rPr>
              <w:t>0t/a，NOx0t/a，非甲烷总烃4.032t/a，氯化氢0.806t/a，氟化物0.242t/a。</w:t>
            </w:r>
          </w:p>
          <w:p>
            <w:pPr>
              <w:bidi w:val="0"/>
              <w:rPr>
                <w:rFonts w:hint="default"/>
                <w:color w:val="auto"/>
                <w:highlight w:val="none"/>
                <w:lang w:val="en-US" w:eastAsia="zh-CN"/>
              </w:rPr>
            </w:pPr>
            <w:r>
              <w:rPr>
                <w:rFonts w:hint="eastAsia"/>
                <w:color w:val="auto"/>
                <w:highlight w:val="none"/>
                <w:lang w:val="en-US" w:eastAsia="zh-CN"/>
              </w:rPr>
              <w:t>根据现有工程环评及批复同时结合现行污染物排放标准及实际情况，本项目建成后，总量控制指标变化情况见下表。</w:t>
            </w:r>
          </w:p>
          <w:p>
            <w:pPr>
              <w:keepNext w:val="0"/>
              <w:keepLines w:val="0"/>
              <w:pageBreakBefore w:val="0"/>
              <w:widowControl w:val="0"/>
              <w:kinsoku/>
              <w:wordWrap/>
              <w:overflowPunct/>
              <w:topLinePunct w:val="0"/>
              <w:autoSpaceDE w:val="0"/>
              <w:autoSpaceDN w:val="0"/>
              <w:bidi w:val="0"/>
              <w:adjustRightInd w:val="0"/>
              <w:snapToGrid/>
              <w:spacing w:before="0" w:line="440" w:lineRule="exact"/>
              <w:ind w:firstLine="0" w:firstLineChars="0"/>
              <w:jc w:val="center"/>
              <w:textAlignment w:val="auto"/>
              <w:rPr>
                <w:rFonts w:hint="default" w:ascii="Times New Roman" w:hAnsi="Times New Roman" w:eastAsia="宋体" w:cs="Times New Roman"/>
                <w:b/>
                <w:bCs/>
                <w:color w:val="auto"/>
                <w:sz w:val="21"/>
                <w:szCs w:val="21"/>
                <w:highlight w:val="none"/>
                <w:lang w:eastAsia="zh-CN"/>
              </w:rPr>
            </w:pPr>
            <w:r>
              <w:rPr>
                <w:rFonts w:hint="default" w:ascii="Times New Roman" w:hAnsi="Times New Roman" w:eastAsia="宋体" w:cs="Times New Roman"/>
                <w:b/>
                <w:bCs/>
                <w:color w:val="auto"/>
                <w:sz w:val="21"/>
                <w:szCs w:val="21"/>
                <w:highlight w:val="none"/>
                <w:lang w:eastAsia="zh-CN"/>
              </w:rPr>
              <w:t>表</w:t>
            </w:r>
            <w:r>
              <w:rPr>
                <w:rFonts w:hint="eastAsia" w:cs="Times New Roman"/>
                <w:b/>
                <w:bCs/>
                <w:color w:val="auto"/>
                <w:sz w:val="21"/>
                <w:szCs w:val="21"/>
                <w:highlight w:val="none"/>
                <w:lang w:val="en-US" w:eastAsia="zh-CN"/>
              </w:rPr>
              <w:t xml:space="preserve">26 </w:t>
            </w:r>
            <w:r>
              <w:rPr>
                <w:rFonts w:hint="default" w:ascii="Times New Roman" w:hAnsi="Times New Roman" w:eastAsia="宋体" w:cs="Times New Roman"/>
                <w:b/>
                <w:bCs/>
                <w:color w:val="auto"/>
                <w:sz w:val="21"/>
                <w:szCs w:val="21"/>
                <w:highlight w:val="none"/>
                <w:lang w:eastAsia="zh-CN"/>
              </w:rPr>
              <w:t xml:space="preserve"> </w:t>
            </w:r>
            <w:r>
              <w:rPr>
                <w:rFonts w:hint="eastAsia" w:cs="Times New Roman"/>
                <w:b/>
                <w:bCs/>
                <w:color w:val="auto"/>
                <w:sz w:val="21"/>
                <w:szCs w:val="21"/>
                <w:highlight w:val="none"/>
                <w:lang w:val="en-US" w:eastAsia="zh-CN"/>
              </w:rPr>
              <w:t>总量控制指标</w:t>
            </w:r>
            <w:r>
              <w:rPr>
                <w:rFonts w:hint="default" w:ascii="Times New Roman" w:hAnsi="Times New Roman" w:eastAsia="宋体" w:cs="Times New Roman"/>
                <w:b/>
                <w:bCs/>
                <w:color w:val="auto"/>
                <w:sz w:val="21"/>
                <w:szCs w:val="21"/>
                <w:highlight w:val="none"/>
                <w:lang w:eastAsia="zh-CN"/>
              </w:rPr>
              <w:t>一览表</w:t>
            </w:r>
          </w:p>
          <w:tbl>
            <w:tblPr>
              <w:tblStyle w:val="24"/>
              <w:tblW w:w="827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39"/>
              <w:gridCol w:w="1925"/>
              <w:gridCol w:w="1866"/>
              <w:gridCol w:w="1872"/>
              <w:gridCol w:w="177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39"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eastAsia" w:ascii="Times New Roman" w:hAnsi="Times New Roman" w:eastAsia="宋体" w:cs="Times New Roman"/>
                      <w:color w:val="auto"/>
                      <w:sz w:val="21"/>
                      <w:szCs w:val="21"/>
                      <w:highlight w:val="none"/>
                      <w:lang w:eastAsia="zh-CN"/>
                    </w:rPr>
                  </w:pPr>
                  <w:r>
                    <w:rPr>
                      <w:rFonts w:hint="eastAsia" w:cs="Times New Roman"/>
                      <w:color w:val="auto"/>
                      <w:sz w:val="21"/>
                      <w:szCs w:val="21"/>
                      <w:highlight w:val="none"/>
                      <w:lang w:val="en-US" w:eastAsia="zh-CN"/>
                    </w:rPr>
                    <w:t>类别</w:t>
                  </w:r>
                </w:p>
              </w:tc>
              <w:tc>
                <w:tcPr>
                  <w:tcW w:w="1925"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eastAsia" w:ascii="Times New Roman" w:hAnsi="Times New Roman" w:eastAsia="宋体" w:cs="Times New Roman"/>
                      <w:color w:val="auto"/>
                      <w:sz w:val="21"/>
                      <w:szCs w:val="21"/>
                      <w:highlight w:val="none"/>
                      <w:lang w:eastAsia="zh-CN"/>
                    </w:rPr>
                  </w:pPr>
                  <w:r>
                    <w:rPr>
                      <w:rFonts w:hint="eastAsia" w:cs="Times New Roman"/>
                      <w:color w:val="auto"/>
                      <w:sz w:val="21"/>
                      <w:szCs w:val="21"/>
                      <w:highlight w:val="none"/>
                      <w:lang w:val="en-US" w:eastAsia="zh-CN"/>
                    </w:rPr>
                    <w:t>污染物</w:t>
                  </w:r>
                </w:p>
              </w:tc>
              <w:tc>
                <w:tcPr>
                  <w:tcW w:w="1866" w:type="dxa"/>
                  <w:tcBorders>
                    <w:tl2br w:val="nil"/>
                    <w:tr2bl w:val="nil"/>
                  </w:tcBorders>
                  <w:noWrap w:val="0"/>
                  <w:vAlign w:val="center"/>
                </w:tcPr>
                <w:p>
                  <w:pPr>
                    <w:keepNext w:val="0"/>
                    <w:keepLines w:val="0"/>
                    <w:pageBreakBefore w:val="0"/>
                    <w:widowControl/>
                    <w:kinsoku/>
                    <w:wordWrap w:val="0"/>
                    <w:overflowPunct/>
                    <w:topLinePunct w:val="0"/>
                    <w:autoSpaceDE/>
                    <w:autoSpaceDN/>
                    <w:bidi w:val="0"/>
                    <w:adjustRightInd/>
                    <w:snapToGrid/>
                    <w:spacing w:line="240" w:lineRule="auto"/>
                    <w:ind w:left="-24" w:leftChars="-10" w:right="-24" w:rightChars="-1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现有工程总量控制指标（t/a）</w:t>
                  </w:r>
                </w:p>
              </w:tc>
              <w:tc>
                <w:tcPr>
                  <w:tcW w:w="1872" w:type="dxa"/>
                  <w:tcBorders>
                    <w:tl2br w:val="nil"/>
                    <w:tr2bl w:val="nil"/>
                  </w:tcBorders>
                  <w:noWrap w:val="0"/>
                  <w:vAlign w:val="center"/>
                </w:tcPr>
                <w:p>
                  <w:pPr>
                    <w:keepNext w:val="0"/>
                    <w:keepLines w:val="0"/>
                    <w:pageBreakBefore w:val="0"/>
                    <w:widowControl/>
                    <w:kinsoku/>
                    <w:wordWrap w:val="0"/>
                    <w:overflowPunct/>
                    <w:topLinePunct w:val="0"/>
                    <w:autoSpaceDE/>
                    <w:autoSpaceDN/>
                    <w:bidi w:val="0"/>
                    <w:adjustRightInd/>
                    <w:snapToGrid/>
                    <w:spacing w:line="240" w:lineRule="auto"/>
                    <w:ind w:left="-24" w:leftChars="-10" w:right="-24" w:rightChars="-1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本项目建成后全厂（t/a）</w:t>
                  </w:r>
                </w:p>
              </w:tc>
              <w:tc>
                <w:tcPr>
                  <w:tcW w:w="1775" w:type="dxa"/>
                  <w:tcBorders>
                    <w:tl2br w:val="nil"/>
                    <w:tr2bl w:val="nil"/>
                  </w:tcBorders>
                  <w:noWrap w:val="0"/>
                  <w:vAlign w:val="center"/>
                </w:tcPr>
                <w:p>
                  <w:pPr>
                    <w:keepNext w:val="0"/>
                    <w:keepLines w:val="0"/>
                    <w:pageBreakBefore w:val="0"/>
                    <w:widowControl/>
                    <w:kinsoku/>
                    <w:wordWrap w:val="0"/>
                    <w:overflowPunct/>
                    <w:topLinePunct w:val="0"/>
                    <w:autoSpaceDE/>
                    <w:autoSpaceDN/>
                    <w:bidi w:val="0"/>
                    <w:adjustRightInd/>
                    <w:snapToGrid/>
                    <w:spacing w:line="240" w:lineRule="auto"/>
                    <w:ind w:left="-24" w:leftChars="-10" w:right="-24" w:rightChars="-1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总量指标变化量（t/a）</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839" w:type="dxa"/>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废气</w:t>
                  </w:r>
                </w:p>
              </w:tc>
              <w:tc>
                <w:tcPr>
                  <w:tcW w:w="1925"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二氧化硫</w:t>
                  </w:r>
                </w:p>
              </w:tc>
              <w:tc>
                <w:tcPr>
                  <w:tcW w:w="1866" w:type="dxa"/>
                  <w:tcBorders>
                    <w:tl2br w:val="nil"/>
                    <w:tr2bl w:val="nil"/>
                  </w:tcBorders>
                  <w:noWrap w:val="0"/>
                  <w:vAlign w:val="center"/>
                </w:tcPr>
                <w:p>
                  <w:pPr>
                    <w:keepNext w:val="0"/>
                    <w:keepLines w:val="0"/>
                    <w:pageBreakBefore w:val="0"/>
                    <w:widowControl/>
                    <w:kinsoku/>
                    <w:wordWrap w:val="0"/>
                    <w:overflowPunct/>
                    <w:topLinePunct w:val="0"/>
                    <w:autoSpaceDE/>
                    <w:autoSpaceDN/>
                    <w:bidi w:val="0"/>
                    <w:adjustRightInd/>
                    <w:snapToGrid/>
                    <w:spacing w:line="240" w:lineRule="auto"/>
                    <w:ind w:left="-24" w:leftChars="-10" w:right="-24" w:rightChars="-1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w:t>
                  </w:r>
                </w:p>
              </w:tc>
              <w:tc>
                <w:tcPr>
                  <w:tcW w:w="1872" w:type="dxa"/>
                  <w:tcBorders>
                    <w:tl2br w:val="nil"/>
                    <w:tr2bl w:val="nil"/>
                  </w:tcBorders>
                  <w:noWrap w:val="0"/>
                  <w:vAlign w:val="center"/>
                </w:tcPr>
                <w:p>
                  <w:pPr>
                    <w:keepNext w:val="0"/>
                    <w:keepLines w:val="0"/>
                    <w:pageBreakBefore w:val="0"/>
                    <w:widowControl/>
                    <w:kinsoku/>
                    <w:wordWrap w:val="0"/>
                    <w:overflowPunct/>
                    <w:topLinePunct w:val="0"/>
                    <w:autoSpaceDE/>
                    <w:autoSpaceDN/>
                    <w:bidi w:val="0"/>
                    <w:adjustRightInd/>
                    <w:snapToGrid/>
                    <w:spacing w:line="240" w:lineRule="auto"/>
                    <w:ind w:left="-24" w:leftChars="-10" w:right="-24" w:rightChars="-1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w:t>
                  </w:r>
                </w:p>
              </w:tc>
              <w:tc>
                <w:tcPr>
                  <w:tcW w:w="1775" w:type="dxa"/>
                  <w:tcBorders>
                    <w:tl2br w:val="nil"/>
                    <w:tr2bl w:val="nil"/>
                  </w:tcBorders>
                  <w:noWrap w:val="0"/>
                  <w:vAlign w:val="center"/>
                </w:tcPr>
                <w:p>
                  <w:pPr>
                    <w:keepNext w:val="0"/>
                    <w:keepLines w:val="0"/>
                    <w:pageBreakBefore w:val="0"/>
                    <w:widowControl/>
                    <w:kinsoku/>
                    <w:wordWrap w:val="0"/>
                    <w:overflowPunct/>
                    <w:topLinePunct w:val="0"/>
                    <w:autoSpaceDE/>
                    <w:autoSpaceDN/>
                    <w:bidi w:val="0"/>
                    <w:adjustRightInd/>
                    <w:snapToGrid/>
                    <w:spacing w:line="240" w:lineRule="auto"/>
                    <w:ind w:left="-24" w:leftChars="-10" w:right="-24" w:rightChars="-1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839"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eastAsia" w:cs="Times New Roman"/>
                      <w:color w:val="auto"/>
                      <w:sz w:val="21"/>
                      <w:szCs w:val="21"/>
                      <w:highlight w:val="none"/>
                      <w:lang w:val="en-US" w:eastAsia="zh-CN"/>
                    </w:rPr>
                  </w:pPr>
                </w:p>
              </w:tc>
              <w:tc>
                <w:tcPr>
                  <w:tcW w:w="1925"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氮氧化物</w:t>
                  </w:r>
                </w:p>
              </w:tc>
              <w:tc>
                <w:tcPr>
                  <w:tcW w:w="1866" w:type="dxa"/>
                  <w:tcBorders>
                    <w:tl2br w:val="nil"/>
                    <w:tr2bl w:val="nil"/>
                  </w:tcBorders>
                  <w:noWrap w:val="0"/>
                  <w:vAlign w:val="center"/>
                </w:tcPr>
                <w:p>
                  <w:pPr>
                    <w:keepNext w:val="0"/>
                    <w:keepLines w:val="0"/>
                    <w:pageBreakBefore w:val="0"/>
                    <w:widowControl/>
                    <w:kinsoku/>
                    <w:wordWrap w:val="0"/>
                    <w:overflowPunct/>
                    <w:topLinePunct w:val="0"/>
                    <w:autoSpaceDE/>
                    <w:autoSpaceDN/>
                    <w:bidi w:val="0"/>
                    <w:adjustRightInd/>
                    <w:snapToGrid/>
                    <w:spacing w:line="240" w:lineRule="auto"/>
                    <w:ind w:left="-24" w:leftChars="-10" w:right="-24" w:rightChars="-1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w:t>
                  </w:r>
                </w:p>
              </w:tc>
              <w:tc>
                <w:tcPr>
                  <w:tcW w:w="1872" w:type="dxa"/>
                  <w:tcBorders>
                    <w:tl2br w:val="nil"/>
                    <w:tr2bl w:val="nil"/>
                  </w:tcBorders>
                  <w:noWrap w:val="0"/>
                  <w:vAlign w:val="center"/>
                </w:tcPr>
                <w:p>
                  <w:pPr>
                    <w:keepNext w:val="0"/>
                    <w:keepLines w:val="0"/>
                    <w:pageBreakBefore w:val="0"/>
                    <w:widowControl/>
                    <w:kinsoku/>
                    <w:wordWrap w:val="0"/>
                    <w:overflowPunct/>
                    <w:topLinePunct w:val="0"/>
                    <w:autoSpaceDE/>
                    <w:autoSpaceDN/>
                    <w:bidi w:val="0"/>
                    <w:adjustRightInd/>
                    <w:snapToGrid/>
                    <w:spacing w:line="240" w:lineRule="auto"/>
                    <w:ind w:left="-24" w:leftChars="-10" w:right="-24" w:rightChars="-1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w:t>
                  </w:r>
                </w:p>
              </w:tc>
              <w:tc>
                <w:tcPr>
                  <w:tcW w:w="1775" w:type="dxa"/>
                  <w:tcBorders>
                    <w:tl2br w:val="nil"/>
                    <w:tr2bl w:val="nil"/>
                  </w:tcBorders>
                  <w:noWrap w:val="0"/>
                  <w:vAlign w:val="center"/>
                </w:tcPr>
                <w:p>
                  <w:pPr>
                    <w:keepNext w:val="0"/>
                    <w:keepLines w:val="0"/>
                    <w:pageBreakBefore w:val="0"/>
                    <w:widowControl/>
                    <w:kinsoku/>
                    <w:wordWrap w:val="0"/>
                    <w:overflowPunct/>
                    <w:topLinePunct w:val="0"/>
                    <w:autoSpaceDE/>
                    <w:autoSpaceDN/>
                    <w:bidi w:val="0"/>
                    <w:adjustRightInd/>
                    <w:snapToGrid/>
                    <w:spacing w:line="240" w:lineRule="auto"/>
                    <w:ind w:left="-24" w:leftChars="-10" w:right="-24" w:rightChars="-1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39"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eastAsia" w:cs="Times New Roman"/>
                      <w:color w:val="auto"/>
                      <w:sz w:val="21"/>
                      <w:szCs w:val="21"/>
                      <w:highlight w:val="none"/>
                      <w:lang w:val="en-US" w:eastAsia="zh-CN"/>
                    </w:rPr>
                  </w:pPr>
                </w:p>
              </w:tc>
              <w:tc>
                <w:tcPr>
                  <w:tcW w:w="1925"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非甲烷总烃</w:t>
                  </w:r>
                </w:p>
              </w:tc>
              <w:tc>
                <w:tcPr>
                  <w:tcW w:w="1866" w:type="dxa"/>
                  <w:tcBorders>
                    <w:tl2br w:val="nil"/>
                    <w:tr2bl w:val="nil"/>
                  </w:tcBorders>
                  <w:noWrap w:val="0"/>
                  <w:vAlign w:val="center"/>
                </w:tcPr>
                <w:p>
                  <w:pPr>
                    <w:keepNext w:val="0"/>
                    <w:keepLines w:val="0"/>
                    <w:pageBreakBefore w:val="0"/>
                    <w:widowControl/>
                    <w:kinsoku/>
                    <w:wordWrap w:val="0"/>
                    <w:overflowPunct/>
                    <w:topLinePunct w:val="0"/>
                    <w:autoSpaceDE/>
                    <w:autoSpaceDN/>
                    <w:bidi w:val="0"/>
                    <w:adjustRightInd/>
                    <w:snapToGrid/>
                    <w:spacing w:line="240" w:lineRule="auto"/>
                    <w:ind w:left="-24" w:leftChars="-10" w:right="-24" w:rightChars="-1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0.378</w:t>
                  </w:r>
                </w:p>
              </w:tc>
              <w:tc>
                <w:tcPr>
                  <w:tcW w:w="1872" w:type="dxa"/>
                  <w:tcBorders>
                    <w:tl2br w:val="nil"/>
                    <w:tr2bl w:val="nil"/>
                  </w:tcBorders>
                  <w:noWrap w:val="0"/>
                  <w:vAlign w:val="center"/>
                </w:tcPr>
                <w:p>
                  <w:pPr>
                    <w:keepNext w:val="0"/>
                    <w:keepLines w:val="0"/>
                    <w:pageBreakBefore w:val="0"/>
                    <w:widowControl/>
                    <w:kinsoku/>
                    <w:wordWrap w:val="0"/>
                    <w:overflowPunct/>
                    <w:topLinePunct w:val="0"/>
                    <w:autoSpaceDE/>
                    <w:autoSpaceDN/>
                    <w:bidi w:val="0"/>
                    <w:adjustRightInd/>
                    <w:snapToGrid/>
                    <w:spacing w:line="240" w:lineRule="auto"/>
                    <w:ind w:left="-24" w:leftChars="-10" w:right="-24" w:rightChars="-1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4.032</w:t>
                  </w:r>
                </w:p>
              </w:tc>
              <w:tc>
                <w:tcPr>
                  <w:tcW w:w="1775" w:type="dxa"/>
                  <w:tcBorders>
                    <w:tl2br w:val="nil"/>
                    <w:tr2bl w:val="nil"/>
                  </w:tcBorders>
                  <w:noWrap w:val="0"/>
                  <w:vAlign w:val="center"/>
                </w:tcPr>
                <w:p>
                  <w:pPr>
                    <w:keepNext w:val="0"/>
                    <w:keepLines w:val="0"/>
                    <w:pageBreakBefore w:val="0"/>
                    <w:widowControl/>
                    <w:kinsoku/>
                    <w:wordWrap w:val="0"/>
                    <w:overflowPunct/>
                    <w:topLinePunct w:val="0"/>
                    <w:autoSpaceDE/>
                    <w:autoSpaceDN/>
                    <w:bidi w:val="0"/>
                    <w:adjustRightInd/>
                    <w:snapToGrid/>
                    <w:spacing w:line="240" w:lineRule="auto"/>
                    <w:ind w:left="-24" w:leftChars="-10" w:right="-24" w:rightChars="-1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+3.654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839"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eastAsia" w:cs="Times New Roman"/>
                      <w:color w:val="auto"/>
                      <w:sz w:val="21"/>
                      <w:szCs w:val="21"/>
                      <w:highlight w:val="none"/>
                      <w:lang w:val="en-US" w:eastAsia="zh-CN"/>
                    </w:rPr>
                  </w:pPr>
                </w:p>
              </w:tc>
              <w:tc>
                <w:tcPr>
                  <w:tcW w:w="1925"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氟化物</w:t>
                  </w:r>
                </w:p>
              </w:tc>
              <w:tc>
                <w:tcPr>
                  <w:tcW w:w="1866" w:type="dxa"/>
                  <w:tcBorders>
                    <w:tl2br w:val="nil"/>
                    <w:tr2bl w:val="nil"/>
                  </w:tcBorders>
                  <w:noWrap w:val="0"/>
                  <w:vAlign w:val="center"/>
                </w:tcPr>
                <w:p>
                  <w:pPr>
                    <w:keepNext w:val="0"/>
                    <w:keepLines w:val="0"/>
                    <w:pageBreakBefore w:val="0"/>
                    <w:widowControl/>
                    <w:kinsoku/>
                    <w:wordWrap w:val="0"/>
                    <w:overflowPunct/>
                    <w:topLinePunct w:val="0"/>
                    <w:autoSpaceDE/>
                    <w:autoSpaceDN/>
                    <w:bidi w:val="0"/>
                    <w:adjustRightInd/>
                    <w:snapToGrid/>
                    <w:spacing w:line="240" w:lineRule="auto"/>
                    <w:ind w:left="-24" w:leftChars="-10" w:right="-24" w:rightChars="-1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0.013</w:t>
                  </w:r>
                </w:p>
              </w:tc>
              <w:tc>
                <w:tcPr>
                  <w:tcW w:w="1872" w:type="dxa"/>
                  <w:tcBorders>
                    <w:tl2br w:val="nil"/>
                    <w:tr2bl w:val="nil"/>
                  </w:tcBorders>
                  <w:noWrap w:val="0"/>
                  <w:vAlign w:val="center"/>
                </w:tcPr>
                <w:p>
                  <w:pPr>
                    <w:keepNext w:val="0"/>
                    <w:keepLines w:val="0"/>
                    <w:pageBreakBefore w:val="0"/>
                    <w:widowControl/>
                    <w:kinsoku/>
                    <w:wordWrap w:val="0"/>
                    <w:overflowPunct/>
                    <w:topLinePunct w:val="0"/>
                    <w:autoSpaceDE/>
                    <w:autoSpaceDN/>
                    <w:bidi w:val="0"/>
                    <w:adjustRightInd/>
                    <w:snapToGrid/>
                    <w:spacing w:line="240" w:lineRule="auto"/>
                    <w:ind w:left="-24" w:leftChars="-10" w:right="-24" w:rightChars="-1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0.242</w:t>
                  </w:r>
                </w:p>
              </w:tc>
              <w:tc>
                <w:tcPr>
                  <w:tcW w:w="1775" w:type="dxa"/>
                  <w:tcBorders>
                    <w:tl2br w:val="nil"/>
                    <w:tr2bl w:val="nil"/>
                  </w:tcBorders>
                  <w:noWrap w:val="0"/>
                  <w:vAlign w:val="center"/>
                </w:tcPr>
                <w:p>
                  <w:pPr>
                    <w:keepNext w:val="0"/>
                    <w:keepLines w:val="0"/>
                    <w:pageBreakBefore w:val="0"/>
                    <w:widowControl/>
                    <w:kinsoku/>
                    <w:wordWrap w:val="0"/>
                    <w:overflowPunct/>
                    <w:topLinePunct w:val="0"/>
                    <w:autoSpaceDE/>
                    <w:autoSpaceDN/>
                    <w:bidi w:val="0"/>
                    <w:adjustRightInd/>
                    <w:snapToGrid/>
                    <w:spacing w:line="240" w:lineRule="auto"/>
                    <w:ind w:left="-24" w:leftChars="-10" w:right="-24" w:rightChars="-1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+0.229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839"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eastAsia" w:cs="Times New Roman"/>
                      <w:color w:val="auto"/>
                      <w:sz w:val="21"/>
                      <w:szCs w:val="21"/>
                      <w:highlight w:val="none"/>
                      <w:lang w:val="en-US" w:eastAsia="zh-CN"/>
                    </w:rPr>
                  </w:pPr>
                </w:p>
              </w:tc>
              <w:tc>
                <w:tcPr>
                  <w:tcW w:w="1925"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氯化氢</w:t>
                  </w:r>
                </w:p>
              </w:tc>
              <w:tc>
                <w:tcPr>
                  <w:tcW w:w="1866" w:type="dxa"/>
                  <w:tcBorders>
                    <w:tl2br w:val="nil"/>
                    <w:tr2bl w:val="nil"/>
                  </w:tcBorders>
                  <w:noWrap w:val="0"/>
                  <w:vAlign w:val="center"/>
                </w:tcPr>
                <w:p>
                  <w:pPr>
                    <w:keepNext w:val="0"/>
                    <w:keepLines w:val="0"/>
                    <w:pageBreakBefore w:val="0"/>
                    <w:widowControl/>
                    <w:kinsoku/>
                    <w:wordWrap w:val="0"/>
                    <w:overflowPunct/>
                    <w:topLinePunct w:val="0"/>
                    <w:autoSpaceDE/>
                    <w:autoSpaceDN/>
                    <w:bidi w:val="0"/>
                    <w:adjustRightInd/>
                    <w:snapToGrid/>
                    <w:spacing w:line="240" w:lineRule="auto"/>
                    <w:ind w:left="-24" w:leftChars="-10" w:right="-24" w:rightChars="-1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0.043</w:t>
                  </w:r>
                </w:p>
              </w:tc>
              <w:tc>
                <w:tcPr>
                  <w:tcW w:w="1872" w:type="dxa"/>
                  <w:tcBorders>
                    <w:tl2br w:val="nil"/>
                    <w:tr2bl w:val="nil"/>
                  </w:tcBorders>
                  <w:noWrap w:val="0"/>
                  <w:vAlign w:val="center"/>
                </w:tcPr>
                <w:p>
                  <w:pPr>
                    <w:keepNext w:val="0"/>
                    <w:keepLines w:val="0"/>
                    <w:pageBreakBefore w:val="0"/>
                    <w:widowControl/>
                    <w:kinsoku/>
                    <w:wordWrap w:val="0"/>
                    <w:overflowPunct/>
                    <w:topLinePunct w:val="0"/>
                    <w:autoSpaceDE/>
                    <w:autoSpaceDN/>
                    <w:bidi w:val="0"/>
                    <w:adjustRightInd/>
                    <w:snapToGrid/>
                    <w:spacing w:line="240" w:lineRule="auto"/>
                    <w:ind w:left="-24" w:leftChars="-10" w:right="-24" w:rightChars="-1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0.806</w:t>
                  </w:r>
                </w:p>
              </w:tc>
              <w:tc>
                <w:tcPr>
                  <w:tcW w:w="1775" w:type="dxa"/>
                  <w:tcBorders>
                    <w:tl2br w:val="nil"/>
                    <w:tr2bl w:val="nil"/>
                  </w:tcBorders>
                  <w:noWrap w:val="0"/>
                  <w:vAlign w:val="center"/>
                </w:tcPr>
                <w:p>
                  <w:pPr>
                    <w:keepNext w:val="0"/>
                    <w:keepLines w:val="0"/>
                    <w:pageBreakBefore w:val="0"/>
                    <w:widowControl/>
                    <w:kinsoku/>
                    <w:wordWrap w:val="0"/>
                    <w:overflowPunct/>
                    <w:topLinePunct w:val="0"/>
                    <w:autoSpaceDE/>
                    <w:autoSpaceDN/>
                    <w:bidi w:val="0"/>
                    <w:adjustRightInd/>
                    <w:snapToGrid/>
                    <w:spacing w:line="240" w:lineRule="auto"/>
                    <w:ind w:left="-24" w:leftChars="-10" w:right="-24" w:rightChars="-1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+0.763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839" w:type="dxa"/>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废水</w:t>
                  </w:r>
                </w:p>
              </w:tc>
              <w:tc>
                <w:tcPr>
                  <w:tcW w:w="1925"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COD</w:t>
                  </w:r>
                </w:p>
              </w:tc>
              <w:tc>
                <w:tcPr>
                  <w:tcW w:w="1866" w:type="dxa"/>
                  <w:tcBorders>
                    <w:tl2br w:val="nil"/>
                    <w:tr2bl w:val="nil"/>
                  </w:tcBorders>
                  <w:noWrap w:val="0"/>
                  <w:vAlign w:val="center"/>
                </w:tcPr>
                <w:p>
                  <w:pPr>
                    <w:keepNext w:val="0"/>
                    <w:keepLines w:val="0"/>
                    <w:pageBreakBefore w:val="0"/>
                    <w:widowControl/>
                    <w:kinsoku/>
                    <w:wordWrap w:val="0"/>
                    <w:overflowPunct/>
                    <w:topLinePunct w:val="0"/>
                    <w:autoSpaceDE/>
                    <w:autoSpaceDN/>
                    <w:bidi w:val="0"/>
                    <w:adjustRightInd/>
                    <w:snapToGrid/>
                    <w:spacing w:line="240" w:lineRule="auto"/>
                    <w:ind w:left="-24" w:leftChars="-10" w:right="-24" w:rightChars="-1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w:t>
                  </w:r>
                </w:p>
              </w:tc>
              <w:tc>
                <w:tcPr>
                  <w:tcW w:w="1872" w:type="dxa"/>
                  <w:tcBorders>
                    <w:tl2br w:val="nil"/>
                    <w:tr2bl w:val="nil"/>
                  </w:tcBorders>
                  <w:noWrap w:val="0"/>
                  <w:vAlign w:val="center"/>
                </w:tcPr>
                <w:p>
                  <w:pPr>
                    <w:keepNext w:val="0"/>
                    <w:keepLines w:val="0"/>
                    <w:pageBreakBefore w:val="0"/>
                    <w:widowControl/>
                    <w:kinsoku/>
                    <w:wordWrap w:val="0"/>
                    <w:overflowPunct/>
                    <w:topLinePunct w:val="0"/>
                    <w:autoSpaceDE/>
                    <w:autoSpaceDN/>
                    <w:bidi w:val="0"/>
                    <w:adjustRightInd/>
                    <w:snapToGrid/>
                    <w:spacing w:line="240" w:lineRule="auto"/>
                    <w:ind w:left="-24" w:leftChars="-10" w:right="-24" w:rightChars="-1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w:t>
                  </w:r>
                </w:p>
              </w:tc>
              <w:tc>
                <w:tcPr>
                  <w:tcW w:w="1775" w:type="dxa"/>
                  <w:tcBorders>
                    <w:tl2br w:val="nil"/>
                    <w:tr2bl w:val="nil"/>
                  </w:tcBorders>
                  <w:noWrap w:val="0"/>
                  <w:vAlign w:val="center"/>
                </w:tcPr>
                <w:p>
                  <w:pPr>
                    <w:keepNext w:val="0"/>
                    <w:keepLines w:val="0"/>
                    <w:pageBreakBefore w:val="0"/>
                    <w:widowControl/>
                    <w:kinsoku/>
                    <w:wordWrap w:val="0"/>
                    <w:overflowPunct/>
                    <w:topLinePunct w:val="0"/>
                    <w:autoSpaceDE/>
                    <w:autoSpaceDN/>
                    <w:bidi w:val="0"/>
                    <w:adjustRightInd/>
                    <w:snapToGrid/>
                    <w:spacing w:line="240" w:lineRule="auto"/>
                    <w:ind w:left="-24" w:leftChars="-10" w:right="-24" w:rightChars="-10" w:firstLine="0" w:firstLine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39"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eastAsia" w:cs="Times New Roman"/>
                      <w:color w:val="auto"/>
                      <w:sz w:val="21"/>
                      <w:szCs w:val="21"/>
                      <w:highlight w:val="none"/>
                      <w:lang w:val="en-US" w:eastAsia="zh-CN"/>
                    </w:rPr>
                  </w:pPr>
                </w:p>
              </w:tc>
              <w:tc>
                <w:tcPr>
                  <w:tcW w:w="1925"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氨氮</w:t>
                  </w:r>
                </w:p>
              </w:tc>
              <w:tc>
                <w:tcPr>
                  <w:tcW w:w="1866" w:type="dxa"/>
                  <w:tcBorders>
                    <w:tl2br w:val="nil"/>
                    <w:tr2bl w:val="nil"/>
                  </w:tcBorders>
                  <w:noWrap w:val="0"/>
                  <w:vAlign w:val="center"/>
                </w:tcPr>
                <w:p>
                  <w:pPr>
                    <w:keepNext w:val="0"/>
                    <w:keepLines w:val="0"/>
                    <w:pageBreakBefore w:val="0"/>
                    <w:widowControl/>
                    <w:kinsoku/>
                    <w:wordWrap w:val="0"/>
                    <w:overflowPunct/>
                    <w:topLinePunct w:val="0"/>
                    <w:autoSpaceDE/>
                    <w:autoSpaceDN/>
                    <w:bidi w:val="0"/>
                    <w:adjustRightInd/>
                    <w:snapToGrid/>
                    <w:spacing w:line="240" w:lineRule="auto"/>
                    <w:ind w:left="-24" w:leftChars="-10" w:right="-24" w:rightChars="-1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w:t>
                  </w:r>
                </w:p>
              </w:tc>
              <w:tc>
                <w:tcPr>
                  <w:tcW w:w="1872" w:type="dxa"/>
                  <w:tcBorders>
                    <w:tl2br w:val="nil"/>
                    <w:tr2bl w:val="nil"/>
                  </w:tcBorders>
                  <w:noWrap w:val="0"/>
                  <w:vAlign w:val="center"/>
                </w:tcPr>
                <w:p>
                  <w:pPr>
                    <w:keepNext w:val="0"/>
                    <w:keepLines w:val="0"/>
                    <w:pageBreakBefore w:val="0"/>
                    <w:widowControl/>
                    <w:kinsoku/>
                    <w:wordWrap w:val="0"/>
                    <w:overflowPunct/>
                    <w:topLinePunct w:val="0"/>
                    <w:autoSpaceDE/>
                    <w:autoSpaceDN/>
                    <w:bidi w:val="0"/>
                    <w:adjustRightInd/>
                    <w:snapToGrid/>
                    <w:spacing w:line="240" w:lineRule="auto"/>
                    <w:ind w:left="-24" w:leftChars="-10" w:right="-24" w:rightChars="-1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w:t>
                  </w:r>
                </w:p>
              </w:tc>
              <w:tc>
                <w:tcPr>
                  <w:tcW w:w="1775" w:type="dxa"/>
                  <w:tcBorders>
                    <w:tl2br w:val="nil"/>
                    <w:tr2bl w:val="nil"/>
                  </w:tcBorders>
                  <w:noWrap w:val="0"/>
                  <w:vAlign w:val="center"/>
                </w:tcPr>
                <w:p>
                  <w:pPr>
                    <w:keepNext w:val="0"/>
                    <w:keepLines w:val="0"/>
                    <w:pageBreakBefore w:val="0"/>
                    <w:widowControl/>
                    <w:kinsoku/>
                    <w:wordWrap w:val="0"/>
                    <w:overflowPunct/>
                    <w:topLinePunct w:val="0"/>
                    <w:autoSpaceDE/>
                    <w:autoSpaceDN/>
                    <w:bidi w:val="0"/>
                    <w:adjustRightInd/>
                    <w:snapToGrid/>
                    <w:spacing w:line="240" w:lineRule="auto"/>
                    <w:ind w:left="-24" w:leftChars="-10" w:right="-24" w:rightChars="-10" w:firstLine="0" w:firstLine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39"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eastAsia" w:cs="Times New Roman"/>
                      <w:color w:val="auto"/>
                      <w:sz w:val="21"/>
                      <w:szCs w:val="21"/>
                      <w:highlight w:val="none"/>
                      <w:lang w:val="en-US" w:eastAsia="zh-CN"/>
                    </w:rPr>
                  </w:pPr>
                </w:p>
              </w:tc>
              <w:tc>
                <w:tcPr>
                  <w:tcW w:w="1925"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总氮</w:t>
                  </w:r>
                </w:p>
              </w:tc>
              <w:tc>
                <w:tcPr>
                  <w:tcW w:w="1866" w:type="dxa"/>
                  <w:tcBorders>
                    <w:tl2br w:val="nil"/>
                    <w:tr2bl w:val="nil"/>
                  </w:tcBorders>
                  <w:noWrap w:val="0"/>
                  <w:vAlign w:val="center"/>
                </w:tcPr>
                <w:p>
                  <w:pPr>
                    <w:keepNext w:val="0"/>
                    <w:keepLines w:val="0"/>
                    <w:pageBreakBefore w:val="0"/>
                    <w:widowControl/>
                    <w:kinsoku/>
                    <w:wordWrap w:val="0"/>
                    <w:overflowPunct/>
                    <w:topLinePunct w:val="0"/>
                    <w:autoSpaceDE/>
                    <w:autoSpaceDN/>
                    <w:bidi w:val="0"/>
                    <w:adjustRightInd/>
                    <w:snapToGrid/>
                    <w:spacing w:line="240" w:lineRule="auto"/>
                    <w:ind w:left="-24" w:leftChars="-10" w:right="-24" w:rightChars="-1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w:t>
                  </w:r>
                </w:p>
              </w:tc>
              <w:tc>
                <w:tcPr>
                  <w:tcW w:w="1872" w:type="dxa"/>
                  <w:tcBorders>
                    <w:tl2br w:val="nil"/>
                    <w:tr2bl w:val="nil"/>
                  </w:tcBorders>
                  <w:noWrap w:val="0"/>
                  <w:vAlign w:val="center"/>
                </w:tcPr>
                <w:p>
                  <w:pPr>
                    <w:keepNext w:val="0"/>
                    <w:keepLines w:val="0"/>
                    <w:pageBreakBefore w:val="0"/>
                    <w:widowControl/>
                    <w:kinsoku/>
                    <w:wordWrap w:val="0"/>
                    <w:overflowPunct/>
                    <w:topLinePunct w:val="0"/>
                    <w:autoSpaceDE/>
                    <w:autoSpaceDN/>
                    <w:bidi w:val="0"/>
                    <w:adjustRightInd/>
                    <w:snapToGrid/>
                    <w:spacing w:line="240" w:lineRule="auto"/>
                    <w:ind w:left="-24" w:leftChars="-10" w:right="-24" w:rightChars="-1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w:t>
                  </w:r>
                </w:p>
              </w:tc>
              <w:tc>
                <w:tcPr>
                  <w:tcW w:w="1775" w:type="dxa"/>
                  <w:tcBorders>
                    <w:tl2br w:val="nil"/>
                    <w:tr2bl w:val="nil"/>
                  </w:tcBorders>
                  <w:noWrap w:val="0"/>
                  <w:vAlign w:val="center"/>
                </w:tcPr>
                <w:p>
                  <w:pPr>
                    <w:keepNext w:val="0"/>
                    <w:keepLines w:val="0"/>
                    <w:pageBreakBefore w:val="0"/>
                    <w:widowControl/>
                    <w:kinsoku/>
                    <w:wordWrap w:val="0"/>
                    <w:overflowPunct/>
                    <w:topLinePunct w:val="0"/>
                    <w:autoSpaceDE/>
                    <w:autoSpaceDN/>
                    <w:bidi w:val="0"/>
                    <w:adjustRightInd/>
                    <w:snapToGrid/>
                    <w:spacing w:line="240" w:lineRule="auto"/>
                    <w:ind w:left="-24" w:leftChars="-10" w:right="-24" w:rightChars="-10" w:firstLine="0" w:firstLine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0</w:t>
                  </w:r>
                </w:p>
              </w:tc>
            </w:tr>
          </w:tbl>
          <w:p>
            <w:pPr>
              <w:bidi w:val="0"/>
              <w:rPr>
                <w:rFonts w:ascii="Times New Roman" w:eastAsia="宋体"/>
                <w:color w:val="auto"/>
                <w:sz w:val="24"/>
                <w:highlight w:val="none"/>
              </w:rPr>
            </w:pPr>
          </w:p>
          <w:p>
            <w:pPr>
              <w:bidi w:val="0"/>
              <w:rPr>
                <w:rFonts w:ascii="Times New Roman" w:eastAsia="宋体"/>
                <w:color w:val="auto"/>
                <w:sz w:val="24"/>
                <w:highlight w:val="none"/>
              </w:rPr>
            </w:pPr>
          </w:p>
          <w:p>
            <w:pPr>
              <w:bidi w:val="0"/>
              <w:rPr>
                <w:rFonts w:ascii="Times New Roman" w:eastAsia="宋体"/>
                <w:color w:val="auto"/>
                <w:sz w:val="24"/>
                <w:highlight w:val="none"/>
              </w:rPr>
            </w:pPr>
          </w:p>
          <w:p>
            <w:pPr>
              <w:bidi w:val="0"/>
              <w:rPr>
                <w:rFonts w:ascii="Times New Roman" w:eastAsia="宋体"/>
                <w:color w:val="auto"/>
                <w:sz w:val="24"/>
                <w:highlight w:val="none"/>
              </w:rPr>
            </w:pPr>
          </w:p>
          <w:p>
            <w:pPr>
              <w:bidi w:val="0"/>
              <w:rPr>
                <w:rFonts w:ascii="Times New Roman" w:eastAsia="宋体"/>
                <w:color w:val="auto"/>
                <w:sz w:val="24"/>
                <w:highlight w:val="none"/>
              </w:rPr>
            </w:pPr>
          </w:p>
          <w:p>
            <w:pPr>
              <w:bidi w:val="0"/>
              <w:ind w:left="0" w:leftChars="0" w:firstLine="0" w:firstLineChars="0"/>
              <w:rPr>
                <w:rFonts w:hint="eastAsia" w:ascii="Times New Roman" w:hAnsi="Times New Roman" w:eastAsia="宋体" w:cs="Times New Roman"/>
                <w:color w:val="auto"/>
                <w:kern w:val="2"/>
                <w:sz w:val="24"/>
                <w:szCs w:val="24"/>
                <w:highlight w:val="none"/>
                <w:lang w:val="en-US" w:eastAsia="zh-CN" w:bidi="ar-SA"/>
              </w:rPr>
            </w:pPr>
          </w:p>
        </w:tc>
      </w:tr>
    </w:tbl>
    <w:p>
      <w:pPr>
        <w:rPr>
          <w:rFonts w:hint="eastAsia" w:ascii="黑体" w:hAnsi="黑体" w:eastAsia="黑体"/>
          <w:snapToGrid w:val="0"/>
          <w:color w:val="auto"/>
          <w:sz w:val="30"/>
          <w:szCs w:val="30"/>
          <w:highlight w:val="none"/>
        </w:rPr>
      </w:pPr>
      <w:bookmarkStart w:id="5" w:name="_Toc1102"/>
      <w:r>
        <w:rPr>
          <w:rFonts w:hint="eastAsia" w:ascii="黑体" w:hAnsi="黑体" w:eastAsia="黑体"/>
          <w:snapToGrid w:val="0"/>
          <w:color w:val="auto"/>
          <w:sz w:val="30"/>
          <w:szCs w:val="30"/>
          <w:highlight w:val="none"/>
        </w:rPr>
        <w:br w:type="page"/>
      </w:r>
    </w:p>
    <w:p>
      <w:pPr>
        <w:pStyle w:val="21"/>
        <w:keepNext w:val="0"/>
        <w:keepLines w:val="0"/>
        <w:pageBreakBefore w:val="0"/>
        <w:widowControl/>
        <w:kinsoku/>
        <w:wordWrap/>
        <w:overflowPunct/>
        <w:topLinePunct w:val="0"/>
        <w:autoSpaceDE/>
        <w:autoSpaceDN/>
        <w:bidi w:val="0"/>
        <w:adjustRightInd/>
        <w:snapToGrid/>
        <w:ind w:firstLine="0" w:firstLineChars="0"/>
        <w:jc w:val="center"/>
        <w:textAlignment w:val="auto"/>
        <w:outlineLvl w:val="0"/>
        <w:rPr>
          <w:rFonts w:ascii="黑体" w:hAnsi="黑体" w:eastAsia="黑体"/>
          <w:snapToGrid w:val="0"/>
          <w:color w:val="auto"/>
          <w:sz w:val="30"/>
          <w:szCs w:val="30"/>
          <w:highlight w:val="none"/>
        </w:rPr>
      </w:pPr>
      <w:r>
        <w:rPr>
          <w:rFonts w:hint="eastAsia" w:ascii="黑体" w:hAnsi="黑体" w:eastAsia="黑体"/>
          <w:snapToGrid w:val="0"/>
          <w:color w:val="auto"/>
          <w:sz w:val="30"/>
          <w:szCs w:val="30"/>
          <w:highlight w:val="none"/>
        </w:rPr>
        <w:t>四、主要环境影响和保护措施</w:t>
      </w:r>
      <w:bookmarkEnd w:id="5"/>
    </w:p>
    <w:tbl>
      <w:tblPr>
        <w:tblStyle w:val="24"/>
        <w:tblW w:w="9354"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
      <w:tblGrid>
        <w:gridCol w:w="806"/>
        <w:gridCol w:w="8548"/>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PrEx>
        <w:trPr>
          <w:trHeight w:val="2739" w:hRule="atLeast"/>
          <w:jc w:val="center"/>
        </w:trPr>
        <w:tc>
          <w:tcPr>
            <w:tcW w:w="806" w:type="dxa"/>
            <w:tcBorders>
              <w:tl2br w:val="nil"/>
              <w:tr2bl w:val="nil"/>
            </w:tcBorders>
            <w:shd w:val="clear" w:color="auto" w:fill="FFFFFF"/>
            <w:noWrap w:val="0"/>
            <w:tcMar>
              <w:left w:w="28" w:type="dxa"/>
              <w:right w:w="28" w:type="dxa"/>
            </w:tcMar>
            <w:vAlign w:val="center"/>
          </w:tcPr>
          <w:p>
            <w:pPr>
              <w:pStyle w:val="32"/>
              <w:bidi w:val="0"/>
              <w:rPr>
                <w:rFonts w:hint="eastAsia"/>
                <w:color w:val="auto"/>
                <w:sz w:val="24"/>
                <w:szCs w:val="24"/>
                <w:highlight w:val="none"/>
              </w:rPr>
            </w:pPr>
            <w:r>
              <w:rPr>
                <w:rFonts w:hint="eastAsia"/>
                <w:color w:val="auto"/>
                <w:sz w:val="24"/>
                <w:szCs w:val="24"/>
                <w:highlight w:val="none"/>
              </w:rPr>
              <w:t>施工</w:t>
            </w:r>
          </w:p>
          <w:p>
            <w:pPr>
              <w:pStyle w:val="32"/>
              <w:bidi w:val="0"/>
              <w:rPr>
                <w:rFonts w:hint="eastAsia"/>
                <w:color w:val="auto"/>
                <w:sz w:val="24"/>
                <w:szCs w:val="24"/>
                <w:highlight w:val="none"/>
              </w:rPr>
            </w:pPr>
            <w:r>
              <w:rPr>
                <w:rFonts w:hint="eastAsia"/>
                <w:color w:val="auto"/>
                <w:sz w:val="24"/>
                <w:szCs w:val="24"/>
                <w:highlight w:val="none"/>
              </w:rPr>
              <w:t>期环</w:t>
            </w:r>
          </w:p>
          <w:p>
            <w:pPr>
              <w:pStyle w:val="32"/>
              <w:bidi w:val="0"/>
              <w:rPr>
                <w:rFonts w:hint="eastAsia"/>
                <w:color w:val="auto"/>
                <w:sz w:val="24"/>
                <w:szCs w:val="24"/>
                <w:highlight w:val="none"/>
              </w:rPr>
            </w:pPr>
            <w:r>
              <w:rPr>
                <w:rFonts w:hint="eastAsia"/>
                <w:color w:val="auto"/>
                <w:sz w:val="24"/>
                <w:szCs w:val="24"/>
                <w:highlight w:val="none"/>
              </w:rPr>
              <w:t>境保</w:t>
            </w:r>
          </w:p>
          <w:p>
            <w:pPr>
              <w:pStyle w:val="32"/>
              <w:bidi w:val="0"/>
              <w:rPr>
                <w:rFonts w:hint="eastAsia"/>
                <w:color w:val="auto"/>
                <w:sz w:val="24"/>
                <w:szCs w:val="24"/>
                <w:highlight w:val="none"/>
              </w:rPr>
            </w:pPr>
            <w:r>
              <w:rPr>
                <w:rFonts w:hint="eastAsia"/>
                <w:color w:val="auto"/>
                <w:sz w:val="24"/>
                <w:szCs w:val="24"/>
                <w:highlight w:val="none"/>
              </w:rPr>
              <w:t>护措</w:t>
            </w:r>
          </w:p>
          <w:p>
            <w:pPr>
              <w:pStyle w:val="32"/>
              <w:bidi w:val="0"/>
              <w:rPr>
                <w:rFonts w:hint="eastAsia" w:cs="宋体"/>
                <w:bCs/>
                <w:color w:val="auto"/>
                <w:kern w:val="2"/>
                <w:sz w:val="24"/>
                <w:szCs w:val="24"/>
                <w:highlight w:val="none"/>
              </w:rPr>
            </w:pPr>
            <w:r>
              <w:rPr>
                <w:rFonts w:hint="eastAsia"/>
                <w:color w:val="auto"/>
                <w:sz w:val="24"/>
                <w:szCs w:val="24"/>
                <w:highlight w:val="none"/>
              </w:rPr>
              <w:t>施</w:t>
            </w:r>
          </w:p>
        </w:tc>
        <w:tc>
          <w:tcPr>
            <w:tcW w:w="8548" w:type="dxa"/>
            <w:tcBorders>
              <w:tl2br w:val="nil"/>
              <w:tr2bl w:val="nil"/>
            </w:tcBorders>
            <w:shd w:val="clear" w:color="auto" w:fill="FFFFFF"/>
            <w:noWrap w:val="0"/>
            <w:vAlign w:val="center"/>
          </w:tcPr>
          <w:p>
            <w:pPr>
              <w:bidi w:val="0"/>
              <w:rPr>
                <w:rFonts w:hint="default"/>
                <w:color w:val="auto"/>
                <w:highlight w:val="none"/>
                <w:lang w:val="en-US" w:eastAsia="zh-CN"/>
              </w:rPr>
            </w:pPr>
            <w:r>
              <w:rPr>
                <w:rFonts w:hint="eastAsia"/>
                <w:color w:val="auto"/>
                <w:highlight w:val="none"/>
                <w:lang w:val="en-US" w:eastAsia="zh-CN"/>
              </w:rPr>
              <w:t>本项目在现有车间内进行建设，施工期主要为设备安装、调试及部分环保设备的拆除</w:t>
            </w:r>
            <w:r>
              <w:rPr>
                <w:rFonts w:hint="default"/>
                <w:color w:val="auto"/>
                <w:highlight w:val="none"/>
                <w:lang w:val="en-US" w:eastAsia="zh-CN"/>
              </w:rPr>
              <w:t>，</w:t>
            </w:r>
            <w:r>
              <w:rPr>
                <w:rFonts w:hint="eastAsia"/>
                <w:color w:val="auto"/>
                <w:highlight w:val="none"/>
                <w:lang w:val="en-US" w:eastAsia="zh-CN"/>
              </w:rPr>
              <w:t>环保设备的拆除不涉及土建工程，施工过程产生的环境影响主要为设备安装、调试及环保设备拆除过程产生的噪声、固废。项目拆除的环保设备中属于危险固废的，应交有资质单位处置，其他固废按环保要求，妥善处置。</w:t>
            </w:r>
            <w:r>
              <w:rPr>
                <w:rFonts w:hint="default"/>
                <w:color w:val="auto"/>
                <w:highlight w:val="none"/>
                <w:lang w:val="en-US" w:eastAsia="zh-CN"/>
              </w:rPr>
              <w:t>项目施工期较短，</w:t>
            </w:r>
            <w:r>
              <w:rPr>
                <w:rFonts w:hint="eastAsia"/>
                <w:color w:val="auto"/>
                <w:highlight w:val="none"/>
                <w:lang w:val="en-US" w:eastAsia="zh-CN"/>
              </w:rPr>
              <w:t>且在白天进行，</w:t>
            </w:r>
            <w:r>
              <w:rPr>
                <w:rFonts w:hint="default"/>
                <w:color w:val="auto"/>
                <w:highlight w:val="none"/>
                <w:lang w:val="en-US" w:eastAsia="zh-CN"/>
              </w:rPr>
              <w:t>其影响是暂时的、局部的，且其影响会随着施工期的结束而消失</w:t>
            </w:r>
            <w:r>
              <w:rPr>
                <w:rFonts w:hint="eastAsia"/>
                <w:color w:val="auto"/>
                <w:highlight w:val="none"/>
                <w:lang w:val="en-US" w:eastAsia="zh-CN"/>
              </w:rPr>
              <w:t>，</w:t>
            </w:r>
            <w:r>
              <w:rPr>
                <w:rFonts w:hint="default"/>
                <w:color w:val="auto"/>
                <w:highlight w:val="none"/>
                <w:lang w:val="en-US" w:eastAsia="zh-CN"/>
              </w:rPr>
              <w:t>项目施工阶段的短暂环境影响</w:t>
            </w:r>
            <w:r>
              <w:rPr>
                <w:rFonts w:hint="eastAsia"/>
                <w:color w:val="auto"/>
                <w:highlight w:val="none"/>
                <w:lang w:val="en-US" w:eastAsia="zh-CN"/>
              </w:rPr>
              <w:t>基本</w:t>
            </w:r>
            <w:r>
              <w:rPr>
                <w:rFonts w:hint="default"/>
                <w:color w:val="auto"/>
                <w:highlight w:val="none"/>
                <w:lang w:val="en-US" w:eastAsia="zh-CN"/>
              </w:rPr>
              <w:t>不会</w:t>
            </w:r>
            <w:r>
              <w:rPr>
                <w:rFonts w:hint="eastAsia"/>
                <w:color w:val="auto"/>
                <w:highlight w:val="none"/>
                <w:lang w:val="en-US" w:eastAsia="zh-CN"/>
              </w:rPr>
              <w:t>对周边环境产生影响</w:t>
            </w:r>
            <w:r>
              <w:rPr>
                <w:rFonts w:hint="default"/>
                <w:color w:val="auto"/>
                <w:highlight w:val="none"/>
                <w:lang w:val="en-US" w:eastAsia="zh-CN"/>
              </w:rPr>
              <w:t>。</w:t>
            </w:r>
          </w:p>
          <w:p>
            <w:pPr>
              <w:bidi w:val="0"/>
              <w:rPr>
                <w:rFonts w:hint="default"/>
                <w:color w:val="auto"/>
                <w:highlight w:val="none"/>
                <w:lang w:val="en-US" w:eastAsia="zh-CN"/>
              </w:rPr>
            </w:pPr>
          </w:p>
          <w:p>
            <w:pPr>
              <w:bidi w:val="0"/>
              <w:rPr>
                <w:rFonts w:hint="default"/>
                <w:color w:val="auto"/>
                <w:highlight w:val="none"/>
                <w:lang w:val="en-US" w:eastAsia="zh-CN"/>
              </w:rPr>
            </w:pPr>
          </w:p>
          <w:p>
            <w:pPr>
              <w:bidi w:val="0"/>
              <w:rPr>
                <w:rFonts w:hint="default"/>
                <w:color w:val="auto"/>
                <w:highlight w:val="none"/>
                <w:lang w:val="en-US" w:eastAsia="zh-CN"/>
              </w:rPr>
            </w:pPr>
          </w:p>
          <w:p>
            <w:pPr>
              <w:bidi w:val="0"/>
              <w:rPr>
                <w:rFonts w:hint="default"/>
                <w:color w:val="auto"/>
                <w:highlight w:val="none"/>
                <w:lang w:val="en-US" w:eastAsia="zh-CN"/>
              </w:rPr>
            </w:pPr>
          </w:p>
          <w:p>
            <w:pPr>
              <w:bidi w:val="0"/>
              <w:rPr>
                <w:rFonts w:hint="default"/>
                <w:color w:val="auto"/>
                <w:highlight w:val="none"/>
                <w:lang w:val="en-US" w:eastAsia="zh-CN"/>
              </w:rPr>
            </w:pPr>
          </w:p>
          <w:p>
            <w:pPr>
              <w:bidi w:val="0"/>
              <w:rPr>
                <w:rFonts w:hint="default"/>
                <w:color w:val="auto"/>
                <w:highlight w:val="none"/>
                <w:lang w:val="en-US" w:eastAsia="zh-CN"/>
              </w:rPr>
            </w:pPr>
          </w:p>
          <w:p>
            <w:pPr>
              <w:bidi w:val="0"/>
              <w:rPr>
                <w:rFonts w:hint="default"/>
                <w:color w:val="auto"/>
                <w:highlight w:val="none"/>
                <w:lang w:val="en-US" w:eastAsia="zh-CN"/>
              </w:rPr>
            </w:pPr>
          </w:p>
          <w:p>
            <w:pPr>
              <w:bidi w:val="0"/>
              <w:rPr>
                <w:rFonts w:hint="default"/>
                <w:color w:val="auto"/>
                <w:highlight w:val="none"/>
                <w:lang w:val="en-US" w:eastAsia="zh-CN"/>
              </w:rPr>
            </w:pPr>
          </w:p>
          <w:p>
            <w:pPr>
              <w:bidi w:val="0"/>
              <w:rPr>
                <w:rFonts w:hint="default"/>
                <w:color w:val="auto"/>
                <w:highlight w:val="none"/>
                <w:lang w:val="en-US" w:eastAsia="zh-CN"/>
              </w:rPr>
            </w:pPr>
          </w:p>
          <w:p>
            <w:pPr>
              <w:bidi w:val="0"/>
              <w:rPr>
                <w:rFonts w:hint="default"/>
                <w:color w:val="auto"/>
                <w:highlight w:val="none"/>
                <w:lang w:val="en-US" w:eastAsia="zh-CN"/>
              </w:rPr>
            </w:pPr>
          </w:p>
          <w:p>
            <w:pPr>
              <w:bidi w:val="0"/>
              <w:rPr>
                <w:rFonts w:hint="default"/>
                <w:color w:val="auto"/>
                <w:highlight w:val="none"/>
                <w:lang w:val="en-US" w:eastAsia="zh-CN"/>
              </w:rPr>
            </w:pPr>
          </w:p>
          <w:p>
            <w:pPr>
              <w:bidi w:val="0"/>
              <w:rPr>
                <w:rFonts w:hint="default"/>
                <w:color w:val="auto"/>
                <w:highlight w:val="none"/>
                <w:lang w:val="en-US" w:eastAsia="zh-CN"/>
              </w:rPr>
            </w:pPr>
          </w:p>
          <w:p>
            <w:pPr>
              <w:bidi w:val="0"/>
              <w:rPr>
                <w:rFonts w:hint="default"/>
                <w:color w:val="auto"/>
                <w:highlight w:val="none"/>
                <w:lang w:val="en-US" w:eastAsia="zh-CN"/>
              </w:rPr>
            </w:pPr>
          </w:p>
          <w:p>
            <w:pPr>
              <w:bidi w:val="0"/>
              <w:rPr>
                <w:rFonts w:hint="default"/>
                <w:color w:val="auto"/>
                <w:highlight w:val="none"/>
                <w:lang w:val="en-US" w:eastAsia="zh-CN"/>
              </w:rPr>
            </w:pPr>
          </w:p>
          <w:p>
            <w:pPr>
              <w:bidi w:val="0"/>
              <w:rPr>
                <w:rFonts w:hint="default"/>
                <w:color w:val="auto"/>
                <w:highlight w:val="none"/>
                <w:lang w:val="en-US" w:eastAsia="zh-CN"/>
              </w:rPr>
            </w:pPr>
          </w:p>
          <w:p>
            <w:pPr>
              <w:bidi w:val="0"/>
              <w:rPr>
                <w:rFonts w:hint="default"/>
                <w:color w:val="auto"/>
                <w:highlight w:val="none"/>
                <w:lang w:val="en-US" w:eastAsia="zh-CN"/>
              </w:rPr>
            </w:pPr>
          </w:p>
          <w:p>
            <w:pPr>
              <w:bidi w:val="0"/>
              <w:rPr>
                <w:rFonts w:hint="default"/>
                <w:color w:val="auto"/>
                <w:highlight w:val="none"/>
                <w:lang w:val="en-US" w:eastAsia="zh-CN"/>
              </w:rPr>
            </w:pPr>
          </w:p>
          <w:p>
            <w:pPr>
              <w:bidi w:val="0"/>
              <w:rPr>
                <w:rFonts w:hint="default"/>
                <w:color w:val="auto"/>
                <w:highlight w:val="none"/>
                <w:lang w:val="en-US" w:eastAsia="zh-CN"/>
              </w:rPr>
            </w:pPr>
          </w:p>
          <w:p>
            <w:pPr>
              <w:bidi w:val="0"/>
              <w:rPr>
                <w:rFonts w:hint="default"/>
                <w:color w:val="auto"/>
                <w:highlight w:val="none"/>
                <w:lang w:val="en-US" w:eastAsia="zh-CN"/>
              </w:rPr>
            </w:pPr>
          </w:p>
          <w:p>
            <w:pPr>
              <w:bidi w:val="0"/>
              <w:rPr>
                <w:rFonts w:hint="default"/>
                <w:color w:val="auto"/>
                <w:highlight w:val="none"/>
                <w:lang w:val="en-US" w:eastAsia="zh-CN"/>
              </w:rPr>
            </w:pPr>
          </w:p>
          <w:p>
            <w:pPr>
              <w:bidi w:val="0"/>
              <w:ind w:left="0" w:leftChars="0" w:firstLine="0" w:firstLineChars="0"/>
              <w:rPr>
                <w:rFonts w:hint="eastAsia"/>
                <w:color w:val="auto"/>
                <w:highlight w:val="none"/>
                <w:lang w:val="en-US" w:eastAsia="zh-CN"/>
              </w:rPr>
            </w:pPr>
          </w:p>
        </w:tc>
      </w:tr>
    </w:tbl>
    <w:p>
      <w:pPr>
        <w:rPr>
          <w:color w:val="auto"/>
          <w:highlight w:val="none"/>
        </w:rPr>
        <w:sectPr>
          <w:pgSz w:w="11906" w:h="16838"/>
          <w:pgMar w:top="1440" w:right="1247" w:bottom="1440" w:left="1417"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24"/>
        <w:tblW w:w="14173"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
      <w:tblGrid>
        <w:gridCol w:w="861"/>
        <w:gridCol w:w="13312"/>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PrEx>
        <w:trPr>
          <w:trHeight w:val="0" w:hRule="atLeast"/>
          <w:jc w:val="center"/>
        </w:trPr>
        <w:tc>
          <w:tcPr>
            <w:tcW w:w="861" w:type="dxa"/>
            <w:tcBorders>
              <w:tl2br w:val="nil"/>
              <w:tr2bl w:val="nil"/>
            </w:tcBorders>
            <w:shd w:val="clear" w:color="auto" w:fill="FFFFFF"/>
            <w:noWrap w:val="0"/>
            <w:tcMar>
              <w:left w:w="28" w:type="dxa"/>
              <w:right w:w="28" w:type="dxa"/>
            </w:tcMar>
            <w:vAlign w:val="center"/>
          </w:tcPr>
          <w:p>
            <w:pPr>
              <w:pStyle w:val="32"/>
              <w:bidi w:val="0"/>
              <w:rPr>
                <w:rFonts w:hint="eastAsia"/>
                <w:color w:val="auto"/>
                <w:sz w:val="24"/>
                <w:szCs w:val="24"/>
                <w:highlight w:val="none"/>
              </w:rPr>
            </w:pPr>
            <w:r>
              <w:rPr>
                <w:rFonts w:hint="eastAsia"/>
                <w:color w:val="auto"/>
                <w:sz w:val="24"/>
                <w:szCs w:val="24"/>
                <w:highlight w:val="none"/>
              </w:rPr>
              <w:t>运营</w:t>
            </w:r>
          </w:p>
          <w:p>
            <w:pPr>
              <w:pStyle w:val="32"/>
              <w:bidi w:val="0"/>
              <w:rPr>
                <w:rFonts w:hint="eastAsia"/>
                <w:color w:val="auto"/>
                <w:sz w:val="24"/>
                <w:szCs w:val="24"/>
                <w:highlight w:val="none"/>
              </w:rPr>
            </w:pPr>
            <w:r>
              <w:rPr>
                <w:rFonts w:hint="eastAsia"/>
                <w:color w:val="auto"/>
                <w:sz w:val="24"/>
                <w:szCs w:val="24"/>
                <w:highlight w:val="none"/>
              </w:rPr>
              <w:t>期环</w:t>
            </w:r>
          </w:p>
          <w:p>
            <w:pPr>
              <w:pStyle w:val="32"/>
              <w:bidi w:val="0"/>
              <w:rPr>
                <w:rFonts w:hint="eastAsia"/>
                <w:color w:val="auto"/>
                <w:sz w:val="24"/>
                <w:szCs w:val="24"/>
                <w:highlight w:val="none"/>
              </w:rPr>
            </w:pPr>
            <w:r>
              <w:rPr>
                <w:rFonts w:hint="eastAsia"/>
                <w:color w:val="auto"/>
                <w:sz w:val="24"/>
                <w:szCs w:val="24"/>
                <w:highlight w:val="none"/>
              </w:rPr>
              <w:t>境影</w:t>
            </w:r>
          </w:p>
          <w:p>
            <w:pPr>
              <w:pStyle w:val="32"/>
              <w:bidi w:val="0"/>
              <w:rPr>
                <w:rFonts w:hint="eastAsia"/>
                <w:color w:val="auto"/>
                <w:sz w:val="24"/>
                <w:szCs w:val="24"/>
                <w:highlight w:val="none"/>
              </w:rPr>
            </w:pPr>
            <w:r>
              <w:rPr>
                <w:rFonts w:hint="eastAsia"/>
                <w:color w:val="auto"/>
                <w:sz w:val="24"/>
                <w:szCs w:val="24"/>
                <w:highlight w:val="none"/>
              </w:rPr>
              <w:t>响和</w:t>
            </w:r>
          </w:p>
          <w:p>
            <w:pPr>
              <w:pStyle w:val="32"/>
              <w:bidi w:val="0"/>
              <w:rPr>
                <w:rFonts w:hint="eastAsia"/>
                <w:color w:val="auto"/>
                <w:sz w:val="24"/>
                <w:szCs w:val="24"/>
                <w:highlight w:val="none"/>
              </w:rPr>
            </w:pPr>
            <w:r>
              <w:rPr>
                <w:rFonts w:hint="eastAsia"/>
                <w:color w:val="auto"/>
                <w:sz w:val="24"/>
                <w:szCs w:val="24"/>
                <w:highlight w:val="none"/>
              </w:rPr>
              <w:t>保护</w:t>
            </w:r>
          </w:p>
          <w:p>
            <w:pPr>
              <w:pStyle w:val="32"/>
              <w:bidi w:val="0"/>
              <w:rPr>
                <w:rFonts w:hint="eastAsia"/>
                <w:color w:val="auto"/>
                <w:sz w:val="24"/>
                <w:szCs w:val="24"/>
                <w:highlight w:val="none"/>
              </w:rPr>
            </w:pPr>
            <w:r>
              <w:rPr>
                <w:rFonts w:hint="eastAsia"/>
                <w:color w:val="auto"/>
                <w:sz w:val="24"/>
                <w:szCs w:val="24"/>
                <w:highlight w:val="none"/>
              </w:rPr>
              <w:t>措施</w:t>
            </w:r>
          </w:p>
        </w:tc>
        <w:tc>
          <w:tcPr>
            <w:tcW w:w="13312" w:type="dxa"/>
            <w:tcBorders>
              <w:tl2br w:val="nil"/>
              <w:tr2bl w:val="nil"/>
            </w:tcBorders>
            <w:shd w:val="clear" w:color="auto" w:fill="FFFFFF"/>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00" w:lineRule="exact"/>
              <w:ind w:left="0" w:leftChars="0" w:right="0" w:firstLine="0" w:firstLineChars="0"/>
              <w:textAlignment w:val="auto"/>
              <w:rPr>
                <w:rFonts w:hint="default"/>
                <w:b/>
                <w:bCs/>
                <w:color w:val="auto"/>
                <w:highlight w:val="none"/>
                <w:lang w:val="en-US" w:eastAsia="zh-CN"/>
              </w:rPr>
            </w:pPr>
            <w:r>
              <w:rPr>
                <w:rFonts w:hint="default"/>
                <w:b/>
                <w:bCs/>
                <w:color w:val="auto"/>
                <w:highlight w:val="none"/>
              </w:rPr>
              <w:t>1</w:t>
            </w:r>
            <w:r>
              <w:rPr>
                <w:rFonts w:hint="eastAsia"/>
                <w:b/>
                <w:bCs/>
                <w:color w:val="auto"/>
                <w:highlight w:val="none"/>
                <w:lang w:eastAsia="zh-CN"/>
              </w:rPr>
              <w:t>、</w:t>
            </w:r>
            <w:r>
              <w:rPr>
                <w:rFonts w:hint="eastAsia"/>
                <w:b/>
                <w:bCs/>
                <w:color w:val="auto"/>
                <w:highlight w:val="none"/>
                <w:lang w:val="en-US" w:eastAsia="zh-CN"/>
              </w:rPr>
              <w:t>废气</w:t>
            </w:r>
          </w:p>
          <w:p>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00" w:lineRule="exact"/>
              <w:ind w:left="0" w:right="0" w:firstLine="482" w:firstLineChars="200"/>
              <w:textAlignment w:val="auto"/>
              <w:rPr>
                <w:rFonts w:hint="default"/>
                <w:b/>
                <w:bCs/>
                <w:color w:val="auto"/>
                <w:highlight w:val="none"/>
              </w:rPr>
            </w:pPr>
            <w:r>
              <w:rPr>
                <w:rFonts w:hint="eastAsia"/>
                <w:b/>
                <w:bCs/>
                <w:color w:val="auto"/>
                <w:highlight w:val="none"/>
                <w:lang w:val="en-US" w:eastAsia="zh-CN"/>
              </w:rPr>
              <w:t>1.1</w:t>
            </w:r>
            <w:r>
              <w:rPr>
                <w:rFonts w:hint="eastAsia"/>
                <w:b/>
                <w:bCs/>
                <w:color w:val="auto"/>
                <w:highlight w:val="none"/>
                <w:lang w:eastAsia="zh-CN"/>
              </w:rPr>
              <w:t>废气源强及治理措施</w:t>
            </w:r>
          </w:p>
          <w:p>
            <w:pPr>
              <w:pStyle w:val="31"/>
              <w:bidi w:val="0"/>
              <w:rPr>
                <w:rFonts w:hint="eastAsia"/>
                <w:color w:val="auto"/>
                <w:sz w:val="21"/>
                <w:szCs w:val="21"/>
                <w:highlight w:val="none"/>
                <w:lang w:val="en-US" w:eastAsia="zh-CN"/>
              </w:rPr>
            </w:pPr>
            <w:r>
              <w:rPr>
                <w:rFonts w:hint="eastAsia"/>
                <w:color w:val="auto"/>
                <w:sz w:val="21"/>
                <w:szCs w:val="21"/>
                <w:highlight w:val="none"/>
                <w:lang w:eastAsia="zh-CN"/>
              </w:rPr>
              <w:t>表</w:t>
            </w:r>
            <w:r>
              <w:rPr>
                <w:rFonts w:hint="eastAsia"/>
                <w:color w:val="auto"/>
                <w:sz w:val="21"/>
                <w:szCs w:val="21"/>
                <w:highlight w:val="none"/>
                <w:lang w:val="en-US" w:eastAsia="zh-CN"/>
              </w:rPr>
              <w:t>27  废气源强、治理措施一览表</w:t>
            </w:r>
          </w:p>
          <w:tbl>
            <w:tblPr>
              <w:tblStyle w:val="24"/>
              <w:tblW w:w="13039"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979"/>
              <w:gridCol w:w="823"/>
              <w:gridCol w:w="823"/>
              <w:gridCol w:w="738"/>
              <w:gridCol w:w="739"/>
              <w:gridCol w:w="673"/>
              <w:gridCol w:w="895"/>
              <w:gridCol w:w="716"/>
              <w:gridCol w:w="2206"/>
              <w:gridCol w:w="654"/>
              <w:gridCol w:w="781"/>
              <w:gridCol w:w="716"/>
              <w:gridCol w:w="781"/>
              <w:gridCol w:w="717"/>
              <w:gridCol w:w="798"/>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393" w:hRule="atLeast"/>
                <w:jc w:val="center"/>
              </w:trPr>
              <w:tc>
                <w:tcPr>
                  <w:tcW w:w="979"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bCs/>
                      <w:caps w:val="0"/>
                      <w:color w:val="auto"/>
                      <w:spacing w:val="0"/>
                      <w:position w:val="0"/>
                      <w:sz w:val="21"/>
                      <w:szCs w:val="21"/>
                      <w:highlight w:val="none"/>
                      <w:lang w:eastAsia="zh-CN"/>
                    </w:rPr>
                  </w:pPr>
                  <w:r>
                    <w:rPr>
                      <w:rFonts w:hint="eastAsia" w:ascii="Times New Roman" w:hAnsi="Times New Roman" w:eastAsia="宋体" w:cs="Times New Roman"/>
                      <w:bCs/>
                      <w:caps w:val="0"/>
                      <w:color w:val="auto"/>
                      <w:spacing w:val="0"/>
                      <w:position w:val="0"/>
                      <w:sz w:val="21"/>
                      <w:szCs w:val="21"/>
                      <w:highlight w:val="none"/>
                      <w:lang w:eastAsia="zh-CN"/>
                    </w:rPr>
                    <w:t>产排污环节</w:t>
                  </w:r>
                </w:p>
              </w:tc>
              <w:tc>
                <w:tcPr>
                  <w:tcW w:w="823"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bCs/>
                      <w:caps w:val="0"/>
                      <w:color w:val="auto"/>
                      <w:spacing w:val="0"/>
                      <w:position w:val="0"/>
                      <w:sz w:val="21"/>
                      <w:szCs w:val="21"/>
                      <w:highlight w:val="none"/>
                      <w:lang w:eastAsia="zh-CN"/>
                    </w:rPr>
                  </w:pPr>
                  <w:r>
                    <w:rPr>
                      <w:rFonts w:hint="default" w:ascii="Times New Roman" w:hAnsi="Times New Roman" w:eastAsia="宋体" w:cs="Times New Roman"/>
                      <w:bCs/>
                      <w:caps w:val="0"/>
                      <w:color w:val="auto"/>
                      <w:spacing w:val="0"/>
                      <w:position w:val="0"/>
                      <w:sz w:val="21"/>
                      <w:szCs w:val="21"/>
                      <w:highlight w:val="none"/>
                    </w:rPr>
                    <w:t>污染物</w:t>
                  </w:r>
                  <w:r>
                    <w:rPr>
                      <w:rFonts w:hint="eastAsia" w:ascii="Times New Roman" w:hAnsi="Times New Roman" w:eastAsia="宋体" w:cs="Times New Roman"/>
                      <w:bCs/>
                      <w:caps w:val="0"/>
                      <w:color w:val="auto"/>
                      <w:spacing w:val="0"/>
                      <w:position w:val="0"/>
                      <w:sz w:val="21"/>
                      <w:szCs w:val="21"/>
                      <w:highlight w:val="none"/>
                      <w:lang w:eastAsia="zh-CN"/>
                    </w:rPr>
                    <w:t>种类</w:t>
                  </w:r>
                </w:p>
              </w:tc>
              <w:tc>
                <w:tcPr>
                  <w:tcW w:w="2300"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cs="Times New Roman"/>
                      <w:bCs/>
                      <w:caps w:val="0"/>
                      <w:color w:val="auto"/>
                      <w:spacing w:val="0"/>
                      <w:position w:val="0"/>
                      <w:sz w:val="21"/>
                      <w:szCs w:val="21"/>
                      <w:highlight w:val="none"/>
                      <w:lang w:eastAsia="zh-CN"/>
                    </w:rPr>
                  </w:pPr>
                  <w:r>
                    <w:rPr>
                      <w:rFonts w:hint="default" w:ascii="Times New Roman" w:hAnsi="Times New Roman" w:cs="Times New Roman"/>
                      <w:bCs/>
                      <w:caps w:val="0"/>
                      <w:color w:val="auto"/>
                      <w:spacing w:val="0"/>
                      <w:position w:val="0"/>
                      <w:sz w:val="21"/>
                      <w:szCs w:val="21"/>
                      <w:highlight w:val="none"/>
                      <w:lang w:eastAsia="zh-CN"/>
                    </w:rPr>
                    <w:t>产生情况</w:t>
                  </w:r>
                </w:p>
              </w:tc>
              <w:tc>
                <w:tcPr>
                  <w:tcW w:w="673"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bCs/>
                      <w:caps w:val="0"/>
                      <w:color w:val="auto"/>
                      <w:spacing w:val="0"/>
                      <w:position w:val="0"/>
                      <w:sz w:val="21"/>
                      <w:szCs w:val="21"/>
                      <w:highlight w:val="none"/>
                      <w:lang w:val="en-US" w:eastAsia="zh-CN"/>
                    </w:rPr>
                  </w:pPr>
                  <w:r>
                    <w:rPr>
                      <w:rFonts w:hint="eastAsia" w:ascii="Times New Roman" w:hAnsi="Times New Roman" w:cs="Times New Roman"/>
                      <w:bCs/>
                      <w:caps w:val="0"/>
                      <w:color w:val="auto"/>
                      <w:spacing w:val="0"/>
                      <w:position w:val="0"/>
                      <w:sz w:val="21"/>
                      <w:szCs w:val="21"/>
                      <w:highlight w:val="none"/>
                      <w:lang w:val="en-US" w:eastAsia="zh-CN"/>
                    </w:rPr>
                    <w:t>排放形式</w:t>
                  </w:r>
                </w:p>
              </w:tc>
              <w:tc>
                <w:tcPr>
                  <w:tcW w:w="5252" w:type="dxa"/>
                  <w:gridSpan w:val="5"/>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rPr>
                  </w:pPr>
                  <w:r>
                    <w:rPr>
                      <w:rFonts w:hint="default" w:ascii="Times New Roman" w:hAnsi="Times New Roman" w:eastAsia="宋体" w:cs="Times New Roman"/>
                      <w:bCs/>
                      <w:caps w:val="0"/>
                      <w:color w:val="auto"/>
                      <w:spacing w:val="0"/>
                      <w:position w:val="0"/>
                      <w:sz w:val="21"/>
                      <w:szCs w:val="21"/>
                      <w:highlight w:val="none"/>
                    </w:rPr>
                    <w:t>治理措施</w:t>
                  </w:r>
                </w:p>
              </w:tc>
              <w:tc>
                <w:tcPr>
                  <w:tcW w:w="3012" w:type="dxa"/>
                  <w:gridSpan w:val="4"/>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rPr>
                  </w:pPr>
                  <w:r>
                    <w:rPr>
                      <w:rFonts w:hint="default" w:ascii="Times New Roman" w:hAnsi="Times New Roman" w:eastAsia="宋体" w:cs="Times New Roman"/>
                      <w:bCs/>
                      <w:caps w:val="0"/>
                      <w:color w:val="auto"/>
                      <w:spacing w:val="0"/>
                      <w:position w:val="0"/>
                      <w:sz w:val="21"/>
                      <w:szCs w:val="21"/>
                      <w:highlight w:val="none"/>
                    </w:rPr>
                    <w:t>排放</w:t>
                  </w:r>
                  <w:r>
                    <w:rPr>
                      <w:rFonts w:hint="default" w:ascii="Times New Roman" w:hAnsi="Times New Roman" w:cs="Times New Roman"/>
                      <w:bCs/>
                      <w:caps w:val="0"/>
                      <w:color w:val="auto"/>
                      <w:spacing w:val="0"/>
                      <w:position w:val="0"/>
                      <w:sz w:val="21"/>
                      <w:szCs w:val="21"/>
                      <w:highlight w:val="none"/>
                      <w:lang w:eastAsia="zh-CN"/>
                    </w:rPr>
                    <w:t>情况</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1291" w:hRule="atLeast"/>
                <w:jc w:val="center"/>
              </w:trPr>
              <w:tc>
                <w:tcPr>
                  <w:tcW w:w="979"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rPr>
                  </w:pPr>
                </w:p>
              </w:tc>
              <w:tc>
                <w:tcPr>
                  <w:tcW w:w="823"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rPr>
                  </w:pPr>
                </w:p>
              </w:tc>
              <w:tc>
                <w:tcPr>
                  <w:tcW w:w="82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核算方法</w:t>
                  </w:r>
                </w:p>
              </w:tc>
              <w:tc>
                <w:tcPr>
                  <w:tcW w:w="73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Cs/>
                      <w:caps w:val="0"/>
                      <w:color w:val="auto"/>
                      <w:spacing w:val="0"/>
                      <w:kern w:val="2"/>
                      <w:position w:val="0"/>
                      <w:sz w:val="21"/>
                      <w:szCs w:val="21"/>
                      <w:highlight w:val="none"/>
                      <w:lang w:val="en-US" w:eastAsia="zh-CN" w:bidi="ar-SA"/>
                    </w:rPr>
                  </w:pPr>
                  <w:r>
                    <w:rPr>
                      <w:rFonts w:hint="default" w:ascii="Times New Roman" w:hAnsi="Times New Roman" w:eastAsia="宋体" w:cs="Times New Roman"/>
                      <w:bCs/>
                      <w:caps w:val="0"/>
                      <w:color w:val="auto"/>
                      <w:spacing w:val="0"/>
                      <w:position w:val="0"/>
                      <w:sz w:val="21"/>
                      <w:szCs w:val="21"/>
                      <w:highlight w:val="none"/>
                    </w:rPr>
                    <w:t>产生量</w:t>
                  </w:r>
                  <w:r>
                    <w:rPr>
                      <w:rFonts w:hint="eastAsia" w:cs="Times New Roman"/>
                      <w:bCs/>
                      <w:caps w:val="0"/>
                      <w:color w:val="auto"/>
                      <w:spacing w:val="0"/>
                      <w:position w:val="0"/>
                      <w:sz w:val="21"/>
                      <w:szCs w:val="21"/>
                      <w:highlight w:val="none"/>
                      <w:lang w:val="en-US" w:eastAsia="zh-CN"/>
                    </w:rPr>
                    <w:t>(</w:t>
                  </w:r>
                  <w:r>
                    <w:rPr>
                      <w:rFonts w:hint="default" w:ascii="Times New Roman" w:hAnsi="Times New Roman" w:cs="Times New Roman"/>
                      <w:caps w:val="0"/>
                      <w:color w:val="auto"/>
                      <w:spacing w:val="0"/>
                      <w:position w:val="0"/>
                      <w:sz w:val="21"/>
                      <w:szCs w:val="21"/>
                      <w:highlight w:val="none"/>
                      <w:lang w:val="en-US" w:eastAsia="zh-CN"/>
                    </w:rPr>
                    <w:t>t</w:t>
                  </w:r>
                  <w:r>
                    <w:rPr>
                      <w:rFonts w:hint="default" w:ascii="Times New Roman" w:hAnsi="Times New Roman" w:eastAsia="宋体" w:cs="Times New Roman"/>
                      <w:caps w:val="0"/>
                      <w:color w:val="auto"/>
                      <w:spacing w:val="0"/>
                      <w:position w:val="0"/>
                      <w:sz w:val="21"/>
                      <w:szCs w:val="21"/>
                      <w:highlight w:val="none"/>
                    </w:rPr>
                    <w:t>/</w:t>
                  </w:r>
                  <w:r>
                    <w:rPr>
                      <w:rFonts w:hint="default" w:ascii="Times New Roman" w:hAnsi="Times New Roman" w:cs="Times New Roman"/>
                      <w:caps w:val="0"/>
                      <w:color w:val="auto"/>
                      <w:spacing w:val="0"/>
                      <w:position w:val="0"/>
                      <w:sz w:val="21"/>
                      <w:szCs w:val="21"/>
                      <w:highlight w:val="none"/>
                      <w:lang w:val="en-US" w:eastAsia="zh-CN"/>
                    </w:rPr>
                    <w:t>a</w:t>
                  </w:r>
                  <w:r>
                    <w:rPr>
                      <w:rFonts w:hint="eastAsia" w:cs="Times New Roman"/>
                      <w:bCs/>
                      <w:caps w:val="0"/>
                      <w:color w:val="auto"/>
                      <w:spacing w:val="0"/>
                      <w:position w:val="0"/>
                      <w:sz w:val="21"/>
                      <w:szCs w:val="21"/>
                      <w:highlight w:val="none"/>
                      <w:lang w:val="en-US" w:eastAsia="zh-CN"/>
                    </w:rPr>
                    <w:t>)</w:t>
                  </w:r>
                </w:p>
              </w:tc>
              <w:tc>
                <w:tcPr>
                  <w:tcW w:w="73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bCs/>
                      <w:caps w:val="0"/>
                      <w:color w:val="auto"/>
                      <w:spacing w:val="0"/>
                      <w:position w:val="0"/>
                      <w:sz w:val="21"/>
                      <w:szCs w:val="21"/>
                      <w:highlight w:val="none"/>
                      <w:lang w:val="en-US" w:eastAsia="zh-CN"/>
                    </w:rPr>
                  </w:pPr>
                  <w:r>
                    <w:rPr>
                      <w:rFonts w:hint="eastAsia" w:ascii="Times New Roman" w:hAnsi="Times New Roman" w:eastAsia="宋体" w:cs="Times New Roman"/>
                      <w:bCs/>
                      <w:caps w:val="0"/>
                      <w:color w:val="auto"/>
                      <w:spacing w:val="0"/>
                      <w:position w:val="0"/>
                      <w:sz w:val="21"/>
                      <w:szCs w:val="21"/>
                      <w:highlight w:val="none"/>
                      <w:lang w:eastAsia="zh-CN"/>
                    </w:rPr>
                    <w:t>产生浓度</w:t>
                  </w:r>
                  <w:r>
                    <w:rPr>
                      <w:rFonts w:hint="eastAsia" w:ascii="Times New Roman" w:hAnsi="Times New Roman" w:eastAsia="宋体" w:cs="Times New Roman"/>
                      <w:bCs/>
                      <w:caps w:val="0"/>
                      <w:color w:val="auto"/>
                      <w:spacing w:val="0"/>
                      <w:position w:val="0"/>
                      <w:sz w:val="21"/>
                      <w:szCs w:val="21"/>
                      <w:highlight w:val="none"/>
                      <w:lang w:val="en-US" w:eastAsia="zh-CN"/>
                    </w:rPr>
                    <w:t>(mg/m</w:t>
                  </w:r>
                  <w:r>
                    <w:rPr>
                      <w:rFonts w:hint="eastAsia" w:ascii="Times New Roman" w:hAnsi="Times New Roman" w:eastAsia="宋体" w:cs="Times New Roman"/>
                      <w:bCs/>
                      <w:caps w:val="0"/>
                      <w:color w:val="auto"/>
                      <w:spacing w:val="0"/>
                      <w:position w:val="0"/>
                      <w:sz w:val="21"/>
                      <w:szCs w:val="21"/>
                      <w:highlight w:val="none"/>
                      <w:vertAlign w:val="superscript"/>
                      <w:lang w:val="en-US" w:eastAsia="zh-CN"/>
                    </w:rPr>
                    <w:t>3</w:t>
                  </w:r>
                  <w:r>
                    <w:rPr>
                      <w:rFonts w:hint="eastAsia" w:ascii="Times New Roman" w:hAnsi="Times New Roman" w:eastAsia="宋体" w:cs="Times New Roman"/>
                      <w:bCs/>
                      <w:caps w:val="0"/>
                      <w:color w:val="auto"/>
                      <w:spacing w:val="0"/>
                      <w:position w:val="0"/>
                      <w:sz w:val="21"/>
                      <w:szCs w:val="21"/>
                      <w:highlight w:val="none"/>
                      <w:lang w:val="en-US" w:eastAsia="zh-CN"/>
                    </w:rPr>
                    <w:t>)</w:t>
                  </w:r>
                </w:p>
              </w:tc>
              <w:tc>
                <w:tcPr>
                  <w:tcW w:w="673"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bCs/>
                      <w:caps w:val="0"/>
                      <w:color w:val="auto"/>
                      <w:spacing w:val="0"/>
                      <w:position w:val="0"/>
                      <w:sz w:val="21"/>
                      <w:szCs w:val="21"/>
                      <w:highlight w:val="none"/>
                      <w:lang w:eastAsia="zh-CN"/>
                    </w:rPr>
                  </w:pPr>
                </w:p>
              </w:tc>
              <w:tc>
                <w:tcPr>
                  <w:tcW w:w="8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bCs/>
                      <w:caps w:val="0"/>
                      <w:color w:val="auto"/>
                      <w:spacing w:val="0"/>
                      <w:position w:val="0"/>
                      <w:sz w:val="21"/>
                      <w:szCs w:val="21"/>
                      <w:highlight w:val="none"/>
                      <w:lang w:val="en-US" w:eastAsia="zh-CN"/>
                    </w:rPr>
                  </w:pPr>
                  <w:r>
                    <w:rPr>
                      <w:rFonts w:hint="eastAsia" w:ascii="Times New Roman" w:hAnsi="Times New Roman" w:eastAsia="宋体" w:cs="Times New Roman"/>
                      <w:bCs/>
                      <w:caps w:val="0"/>
                      <w:color w:val="auto"/>
                      <w:spacing w:val="0"/>
                      <w:position w:val="0"/>
                      <w:sz w:val="21"/>
                      <w:szCs w:val="21"/>
                      <w:highlight w:val="none"/>
                      <w:lang w:val="en-US" w:eastAsia="zh-CN"/>
                    </w:rPr>
                    <w:t>处理能力(</w:t>
                  </w:r>
                  <w:r>
                    <w:rPr>
                      <w:rFonts w:hint="default" w:ascii="Times New Roman" w:hAnsi="Times New Roman" w:eastAsia="宋体" w:cs="Times New Roman"/>
                      <w:caps w:val="0"/>
                      <w:color w:val="auto"/>
                      <w:spacing w:val="0"/>
                      <w:position w:val="0"/>
                      <w:sz w:val="21"/>
                      <w:szCs w:val="21"/>
                      <w:highlight w:val="none"/>
                    </w:rPr>
                    <w:t>m</w:t>
                  </w:r>
                  <w:r>
                    <w:rPr>
                      <w:rFonts w:hint="default" w:ascii="Times New Roman" w:hAnsi="Times New Roman" w:eastAsia="宋体" w:cs="Times New Roman"/>
                      <w:caps w:val="0"/>
                      <w:color w:val="auto"/>
                      <w:spacing w:val="0"/>
                      <w:position w:val="0"/>
                      <w:sz w:val="21"/>
                      <w:szCs w:val="21"/>
                      <w:highlight w:val="none"/>
                      <w:vertAlign w:val="superscript"/>
                    </w:rPr>
                    <w:t>3</w:t>
                  </w:r>
                  <w:r>
                    <w:rPr>
                      <w:rFonts w:hint="default" w:ascii="Times New Roman" w:hAnsi="Times New Roman" w:eastAsia="宋体" w:cs="Times New Roman"/>
                      <w:caps w:val="0"/>
                      <w:color w:val="auto"/>
                      <w:spacing w:val="0"/>
                      <w:position w:val="0"/>
                      <w:sz w:val="21"/>
                      <w:szCs w:val="21"/>
                      <w:highlight w:val="none"/>
                    </w:rPr>
                    <w:t>/h</w:t>
                  </w:r>
                  <w:r>
                    <w:rPr>
                      <w:rFonts w:hint="eastAsia" w:ascii="Times New Roman" w:hAnsi="Times New Roman" w:eastAsia="宋体" w:cs="Times New Roman"/>
                      <w:caps w:val="0"/>
                      <w:color w:val="auto"/>
                      <w:spacing w:val="0"/>
                      <w:position w:val="0"/>
                      <w:sz w:val="21"/>
                      <w:szCs w:val="21"/>
                      <w:highlight w:val="none"/>
                      <w:lang w:val="en-US" w:eastAsia="zh-CN"/>
                    </w:rPr>
                    <w:t>)</w:t>
                  </w:r>
                </w:p>
              </w:tc>
              <w:tc>
                <w:tcPr>
                  <w:tcW w:w="71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rPr>
                  </w:pPr>
                  <w:r>
                    <w:rPr>
                      <w:rFonts w:hint="eastAsia" w:ascii="Times New Roman" w:hAnsi="Times New Roman" w:eastAsia="宋体" w:cs="Times New Roman"/>
                      <w:bCs/>
                      <w:caps w:val="0"/>
                      <w:color w:val="auto"/>
                      <w:spacing w:val="0"/>
                      <w:position w:val="0"/>
                      <w:sz w:val="21"/>
                      <w:szCs w:val="21"/>
                      <w:highlight w:val="none"/>
                      <w:lang w:eastAsia="zh-CN"/>
                    </w:rPr>
                    <w:t>收集效率</w:t>
                  </w:r>
                  <w:r>
                    <w:rPr>
                      <w:rFonts w:hint="eastAsia" w:ascii="Times New Roman" w:hAnsi="Times New Roman" w:eastAsia="宋体" w:cs="Times New Roman"/>
                      <w:bCs/>
                      <w:caps w:val="0"/>
                      <w:color w:val="auto"/>
                      <w:spacing w:val="0"/>
                      <w:position w:val="0"/>
                      <w:sz w:val="21"/>
                      <w:szCs w:val="21"/>
                      <w:highlight w:val="none"/>
                      <w:lang w:val="en-US" w:eastAsia="zh-CN"/>
                    </w:rPr>
                    <w:t>(</w:t>
                  </w:r>
                  <w:r>
                    <w:rPr>
                      <w:rFonts w:hint="default" w:ascii="Times New Roman" w:hAnsi="Times New Roman" w:cs="Times New Roman"/>
                      <w:bCs/>
                      <w:caps w:val="0"/>
                      <w:color w:val="auto"/>
                      <w:spacing w:val="0"/>
                      <w:position w:val="0"/>
                      <w:sz w:val="21"/>
                      <w:szCs w:val="21"/>
                      <w:highlight w:val="none"/>
                      <w:lang w:val="en-US" w:eastAsia="zh-CN"/>
                    </w:rPr>
                    <w:t>%</w:t>
                  </w:r>
                  <w:r>
                    <w:rPr>
                      <w:rFonts w:hint="eastAsia" w:ascii="Times New Roman" w:hAnsi="Times New Roman" w:cs="Times New Roman"/>
                      <w:bCs/>
                      <w:caps w:val="0"/>
                      <w:color w:val="auto"/>
                      <w:spacing w:val="0"/>
                      <w:position w:val="0"/>
                      <w:sz w:val="21"/>
                      <w:szCs w:val="21"/>
                      <w:highlight w:val="none"/>
                      <w:lang w:val="en-US" w:eastAsia="zh-CN"/>
                    </w:rPr>
                    <w:t>)</w:t>
                  </w:r>
                </w:p>
              </w:tc>
              <w:tc>
                <w:tcPr>
                  <w:tcW w:w="220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eastAsia="zh-CN"/>
                    </w:rPr>
                  </w:pPr>
                  <w:r>
                    <w:rPr>
                      <w:rFonts w:hint="default" w:ascii="Times New Roman" w:hAnsi="Times New Roman" w:eastAsia="宋体" w:cs="Times New Roman"/>
                      <w:bCs/>
                      <w:caps w:val="0"/>
                      <w:color w:val="auto"/>
                      <w:spacing w:val="0"/>
                      <w:position w:val="0"/>
                      <w:sz w:val="21"/>
                      <w:szCs w:val="21"/>
                      <w:highlight w:val="none"/>
                    </w:rPr>
                    <w:t>工艺</w:t>
                  </w:r>
                </w:p>
              </w:tc>
              <w:tc>
                <w:tcPr>
                  <w:tcW w:w="65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cs="Times New Roman"/>
                      <w:bCs/>
                      <w:caps w:val="0"/>
                      <w:color w:val="auto"/>
                      <w:spacing w:val="0"/>
                      <w:position w:val="0"/>
                      <w:sz w:val="21"/>
                      <w:szCs w:val="21"/>
                      <w:highlight w:val="none"/>
                      <w:lang w:eastAsia="zh-CN"/>
                    </w:rPr>
                  </w:pPr>
                  <w:r>
                    <w:rPr>
                      <w:rFonts w:hint="eastAsia" w:ascii="Times New Roman" w:hAnsi="Times New Roman" w:cs="Times New Roman"/>
                      <w:bCs/>
                      <w:caps w:val="0"/>
                      <w:color w:val="auto"/>
                      <w:spacing w:val="0"/>
                      <w:position w:val="0"/>
                      <w:sz w:val="21"/>
                      <w:szCs w:val="21"/>
                      <w:highlight w:val="none"/>
                      <w:lang w:eastAsia="zh-CN"/>
                    </w:rPr>
                    <w:t>去除率</w:t>
                  </w:r>
                  <w:r>
                    <w:rPr>
                      <w:rFonts w:hint="eastAsia" w:ascii="Times New Roman" w:hAnsi="Times New Roman" w:cs="Times New Roman"/>
                      <w:bCs/>
                      <w:caps w:val="0"/>
                      <w:color w:val="auto"/>
                      <w:spacing w:val="0"/>
                      <w:position w:val="0"/>
                      <w:sz w:val="21"/>
                      <w:szCs w:val="21"/>
                      <w:highlight w:val="none"/>
                      <w:lang w:val="en-US" w:eastAsia="zh-CN"/>
                    </w:rPr>
                    <w:t>(</w:t>
                  </w:r>
                  <w:r>
                    <w:rPr>
                      <w:rFonts w:hint="default" w:ascii="Times New Roman" w:hAnsi="Times New Roman" w:cs="Times New Roman"/>
                      <w:bCs/>
                      <w:caps w:val="0"/>
                      <w:color w:val="auto"/>
                      <w:spacing w:val="0"/>
                      <w:position w:val="0"/>
                      <w:sz w:val="21"/>
                      <w:szCs w:val="21"/>
                      <w:highlight w:val="none"/>
                      <w:lang w:val="en-US" w:eastAsia="zh-CN"/>
                    </w:rPr>
                    <w:t>%</w:t>
                  </w:r>
                  <w:r>
                    <w:rPr>
                      <w:rFonts w:hint="eastAsia" w:ascii="Times New Roman" w:hAnsi="Times New Roman" w:cs="Times New Roman"/>
                      <w:bCs/>
                      <w:caps w:val="0"/>
                      <w:color w:val="auto"/>
                      <w:spacing w:val="0"/>
                      <w:position w:val="0"/>
                      <w:sz w:val="21"/>
                      <w:szCs w:val="21"/>
                      <w:highlight w:val="none"/>
                      <w:lang w:val="en-US" w:eastAsia="zh-CN"/>
                    </w:rPr>
                    <w:t>)</w:t>
                  </w:r>
                </w:p>
              </w:tc>
              <w:tc>
                <w:tcPr>
                  <w:tcW w:w="78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是否为可行性技术</w:t>
                  </w:r>
                </w:p>
              </w:tc>
              <w:tc>
                <w:tcPr>
                  <w:tcW w:w="71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rPr>
                  </w:pPr>
                  <w:r>
                    <w:rPr>
                      <w:rFonts w:hint="default" w:ascii="Times New Roman" w:hAnsi="Times New Roman" w:eastAsia="宋体" w:cs="Times New Roman"/>
                      <w:bCs/>
                      <w:caps w:val="0"/>
                      <w:color w:val="auto"/>
                      <w:spacing w:val="0"/>
                      <w:position w:val="0"/>
                      <w:sz w:val="21"/>
                      <w:szCs w:val="21"/>
                      <w:highlight w:val="none"/>
                    </w:rPr>
                    <w:t>排放浓度</w:t>
                  </w:r>
                  <w:r>
                    <w:rPr>
                      <w:rFonts w:hint="eastAsia" w:ascii="Times New Roman" w:hAnsi="Times New Roman" w:eastAsia="宋体" w:cs="Times New Roman"/>
                      <w:bCs/>
                      <w:caps w:val="0"/>
                      <w:color w:val="auto"/>
                      <w:spacing w:val="0"/>
                      <w:position w:val="0"/>
                      <w:sz w:val="21"/>
                      <w:szCs w:val="21"/>
                      <w:highlight w:val="none"/>
                      <w:lang w:val="en-US" w:eastAsia="zh-CN"/>
                    </w:rPr>
                    <w:t>(</w:t>
                  </w:r>
                  <w:r>
                    <w:rPr>
                      <w:rFonts w:hint="default" w:ascii="Times New Roman" w:hAnsi="Times New Roman" w:eastAsia="宋体" w:cs="Times New Roman"/>
                      <w:bCs/>
                      <w:caps w:val="0"/>
                      <w:color w:val="auto"/>
                      <w:spacing w:val="0"/>
                      <w:position w:val="0"/>
                      <w:sz w:val="21"/>
                      <w:szCs w:val="21"/>
                      <w:highlight w:val="none"/>
                    </w:rPr>
                    <w:t>mg/m</w:t>
                  </w:r>
                  <w:r>
                    <w:rPr>
                      <w:rFonts w:hint="default" w:ascii="Times New Roman" w:hAnsi="Times New Roman" w:eastAsia="宋体" w:cs="Times New Roman"/>
                      <w:bCs/>
                      <w:caps w:val="0"/>
                      <w:color w:val="auto"/>
                      <w:spacing w:val="0"/>
                      <w:position w:val="0"/>
                      <w:sz w:val="21"/>
                      <w:szCs w:val="21"/>
                      <w:highlight w:val="none"/>
                      <w:vertAlign w:val="superscript"/>
                    </w:rPr>
                    <w:t>3</w:t>
                  </w:r>
                  <w:r>
                    <w:rPr>
                      <w:rFonts w:hint="eastAsia" w:ascii="Times New Roman" w:hAnsi="Times New Roman" w:eastAsia="宋体" w:cs="Times New Roman"/>
                      <w:bCs/>
                      <w:caps w:val="0"/>
                      <w:color w:val="auto"/>
                      <w:spacing w:val="0"/>
                      <w:position w:val="0"/>
                      <w:sz w:val="21"/>
                      <w:szCs w:val="21"/>
                      <w:highlight w:val="none"/>
                      <w:lang w:val="en-US" w:eastAsia="zh-CN"/>
                    </w:rPr>
                    <w:t>)</w:t>
                  </w:r>
                </w:p>
              </w:tc>
              <w:tc>
                <w:tcPr>
                  <w:tcW w:w="78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bCs/>
                      <w:caps w:val="0"/>
                      <w:color w:val="auto"/>
                      <w:spacing w:val="0"/>
                      <w:position w:val="0"/>
                      <w:sz w:val="21"/>
                      <w:szCs w:val="21"/>
                      <w:highlight w:val="none"/>
                      <w:lang w:val="en-US" w:eastAsia="zh-CN"/>
                    </w:rPr>
                  </w:pPr>
                  <w:r>
                    <w:rPr>
                      <w:rFonts w:hint="eastAsia" w:ascii="Times New Roman" w:hAnsi="Times New Roman" w:eastAsia="宋体" w:cs="Times New Roman"/>
                      <w:bCs/>
                      <w:caps w:val="0"/>
                      <w:color w:val="auto"/>
                      <w:spacing w:val="0"/>
                      <w:position w:val="0"/>
                      <w:sz w:val="21"/>
                      <w:szCs w:val="21"/>
                      <w:highlight w:val="none"/>
                      <w:lang w:eastAsia="zh-CN"/>
                    </w:rPr>
                    <w:t>排放速率</w:t>
                  </w:r>
                  <w:r>
                    <w:rPr>
                      <w:rFonts w:hint="eastAsia" w:ascii="Times New Roman" w:hAnsi="Times New Roman" w:eastAsia="宋体" w:cs="Times New Roman"/>
                      <w:bCs/>
                      <w:caps w:val="0"/>
                      <w:color w:val="auto"/>
                      <w:spacing w:val="0"/>
                      <w:position w:val="0"/>
                      <w:sz w:val="21"/>
                      <w:szCs w:val="21"/>
                      <w:highlight w:val="none"/>
                      <w:lang w:val="en-US" w:eastAsia="zh-CN"/>
                    </w:rPr>
                    <w:t>(kg/h)</w:t>
                  </w:r>
                </w:p>
              </w:tc>
              <w:tc>
                <w:tcPr>
                  <w:tcW w:w="71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rPr>
                  </w:pPr>
                  <w:r>
                    <w:rPr>
                      <w:rFonts w:hint="eastAsia" w:ascii="Times New Roman" w:hAnsi="Times New Roman" w:eastAsia="宋体" w:cs="Times New Roman"/>
                      <w:bCs/>
                      <w:caps w:val="0"/>
                      <w:color w:val="auto"/>
                      <w:spacing w:val="0"/>
                      <w:position w:val="0"/>
                      <w:sz w:val="21"/>
                      <w:szCs w:val="21"/>
                      <w:highlight w:val="none"/>
                      <w:lang w:eastAsia="zh-CN"/>
                    </w:rPr>
                    <w:t>有组织</w:t>
                  </w:r>
                  <w:r>
                    <w:rPr>
                      <w:rFonts w:hint="default" w:ascii="Times New Roman" w:hAnsi="Times New Roman" w:eastAsia="宋体" w:cs="Times New Roman"/>
                      <w:bCs/>
                      <w:caps w:val="0"/>
                      <w:color w:val="auto"/>
                      <w:spacing w:val="0"/>
                      <w:position w:val="0"/>
                      <w:sz w:val="21"/>
                      <w:szCs w:val="21"/>
                      <w:highlight w:val="none"/>
                    </w:rPr>
                    <w:t>排放量</w:t>
                  </w:r>
                  <w:r>
                    <w:rPr>
                      <w:rFonts w:hint="eastAsia" w:ascii="Times New Roman" w:hAnsi="Times New Roman" w:eastAsia="宋体" w:cs="Times New Roman"/>
                      <w:bCs/>
                      <w:caps w:val="0"/>
                      <w:color w:val="auto"/>
                      <w:spacing w:val="0"/>
                      <w:position w:val="0"/>
                      <w:sz w:val="21"/>
                      <w:szCs w:val="21"/>
                      <w:highlight w:val="none"/>
                      <w:lang w:val="en-US" w:eastAsia="zh-CN"/>
                    </w:rPr>
                    <w:t>(</w:t>
                  </w:r>
                  <w:r>
                    <w:rPr>
                      <w:rFonts w:hint="default" w:ascii="Times New Roman" w:hAnsi="Times New Roman" w:cs="Times New Roman"/>
                      <w:caps w:val="0"/>
                      <w:color w:val="auto"/>
                      <w:spacing w:val="0"/>
                      <w:position w:val="0"/>
                      <w:sz w:val="21"/>
                      <w:szCs w:val="21"/>
                      <w:highlight w:val="none"/>
                      <w:lang w:val="en-US" w:eastAsia="zh-CN"/>
                    </w:rPr>
                    <w:t>t</w:t>
                  </w:r>
                  <w:r>
                    <w:rPr>
                      <w:rFonts w:hint="default" w:ascii="Times New Roman" w:hAnsi="Times New Roman" w:eastAsia="宋体" w:cs="Times New Roman"/>
                      <w:caps w:val="0"/>
                      <w:color w:val="auto"/>
                      <w:spacing w:val="0"/>
                      <w:position w:val="0"/>
                      <w:sz w:val="21"/>
                      <w:szCs w:val="21"/>
                      <w:highlight w:val="none"/>
                    </w:rPr>
                    <w:t>/</w:t>
                  </w:r>
                  <w:r>
                    <w:rPr>
                      <w:rFonts w:hint="default" w:ascii="Times New Roman" w:hAnsi="Times New Roman" w:cs="Times New Roman"/>
                      <w:caps w:val="0"/>
                      <w:color w:val="auto"/>
                      <w:spacing w:val="0"/>
                      <w:position w:val="0"/>
                      <w:sz w:val="21"/>
                      <w:szCs w:val="21"/>
                      <w:highlight w:val="none"/>
                      <w:lang w:val="en-US" w:eastAsia="zh-CN"/>
                    </w:rPr>
                    <w:t>a</w:t>
                  </w:r>
                  <w:r>
                    <w:rPr>
                      <w:rFonts w:hint="eastAsia" w:ascii="Times New Roman" w:hAnsi="Times New Roman" w:cs="Times New Roman"/>
                      <w:caps w:val="0"/>
                      <w:color w:val="auto"/>
                      <w:spacing w:val="0"/>
                      <w:position w:val="0"/>
                      <w:sz w:val="21"/>
                      <w:szCs w:val="21"/>
                      <w:highlight w:val="none"/>
                      <w:lang w:val="en-US" w:eastAsia="zh-CN"/>
                    </w:rPr>
                    <w:t>)</w:t>
                  </w:r>
                </w:p>
              </w:tc>
              <w:tc>
                <w:tcPr>
                  <w:tcW w:w="79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bCs/>
                      <w:caps w:val="0"/>
                      <w:color w:val="auto"/>
                      <w:spacing w:val="0"/>
                      <w:position w:val="0"/>
                      <w:sz w:val="21"/>
                      <w:szCs w:val="21"/>
                      <w:highlight w:val="none"/>
                      <w:lang w:val="en-US" w:eastAsia="zh-CN"/>
                    </w:rPr>
                  </w:pPr>
                  <w:r>
                    <w:rPr>
                      <w:rFonts w:hint="eastAsia" w:ascii="Times New Roman" w:hAnsi="Times New Roman" w:eastAsia="宋体" w:cs="Times New Roman"/>
                      <w:bCs/>
                      <w:caps w:val="0"/>
                      <w:color w:val="auto"/>
                      <w:spacing w:val="0"/>
                      <w:position w:val="0"/>
                      <w:sz w:val="21"/>
                      <w:szCs w:val="21"/>
                      <w:highlight w:val="none"/>
                      <w:lang w:eastAsia="zh-CN"/>
                    </w:rPr>
                    <w:t>无组织排放量</w:t>
                  </w:r>
                  <w:r>
                    <w:rPr>
                      <w:rFonts w:hint="eastAsia" w:ascii="Times New Roman" w:hAnsi="Times New Roman" w:eastAsia="宋体" w:cs="Times New Roman"/>
                      <w:bCs/>
                      <w:caps w:val="0"/>
                      <w:color w:val="auto"/>
                      <w:spacing w:val="0"/>
                      <w:position w:val="0"/>
                      <w:sz w:val="21"/>
                      <w:szCs w:val="21"/>
                      <w:highlight w:val="none"/>
                      <w:lang w:val="en-US" w:eastAsia="zh-CN"/>
                    </w:rPr>
                    <w:t>(t/a)</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54" w:hRule="atLeast"/>
                <w:jc w:val="center"/>
              </w:trPr>
              <w:tc>
                <w:tcPr>
                  <w:tcW w:w="97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印刷、印刷烘干、覆膜过程</w:t>
                  </w:r>
                </w:p>
              </w:tc>
              <w:tc>
                <w:tcPr>
                  <w:tcW w:w="823" w:type="dxa"/>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非甲烷总烃</w:t>
                  </w:r>
                </w:p>
              </w:tc>
              <w:tc>
                <w:tcPr>
                  <w:tcW w:w="82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物料衡算法</w:t>
                  </w:r>
                </w:p>
              </w:tc>
              <w:tc>
                <w:tcPr>
                  <w:tcW w:w="738" w:type="dxa"/>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0.0487</w:t>
                  </w:r>
                </w:p>
              </w:tc>
              <w:tc>
                <w:tcPr>
                  <w:tcW w:w="73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0.6</w:t>
                  </w:r>
                </w:p>
              </w:tc>
              <w:tc>
                <w:tcPr>
                  <w:tcW w:w="673"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有组织</w:t>
                  </w:r>
                </w:p>
              </w:tc>
              <w:tc>
                <w:tcPr>
                  <w:tcW w:w="895"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15000</w:t>
                  </w:r>
                </w:p>
              </w:tc>
              <w:tc>
                <w:tcPr>
                  <w:tcW w:w="716"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90</w:t>
                  </w:r>
                </w:p>
              </w:tc>
              <w:tc>
                <w:tcPr>
                  <w:tcW w:w="2206"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cs="Times New Roman"/>
                      <w:bCs/>
                      <w:caps w:val="0"/>
                      <w:color w:val="auto"/>
                      <w:spacing w:val="0"/>
                      <w:position w:val="0"/>
                      <w:sz w:val="21"/>
                      <w:szCs w:val="21"/>
                      <w:highlight w:val="none"/>
                      <w:lang w:val="en-US" w:eastAsia="zh-CN"/>
                    </w:rPr>
                  </w:pPr>
                  <w:r>
                    <w:rPr>
                      <w:rFonts w:hint="default" w:ascii="Times New Roman" w:hAnsi="Times New Roman" w:eastAsia="宋体" w:cs="Times New Roman"/>
                      <w:color w:val="auto"/>
                      <w:kern w:val="2"/>
                      <w:sz w:val="21"/>
                      <w:szCs w:val="21"/>
                      <w:highlight w:val="none"/>
                      <w:lang w:val="en-US" w:eastAsia="zh-CN" w:bidi="ar-SA"/>
                    </w:rPr>
                    <w:t>烘干和烧结还原过程</w:t>
                  </w:r>
                  <w:r>
                    <w:rPr>
                      <w:rFonts w:hint="eastAsia" w:cs="Times New Roman"/>
                      <w:color w:val="auto"/>
                      <w:kern w:val="2"/>
                      <w:sz w:val="21"/>
                      <w:szCs w:val="21"/>
                      <w:highlight w:val="none"/>
                      <w:lang w:val="en-US" w:eastAsia="zh-CN" w:bidi="ar-SA"/>
                    </w:rPr>
                    <w:t>设备密闭</w:t>
                  </w:r>
                  <w:r>
                    <w:rPr>
                      <w:rFonts w:hint="default" w:ascii="Times New Roman" w:hAnsi="Times New Roman" w:eastAsia="宋体" w:cs="Times New Roman"/>
                      <w:color w:val="auto"/>
                      <w:kern w:val="2"/>
                      <w:sz w:val="21"/>
                      <w:szCs w:val="21"/>
                      <w:highlight w:val="none"/>
                      <w:lang w:val="en-US" w:eastAsia="zh-CN" w:bidi="ar-SA"/>
                    </w:rPr>
                    <w:t>，在各烘干</w:t>
                  </w:r>
                  <w:r>
                    <w:rPr>
                      <w:rFonts w:hint="eastAsia" w:cs="Times New Roman"/>
                      <w:color w:val="auto"/>
                      <w:kern w:val="2"/>
                      <w:sz w:val="21"/>
                      <w:szCs w:val="21"/>
                      <w:highlight w:val="none"/>
                      <w:lang w:val="en-US" w:eastAsia="zh-CN" w:bidi="ar-SA"/>
                    </w:rPr>
                    <w:t>炉</w:t>
                  </w:r>
                  <w:r>
                    <w:rPr>
                      <w:rFonts w:hint="default" w:ascii="Times New Roman" w:hAnsi="Times New Roman" w:eastAsia="宋体" w:cs="Times New Roman"/>
                      <w:color w:val="auto"/>
                      <w:kern w:val="2"/>
                      <w:sz w:val="21"/>
                      <w:szCs w:val="21"/>
                      <w:highlight w:val="none"/>
                      <w:lang w:val="en-US" w:eastAsia="zh-CN" w:bidi="ar-SA"/>
                    </w:rPr>
                    <w:t>和烧熔炉的出口上方设置集气罩</w:t>
                  </w:r>
                  <w:r>
                    <w:rPr>
                      <w:rFonts w:hint="eastAsia" w:cs="Times New Roman"/>
                      <w:color w:val="auto"/>
                      <w:kern w:val="2"/>
                      <w:sz w:val="21"/>
                      <w:szCs w:val="21"/>
                      <w:highlight w:val="none"/>
                      <w:lang w:val="en-US" w:eastAsia="zh-CN" w:bidi="ar-SA"/>
                    </w:rPr>
                    <w:t>；覆膜印刷机、覆膜烘干机封闭，在设备上方设置集气管道；自动覆膜机上方设置集气罩，采用风量为15000m</w:t>
                  </w:r>
                  <w:r>
                    <w:rPr>
                      <w:rFonts w:hint="eastAsia" w:cs="Times New Roman"/>
                      <w:color w:val="auto"/>
                      <w:kern w:val="2"/>
                      <w:sz w:val="21"/>
                      <w:szCs w:val="21"/>
                      <w:highlight w:val="none"/>
                      <w:vertAlign w:val="superscript"/>
                      <w:lang w:val="en-US" w:eastAsia="zh-CN" w:bidi="ar-SA"/>
                    </w:rPr>
                    <w:t>3</w:t>
                  </w:r>
                  <w:r>
                    <w:rPr>
                      <w:rFonts w:hint="eastAsia" w:cs="Times New Roman"/>
                      <w:color w:val="auto"/>
                      <w:kern w:val="2"/>
                      <w:sz w:val="21"/>
                      <w:szCs w:val="21"/>
                      <w:highlight w:val="none"/>
                      <w:lang w:val="en-US" w:eastAsia="zh-CN" w:bidi="ar-SA"/>
                    </w:rPr>
                    <w:t>/h的</w:t>
                  </w:r>
                  <w:r>
                    <w:rPr>
                      <w:rFonts w:hint="default" w:ascii="Times New Roman" w:hAnsi="Times New Roman" w:eastAsia="宋体" w:cs="Times New Roman"/>
                      <w:color w:val="auto"/>
                      <w:kern w:val="2"/>
                      <w:sz w:val="21"/>
                      <w:szCs w:val="21"/>
                      <w:highlight w:val="none"/>
                      <w:lang w:val="en-US" w:eastAsia="zh-CN" w:bidi="ar-SA"/>
                    </w:rPr>
                    <w:t>风机将</w:t>
                  </w:r>
                  <w:r>
                    <w:rPr>
                      <w:rFonts w:hint="eastAsia" w:cs="Times New Roman"/>
                      <w:color w:val="auto"/>
                      <w:kern w:val="2"/>
                      <w:sz w:val="21"/>
                      <w:szCs w:val="21"/>
                      <w:highlight w:val="none"/>
                      <w:lang w:val="en-US" w:eastAsia="zh-CN" w:bidi="ar-SA"/>
                    </w:rPr>
                    <w:t>印刷、印刷烘干、覆膜、烘干及烧结还原过程产生的废气</w:t>
                  </w:r>
                  <w:r>
                    <w:rPr>
                      <w:rFonts w:hint="default" w:ascii="Times New Roman" w:hAnsi="Times New Roman" w:eastAsia="宋体" w:cs="Times New Roman"/>
                      <w:color w:val="auto"/>
                      <w:kern w:val="2"/>
                      <w:sz w:val="21"/>
                      <w:szCs w:val="21"/>
                      <w:highlight w:val="none"/>
                      <w:lang w:val="en-US" w:eastAsia="zh-CN" w:bidi="ar-SA"/>
                    </w:rPr>
                    <w:t>引入1套</w:t>
                  </w:r>
                  <w:r>
                    <w:rPr>
                      <w:rFonts w:hint="eastAsia" w:cs="Times New Roman"/>
                      <w:color w:val="auto"/>
                      <w:kern w:val="2"/>
                      <w:sz w:val="21"/>
                      <w:szCs w:val="21"/>
                      <w:highlight w:val="none"/>
                      <w:lang w:val="en-US" w:eastAsia="zh-CN" w:bidi="ar-SA"/>
                    </w:rPr>
                    <w:t>两级</w:t>
                  </w:r>
                  <w:r>
                    <w:rPr>
                      <w:rFonts w:hint="default" w:ascii="Times New Roman" w:hAnsi="Times New Roman" w:eastAsia="宋体" w:cs="Times New Roman"/>
                      <w:color w:val="auto"/>
                      <w:kern w:val="2"/>
                      <w:sz w:val="21"/>
                      <w:szCs w:val="21"/>
                      <w:highlight w:val="none"/>
                      <w:lang w:val="en-US" w:eastAsia="zh-CN" w:bidi="ar-SA"/>
                    </w:rPr>
                    <w:t>活性炭吸附装置</w:t>
                  </w:r>
                  <w:r>
                    <w:rPr>
                      <w:rFonts w:hint="eastAsia" w:cs="Times New Roman"/>
                      <w:color w:val="auto"/>
                      <w:kern w:val="2"/>
                      <w:sz w:val="21"/>
                      <w:szCs w:val="21"/>
                      <w:highlight w:val="none"/>
                      <w:lang w:val="en-US" w:eastAsia="zh-CN" w:bidi="ar-SA"/>
                    </w:rPr>
                    <w:t>（TA002）</w:t>
                  </w:r>
                  <w:r>
                    <w:rPr>
                      <w:rFonts w:hint="default" w:ascii="Times New Roman" w:hAnsi="Times New Roman" w:eastAsia="宋体" w:cs="Times New Roman"/>
                      <w:color w:val="auto"/>
                      <w:kern w:val="2"/>
                      <w:sz w:val="21"/>
                      <w:szCs w:val="21"/>
                      <w:highlight w:val="none"/>
                      <w:lang w:val="en-US" w:eastAsia="zh-CN" w:bidi="ar-SA"/>
                    </w:rPr>
                    <w:t>进行净化处理</w:t>
                  </w:r>
                  <w:r>
                    <w:rPr>
                      <w:rFonts w:hint="eastAsia" w:ascii="Times New Roman" w:hAnsi="Times New Roman" w:cs="Times New Roman"/>
                      <w:color w:val="auto"/>
                      <w:kern w:val="2"/>
                      <w:sz w:val="21"/>
                      <w:szCs w:val="21"/>
                      <w:highlight w:val="none"/>
                      <w:lang w:val="en-US" w:eastAsia="zh-CN" w:bidi="ar-SA"/>
                    </w:rPr>
                    <w:t>，处理后与经TA001处理的镀膜废气一起通过1根30m高排气筒排放至大气中</w:t>
                  </w:r>
                </w:p>
              </w:tc>
              <w:tc>
                <w:tcPr>
                  <w:tcW w:w="654"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90%</w:t>
                  </w:r>
                </w:p>
              </w:tc>
              <w:tc>
                <w:tcPr>
                  <w:tcW w:w="781"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是</w:t>
                  </w:r>
                </w:p>
              </w:tc>
              <w:tc>
                <w:tcPr>
                  <w:tcW w:w="716"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0.1</w:t>
                  </w:r>
                </w:p>
              </w:tc>
              <w:tc>
                <w:tcPr>
                  <w:tcW w:w="781"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0.0011</w:t>
                  </w:r>
                </w:p>
              </w:tc>
              <w:tc>
                <w:tcPr>
                  <w:tcW w:w="717"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0.0053</w:t>
                  </w:r>
                </w:p>
              </w:tc>
              <w:tc>
                <w:tcPr>
                  <w:tcW w:w="798"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0.0058</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54" w:hRule="atLeast"/>
                <w:jc w:val="center"/>
              </w:trPr>
              <w:tc>
                <w:tcPr>
                  <w:tcW w:w="97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印刷、印刷烘干、覆膜过程和烘干及烧结还原过程</w:t>
                  </w:r>
                </w:p>
              </w:tc>
              <w:tc>
                <w:tcPr>
                  <w:tcW w:w="823" w:type="dxa"/>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非甲烷总烃</w:t>
                  </w:r>
                </w:p>
              </w:tc>
              <w:tc>
                <w:tcPr>
                  <w:tcW w:w="82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eastAsia" w:cs="Times New Roman"/>
                      <w:bCs/>
                      <w:caps w:val="0"/>
                      <w:color w:val="auto"/>
                      <w:spacing w:val="0"/>
                      <w:position w:val="0"/>
                      <w:sz w:val="21"/>
                      <w:szCs w:val="21"/>
                      <w:highlight w:val="none"/>
                      <w:lang w:val="en-US" w:eastAsia="zh-CN"/>
                    </w:rPr>
                  </w:pPr>
                  <w:r>
                    <w:rPr>
                      <w:rFonts w:hint="eastAsia" w:ascii="宋体" w:hAnsi="宋体" w:eastAsia="宋体" w:cs="宋体"/>
                      <w:bCs/>
                      <w:caps w:val="0"/>
                      <w:color w:val="auto"/>
                      <w:spacing w:val="0"/>
                      <w:position w:val="0"/>
                      <w:sz w:val="21"/>
                      <w:szCs w:val="21"/>
                      <w:highlight w:val="none"/>
                      <w:lang w:val="en-US" w:eastAsia="zh-CN"/>
                    </w:rPr>
                    <w:t>－</w:t>
                  </w:r>
                </w:p>
              </w:tc>
              <w:tc>
                <w:tcPr>
                  <w:tcW w:w="738" w:type="dxa"/>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0.0584</w:t>
                  </w:r>
                </w:p>
              </w:tc>
              <w:tc>
                <w:tcPr>
                  <w:tcW w:w="73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0.73</w:t>
                  </w:r>
                </w:p>
              </w:tc>
              <w:tc>
                <w:tcPr>
                  <w:tcW w:w="673"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p>
              </w:tc>
              <w:tc>
                <w:tcPr>
                  <w:tcW w:w="89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cs="Times New Roman"/>
                      <w:bCs/>
                      <w:caps w:val="0"/>
                      <w:color w:val="auto"/>
                      <w:spacing w:val="0"/>
                      <w:position w:val="0"/>
                      <w:sz w:val="21"/>
                      <w:szCs w:val="21"/>
                      <w:highlight w:val="none"/>
                      <w:lang w:val="en-US" w:eastAsia="zh-CN"/>
                    </w:rPr>
                  </w:pPr>
                </w:p>
              </w:tc>
              <w:tc>
                <w:tcPr>
                  <w:tcW w:w="716"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cs="Times New Roman"/>
                      <w:bCs/>
                      <w:caps w:val="0"/>
                      <w:color w:val="auto"/>
                      <w:spacing w:val="0"/>
                      <w:position w:val="0"/>
                      <w:sz w:val="21"/>
                      <w:szCs w:val="21"/>
                      <w:highlight w:val="none"/>
                      <w:lang w:val="en-US" w:eastAsia="zh-CN"/>
                    </w:rPr>
                  </w:pPr>
                </w:p>
              </w:tc>
              <w:tc>
                <w:tcPr>
                  <w:tcW w:w="2206"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cs="Times New Roman"/>
                      <w:bCs/>
                      <w:caps w:val="0"/>
                      <w:color w:val="auto"/>
                      <w:spacing w:val="0"/>
                      <w:position w:val="0"/>
                      <w:sz w:val="21"/>
                      <w:szCs w:val="21"/>
                      <w:highlight w:val="none"/>
                      <w:lang w:val="en-US" w:eastAsia="zh-CN"/>
                    </w:rPr>
                  </w:pPr>
                </w:p>
              </w:tc>
              <w:tc>
                <w:tcPr>
                  <w:tcW w:w="654"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cs="Times New Roman"/>
                      <w:bCs/>
                      <w:caps w:val="0"/>
                      <w:color w:val="auto"/>
                      <w:spacing w:val="0"/>
                      <w:position w:val="0"/>
                      <w:sz w:val="21"/>
                      <w:szCs w:val="21"/>
                      <w:highlight w:val="none"/>
                      <w:lang w:val="en-US" w:eastAsia="zh-CN"/>
                    </w:rPr>
                  </w:pPr>
                </w:p>
              </w:tc>
              <w:tc>
                <w:tcPr>
                  <w:tcW w:w="781"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cs="Times New Roman"/>
                      <w:bCs/>
                      <w:caps w:val="0"/>
                      <w:color w:val="auto"/>
                      <w:spacing w:val="0"/>
                      <w:position w:val="0"/>
                      <w:sz w:val="21"/>
                      <w:szCs w:val="21"/>
                      <w:highlight w:val="none"/>
                      <w:lang w:val="en-US" w:eastAsia="zh-CN"/>
                    </w:rPr>
                  </w:pPr>
                </w:p>
              </w:tc>
              <w:tc>
                <w:tcPr>
                  <w:tcW w:w="716"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cs="Times New Roman"/>
                      <w:bCs/>
                      <w:caps w:val="0"/>
                      <w:color w:val="auto"/>
                      <w:spacing w:val="0"/>
                      <w:position w:val="0"/>
                      <w:sz w:val="21"/>
                      <w:szCs w:val="21"/>
                      <w:highlight w:val="none"/>
                      <w:lang w:val="en-US" w:eastAsia="zh-CN"/>
                    </w:rPr>
                  </w:pPr>
                </w:p>
              </w:tc>
              <w:tc>
                <w:tcPr>
                  <w:tcW w:w="781"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cs="Times New Roman"/>
                      <w:bCs/>
                      <w:caps w:val="0"/>
                      <w:color w:val="auto"/>
                      <w:spacing w:val="0"/>
                      <w:position w:val="0"/>
                      <w:sz w:val="21"/>
                      <w:szCs w:val="21"/>
                      <w:highlight w:val="none"/>
                      <w:lang w:val="en-US" w:eastAsia="zh-CN"/>
                    </w:rPr>
                  </w:pPr>
                </w:p>
              </w:tc>
              <w:tc>
                <w:tcPr>
                  <w:tcW w:w="717"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cs="Times New Roman"/>
                      <w:bCs/>
                      <w:caps w:val="0"/>
                      <w:color w:val="auto"/>
                      <w:spacing w:val="0"/>
                      <w:position w:val="0"/>
                      <w:sz w:val="21"/>
                      <w:szCs w:val="21"/>
                      <w:highlight w:val="none"/>
                      <w:lang w:val="en-US" w:eastAsia="zh-CN"/>
                    </w:rPr>
                  </w:pPr>
                </w:p>
              </w:tc>
              <w:tc>
                <w:tcPr>
                  <w:tcW w:w="798"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cs="Times New Roman"/>
                      <w:bCs/>
                      <w:caps w:val="0"/>
                      <w:color w:val="auto"/>
                      <w:spacing w:val="0"/>
                      <w:position w:val="0"/>
                      <w:sz w:val="21"/>
                      <w:szCs w:val="21"/>
                      <w:highlight w:val="none"/>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43" w:hRule="atLeast"/>
                <w:jc w:val="center"/>
              </w:trPr>
              <w:tc>
                <w:tcPr>
                  <w:tcW w:w="97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color w:val="auto"/>
                      <w:sz w:val="21"/>
                      <w:szCs w:val="21"/>
                      <w:highlight w:val="none"/>
                      <w:lang w:val="en-US" w:eastAsia="zh-CN"/>
                    </w:rPr>
                  </w:pPr>
                  <w:r>
                    <w:rPr>
                      <w:rFonts w:hint="default"/>
                      <w:color w:val="auto"/>
                      <w:sz w:val="21"/>
                      <w:szCs w:val="21"/>
                      <w:highlight w:val="none"/>
                      <w:lang w:val="en-US" w:eastAsia="zh-CN"/>
                    </w:rPr>
                    <w:t>导电浆料混合分散</w:t>
                  </w:r>
                  <w:r>
                    <w:rPr>
                      <w:rFonts w:hint="eastAsia"/>
                      <w:color w:val="auto"/>
                      <w:sz w:val="21"/>
                      <w:szCs w:val="21"/>
                      <w:highlight w:val="none"/>
                      <w:lang w:val="en-US" w:eastAsia="zh-CN"/>
                    </w:rPr>
                    <w:t>过程</w:t>
                  </w:r>
                </w:p>
              </w:tc>
              <w:tc>
                <w:tcPr>
                  <w:tcW w:w="82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非甲烷总烃</w:t>
                  </w:r>
                </w:p>
              </w:tc>
              <w:tc>
                <w:tcPr>
                  <w:tcW w:w="82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物料衡算法</w:t>
                  </w:r>
                </w:p>
              </w:tc>
              <w:tc>
                <w:tcPr>
                  <w:tcW w:w="738" w:type="dxa"/>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olor w:val="auto"/>
                      <w:sz w:val="21"/>
                      <w:highlight w:val="none"/>
                      <w:lang w:val="en-US" w:eastAsia="zh-CN"/>
                    </w:rPr>
                  </w:pPr>
                  <w:r>
                    <w:rPr>
                      <w:rFonts w:hint="eastAsia"/>
                      <w:color w:val="auto"/>
                      <w:sz w:val="21"/>
                      <w:highlight w:val="none"/>
                      <w:lang w:val="en-US" w:eastAsia="zh-CN"/>
                    </w:rPr>
                    <w:t>0.0008</w:t>
                  </w:r>
                </w:p>
              </w:tc>
              <w:tc>
                <w:tcPr>
                  <w:tcW w:w="73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color w:val="auto"/>
                      <w:sz w:val="21"/>
                      <w:szCs w:val="21"/>
                      <w:highlight w:val="none"/>
                      <w:lang w:val="en-US" w:eastAsia="zh-CN"/>
                    </w:rPr>
                  </w:pPr>
                  <w:r>
                    <w:rPr>
                      <w:rFonts w:hint="eastAsia" w:ascii="宋体" w:hAnsi="宋体" w:eastAsia="宋体" w:cs="宋体"/>
                      <w:bCs/>
                      <w:caps w:val="0"/>
                      <w:color w:val="auto"/>
                      <w:spacing w:val="0"/>
                      <w:position w:val="0"/>
                      <w:sz w:val="21"/>
                      <w:szCs w:val="21"/>
                      <w:highlight w:val="none"/>
                      <w:lang w:val="en-US" w:eastAsia="zh-CN"/>
                    </w:rPr>
                    <w:t>－</w:t>
                  </w:r>
                </w:p>
              </w:tc>
              <w:tc>
                <w:tcPr>
                  <w:tcW w:w="67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无组织</w:t>
                  </w:r>
                </w:p>
              </w:tc>
              <w:tc>
                <w:tcPr>
                  <w:tcW w:w="8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color w:val="auto"/>
                      <w:sz w:val="21"/>
                      <w:szCs w:val="21"/>
                      <w:highlight w:val="none"/>
                      <w:lang w:val="en-US" w:eastAsia="zh-CN"/>
                    </w:rPr>
                  </w:pPr>
                  <w:r>
                    <w:rPr>
                      <w:rFonts w:hint="eastAsia" w:ascii="宋体" w:hAnsi="宋体" w:eastAsia="宋体" w:cs="宋体"/>
                      <w:bCs/>
                      <w:caps w:val="0"/>
                      <w:color w:val="auto"/>
                      <w:spacing w:val="0"/>
                      <w:position w:val="0"/>
                      <w:sz w:val="21"/>
                      <w:szCs w:val="21"/>
                      <w:highlight w:val="none"/>
                      <w:lang w:val="en-US" w:eastAsia="zh-CN"/>
                    </w:rPr>
                    <w:t>－</w:t>
                  </w:r>
                </w:p>
              </w:tc>
              <w:tc>
                <w:tcPr>
                  <w:tcW w:w="71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color w:val="auto"/>
                      <w:sz w:val="21"/>
                      <w:szCs w:val="21"/>
                      <w:highlight w:val="none"/>
                      <w:lang w:val="en-US" w:eastAsia="zh-CN"/>
                    </w:rPr>
                  </w:pPr>
                  <w:r>
                    <w:rPr>
                      <w:rFonts w:hint="eastAsia" w:ascii="宋体" w:hAnsi="宋体" w:eastAsia="宋体" w:cs="宋体"/>
                      <w:bCs/>
                      <w:caps w:val="0"/>
                      <w:color w:val="auto"/>
                      <w:spacing w:val="0"/>
                      <w:position w:val="0"/>
                      <w:sz w:val="21"/>
                      <w:szCs w:val="21"/>
                      <w:highlight w:val="none"/>
                      <w:lang w:val="en-US" w:eastAsia="zh-CN"/>
                    </w:rPr>
                    <w:t>－</w:t>
                  </w:r>
                </w:p>
              </w:tc>
              <w:tc>
                <w:tcPr>
                  <w:tcW w:w="220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车间内无组织排放</w:t>
                  </w:r>
                </w:p>
              </w:tc>
              <w:tc>
                <w:tcPr>
                  <w:tcW w:w="65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color w:val="auto"/>
                      <w:sz w:val="21"/>
                      <w:szCs w:val="21"/>
                      <w:highlight w:val="none"/>
                      <w:lang w:val="en-US" w:eastAsia="zh-CN"/>
                    </w:rPr>
                  </w:pPr>
                  <w:r>
                    <w:rPr>
                      <w:rFonts w:hint="eastAsia" w:ascii="宋体" w:hAnsi="宋体" w:eastAsia="宋体" w:cs="宋体"/>
                      <w:bCs/>
                      <w:caps w:val="0"/>
                      <w:color w:val="auto"/>
                      <w:spacing w:val="0"/>
                      <w:position w:val="0"/>
                      <w:sz w:val="21"/>
                      <w:szCs w:val="21"/>
                      <w:highlight w:val="none"/>
                      <w:lang w:val="en-US" w:eastAsia="zh-CN"/>
                    </w:rPr>
                    <w:t>－</w:t>
                  </w:r>
                </w:p>
              </w:tc>
              <w:tc>
                <w:tcPr>
                  <w:tcW w:w="78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color w:val="auto"/>
                      <w:sz w:val="21"/>
                      <w:szCs w:val="21"/>
                      <w:highlight w:val="none"/>
                      <w:lang w:val="en-US" w:eastAsia="zh-CN"/>
                    </w:rPr>
                  </w:pPr>
                  <w:r>
                    <w:rPr>
                      <w:rFonts w:hint="eastAsia" w:ascii="宋体" w:hAnsi="宋体" w:eastAsia="宋体" w:cs="宋体"/>
                      <w:bCs/>
                      <w:caps w:val="0"/>
                      <w:color w:val="auto"/>
                      <w:spacing w:val="0"/>
                      <w:position w:val="0"/>
                      <w:sz w:val="21"/>
                      <w:szCs w:val="21"/>
                      <w:highlight w:val="none"/>
                      <w:lang w:val="en-US" w:eastAsia="zh-CN"/>
                    </w:rPr>
                    <w:t>－</w:t>
                  </w:r>
                </w:p>
              </w:tc>
              <w:tc>
                <w:tcPr>
                  <w:tcW w:w="71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color w:val="auto"/>
                      <w:sz w:val="21"/>
                      <w:highlight w:val="none"/>
                      <w:lang w:val="en-US" w:eastAsia="zh-CN"/>
                    </w:rPr>
                  </w:pPr>
                  <w:r>
                    <w:rPr>
                      <w:rFonts w:hint="eastAsia" w:ascii="宋体" w:hAnsi="宋体" w:eastAsia="宋体" w:cs="宋体"/>
                      <w:bCs/>
                      <w:caps w:val="0"/>
                      <w:color w:val="auto"/>
                      <w:spacing w:val="0"/>
                      <w:position w:val="0"/>
                      <w:sz w:val="21"/>
                      <w:szCs w:val="21"/>
                      <w:highlight w:val="none"/>
                      <w:lang w:val="en-US" w:eastAsia="zh-CN"/>
                    </w:rPr>
                    <w:t>－</w:t>
                  </w:r>
                </w:p>
              </w:tc>
              <w:tc>
                <w:tcPr>
                  <w:tcW w:w="78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eastAsia="宋体"/>
                      <w:color w:val="auto"/>
                      <w:sz w:val="21"/>
                      <w:highlight w:val="none"/>
                      <w:lang w:val="en-US" w:eastAsia="zh-CN"/>
                    </w:rPr>
                  </w:pPr>
                  <w:r>
                    <w:rPr>
                      <w:rFonts w:hint="eastAsia"/>
                      <w:color w:val="auto"/>
                      <w:sz w:val="21"/>
                      <w:highlight w:val="none"/>
                      <w:lang w:val="en-US" w:eastAsia="zh-CN"/>
                    </w:rPr>
                    <w:t>0.0013</w:t>
                  </w:r>
                </w:p>
              </w:tc>
              <w:tc>
                <w:tcPr>
                  <w:tcW w:w="71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color w:val="auto"/>
                      <w:sz w:val="21"/>
                      <w:highlight w:val="none"/>
                      <w:lang w:val="en-US" w:eastAsia="zh-CN"/>
                    </w:rPr>
                  </w:pPr>
                  <w:r>
                    <w:rPr>
                      <w:rFonts w:hint="eastAsia" w:ascii="宋体" w:hAnsi="宋体" w:eastAsia="宋体" w:cs="宋体"/>
                      <w:bCs/>
                      <w:caps w:val="0"/>
                      <w:color w:val="auto"/>
                      <w:spacing w:val="0"/>
                      <w:position w:val="0"/>
                      <w:sz w:val="21"/>
                      <w:szCs w:val="21"/>
                      <w:highlight w:val="none"/>
                      <w:lang w:val="en-US" w:eastAsia="zh-CN"/>
                    </w:rPr>
                    <w:t>－</w:t>
                  </w:r>
                </w:p>
              </w:tc>
              <w:tc>
                <w:tcPr>
                  <w:tcW w:w="79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eastAsia="宋体"/>
                      <w:color w:val="auto"/>
                      <w:sz w:val="21"/>
                      <w:highlight w:val="none"/>
                      <w:lang w:val="en-US" w:eastAsia="zh-CN"/>
                    </w:rPr>
                  </w:pPr>
                  <w:r>
                    <w:rPr>
                      <w:rFonts w:hint="eastAsia"/>
                      <w:color w:val="auto"/>
                      <w:sz w:val="21"/>
                      <w:highlight w:val="none"/>
                      <w:lang w:val="en-US" w:eastAsia="zh-CN"/>
                    </w:rPr>
                    <w:t>0.0008</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43" w:hRule="atLeast"/>
                <w:jc w:val="center"/>
              </w:trPr>
              <w:tc>
                <w:tcPr>
                  <w:tcW w:w="979"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PVC膜封边过程</w:t>
                  </w:r>
                </w:p>
              </w:tc>
              <w:tc>
                <w:tcPr>
                  <w:tcW w:w="82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非甲烷总烃</w:t>
                  </w:r>
                </w:p>
              </w:tc>
              <w:tc>
                <w:tcPr>
                  <w:tcW w:w="82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产污系数法</w:t>
                  </w:r>
                </w:p>
              </w:tc>
              <w:tc>
                <w:tcPr>
                  <w:tcW w:w="738" w:type="dxa"/>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olor w:val="auto"/>
                      <w:sz w:val="21"/>
                      <w:highlight w:val="none"/>
                      <w:lang w:val="en-US" w:eastAsia="zh-CN"/>
                    </w:rPr>
                  </w:pPr>
                  <w:r>
                    <w:rPr>
                      <w:rFonts w:hint="eastAsia"/>
                      <w:color w:val="auto"/>
                      <w:sz w:val="21"/>
                      <w:highlight w:val="none"/>
                      <w:lang w:val="en-US" w:eastAsia="zh-CN"/>
                    </w:rPr>
                    <w:t>0.003</w:t>
                  </w:r>
                </w:p>
              </w:tc>
              <w:tc>
                <w:tcPr>
                  <w:tcW w:w="73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eastAsia" w:ascii="宋体" w:hAnsi="宋体" w:eastAsia="宋体" w:cs="宋体"/>
                      <w:bCs/>
                      <w:caps w:val="0"/>
                      <w:color w:val="auto"/>
                      <w:spacing w:val="0"/>
                      <w:position w:val="0"/>
                      <w:sz w:val="21"/>
                      <w:szCs w:val="21"/>
                      <w:highlight w:val="none"/>
                      <w:lang w:val="en-US" w:eastAsia="zh-CN"/>
                    </w:rPr>
                  </w:pPr>
                  <w:r>
                    <w:rPr>
                      <w:rFonts w:hint="eastAsia" w:ascii="宋体" w:hAnsi="宋体" w:eastAsia="宋体" w:cs="宋体"/>
                      <w:bCs/>
                      <w:caps w:val="0"/>
                      <w:color w:val="auto"/>
                      <w:spacing w:val="0"/>
                      <w:position w:val="0"/>
                      <w:sz w:val="21"/>
                      <w:szCs w:val="21"/>
                      <w:highlight w:val="none"/>
                      <w:lang w:val="en-US" w:eastAsia="zh-CN"/>
                    </w:rPr>
                    <w:t>－</w:t>
                  </w:r>
                </w:p>
              </w:tc>
              <w:tc>
                <w:tcPr>
                  <w:tcW w:w="67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无组织</w:t>
                  </w:r>
                </w:p>
              </w:tc>
              <w:tc>
                <w:tcPr>
                  <w:tcW w:w="8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eastAsia" w:ascii="宋体" w:hAnsi="宋体" w:eastAsia="宋体" w:cs="宋体"/>
                      <w:bCs/>
                      <w:caps w:val="0"/>
                      <w:color w:val="auto"/>
                      <w:spacing w:val="0"/>
                      <w:position w:val="0"/>
                      <w:sz w:val="21"/>
                      <w:szCs w:val="21"/>
                      <w:highlight w:val="none"/>
                      <w:lang w:val="en-US" w:eastAsia="zh-CN"/>
                    </w:rPr>
                  </w:pPr>
                  <w:r>
                    <w:rPr>
                      <w:rFonts w:hint="eastAsia" w:ascii="宋体" w:hAnsi="宋体" w:eastAsia="宋体" w:cs="宋体"/>
                      <w:bCs/>
                      <w:caps w:val="0"/>
                      <w:color w:val="auto"/>
                      <w:spacing w:val="0"/>
                      <w:position w:val="0"/>
                      <w:sz w:val="21"/>
                      <w:szCs w:val="21"/>
                      <w:highlight w:val="none"/>
                      <w:lang w:val="en-US" w:eastAsia="zh-CN"/>
                    </w:rPr>
                    <w:t>－</w:t>
                  </w:r>
                </w:p>
              </w:tc>
              <w:tc>
                <w:tcPr>
                  <w:tcW w:w="71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eastAsia" w:ascii="宋体" w:hAnsi="宋体" w:eastAsia="宋体" w:cs="宋体"/>
                      <w:bCs/>
                      <w:caps w:val="0"/>
                      <w:color w:val="auto"/>
                      <w:spacing w:val="0"/>
                      <w:position w:val="0"/>
                      <w:sz w:val="21"/>
                      <w:szCs w:val="21"/>
                      <w:highlight w:val="none"/>
                      <w:lang w:val="en-US" w:eastAsia="zh-CN"/>
                    </w:rPr>
                  </w:pPr>
                  <w:r>
                    <w:rPr>
                      <w:rFonts w:hint="eastAsia" w:ascii="宋体" w:hAnsi="宋体" w:eastAsia="宋体" w:cs="宋体"/>
                      <w:bCs/>
                      <w:caps w:val="0"/>
                      <w:color w:val="auto"/>
                      <w:spacing w:val="0"/>
                      <w:position w:val="0"/>
                      <w:sz w:val="21"/>
                      <w:szCs w:val="21"/>
                      <w:highlight w:val="none"/>
                      <w:lang w:val="en-US" w:eastAsia="zh-CN"/>
                    </w:rPr>
                    <w:t>－</w:t>
                  </w:r>
                </w:p>
              </w:tc>
              <w:tc>
                <w:tcPr>
                  <w:tcW w:w="220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车间内无组织排放</w:t>
                  </w:r>
                </w:p>
              </w:tc>
              <w:tc>
                <w:tcPr>
                  <w:tcW w:w="65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eastAsia" w:ascii="宋体" w:hAnsi="宋体" w:eastAsia="宋体" w:cs="宋体"/>
                      <w:bCs/>
                      <w:caps w:val="0"/>
                      <w:color w:val="auto"/>
                      <w:spacing w:val="0"/>
                      <w:position w:val="0"/>
                      <w:sz w:val="21"/>
                      <w:szCs w:val="21"/>
                      <w:highlight w:val="none"/>
                      <w:lang w:val="en-US" w:eastAsia="zh-CN"/>
                    </w:rPr>
                  </w:pPr>
                  <w:r>
                    <w:rPr>
                      <w:rFonts w:hint="eastAsia" w:ascii="宋体" w:hAnsi="宋体" w:eastAsia="宋体" w:cs="宋体"/>
                      <w:bCs/>
                      <w:caps w:val="0"/>
                      <w:color w:val="auto"/>
                      <w:spacing w:val="0"/>
                      <w:position w:val="0"/>
                      <w:sz w:val="21"/>
                      <w:szCs w:val="21"/>
                      <w:highlight w:val="none"/>
                      <w:lang w:val="en-US" w:eastAsia="zh-CN"/>
                    </w:rPr>
                    <w:t>－</w:t>
                  </w:r>
                </w:p>
              </w:tc>
              <w:tc>
                <w:tcPr>
                  <w:tcW w:w="78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eastAsia" w:ascii="宋体" w:hAnsi="宋体" w:eastAsia="宋体" w:cs="宋体"/>
                      <w:bCs/>
                      <w:caps w:val="0"/>
                      <w:color w:val="auto"/>
                      <w:spacing w:val="0"/>
                      <w:position w:val="0"/>
                      <w:sz w:val="21"/>
                      <w:szCs w:val="21"/>
                      <w:highlight w:val="none"/>
                      <w:lang w:val="en-US" w:eastAsia="zh-CN"/>
                    </w:rPr>
                  </w:pPr>
                  <w:r>
                    <w:rPr>
                      <w:rFonts w:hint="eastAsia" w:ascii="宋体" w:hAnsi="宋体" w:eastAsia="宋体" w:cs="宋体"/>
                      <w:bCs/>
                      <w:caps w:val="0"/>
                      <w:color w:val="auto"/>
                      <w:spacing w:val="0"/>
                      <w:position w:val="0"/>
                      <w:sz w:val="21"/>
                      <w:szCs w:val="21"/>
                      <w:highlight w:val="none"/>
                      <w:lang w:val="en-US" w:eastAsia="zh-CN"/>
                    </w:rPr>
                    <w:t>－</w:t>
                  </w:r>
                </w:p>
              </w:tc>
              <w:tc>
                <w:tcPr>
                  <w:tcW w:w="71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eastAsia" w:ascii="宋体" w:hAnsi="宋体" w:eastAsia="宋体" w:cs="宋体"/>
                      <w:bCs/>
                      <w:caps w:val="0"/>
                      <w:color w:val="auto"/>
                      <w:spacing w:val="0"/>
                      <w:position w:val="0"/>
                      <w:sz w:val="21"/>
                      <w:szCs w:val="21"/>
                      <w:highlight w:val="none"/>
                      <w:lang w:val="en-US" w:eastAsia="zh-CN"/>
                    </w:rPr>
                  </w:pPr>
                  <w:r>
                    <w:rPr>
                      <w:rFonts w:hint="eastAsia" w:ascii="宋体" w:hAnsi="宋体" w:eastAsia="宋体" w:cs="宋体"/>
                      <w:bCs/>
                      <w:caps w:val="0"/>
                      <w:color w:val="auto"/>
                      <w:spacing w:val="0"/>
                      <w:position w:val="0"/>
                      <w:sz w:val="21"/>
                      <w:szCs w:val="21"/>
                      <w:highlight w:val="none"/>
                      <w:lang w:val="en-US" w:eastAsia="zh-CN"/>
                    </w:rPr>
                    <w:t>－</w:t>
                  </w:r>
                </w:p>
              </w:tc>
              <w:tc>
                <w:tcPr>
                  <w:tcW w:w="78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color w:val="auto"/>
                      <w:sz w:val="21"/>
                      <w:highlight w:val="none"/>
                      <w:lang w:val="en-US" w:eastAsia="zh-CN"/>
                    </w:rPr>
                  </w:pPr>
                  <w:r>
                    <w:rPr>
                      <w:rFonts w:hint="eastAsia"/>
                      <w:color w:val="auto"/>
                      <w:sz w:val="21"/>
                      <w:highlight w:val="none"/>
                      <w:lang w:val="en-US" w:eastAsia="zh-CN"/>
                    </w:rPr>
                    <w:t>0.0006</w:t>
                  </w:r>
                </w:p>
              </w:tc>
              <w:tc>
                <w:tcPr>
                  <w:tcW w:w="71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color w:val="auto"/>
                      <w:sz w:val="21"/>
                      <w:highlight w:val="none"/>
                      <w:lang w:val="en-US" w:eastAsia="zh-CN"/>
                    </w:rPr>
                  </w:pPr>
                  <w:r>
                    <w:rPr>
                      <w:rFonts w:hint="eastAsia" w:ascii="宋体" w:hAnsi="宋体" w:eastAsia="宋体" w:cs="宋体"/>
                      <w:bCs/>
                      <w:caps w:val="0"/>
                      <w:color w:val="auto"/>
                      <w:spacing w:val="0"/>
                      <w:position w:val="0"/>
                      <w:sz w:val="21"/>
                      <w:szCs w:val="21"/>
                      <w:highlight w:val="none"/>
                      <w:lang w:val="en-US" w:eastAsia="zh-CN"/>
                    </w:rPr>
                    <w:t>－</w:t>
                  </w:r>
                </w:p>
              </w:tc>
              <w:tc>
                <w:tcPr>
                  <w:tcW w:w="798" w:type="dxa"/>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color w:val="auto"/>
                      <w:sz w:val="21"/>
                      <w:highlight w:val="none"/>
                      <w:lang w:val="en-US" w:eastAsia="zh-CN"/>
                    </w:rPr>
                  </w:pPr>
                  <w:r>
                    <w:rPr>
                      <w:rFonts w:hint="eastAsia"/>
                      <w:color w:val="auto"/>
                      <w:sz w:val="21"/>
                      <w:highlight w:val="none"/>
                      <w:lang w:val="en-US" w:eastAsia="zh-CN"/>
                    </w:rPr>
                    <w:t>0.003</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43" w:hRule="atLeast"/>
                <w:jc w:val="center"/>
              </w:trPr>
              <w:tc>
                <w:tcPr>
                  <w:tcW w:w="979"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eastAsia"/>
                      <w:color w:val="auto"/>
                      <w:sz w:val="21"/>
                      <w:szCs w:val="21"/>
                      <w:highlight w:val="none"/>
                      <w:lang w:val="en-US" w:eastAsia="zh-CN"/>
                    </w:rPr>
                  </w:pPr>
                </w:p>
              </w:tc>
              <w:tc>
                <w:tcPr>
                  <w:tcW w:w="82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氯化氢</w:t>
                  </w:r>
                </w:p>
              </w:tc>
              <w:tc>
                <w:tcPr>
                  <w:tcW w:w="82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产污系数法</w:t>
                  </w:r>
                </w:p>
              </w:tc>
              <w:tc>
                <w:tcPr>
                  <w:tcW w:w="738" w:type="dxa"/>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olor w:val="auto"/>
                      <w:sz w:val="21"/>
                      <w:highlight w:val="none"/>
                      <w:lang w:val="en-US" w:eastAsia="zh-CN"/>
                    </w:rPr>
                  </w:pPr>
                  <w:r>
                    <w:rPr>
                      <w:rFonts w:hint="eastAsia"/>
                      <w:color w:val="auto"/>
                      <w:sz w:val="21"/>
                      <w:highlight w:val="none"/>
                      <w:lang w:val="en-US" w:eastAsia="zh-CN"/>
                    </w:rPr>
                    <w:t>0.000023</w:t>
                  </w:r>
                </w:p>
              </w:tc>
              <w:tc>
                <w:tcPr>
                  <w:tcW w:w="73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eastAsia" w:ascii="宋体" w:hAnsi="宋体" w:eastAsia="宋体" w:cs="宋体"/>
                      <w:bCs/>
                      <w:caps w:val="0"/>
                      <w:color w:val="auto"/>
                      <w:spacing w:val="0"/>
                      <w:position w:val="0"/>
                      <w:sz w:val="21"/>
                      <w:szCs w:val="21"/>
                      <w:highlight w:val="none"/>
                      <w:lang w:val="en-US" w:eastAsia="zh-CN"/>
                    </w:rPr>
                  </w:pPr>
                  <w:r>
                    <w:rPr>
                      <w:rFonts w:hint="eastAsia" w:ascii="宋体" w:hAnsi="宋体" w:eastAsia="宋体" w:cs="宋体"/>
                      <w:bCs/>
                      <w:caps w:val="0"/>
                      <w:color w:val="auto"/>
                      <w:spacing w:val="0"/>
                      <w:position w:val="0"/>
                      <w:sz w:val="21"/>
                      <w:szCs w:val="21"/>
                      <w:highlight w:val="none"/>
                      <w:lang w:val="en-US" w:eastAsia="zh-CN"/>
                    </w:rPr>
                    <w:t>－</w:t>
                  </w:r>
                </w:p>
              </w:tc>
              <w:tc>
                <w:tcPr>
                  <w:tcW w:w="67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无组织</w:t>
                  </w:r>
                </w:p>
              </w:tc>
              <w:tc>
                <w:tcPr>
                  <w:tcW w:w="8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eastAsia" w:ascii="宋体" w:hAnsi="宋体" w:eastAsia="宋体" w:cs="宋体"/>
                      <w:bCs/>
                      <w:caps w:val="0"/>
                      <w:color w:val="auto"/>
                      <w:spacing w:val="0"/>
                      <w:position w:val="0"/>
                      <w:sz w:val="21"/>
                      <w:szCs w:val="21"/>
                      <w:highlight w:val="none"/>
                      <w:lang w:val="en-US" w:eastAsia="zh-CN"/>
                    </w:rPr>
                  </w:pPr>
                  <w:r>
                    <w:rPr>
                      <w:rFonts w:hint="eastAsia" w:ascii="宋体" w:hAnsi="宋体" w:eastAsia="宋体" w:cs="宋体"/>
                      <w:bCs/>
                      <w:caps w:val="0"/>
                      <w:color w:val="auto"/>
                      <w:spacing w:val="0"/>
                      <w:position w:val="0"/>
                      <w:sz w:val="21"/>
                      <w:szCs w:val="21"/>
                      <w:highlight w:val="none"/>
                      <w:lang w:val="en-US" w:eastAsia="zh-CN"/>
                    </w:rPr>
                    <w:t>－</w:t>
                  </w:r>
                </w:p>
              </w:tc>
              <w:tc>
                <w:tcPr>
                  <w:tcW w:w="71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eastAsia" w:ascii="宋体" w:hAnsi="宋体" w:eastAsia="宋体" w:cs="宋体"/>
                      <w:bCs/>
                      <w:caps w:val="0"/>
                      <w:color w:val="auto"/>
                      <w:spacing w:val="0"/>
                      <w:position w:val="0"/>
                      <w:sz w:val="21"/>
                      <w:szCs w:val="21"/>
                      <w:highlight w:val="none"/>
                      <w:lang w:val="en-US" w:eastAsia="zh-CN"/>
                    </w:rPr>
                  </w:pPr>
                  <w:r>
                    <w:rPr>
                      <w:rFonts w:hint="eastAsia" w:ascii="宋体" w:hAnsi="宋体" w:eastAsia="宋体" w:cs="宋体"/>
                      <w:bCs/>
                      <w:caps w:val="0"/>
                      <w:color w:val="auto"/>
                      <w:spacing w:val="0"/>
                      <w:position w:val="0"/>
                      <w:sz w:val="21"/>
                      <w:szCs w:val="21"/>
                      <w:highlight w:val="none"/>
                      <w:lang w:val="en-US" w:eastAsia="zh-CN"/>
                    </w:rPr>
                    <w:t>－</w:t>
                  </w:r>
                </w:p>
              </w:tc>
              <w:tc>
                <w:tcPr>
                  <w:tcW w:w="220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车间内无组织排放</w:t>
                  </w:r>
                </w:p>
              </w:tc>
              <w:tc>
                <w:tcPr>
                  <w:tcW w:w="65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eastAsia" w:ascii="宋体" w:hAnsi="宋体" w:eastAsia="宋体" w:cs="宋体"/>
                      <w:bCs/>
                      <w:caps w:val="0"/>
                      <w:color w:val="auto"/>
                      <w:spacing w:val="0"/>
                      <w:position w:val="0"/>
                      <w:sz w:val="21"/>
                      <w:szCs w:val="21"/>
                      <w:highlight w:val="none"/>
                      <w:lang w:val="en-US" w:eastAsia="zh-CN"/>
                    </w:rPr>
                  </w:pPr>
                  <w:r>
                    <w:rPr>
                      <w:rFonts w:hint="eastAsia" w:ascii="宋体" w:hAnsi="宋体" w:eastAsia="宋体" w:cs="宋体"/>
                      <w:bCs/>
                      <w:caps w:val="0"/>
                      <w:color w:val="auto"/>
                      <w:spacing w:val="0"/>
                      <w:position w:val="0"/>
                      <w:sz w:val="21"/>
                      <w:szCs w:val="21"/>
                      <w:highlight w:val="none"/>
                      <w:lang w:val="en-US" w:eastAsia="zh-CN"/>
                    </w:rPr>
                    <w:t>－</w:t>
                  </w:r>
                </w:p>
              </w:tc>
              <w:tc>
                <w:tcPr>
                  <w:tcW w:w="78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eastAsia" w:ascii="宋体" w:hAnsi="宋体" w:eastAsia="宋体" w:cs="宋体"/>
                      <w:bCs/>
                      <w:caps w:val="0"/>
                      <w:color w:val="auto"/>
                      <w:spacing w:val="0"/>
                      <w:position w:val="0"/>
                      <w:sz w:val="21"/>
                      <w:szCs w:val="21"/>
                      <w:highlight w:val="none"/>
                      <w:lang w:val="en-US" w:eastAsia="zh-CN"/>
                    </w:rPr>
                  </w:pPr>
                  <w:r>
                    <w:rPr>
                      <w:rFonts w:hint="eastAsia" w:ascii="宋体" w:hAnsi="宋体" w:eastAsia="宋体" w:cs="宋体"/>
                      <w:bCs/>
                      <w:caps w:val="0"/>
                      <w:color w:val="auto"/>
                      <w:spacing w:val="0"/>
                      <w:position w:val="0"/>
                      <w:sz w:val="21"/>
                      <w:szCs w:val="21"/>
                      <w:highlight w:val="none"/>
                      <w:lang w:val="en-US" w:eastAsia="zh-CN"/>
                    </w:rPr>
                    <w:t>－</w:t>
                  </w:r>
                </w:p>
              </w:tc>
              <w:tc>
                <w:tcPr>
                  <w:tcW w:w="71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eastAsia" w:ascii="宋体" w:hAnsi="宋体" w:eastAsia="宋体" w:cs="宋体"/>
                      <w:bCs/>
                      <w:caps w:val="0"/>
                      <w:color w:val="auto"/>
                      <w:spacing w:val="0"/>
                      <w:position w:val="0"/>
                      <w:sz w:val="21"/>
                      <w:szCs w:val="21"/>
                      <w:highlight w:val="none"/>
                      <w:lang w:val="en-US" w:eastAsia="zh-CN"/>
                    </w:rPr>
                  </w:pPr>
                  <w:r>
                    <w:rPr>
                      <w:rFonts w:hint="eastAsia" w:ascii="宋体" w:hAnsi="宋体" w:eastAsia="宋体" w:cs="宋体"/>
                      <w:bCs/>
                      <w:caps w:val="0"/>
                      <w:color w:val="auto"/>
                      <w:spacing w:val="0"/>
                      <w:position w:val="0"/>
                      <w:sz w:val="21"/>
                      <w:szCs w:val="21"/>
                      <w:highlight w:val="none"/>
                      <w:lang w:val="en-US" w:eastAsia="zh-CN"/>
                    </w:rPr>
                    <w:t>－</w:t>
                  </w:r>
                </w:p>
              </w:tc>
              <w:tc>
                <w:tcPr>
                  <w:tcW w:w="78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color w:val="auto"/>
                      <w:sz w:val="21"/>
                      <w:highlight w:val="none"/>
                      <w:lang w:val="en-US" w:eastAsia="zh-CN"/>
                    </w:rPr>
                  </w:pPr>
                  <w:r>
                    <w:rPr>
                      <w:rFonts w:hint="eastAsia"/>
                      <w:color w:val="auto"/>
                      <w:sz w:val="21"/>
                      <w:highlight w:val="none"/>
                      <w:lang w:val="en-US" w:eastAsia="zh-CN"/>
                    </w:rPr>
                    <w:t>0.000005</w:t>
                  </w:r>
                </w:p>
              </w:tc>
              <w:tc>
                <w:tcPr>
                  <w:tcW w:w="71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color w:val="auto"/>
                      <w:sz w:val="21"/>
                      <w:highlight w:val="none"/>
                      <w:lang w:val="en-US" w:eastAsia="zh-CN"/>
                    </w:rPr>
                  </w:pPr>
                  <w:r>
                    <w:rPr>
                      <w:rFonts w:hint="eastAsia" w:ascii="宋体" w:hAnsi="宋体" w:eastAsia="宋体" w:cs="宋体"/>
                      <w:bCs/>
                      <w:caps w:val="0"/>
                      <w:color w:val="auto"/>
                      <w:spacing w:val="0"/>
                      <w:position w:val="0"/>
                      <w:sz w:val="21"/>
                      <w:szCs w:val="21"/>
                      <w:highlight w:val="none"/>
                      <w:lang w:val="en-US" w:eastAsia="zh-CN"/>
                    </w:rPr>
                    <w:t>－</w:t>
                  </w:r>
                </w:p>
              </w:tc>
              <w:tc>
                <w:tcPr>
                  <w:tcW w:w="798" w:type="dxa"/>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color w:val="auto"/>
                      <w:sz w:val="21"/>
                      <w:highlight w:val="none"/>
                      <w:lang w:val="en-US" w:eastAsia="zh-CN"/>
                    </w:rPr>
                  </w:pPr>
                  <w:r>
                    <w:rPr>
                      <w:rFonts w:hint="eastAsia"/>
                      <w:color w:val="auto"/>
                      <w:sz w:val="21"/>
                      <w:highlight w:val="none"/>
                      <w:lang w:val="en-US" w:eastAsia="zh-CN"/>
                    </w:rPr>
                    <w:t>0.000023</w:t>
                  </w:r>
                </w:p>
              </w:tc>
            </w:tr>
          </w:tbl>
          <w:p>
            <w:pPr>
              <w:bidi w:val="0"/>
              <w:rPr>
                <w:rFonts w:hint="eastAsia"/>
                <w:color w:val="auto"/>
                <w:highlight w:val="none"/>
              </w:rPr>
            </w:pPr>
          </w:p>
          <w:p>
            <w:pPr>
              <w:bidi w:val="0"/>
              <w:rPr>
                <w:rFonts w:hint="eastAsia"/>
                <w:color w:val="auto"/>
                <w:highlight w:val="none"/>
              </w:rPr>
            </w:pPr>
          </w:p>
          <w:p>
            <w:pPr>
              <w:bidi w:val="0"/>
              <w:rPr>
                <w:rFonts w:hint="eastAsia"/>
                <w:color w:val="auto"/>
                <w:highlight w:val="none"/>
              </w:rPr>
            </w:pPr>
          </w:p>
          <w:p>
            <w:pPr>
              <w:bidi w:val="0"/>
              <w:rPr>
                <w:rFonts w:hint="eastAsia"/>
                <w:color w:val="auto"/>
                <w:highlight w:val="none"/>
              </w:rPr>
            </w:pPr>
          </w:p>
          <w:p>
            <w:pPr>
              <w:bidi w:val="0"/>
              <w:rPr>
                <w:rFonts w:hint="eastAsia"/>
                <w:color w:val="auto"/>
                <w:highlight w:val="none"/>
              </w:rPr>
            </w:pPr>
          </w:p>
          <w:p>
            <w:pPr>
              <w:bidi w:val="0"/>
              <w:rPr>
                <w:rFonts w:hint="eastAsia"/>
                <w:color w:val="auto"/>
                <w:highlight w:val="none"/>
              </w:rPr>
            </w:pPr>
          </w:p>
          <w:p>
            <w:pPr>
              <w:bidi w:val="0"/>
              <w:rPr>
                <w:rFonts w:hint="eastAsia"/>
                <w:color w:val="auto"/>
                <w:highlight w:val="none"/>
              </w:rPr>
            </w:pPr>
          </w:p>
          <w:p>
            <w:pPr>
              <w:bidi w:val="0"/>
              <w:rPr>
                <w:rFonts w:hint="eastAsia"/>
                <w:color w:val="auto"/>
                <w:highlight w:val="none"/>
              </w:rPr>
            </w:pPr>
          </w:p>
          <w:p>
            <w:pPr>
              <w:bidi w:val="0"/>
              <w:rPr>
                <w:rFonts w:hint="eastAsia"/>
                <w:color w:val="auto"/>
                <w:highlight w:val="none"/>
              </w:rPr>
            </w:pPr>
          </w:p>
          <w:p>
            <w:pPr>
              <w:bidi w:val="0"/>
              <w:rPr>
                <w:rFonts w:hint="eastAsia"/>
                <w:color w:val="auto"/>
                <w:highlight w:val="none"/>
              </w:rPr>
            </w:pPr>
          </w:p>
          <w:p>
            <w:pPr>
              <w:bidi w:val="0"/>
              <w:rPr>
                <w:rFonts w:hint="eastAsia"/>
                <w:color w:val="auto"/>
                <w:highlight w:val="none"/>
              </w:rPr>
            </w:pPr>
          </w:p>
          <w:p>
            <w:pPr>
              <w:bidi w:val="0"/>
              <w:rPr>
                <w:rFonts w:hint="eastAsia"/>
                <w:color w:val="auto"/>
                <w:highlight w:val="none"/>
              </w:rPr>
            </w:pPr>
          </w:p>
          <w:p>
            <w:pPr>
              <w:bidi w:val="0"/>
              <w:rPr>
                <w:rFonts w:hint="eastAsia"/>
                <w:color w:val="auto"/>
                <w:highlight w:val="none"/>
              </w:rPr>
            </w:pPr>
          </w:p>
          <w:p>
            <w:pPr>
              <w:bidi w:val="0"/>
              <w:rPr>
                <w:rFonts w:hint="eastAsia"/>
                <w:color w:val="auto"/>
                <w:highlight w:val="none"/>
              </w:rPr>
            </w:pPr>
          </w:p>
          <w:p>
            <w:pPr>
              <w:bidi w:val="0"/>
              <w:ind w:left="0" w:leftChars="0" w:firstLine="0" w:firstLineChars="0"/>
              <w:rPr>
                <w:rFonts w:hint="eastAsia"/>
                <w:color w:val="auto"/>
                <w:highlight w:val="none"/>
              </w:rPr>
            </w:pPr>
          </w:p>
        </w:tc>
      </w:tr>
    </w:tbl>
    <w:p>
      <w:pPr>
        <w:rPr>
          <w:color w:val="auto"/>
          <w:highlight w:val="none"/>
        </w:rPr>
        <w:sectPr>
          <w:pgSz w:w="16838" w:h="11906" w:orient="landscape"/>
          <w:pgMar w:top="1417" w:right="1440" w:bottom="1247" w:left="144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24"/>
        <w:tblW w:w="9347"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
      <w:tblGrid>
        <w:gridCol w:w="831"/>
        <w:gridCol w:w="8516"/>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2398" w:hRule="atLeast"/>
          <w:jc w:val="center"/>
        </w:trPr>
        <w:tc>
          <w:tcPr>
            <w:tcW w:w="831" w:type="dxa"/>
            <w:tcBorders>
              <w:tl2br w:val="nil"/>
              <w:tr2bl w:val="nil"/>
            </w:tcBorders>
            <w:shd w:val="clear" w:color="auto" w:fill="FFFFFF"/>
            <w:noWrap w:val="0"/>
            <w:tcMar>
              <w:left w:w="28" w:type="dxa"/>
              <w:right w:w="28" w:type="dxa"/>
            </w:tcMar>
            <w:vAlign w:val="center"/>
          </w:tcPr>
          <w:p>
            <w:pPr>
              <w:pStyle w:val="32"/>
              <w:bidi w:val="0"/>
              <w:ind w:firstLine="0" w:firstLineChars="0"/>
              <w:rPr>
                <w:rFonts w:hint="eastAsia"/>
                <w:color w:val="auto"/>
                <w:highlight w:val="none"/>
              </w:rPr>
            </w:pPr>
          </w:p>
        </w:tc>
        <w:tc>
          <w:tcPr>
            <w:tcW w:w="8516" w:type="dxa"/>
            <w:tcBorders>
              <w:tl2br w:val="nil"/>
              <w:tr2bl w:val="nil"/>
            </w:tcBorders>
            <w:shd w:val="clear" w:color="auto" w:fill="FFFFFF"/>
            <w:noWrap w:val="0"/>
            <w:vAlign w:val="top"/>
          </w:tcPr>
          <w:p>
            <w:pPr>
              <w:bidi w:val="0"/>
              <w:rPr>
                <w:rFonts w:hint="default" w:eastAsia="宋体"/>
                <w:color w:val="auto"/>
                <w:highlight w:val="none"/>
                <w:lang w:val="en-US" w:eastAsia="zh-CN"/>
              </w:rPr>
            </w:pPr>
            <w:r>
              <w:rPr>
                <w:rFonts w:hint="eastAsia"/>
                <w:color w:val="auto"/>
                <w:highlight w:val="none"/>
                <w:lang w:val="en-US" w:eastAsia="zh-CN"/>
              </w:rPr>
              <w:t>项目排放口基本情况见下表。</w:t>
            </w:r>
          </w:p>
          <w:p>
            <w:pPr>
              <w:pStyle w:val="31"/>
              <w:bidi w:val="0"/>
              <w:rPr>
                <w:rFonts w:hint="default"/>
                <w:color w:val="auto"/>
                <w:sz w:val="21"/>
                <w:szCs w:val="21"/>
                <w:highlight w:val="none"/>
              </w:rPr>
            </w:pPr>
            <w:r>
              <w:rPr>
                <w:rFonts w:hint="default"/>
                <w:color w:val="auto"/>
                <w:sz w:val="21"/>
                <w:szCs w:val="21"/>
                <w:highlight w:val="none"/>
              </w:rPr>
              <w:t>表</w:t>
            </w:r>
            <w:r>
              <w:rPr>
                <w:rFonts w:hint="eastAsia"/>
                <w:color w:val="auto"/>
                <w:sz w:val="21"/>
                <w:szCs w:val="21"/>
                <w:highlight w:val="none"/>
                <w:lang w:val="en-US" w:eastAsia="zh-CN"/>
              </w:rPr>
              <w:t>28  项目</w:t>
            </w:r>
            <w:r>
              <w:rPr>
                <w:rFonts w:hint="default"/>
                <w:color w:val="auto"/>
                <w:sz w:val="21"/>
                <w:szCs w:val="21"/>
                <w:highlight w:val="none"/>
                <w:lang w:eastAsia="zh-CN"/>
              </w:rPr>
              <w:t>排放口基本情况一</w:t>
            </w:r>
            <w:r>
              <w:rPr>
                <w:rFonts w:hint="default"/>
                <w:color w:val="auto"/>
                <w:sz w:val="21"/>
                <w:szCs w:val="21"/>
                <w:highlight w:val="none"/>
              </w:rPr>
              <w:t>览表</w:t>
            </w:r>
          </w:p>
          <w:tbl>
            <w:tblPr>
              <w:tblStyle w:val="24"/>
              <w:tblW w:w="8277"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1982"/>
              <w:gridCol w:w="647"/>
              <w:gridCol w:w="706"/>
              <w:gridCol w:w="706"/>
              <w:gridCol w:w="815"/>
              <w:gridCol w:w="1178"/>
              <w:gridCol w:w="1118"/>
              <w:gridCol w:w="1125"/>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446" w:hRule="atLeast"/>
                <w:jc w:val="center"/>
              </w:trPr>
              <w:tc>
                <w:tcPr>
                  <w:tcW w:w="1197"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default" w:ascii="Times New Roman" w:hAnsi="Times New Roman" w:eastAsia="宋体" w:cs="Times New Roman"/>
                      <w:bCs/>
                      <w:caps w:val="0"/>
                      <w:color w:val="auto"/>
                      <w:spacing w:val="0"/>
                      <w:position w:val="0"/>
                      <w:sz w:val="21"/>
                      <w:szCs w:val="21"/>
                      <w:highlight w:val="none"/>
                      <w:lang w:eastAsia="zh-CN"/>
                    </w:rPr>
                    <w:t>排</w:t>
                  </w:r>
                  <w:r>
                    <w:rPr>
                      <w:rFonts w:hint="eastAsia" w:ascii="Times New Roman" w:hAnsi="Times New Roman" w:eastAsia="宋体" w:cs="Times New Roman"/>
                      <w:bCs/>
                      <w:caps w:val="0"/>
                      <w:color w:val="auto"/>
                      <w:spacing w:val="0"/>
                      <w:position w:val="0"/>
                      <w:sz w:val="21"/>
                      <w:szCs w:val="21"/>
                      <w:highlight w:val="none"/>
                      <w:lang w:val="en-US" w:eastAsia="zh-CN"/>
                    </w:rPr>
                    <w:t>放口名称</w:t>
                  </w:r>
                </w:p>
              </w:tc>
              <w:tc>
                <w:tcPr>
                  <w:tcW w:w="391"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eastAsia="zh-CN"/>
                    </w:rPr>
                  </w:pPr>
                  <w:r>
                    <w:rPr>
                      <w:rFonts w:hint="default" w:ascii="Times New Roman" w:hAnsi="Times New Roman" w:eastAsia="宋体" w:cs="Times New Roman"/>
                      <w:bCs/>
                      <w:caps w:val="0"/>
                      <w:color w:val="auto"/>
                      <w:spacing w:val="0"/>
                      <w:position w:val="0"/>
                      <w:sz w:val="21"/>
                      <w:szCs w:val="21"/>
                      <w:highlight w:val="none"/>
                      <w:lang w:eastAsia="zh-CN"/>
                    </w:rPr>
                    <w:t>高度</w:t>
                  </w:r>
                </w:p>
              </w:tc>
              <w:tc>
                <w:tcPr>
                  <w:tcW w:w="426"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eastAsia="zh-CN"/>
                    </w:rPr>
                  </w:pPr>
                  <w:r>
                    <w:rPr>
                      <w:rFonts w:hint="default" w:ascii="Times New Roman" w:hAnsi="Times New Roman" w:eastAsia="宋体" w:cs="Times New Roman"/>
                      <w:bCs/>
                      <w:caps w:val="0"/>
                      <w:color w:val="auto"/>
                      <w:spacing w:val="0"/>
                      <w:position w:val="0"/>
                      <w:sz w:val="21"/>
                      <w:szCs w:val="21"/>
                      <w:highlight w:val="none"/>
                      <w:lang w:eastAsia="zh-CN"/>
                    </w:rPr>
                    <w:t>内径</w:t>
                  </w:r>
                </w:p>
              </w:tc>
              <w:tc>
                <w:tcPr>
                  <w:tcW w:w="426"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eastAsia="zh-CN"/>
                    </w:rPr>
                  </w:pPr>
                  <w:r>
                    <w:rPr>
                      <w:rFonts w:hint="default" w:ascii="Times New Roman" w:hAnsi="Times New Roman" w:eastAsia="宋体" w:cs="Times New Roman"/>
                      <w:bCs/>
                      <w:caps w:val="0"/>
                      <w:color w:val="auto"/>
                      <w:spacing w:val="0"/>
                      <w:position w:val="0"/>
                      <w:sz w:val="21"/>
                      <w:szCs w:val="21"/>
                      <w:highlight w:val="none"/>
                      <w:lang w:eastAsia="zh-CN"/>
                    </w:rPr>
                    <w:t>温度</w:t>
                  </w:r>
                </w:p>
              </w:tc>
              <w:tc>
                <w:tcPr>
                  <w:tcW w:w="492"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eastAsia="zh-CN"/>
                    </w:rPr>
                  </w:pPr>
                  <w:r>
                    <w:rPr>
                      <w:rFonts w:hint="default" w:ascii="Times New Roman" w:hAnsi="Times New Roman" w:eastAsia="宋体" w:cs="Times New Roman"/>
                      <w:bCs/>
                      <w:caps w:val="0"/>
                      <w:color w:val="auto"/>
                      <w:spacing w:val="0"/>
                      <w:position w:val="0"/>
                      <w:sz w:val="21"/>
                      <w:szCs w:val="21"/>
                      <w:highlight w:val="none"/>
                      <w:lang w:eastAsia="zh-CN"/>
                    </w:rPr>
                    <w:t>编号</w:t>
                  </w:r>
                </w:p>
              </w:tc>
              <w:tc>
                <w:tcPr>
                  <w:tcW w:w="711"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eastAsia="zh-CN"/>
                    </w:rPr>
                  </w:pPr>
                  <w:r>
                    <w:rPr>
                      <w:rFonts w:hint="default" w:ascii="Times New Roman" w:hAnsi="Times New Roman" w:eastAsia="宋体" w:cs="Times New Roman"/>
                      <w:bCs/>
                      <w:caps w:val="0"/>
                      <w:color w:val="auto"/>
                      <w:spacing w:val="0"/>
                      <w:position w:val="0"/>
                      <w:sz w:val="21"/>
                      <w:szCs w:val="21"/>
                      <w:highlight w:val="none"/>
                      <w:lang w:eastAsia="zh-CN"/>
                    </w:rPr>
                    <w:t>类型</w:t>
                  </w:r>
                </w:p>
              </w:tc>
              <w:tc>
                <w:tcPr>
                  <w:tcW w:w="1354" w:type="pct"/>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rPr>
                  </w:pPr>
                  <w:r>
                    <w:rPr>
                      <w:rFonts w:hint="default" w:ascii="Times New Roman" w:hAnsi="Times New Roman" w:eastAsia="宋体" w:cs="Times New Roman"/>
                      <w:bCs/>
                      <w:caps w:val="0"/>
                      <w:color w:val="auto"/>
                      <w:spacing w:val="0"/>
                      <w:position w:val="0"/>
                      <w:sz w:val="21"/>
                      <w:szCs w:val="21"/>
                      <w:highlight w:val="none"/>
                      <w:lang w:eastAsia="zh-CN"/>
                    </w:rPr>
                    <w:t>地理坐标</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418" w:hRule="atLeast"/>
                <w:jc w:val="center"/>
              </w:trPr>
              <w:tc>
                <w:tcPr>
                  <w:tcW w:w="1197"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rPr>
                  </w:pPr>
                </w:p>
              </w:tc>
              <w:tc>
                <w:tcPr>
                  <w:tcW w:w="391"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rPr>
                  </w:pPr>
                </w:p>
              </w:tc>
              <w:tc>
                <w:tcPr>
                  <w:tcW w:w="426"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rPr>
                  </w:pPr>
                </w:p>
              </w:tc>
              <w:tc>
                <w:tcPr>
                  <w:tcW w:w="426"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rPr>
                  </w:pPr>
                </w:p>
              </w:tc>
              <w:tc>
                <w:tcPr>
                  <w:tcW w:w="492"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rPr>
                  </w:pPr>
                </w:p>
              </w:tc>
              <w:tc>
                <w:tcPr>
                  <w:tcW w:w="711"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rPr>
                  </w:pPr>
                </w:p>
              </w:tc>
              <w:tc>
                <w:tcPr>
                  <w:tcW w:w="67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eastAsia="zh-CN"/>
                    </w:rPr>
                  </w:pPr>
                  <w:r>
                    <w:rPr>
                      <w:rFonts w:hint="default" w:ascii="Times New Roman" w:hAnsi="Times New Roman" w:eastAsia="宋体" w:cs="Times New Roman"/>
                      <w:bCs/>
                      <w:caps w:val="0"/>
                      <w:color w:val="auto"/>
                      <w:spacing w:val="0"/>
                      <w:position w:val="0"/>
                      <w:sz w:val="21"/>
                      <w:szCs w:val="21"/>
                      <w:highlight w:val="none"/>
                      <w:lang w:eastAsia="zh-CN"/>
                    </w:rPr>
                    <w:t>东经</w:t>
                  </w:r>
                </w:p>
              </w:tc>
              <w:tc>
                <w:tcPr>
                  <w:tcW w:w="67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eastAsia="zh-CN"/>
                    </w:rPr>
                  </w:pPr>
                  <w:r>
                    <w:rPr>
                      <w:rFonts w:hint="default" w:ascii="Times New Roman" w:hAnsi="Times New Roman" w:eastAsia="宋体" w:cs="Times New Roman"/>
                      <w:bCs/>
                      <w:caps w:val="0"/>
                      <w:color w:val="auto"/>
                      <w:spacing w:val="0"/>
                      <w:position w:val="0"/>
                      <w:sz w:val="21"/>
                      <w:szCs w:val="21"/>
                      <w:highlight w:val="none"/>
                      <w:lang w:eastAsia="zh-CN"/>
                    </w:rPr>
                    <w:t>北纬</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700" w:hRule="atLeast"/>
                <w:jc w:val="center"/>
              </w:trPr>
              <w:tc>
                <w:tcPr>
                  <w:tcW w:w="1197" w:type="pct"/>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default" w:ascii="Times New Roman" w:hAnsi="Times New Roman" w:cs="Times New Roman"/>
                      <w:bCs/>
                      <w:caps w:val="0"/>
                      <w:color w:val="auto"/>
                      <w:spacing w:val="0"/>
                      <w:position w:val="0"/>
                      <w:sz w:val="21"/>
                      <w:szCs w:val="21"/>
                      <w:highlight w:val="none"/>
                      <w:lang w:val="en-US" w:eastAsia="zh-CN"/>
                    </w:rPr>
                  </w:pPr>
                  <w:r>
                    <w:rPr>
                      <w:rFonts w:hint="default" w:ascii="Times New Roman" w:hAnsi="Times New Roman" w:cs="Times New Roman"/>
                      <w:bCs/>
                      <w:caps w:val="0"/>
                      <w:color w:val="auto"/>
                      <w:spacing w:val="0"/>
                      <w:position w:val="0"/>
                      <w:sz w:val="21"/>
                      <w:szCs w:val="21"/>
                      <w:highlight w:val="none"/>
                      <w:lang w:val="en-US" w:eastAsia="zh-CN"/>
                    </w:rPr>
                    <w:t>电发热元件生产废气排放口</w:t>
                  </w:r>
                </w:p>
              </w:tc>
              <w:tc>
                <w:tcPr>
                  <w:tcW w:w="39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30m</w:t>
                  </w:r>
                </w:p>
              </w:tc>
              <w:tc>
                <w:tcPr>
                  <w:tcW w:w="42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Cs/>
                      <w:caps w:val="0"/>
                      <w:color w:val="auto"/>
                      <w:spacing w:val="0"/>
                      <w:kern w:val="2"/>
                      <w:position w:val="0"/>
                      <w:sz w:val="21"/>
                      <w:szCs w:val="21"/>
                      <w:highlight w:val="none"/>
                      <w:lang w:val="en-US" w:eastAsia="zh-CN" w:bidi="ar-SA"/>
                    </w:rPr>
                  </w:pPr>
                  <w:r>
                    <w:rPr>
                      <w:rFonts w:hint="eastAsia" w:cs="Times New Roman"/>
                      <w:bCs/>
                      <w:caps w:val="0"/>
                      <w:color w:val="auto"/>
                      <w:spacing w:val="0"/>
                      <w:kern w:val="2"/>
                      <w:position w:val="0"/>
                      <w:sz w:val="21"/>
                      <w:szCs w:val="21"/>
                      <w:highlight w:val="none"/>
                      <w:lang w:val="en-US" w:eastAsia="zh-CN" w:bidi="ar-SA"/>
                    </w:rPr>
                    <w:t>0.65</w:t>
                  </w:r>
                  <w:r>
                    <w:rPr>
                      <w:rFonts w:hint="eastAsia" w:cs="Times New Roman"/>
                      <w:bCs/>
                      <w:caps w:val="0"/>
                      <w:color w:val="auto"/>
                      <w:spacing w:val="0"/>
                      <w:position w:val="0"/>
                      <w:sz w:val="21"/>
                      <w:szCs w:val="21"/>
                      <w:highlight w:val="none"/>
                      <w:lang w:val="en-US" w:eastAsia="zh-CN"/>
                    </w:rPr>
                    <w:t>m</w:t>
                  </w:r>
                </w:p>
              </w:tc>
              <w:tc>
                <w:tcPr>
                  <w:tcW w:w="42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Cs/>
                      <w:caps w:val="0"/>
                      <w:color w:val="auto"/>
                      <w:spacing w:val="0"/>
                      <w:position w:val="0"/>
                      <w:sz w:val="21"/>
                      <w:szCs w:val="21"/>
                      <w:highlight w:val="none"/>
                      <w:lang w:val="en-US" w:eastAsia="zh-CN"/>
                    </w:rPr>
                  </w:pPr>
                  <w:r>
                    <w:rPr>
                      <w:rFonts w:hint="default" w:ascii="Times New Roman" w:hAnsi="Times New Roman" w:cs="Times New Roman"/>
                      <w:bCs/>
                      <w:caps w:val="0"/>
                      <w:color w:val="auto"/>
                      <w:spacing w:val="0"/>
                      <w:position w:val="0"/>
                      <w:sz w:val="21"/>
                      <w:szCs w:val="21"/>
                      <w:highlight w:val="none"/>
                      <w:lang w:val="en-US" w:eastAsia="zh-CN"/>
                    </w:rPr>
                    <w:t>20℃</w:t>
                  </w:r>
                </w:p>
              </w:tc>
              <w:tc>
                <w:tcPr>
                  <w:tcW w:w="49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Cs/>
                      <w:caps w:val="0"/>
                      <w:color w:val="auto"/>
                      <w:spacing w:val="0"/>
                      <w:kern w:val="2"/>
                      <w:position w:val="0"/>
                      <w:sz w:val="21"/>
                      <w:szCs w:val="21"/>
                      <w:highlight w:val="none"/>
                      <w:lang w:val="en-US" w:eastAsia="zh-CN" w:bidi="ar-SA"/>
                    </w:rPr>
                  </w:pPr>
                  <w:r>
                    <w:rPr>
                      <w:rFonts w:hint="eastAsia" w:cs="Times New Roman"/>
                      <w:bCs/>
                      <w:caps w:val="0"/>
                      <w:color w:val="auto"/>
                      <w:spacing w:val="0"/>
                      <w:kern w:val="2"/>
                      <w:position w:val="0"/>
                      <w:sz w:val="21"/>
                      <w:szCs w:val="21"/>
                      <w:highlight w:val="none"/>
                      <w:lang w:val="en-US" w:eastAsia="zh-CN" w:bidi="ar-SA"/>
                    </w:rPr>
                    <w:t>DA001</w:t>
                  </w:r>
                </w:p>
              </w:tc>
              <w:tc>
                <w:tcPr>
                  <w:tcW w:w="71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Cs/>
                      <w:caps w:val="0"/>
                      <w:color w:val="auto"/>
                      <w:spacing w:val="0"/>
                      <w:kern w:val="2"/>
                      <w:position w:val="0"/>
                      <w:sz w:val="21"/>
                      <w:szCs w:val="21"/>
                      <w:highlight w:val="none"/>
                      <w:lang w:val="en-US" w:eastAsia="zh-CN" w:bidi="ar-SA"/>
                    </w:rPr>
                  </w:pPr>
                  <w:r>
                    <w:rPr>
                      <w:rFonts w:hint="eastAsia" w:cs="Times New Roman"/>
                      <w:bCs/>
                      <w:caps w:val="0"/>
                      <w:color w:val="auto"/>
                      <w:spacing w:val="0"/>
                      <w:kern w:val="2"/>
                      <w:position w:val="0"/>
                      <w:sz w:val="21"/>
                      <w:szCs w:val="21"/>
                      <w:highlight w:val="none"/>
                      <w:lang w:val="en-US" w:eastAsia="zh-CN" w:bidi="ar-SA"/>
                    </w:rPr>
                    <w:t>一般排放口</w:t>
                  </w:r>
                </w:p>
              </w:tc>
              <w:tc>
                <w:tcPr>
                  <w:tcW w:w="67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default" w:ascii="Times New Roman" w:hAnsi="Times New Roman" w:eastAsia="宋体" w:cs="Times New Roman"/>
                      <w:bCs/>
                      <w:caps w:val="0"/>
                      <w:color w:val="auto"/>
                      <w:spacing w:val="0"/>
                      <w:position w:val="0"/>
                      <w:sz w:val="21"/>
                      <w:szCs w:val="21"/>
                      <w:highlight w:val="none"/>
                      <w:lang w:val="en-US" w:eastAsia="zh-CN"/>
                    </w:rPr>
                    <w:t>11</w:t>
                  </w:r>
                  <w:r>
                    <w:rPr>
                      <w:rFonts w:hint="eastAsia" w:ascii="Times New Roman" w:hAnsi="Times New Roman" w:cs="Times New Roman"/>
                      <w:bCs/>
                      <w:caps w:val="0"/>
                      <w:color w:val="auto"/>
                      <w:spacing w:val="0"/>
                      <w:position w:val="0"/>
                      <w:sz w:val="21"/>
                      <w:szCs w:val="21"/>
                      <w:highlight w:val="none"/>
                      <w:lang w:val="en-US" w:eastAsia="zh-CN"/>
                    </w:rPr>
                    <w:t>8.147329</w:t>
                  </w:r>
                  <w:r>
                    <w:rPr>
                      <w:rFonts w:hint="default" w:ascii="Times New Roman" w:hAnsi="Times New Roman" w:eastAsia="宋体" w:cs="Times New Roman"/>
                      <w:bCs/>
                      <w:caps w:val="0"/>
                      <w:color w:val="auto"/>
                      <w:spacing w:val="0"/>
                      <w:position w:val="0"/>
                      <w:sz w:val="21"/>
                      <w:szCs w:val="21"/>
                      <w:highlight w:val="none"/>
                      <w:lang w:val="en-US" w:eastAsia="zh-CN"/>
                    </w:rPr>
                    <w:t>°</w:t>
                  </w:r>
                </w:p>
              </w:tc>
              <w:tc>
                <w:tcPr>
                  <w:tcW w:w="67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default" w:ascii="Times New Roman" w:hAnsi="Times New Roman" w:eastAsia="宋体" w:cs="Times New Roman"/>
                      <w:bCs/>
                      <w:caps w:val="0"/>
                      <w:color w:val="auto"/>
                      <w:spacing w:val="0"/>
                      <w:position w:val="0"/>
                      <w:sz w:val="21"/>
                      <w:szCs w:val="21"/>
                      <w:highlight w:val="none"/>
                      <w:lang w:val="en-US" w:eastAsia="zh-CN"/>
                    </w:rPr>
                    <w:t>39.</w:t>
                  </w:r>
                  <w:r>
                    <w:rPr>
                      <w:rFonts w:hint="eastAsia" w:ascii="Times New Roman" w:hAnsi="Times New Roman" w:cs="Times New Roman"/>
                      <w:bCs/>
                      <w:caps w:val="0"/>
                      <w:color w:val="auto"/>
                      <w:spacing w:val="0"/>
                      <w:position w:val="0"/>
                      <w:sz w:val="21"/>
                      <w:szCs w:val="21"/>
                      <w:highlight w:val="none"/>
                      <w:lang w:val="en-US" w:eastAsia="zh-CN"/>
                    </w:rPr>
                    <w:t>705663</w:t>
                  </w:r>
                  <w:r>
                    <w:rPr>
                      <w:rFonts w:hint="default" w:ascii="Times New Roman" w:hAnsi="Times New Roman" w:eastAsia="宋体" w:cs="Times New Roman"/>
                      <w:bCs/>
                      <w:caps w:val="0"/>
                      <w:color w:val="auto"/>
                      <w:spacing w:val="0"/>
                      <w:position w:val="0"/>
                      <w:sz w:val="21"/>
                      <w:szCs w:val="21"/>
                      <w:highlight w:val="none"/>
                      <w:lang w:val="en-US" w:eastAsia="zh-CN"/>
                    </w:rPr>
                    <w:t>°</w:t>
                  </w:r>
                </w:p>
              </w:tc>
            </w:tr>
          </w:tbl>
          <w:p>
            <w:pPr>
              <w:rPr>
                <w:rFonts w:hint="eastAsia"/>
                <w:b/>
                <w:bCs/>
                <w:color w:val="auto"/>
                <w:highlight w:val="none"/>
                <w:lang w:eastAsia="zh-CN"/>
              </w:rPr>
            </w:pPr>
            <w:r>
              <w:rPr>
                <w:rFonts w:hint="eastAsia"/>
                <w:b/>
                <w:bCs/>
                <w:color w:val="auto"/>
                <w:highlight w:val="none"/>
                <w:lang w:val="en-US" w:eastAsia="zh-CN"/>
              </w:rPr>
              <w:t>1.2</w:t>
            </w:r>
            <w:r>
              <w:rPr>
                <w:rFonts w:hint="eastAsia"/>
                <w:b/>
                <w:bCs/>
                <w:color w:val="auto"/>
                <w:highlight w:val="none"/>
                <w:lang w:eastAsia="zh-CN"/>
              </w:rPr>
              <w:t>源强核算分析过程</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right="0"/>
              <w:textAlignment w:val="auto"/>
              <w:rPr>
                <w:rFonts w:hint="default"/>
                <w:b/>
                <w:bCs/>
                <w:color w:val="auto"/>
                <w:highlight w:val="none"/>
                <w:lang w:val="en-US" w:eastAsia="zh-CN"/>
              </w:rPr>
            </w:pPr>
            <w:r>
              <w:rPr>
                <w:rFonts w:hint="eastAsia"/>
                <w:b/>
                <w:bCs/>
                <w:color w:val="auto"/>
                <w:highlight w:val="none"/>
                <w:lang w:val="en-US" w:eastAsia="zh-CN"/>
              </w:rPr>
              <w:t>1.2.1导电浆料混合分散废气</w:t>
            </w:r>
          </w:p>
          <w:p>
            <w:pPr>
              <w:bidi w:val="0"/>
              <w:rPr>
                <w:rFonts w:hint="default"/>
                <w:color w:val="auto"/>
                <w:lang w:val="en-US" w:eastAsia="zh-CN"/>
              </w:rPr>
            </w:pPr>
            <w:r>
              <w:rPr>
                <w:rFonts w:hint="eastAsia"/>
                <w:color w:val="auto"/>
                <w:lang w:val="en-US" w:eastAsia="zh-CN"/>
              </w:rPr>
              <w:t>本项目导电碳浆在厂区内自行调配，根据建设单位提供资料，本项目所用导电碳浆成份及配比为水性有机硅树脂25%、水性丙烯酸树脂40%、丙二醇10%、石墨烯5%、石墨10%、碳黑5%、异氰酸酯5%，混合分散过程在常温下进行，各物质中仅异氰酸酯常温下会有少量挥发，混合分散时间约600h/a，时间较短，异氰酸酯挥发量按用量的5%计，项目异氰酸酯用量为16kg/a，则混合分散过程异氰酸酯挥发量为0.0008t/a，本次评价异氰酸酯以非甲烷总烃计，则混合分散过程非甲烷总烃产生量为0.0008t/a，混合分散过程产生的非甲烷总烃于车间内无组织排放，则非甲烷总烃排放量为0.0008t/a，排放速率为0.0013kg/h。</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right="0"/>
              <w:textAlignment w:val="auto"/>
              <w:rPr>
                <w:rFonts w:hint="default"/>
                <w:b/>
                <w:bCs/>
                <w:color w:val="auto"/>
                <w:highlight w:val="none"/>
                <w:lang w:val="en-US" w:eastAsia="zh-CN"/>
              </w:rPr>
            </w:pPr>
            <w:r>
              <w:rPr>
                <w:rFonts w:hint="eastAsia"/>
                <w:b/>
                <w:bCs/>
                <w:color w:val="auto"/>
                <w:highlight w:val="none"/>
                <w:lang w:val="en-US" w:eastAsia="zh-CN"/>
              </w:rPr>
              <w:t>1.2.2封边废气</w:t>
            </w:r>
          </w:p>
          <w:p>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default"/>
                <w:color w:val="auto"/>
                <w:highlight w:val="none"/>
                <w:lang w:val="en-US" w:eastAsia="zh-CN"/>
              </w:rPr>
            </w:pPr>
            <w:r>
              <w:rPr>
                <w:rFonts w:hint="eastAsia"/>
                <w:color w:val="auto"/>
                <w:lang w:val="en-US" w:eastAsia="zh-CN"/>
              </w:rPr>
              <w:t>本项目封装过程需采用高周波塑胶熔接机对PVC膜进行热压封边，制作PVC膜套，</w:t>
            </w:r>
            <w:r>
              <w:rPr>
                <w:rFonts w:hint="eastAsia"/>
                <w:color w:val="auto"/>
                <w:sz w:val="24"/>
                <w:highlight w:val="none"/>
                <w:lang w:val="en-US" w:eastAsia="zh-CN"/>
              </w:rPr>
              <w:t>PVC膜属于塑料制品，本身无毒，封边过程中PVC膜热压温度</w:t>
            </w:r>
            <w:r>
              <w:rPr>
                <w:rFonts w:hint="eastAsia"/>
                <w:color w:val="auto"/>
                <w:lang w:val="en-US" w:eastAsia="zh-CN"/>
              </w:rPr>
              <w:t>为</w:t>
            </w:r>
            <w:r>
              <w:rPr>
                <w:rFonts w:hint="default" w:ascii="Times New Roman" w:hAnsi="Times New Roman" w:cs="Times New Roman"/>
                <w:color w:val="auto"/>
                <w:lang w:val="en-US" w:eastAsia="zh-CN"/>
              </w:rPr>
              <w:t>120℃-140℃</w:t>
            </w:r>
            <w:r>
              <w:rPr>
                <w:rFonts w:hint="eastAsia" w:ascii="Times New Roman" w:hAnsi="Times New Roman" w:cs="Times New Roman"/>
                <w:color w:val="auto"/>
                <w:lang w:val="en-US" w:eastAsia="zh-CN"/>
              </w:rPr>
              <w:t>，</w:t>
            </w:r>
            <w:r>
              <w:rPr>
                <w:rFonts w:hint="eastAsia" w:ascii="Times New Roman" w:hAnsi="Times New Roman" w:cs="Times New Roman"/>
                <w:color w:val="auto"/>
                <w:sz w:val="24"/>
                <w:highlight w:val="none"/>
                <w:lang w:val="en-US" w:eastAsia="zh-CN"/>
              </w:rPr>
              <w:t>PVC膜在</w:t>
            </w:r>
            <w:r>
              <w:rPr>
                <w:rFonts w:hint="eastAsia"/>
                <w:color w:val="auto"/>
                <w:sz w:val="24"/>
                <w:highlight w:val="none"/>
                <w:lang w:val="en-US" w:eastAsia="zh-CN"/>
              </w:rPr>
              <w:t>140～150</w:t>
            </w:r>
            <w:r>
              <w:rPr>
                <w:rFonts w:hint="default" w:ascii="Times New Roman" w:hAnsi="Times New Roman" w:cs="Times New Roman"/>
                <w:color w:val="auto"/>
                <w:sz w:val="24"/>
                <w:highlight w:val="none"/>
                <w:lang w:val="en-US" w:eastAsia="zh-CN"/>
              </w:rPr>
              <w:t>℃</w:t>
            </w:r>
            <w:r>
              <w:rPr>
                <w:rFonts w:hint="eastAsia" w:ascii="Times New Roman" w:hAnsi="Times New Roman" w:cs="Times New Roman"/>
                <w:color w:val="auto"/>
                <w:sz w:val="24"/>
                <w:highlight w:val="none"/>
                <w:lang w:val="en-US" w:eastAsia="zh-CN"/>
              </w:rPr>
              <w:t>下</w:t>
            </w:r>
            <w:r>
              <w:rPr>
                <w:rFonts w:hint="eastAsia" w:cs="Times New Roman"/>
                <w:color w:val="auto"/>
                <w:sz w:val="24"/>
                <w:highlight w:val="none"/>
                <w:lang w:val="en-US" w:eastAsia="zh-CN"/>
              </w:rPr>
              <w:t>不会大量分解，仅会有少量</w:t>
            </w:r>
            <w:r>
              <w:rPr>
                <w:rFonts w:hint="eastAsia"/>
                <w:color w:val="auto"/>
                <w:sz w:val="24"/>
                <w:szCs w:val="24"/>
                <w:highlight w:val="none"/>
                <w:lang w:val="en-US" w:eastAsia="zh-CN"/>
              </w:rPr>
              <w:t>氯化氢</w:t>
            </w:r>
            <w:r>
              <w:rPr>
                <w:rFonts w:hint="eastAsia" w:cs="Times New Roman"/>
                <w:color w:val="auto"/>
                <w:sz w:val="24"/>
                <w:highlight w:val="none"/>
                <w:lang w:val="en-US" w:eastAsia="zh-CN"/>
              </w:rPr>
              <w:t>、挥发性有机物产生</w:t>
            </w:r>
            <w:r>
              <w:rPr>
                <w:rFonts w:hint="eastAsia" w:ascii="Times New Roman" w:hAnsi="Times New Roman" w:cs="Times New Roman"/>
                <w:color w:val="auto"/>
                <w:sz w:val="24"/>
                <w:highlight w:val="none"/>
                <w:lang w:val="en-US" w:eastAsia="zh-CN"/>
              </w:rPr>
              <w:t>，</w:t>
            </w:r>
            <w:r>
              <w:rPr>
                <w:rFonts w:hint="eastAsia" w:cs="Times New Roman"/>
                <w:color w:val="auto"/>
                <w:sz w:val="24"/>
                <w:highlight w:val="none"/>
                <w:lang w:val="en-US" w:eastAsia="zh-CN"/>
              </w:rPr>
              <w:t>挥发性有机物</w:t>
            </w:r>
            <w:r>
              <w:rPr>
                <w:rFonts w:hint="eastAsia" w:ascii="Times New Roman" w:hAnsi="Times New Roman" w:cs="Times New Roman"/>
                <w:color w:val="auto"/>
                <w:sz w:val="24"/>
                <w:highlight w:val="none"/>
                <w:lang w:val="en-US" w:eastAsia="zh-CN"/>
              </w:rPr>
              <w:t>以非甲烷总烃计。</w:t>
            </w:r>
          </w:p>
          <w:p>
            <w:pPr>
              <w:bidi w:val="0"/>
              <w:rPr>
                <w:rFonts w:hint="default"/>
                <w:color w:val="auto"/>
                <w:highlight w:val="none"/>
                <w:lang w:val="en-US" w:eastAsia="zh-CN"/>
              </w:rPr>
            </w:pPr>
            <w:r>
              <w:rPr>
                <w:rFonts w:hint="eastAsia"/>
                <w:color w:val="auto"/>
                <w:highlight w:val="none"/>
                <w:lang w:val="en-US" w:eastAsia="zh-CN"/>
              </w:rPr>
              <w:t>本项目覆膜过程PVC膜软化废气产生量参照</w:t>
            </w:r>
            <w:r>
              <w:rPr>
                <w:rFonts w:hint="default"/>
                <w:color w:val="auto"/>
                <w:highlight w:val="none"/>
                <w:lang w:val="zh-CN"/>
              </w:rPr>
              <w:t>《空气污染物排放和控制手册》中推荐的塑料废气排放系数，在无控制措施时，非甲烷总烃的排放系数按0.35kg/t</w:t>
            </w:r>
            <w:r>
              <w:rPr>
                <w:rFonts w:hint="eastAsia"/>
                <w:color w:val="auto"/>
                <w:highlight w:val="none"/>
                <w:lang w:val="en-US" w:eastAsia="zh-CN"/>
              </w:rPr>
              <w:t>原料计，项目PVC膜用量为8万m/a，折合约8.5t/a，则非甲烷总烃产生量为0.003t/a。</w:t>
            </w:r>
            <w:r>
              <w:rPr>
                <w:rFonts w:hint="eastAsia"/>
                <w:color w:val="auto"/>
                <w:sz w:val="24"/>
                <w:szCs w:val="24"/>
                <w:highlight w:val="none"/>
                <w:lang w:val="en-US" w:eastAsia="zh-CN"/>
              </w:rPr>
              <w:t>氯化氢</w:t>
            </w:r>
            <w:r>
              <w:rPr>
                <w:rFonts w:hint="eastAsia"/>
                <w:color w:val="auto"/>
                <w:highlight w:val="none"/>
                <w:lang w:val="en-US" w:eastAsia="zh-CN"/>
              </w:rPr>
              <w:t>产生量参照《聚氯乙烯固化物的热分解脱氯化氢和辐照对热分解的影响》（《辐照防护》1982年5月，华北辐射防护研究所）一文中的相关数据，取其排放系数2.7g/t，则</w:t>
            </w:r>
            <w:r>
              <w:rPr>
                <w:rFonts w:hint="eastAsia"/>
                <w:color w:val="auto"/>
                <w:sz w:val="24"/>
                <w:szCs w:val="24"/>
                <w:highlight w:val="none"/>
                <w:lang w:val="en-US" w:eastAsia="zh-CN"/>
              </w:rPr>
              <w:t>氯化氢</w:t>
            </w:r>
            <w:r>
              <w:rPr>
                <w:rFonts w:hint="eastAsia"/>
                <w:color w:val="auto"/>
                <w:highlight w:val="none"/>
                <w:lang w:val="en-US" w:eastAsia="zh-CN"/>
              </w:rPr>
              <w:t>产生量为0.000023t/a，项目封边过程产生的废气于车间内无组织排放，封边过程运行时间为4800h/a，则封边过程非甲烷总烃排放量为0.003t/a，排放速率为0.0006kg/h，氯化氢排放量为0.000023t/a，排放速率为0.000005kg/h。</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right="0"/>
              <w:textAlignment w:val="auto"/>
              <w:rPr>
                <w:rFonts w:hint="default"/>
                <w:b/>
                <w:bCs/>
                <w:color w:val="auto"/>
                <w:highlight w:val="none"/>
                <w:lang w:val="en-US" w:eastAsia="zh-CN"/>
              </w:rPr>
            </w:pPr>
            <w:r>
              <w:rPr>
                <w:rFonts w:hint="eastAsia"/>
                <w:b/>
                <w:bCs/>
                <w:color w:val="auto"/>
                <w:highlight w:val="none"/>
                <w:lang w:val="en-US" w:eastAsia="zh-CN"/>
              </w:rPr>
              <w:t>1.2.3印刷、印刷烘干、覆膜废气</w:t>
            </w:r>
          </w:p>
          <w:p>
            <w:pPr>
              <w:bidi w:val="0"/>
              <w:rPr>
                <w:rFonts w:hint="default"/>
                <w:b w:val="0"/>
                <w:bCs w:val="0"/>
                <w:color w:val="auto"/>
                <w:highlight w:val="none"/>
                <w:lang w:val="en-US" w:eastAsia="zh-CN"/>
              </w:rPr>
            </w:pPr>
            <w:r>
              <w:rPr>
                <w:rFonts w:hint="eastAsia"/>
                <w:b w:val="0"/>
                <w:bCs w:val="0"/>
                <w:color w:val="auto"/>
                <w:highlight w:val="none"/>
                <w:lang w:val="en-US" w:eastAsia="zh-CN"/>
              </w:rPr>
              <w:t>（1）导电浆料产生废气</w:t>
            </w:r>
          </w:p>
          <w:p>
            <w:pPr>
              <w:bidi w:val="0"/>
              <w:rPr>
                <w:rFonts w:hint="eastAsia"/>
                <w:b w:val="0"/>
                <w:bCs w:val="0"/>
                <w:color w:val="auto"/>
                <w:highlight w:val="none"/>
                <w:lang w:val="en-US" w:eastAsia="zh-CN"/>
              </w:rPr>
            </w:pPr>
            <w:r>
              <w:rPr>
                <w:rFonts w:hint="eastAsia"/>
                <w:b w:val="0"/>
                <w:bCs w:val="0"/>
                <w:color w:val="auto"/>
                <w:highlight w:val="none"/>
                <w:lang w:val="en-US" w:eastAsia="zh-CN"/>
              </w:rPr>
              <w:t>本项目印刷过程使用导电碳浆，</w:t>
            </w:r>
            <w:r>
              <w:rPr>
                <w:rFonts w:hint="eastAsia"/>
                <w:color w:val="auto"/>
                <w:sz w:val="24"/>
                <w:szCs w:val="24"/>
                <w:lang w:val="en-US" w:eastAsia="zh-CN"/>
              </w:rPr>
              <w:t>印刷烘干、覆膜过程均需加热，印刷烘干温度为</w:t>
            </w:r>
            <w:r>
              <w:rPr>
                <w:rFonts w:hint="default" w:ascii="Times New Roman" w:hAnsi="Times New Roman" w:cs="Times New Roman"/>
                <w:color w:val="auto"/>
                <w:lang w:val="en-US" w:eastAsia="zh-CN"/>
              </w:rPr>
              <w:t>120℃-140℃</w:t>
            </w:r>
            <w:r>
              <w:rPr>
                <w:rFonts w:hint="eastAsia" w:ascii="Times New Roman" w:hAnsi="Times New Roman" w:cs="Times New Roman"/>
                <w:color w:val="auto"/>
                <w:lang w:val="en-US" w:eastAsia="zh-CN"/>
              </w:rPr>
              <w:t>，覆膜温度为</w:t>
            </w:r>
            <w:r>
              <w:rPr>
                <w:rFonts w:hint="default" w:ascii="Times New Roman" w:hAnsi="Times New Roman" w:cs="Times New Roman"/>
                <w:color w:val="auto"/>
                <w:lang w:val="en-US" w:eastAsia="zh-CN"/>
              </w:rPr>
              <w:t>1</w:t>
            </w:r>
            <w:r>
              <w:rPr>
                <w:rFonts w:hint="eastAsia" w:cs="Times New Roman"/>
                <w:color w:val="auto"/>
                <w:lang w:val="en-US" w:eastAsia="zh-CN"/>
              </w:rPr>
              <w:t>4</w:t>
            </w:r>
            <w:r>
              <w:rPr>
                <w:rFonts w:hint="default" w:ascii="Times New Roman" w:hAnsi="Times New Roman" w:cs="Times New Roman"/>
                <w:color w:val="auto"/>
                <w:lang w:val="en-US" w:eastAsia="zh-CN"/>
              </w:rPr>
              <w:t>0℃-1</w:t>
            </w:r>
            <w:r>
              <w:rPr>
                <w:rFonts w:hint="eastAsia" w:cs="Times New Roman"/>
                <w:color w:val="auto"/>
                <w:lang w:val="en-US" w:eastAsia="zh-CN"/>
              </w:rPr>
              <w:t>7</w:t>
            </w:r>
            <w:r>
              <w:rPr>
                <w:rFonts w:hint="default" w:ascii="Times New Roman" w:hAnsi="Times New Roman" w:cs="Times New Roman"/>
                <w:color w:val="auto"/>
                <w:lang w:val="en-US" w:eastAsia="zh-CN"/>
              </w:rPr>
              <w:t>0℃</w:t>
            </w:r>
            <w:r>
              <w:rPr>
                <w:rFonts w:hint="eastAsia" w:ascii="Times New Roman" w:hAnsi="Times New Roman" w:cs="Times New Roman"/>
                <w:color w:val="auto"/>
                <w:lang w:val="en-US" w:eastAsia="zh-CN"/>
              </w:rPr>
              <w:t>，此温度下</w:t>
            </w:r>
            <w:r>
              <w:rPr>
                <w:rFonts w:hint="eastAsia"/>
                <w:color w:val="auto"/>
                <w:sz w:val="24"/>
                <w:szCs w:val="24"/>
                <w:lang w:val="en-US" w:eastAsia="zh-CN"/>
              </w:rPr>
              <w:t>水性有机硅树脂、水性丙烯酸树脂均不会分解产生挥发性有机物，丙二醇、异氰酸酯会大量挥发，本次评价按印刷、印刷烘干、覆膜过程丙二醇、异氰酸酯全部挥发计，本项目丙二醇用量为32kg/a，异氰酸酯用量为16kg/a，由于异氰酸酯在导电浆料混合分散过程已有部分挥发，挥发量为5%，则印刷、印刷烘干、覆膜过程丙二醇挥发量为0.032t/a，异氰酸酯挥发量为0.0152t/a，本次评价丙二醇、异氰酸酯均以非甲烷总烃计，则</w:t>
            </w:r>
            <w:r>
              <w:rPr>
                <w:rFonts w:hint="eastAsia"/>
                <w:b w:val="0"/>
                <w:bCs w:val="0"/>
                <w:color w:val="auto"/>
                <w:highlight w:val="none"/>
                <w:lang w:val="en-US" w:eastAsia="zh-CN"/>
              </w:rPr>
              <w:t>印刷、印刷烘干、覆膜过程导电浆料非甲烷总烃产生量为0.0472t/a。</w:t>
            </w:r>
          </w:p>
          <w:p>
            <w:pPr>
              <w:bidi w:val="0"/>
              <w:rPr>
                <w:rFonts w:hint="default"/>
                <w:b w:val="0"/>
                <w:bCs w:val="0"/>
                <w:color w:val="auto"/>
                <w:highlight w:val="none"/>
                <w:lang w:val="en-US" w:eastAsia="zh-CN"/>
              </w:rPr>
            </w:pPr>
            <w:r>
              <w:rPr>
                <w:rFonts w:hint="eastAsia"/>
                <w:b w:val="0"/>
                <w:bCs w:val="0"/>
                <w:color w:val="auto"/>
                <w:highlight w:val="none"/>
                <w:lang w:val="en-US" w:eastAsia="zh-CN"/>
              </w:rPr>
              <w:t>（2）PET膜产生废气</w:t>
            </w:r>
          </w:p>
          <w:p>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default"/>
                <w:color w:val="auto"/>
                <w:highlight w:val="none"/>
                <w:lang w:val="en-US" w:eastAsia="zh-CN"/>
              </w:rPr>
            </w:pPr>
            <w:r>
              <w:rPr>
                <w:rFonts w:hint="eastAsia"/>
                <w:color w:val="auto"/>
                <w:sz w:val="24"/>
                <w:highlight w:val="none"/>
                <w:lang w:val="en-US" w:eastAsia="zh-CN"/>
              </w:rPr>
              <w:t>本项目覆膜过程需使用PET膜，PET膜属于塑料制品，本身无毒，生产过程中PET膜在覆膜机中加热至软化状态，一般控制在140～170</w:t>
            </w:r>
            <w:r>
              <w:rPr>
                <w:rFonts w:hint="default" w:ascii="Times New Roman" w:hAnsi="Times New Roman" w:cs="Times New Roman"/>
                <w:color w:val="auto"/>
                <w:sz w:val="24"/>
                <w:highlight w:val="none"/>
                <w:lang w:val="en-US" w:eastAsia="zh-CN"/>
              </w:rPr>
              <w:t>℃</w:t>
            </w:r>
            <w:r>
              <w:rPr>
                <w:rFonts w:hint="eastAsia" w:ascii="Times New Roman" w:hAnsi="Times New Roman" w:cs="Times New Roman"/>
                <w:color w:val="auto"/>
                <w:sz w:val="24"/>
                <w:highlight w:val="none"/>
                <w:lang w:val="en-US" w:eastAsia="zh-CN"/>
              </w:rPr>
              <w:t>，P</w:t>
            </w:r>
            <w:r>
              <w:rPr>
                <w:rFonts w:hint="eastAsia" w:cs="Times New Roman"/>
                <w:color w:val="auto"/>
                <w:sz w:val="24"/>
                <w:highlight w:val="none"/>
                <w:lang w:val="en-US" w:eastAsia="zh-CN"/>
              </w:rPr>
              <w:t>ET</w:t>
            </w:r>
            <w:r>
              <w:rPr>
                <w:rFonts w:hint="eastAsia" w:ascii="Times New Roman" w:hAnsi="Times New Roman" w:cs="Times New Roman"/>
                <w:color w:val="auto"/>
                <w:sz w:val="24"/>
                <w:highlight w:val="none"/>
                <w:lang w:val="en-US" w:eastAsia="zh-CN"/>
              </w:rPr>
              <w:t>膜在</w:t>
            </w:r>
            <w:r>
              <w:rPr>
                <w:rFonts w:hint="eastAsia"/>
                <w:color w:val="auto"/>
                <w:sz w:val="24"/>
                <w:highlight w:val="none"/>
                <w:lang w:val="en-US" w:eastAsia="zh-CN"/>
              </w:rPr>
              <w:t>140～170</w:t>
            </w:r>
            <w:r>
              <w:rPr>
                <w:rFonts w:hint="default" w:ascii="Times New Roman" w:hAnsi="Times New Roman" w:cs="Times New Roman"/>
                <w:color w:val="auto"/>
                <w:sz w:val="24"/>
                <w:highlight w:val="none"/>
                <w:lang w:val="en-US" w:eastAsia="zh-CN"/>
              </w:rPr>
              <w:t>℃</w:t>
            </w:r>
            <w:r>
              <w:rPr>
                <w:rFonts w:hint="eastAsia" w:ascii="Times New Roman" w:hAnsi="Times New Roman" w:cs="Times New Roman"/>
                <w:color w:val="auto"/>
                <w:sz w:val="24"/>
                <w:highlight w:val="none"/>
                <w:lang w:val="en-US" w:eastAsia="zh-CN"/>
              </w:rPr>
              <w:t>下</w:t>
            </w:r>
            <w:r>
              <w:rPr>
                <w:rFonts w:hint="eastAsia" w:cs="Times New Roman"/>
                <w:color w:val="auto"/>
                <w:sz w:val="24"/>
                <w:highlight w:val="none"/>
                <w:lang w:val="en-US" w:eastAsia="zh-CN"/>
              </w:rPr>
              <w:t>不会大量分解，仅会有少量挥发性有机物产生</w:t>
            </w:r>
            <w:r>
              <w:rPr>
                <w:rFonts w:hint="eastAsia" w:ascii="Times New Roman" w:hAnsi="Times New Roman" w:cs="Times New Roman"/>
                <w:color w:val="auto"/>
                <w:sz w:val="24"/>
                <w:highlight w:val="none"/>
                <w:lang w:val="en-US" w:eastAsia="zh-CN"/>
              </w:rPr>
              <w:t>，</w:t>
            </w:r>
            <w:r>
              <w:rPr>
                <w:rFonts w:hint="eastAsia" w:cs="Times New Roman"/>
                <w:color w:val="auto"/>
                <w:sz w:val="24"/>
                <w:highlight w:val="none"/>
                <w:lang w:val="en-US" w:eastAsia="zh-CN"/>
              </w:rPr>
              <w:t>挥发性有机物</w:t>
            </w:r>
            <w:r>
              <w:rPr>
                <w:rFonts w:hint="eastAsia" w:ascii="Times New Roman" w:hAnsi="Times New Roman" w:cs="Times New Roman"/>
                <w:color w:val="auto"/>
                <w:sz w:val="24"/>
                <w:highlight w:val="none"/>
                <w:lang w:val="en-US" w:eastAsia="zh-CN"/>
              </w:rPr>
              <w:t>以非甲烷总烃计。</w:t>
            </w:r>
          </w:p>
          <w:p>
            <w:pPr>
              <w:pStyle w:val="61"/>
              <w:rPr>
                <w:rFonts w:hint="default"/>
                <w:color w:val="auto"/>
                <w:highlight w:val="none"/>
                <w:lang w:val="en-US" w:eastAsia="zh-CN"/>
              </w:rPr>
            </w:pPr>
            <w:r>
              <w:rPr>
                <w:rFonts w:hint="eastAsia"/>
                <w:color w:val="auto"/>
                <w:highlight w:val="none"/>
                <w:lang w:val="en-US" w:eastAsia="zh-CN"/>
              </w:rPr>
              <w:t>本项目覆膜过程PET膜软化废气产生量参照</w:t>
            </w:r>
            <w:r>
              <w:rPr>
                <w:rFonts w:hint="default"/>
                <w:color w:val="auto"/>
                <w:highlight w:val="none"/>
                <w:lang w:val="zh-CN"/>
              </w:rPr>
              <w:t>《空气污染物排放和控制手册》中推荐的塑料废气排放系数，在无控制措施时，非甲烷总烃的排放系数按0.35kg/t</w:t>
            </w:r>
            <w:r>
              <w:rPr>
                <w:rFonts w:hint="eastAsia"/>
                <w:color w:val="auto"/>
                <w:highlight w:val="none"/>
                <w:lang w:val="en-US" w:eastAsia="zh-CN"/>
              </w:rPr>
              <w:t>原料计，项目PET膜用量为12万m/a，折合约4.31t/a，则非甲烷总烃产生量为0.0015t/a。</w:t>
            </w:r>
          </w:p>
          <w:p>
            <w:pPr>
              <w:bidi w:val="0"/>
              <w:rPr>
                <w:rFonts w:hint="default"/>
                <w:b w:val="0"/>
                <w:bCs w:val="0"/>
                <w:color w:val="auto"/>
                <w:highlight w:val="none"/>
                <w:lang w:val="en-US" w:eastAsia="zh-CN"/>
              </w:rPr>
            </w:pPr>
            <w:r>
              <w:rPr>
                <w:rFonts w:hint="eastAsia"/>
                <w:b w:val="0"/>
                <w:bCs w:val="0"/>
                <w:color w:val="auto"/>
                <w:highlight w:val="none"/>
                <w:lang w:val="en-US" w:eastAsia="zh-CN"/>
              </w:rPr>
              <w:t>综上，本项目印刷、印刷烘干、覆膜过程非甲烷总烃产生量为0.0487t/a，本项目采取覆膜印刷机、覆膜烘干机封闭，在设备上方设置集气管道；自动覆膜机上方设置集气罩的措施收集印刷、印刷烘干、覆膜过程产生的非甲烷总烃，非甲烷总烃收集效率按90%计，则非甲烷总烃捕集量为0.0438t/a，无组织排放量为0.0049t/a，无组织排放速率为0.001kg/h。</w:t>
            </w:r>
          </w:p>
          <w:p>
            <w:pPr>
              <w:bidi w:val="0"/>
              <w:rPr>
                <w:rFonts w:hint="default"/>
                <w:b w:val="0"/>
                <w:bCs w:val="0"/>
                <w:color w:val="auto"/>
                <w:highlight w:val="none"/>
                <w:vertAlign w:val="baseline"/>
                <w:lang w:val="en-US" w:eastAsia="zh-CN"/>
              </w:rPr>
            </w:pPr>
            <w:r>
              <w:rPr>
                <w:rFonts w:hint="eastAsia"/>
                <w:b w:val="0"/>
                <w:bCs w:val="0"/>
                <w:color w:val="auto"/>
                <w:highlight w:val="none"/>
                <w:lang w:val="en-US" w:eastAsia="zh-CN"/>
              </w:rPr>
              <w:t>本项目建成后，</w:t>
            </w:r>
            <w:r>
              <w:rPr>
                <w:rFonts w:hint="eastAsia"/>
                <w:color w:val="auto"/>
                <w:lang w:val="en-US" w:eastAsia="zh-CN"/>
              </w:rPr>
              <w:t>淘汰现有单级活性炭吸附装置，将其替换为两级活性炭吸附装置，本项目新增印刷、印刷烘干、覆膜过程产生的废气与现有石墨烯电发热体生产线烘干及烧结还原废气采用1台风量为15000m</w:t>
            </w:r>
            <w:r>
              <w:rPr>
                <w:rFonts w:hint="eastAsia"/>
                <w:color w:val="auto"/>
                <w:vertAlign w:val="superscript"/>
                <w:lang w:val="en-US" w:eastAsia="zh-CN"/>
              </w:rPr>
              <w:t>3</w:t>
            </w:r>
            <w:r>
              <w:rPr>
                <w:rFonts w:hint="eastAsia"/>
                <w:color w:val="auto"/>
                <w:lang w:val="en-US" w:eastAsia="zh-CN"/>
              </w:rPr>
              <w:t>/h的风机引入两级活性炭吸附装置（TA002）进行处理，根据建设单位提供导电银浆成份，导电银浆中挥发性有机物含量约22%，挥发性有机物以非甲烷总烃计，本项目项目建成后，导电银浆用量为44kg/a，由于烘干及烧结还原过程非甲烷总烃均来源于电极银浆，则烘干及烧结还原过程非甲烷总烃最大产生量为0.0097t/a，故本项目建成后，全厂印刷、印刷烘干、覆膜、烘干及烧结还原工序非甲烷总烃总产生量为0.0584t/a，捕集效率均按90%计，则本项目建成后，进入两级活性炭吸附装置非甲烷总烃量为0.0526t/a，两级活性炭吸附装置对非甲烷总烃的去除效率按90%计，则非甲烷总烃有组织排放量为0.0053t/a，项目建成后印刷、印刷烘干、覆膜、烘干及烧结还原工序均为4800h/a，则非甲烷总烃有组织排放速率为0.0011kg/h，排放浓度为0.1mg/m</w:t>
            </w:r>
            <w:r>
              <w:rPr>
                <w:rFonts w:hint="eastAsia"/>
                <w:color w:val="auto"/>
                <w:vertAlign w:val="superscript"/>
                <w:lang w:val="en-US" w:eastAsia="zh-CN"/>
              </w:rPr>
              <w:t>3</w:t>
            </w:r>
            <w:r>
              <w:rPr>
                <w:rFonts w:hint="eastAsia"/>
                <w:color w:val="auto"/>
                <w:vertAlign w:val="baseline"/>
                <w:lang w:val="en-US" w:eastAsia="zh-CN"/>
              </w:rPr>
              <w:t>，满足</w:t>
            </w:r>
            <w:r>
              <w:rPr>
                <w:rFonts w:hint="default" w:ascii="Times New Roman" w:hAnsi="Times New Roman" w:eastAsia="宋体" w:cs="Times New Roman"/>
                <w:color w:val="auto"/>
                <w:sz w:val="24"/>
                <w:szCs w:val="24"/>
              </w:rPr>
              <w:t>《工业企业挥发性有机物排放控制标准》（DB13 2322-2016）表1中</w:t>
            </w:r>
            <w:r>
              <w:rPr>
                <w:rFonts w:hint="default" w:ascii="Times New Roman" w:hAnsi="Times New Roman" w:eastAsia="宋体" w:cs="Times New Roman"/>
                <w:color w:val="auto"/>
                <w:sz w:val="24"/>
                <w:szCs w:val="24"/>
                <w:lang w:eastAsia="zh-CN"/>
              </w:rPr>
              <w:t>其他行业</w:t>
            </w:r>
            <w:r>
              <w:rPr>
                <w:rFonts w:hint="default" w:ascii="Times New Roman" w:hAnsi="Times New Roman" w:eastAsia="宋体" w:cs="Times New Roman"/>
                <w:color w:val="auto"/>
                <w:sz w:val="24"/>
                <w:szCs w:val="24"/>
              </w:rPr>
              <w:t>最高允许排放浓度：非甲烷总烃</w:t>
            </w:r>
            <w:r>
              <w:rPr>
                <w:rFonts w:hint="default" w:ascii="Times New Roman" w:hAnsi="Times New Roman" w:eastAsia="宋体" w:cs="Times New Roman"/>
                <w:color w:val="auto"/>
                <w:sz w:val="24"/>
                <w:szCs w:val="24"/>
                <w:lang w:val="en-US" w:eastAsia="zh-CN"/>
              </w:rPr>
              <w:t>8</w:t>
            </w:r>
            <w:r>
              <w:rPr>
                <w:rFonts w:hint="default" w:ascii="Times New Roman" w:hAnsi="Times New Roman" w:eastAsia="宋体" w:cs="Times New Roman"/>
                <w:color w:val="auto"/>
                <w:sz w:val="24"/>
                <w:szCs w:val="24"/>
              </w:rPr>
              <w:t>0mg/</w:t>
            </w:r>
            <w:r>
              <w:rPr>
                <w:rFonts w:hint="default" w:ascii="Times New Roman" w:hAnsi="Times New Roman" w:eastAsia="宋体" w:cs="Times New Roman"/>
                <w:color w:val="auto"/>
                <w:sz w:val="24"/>
                <w:szCs w:val="24"/>
                <w:lang w:eastAsia="zh-CN"/>
              </w:rPr>
              <w:t>m</w:t>
            </w:r>
            <w:r>
              <w:rPr>
                <w:rFonts w:hint="eastAsia" w:ascii="Times New Roman" w:hAnsi="Times New Roman" w:cs="Times New Roman"/>
                <w:color w:val="auto"/>
                <w:sz w:val="24"/>
                <w:szCs w:val="24"/>
                <w:vertAlign w:val="superscript"/>
                <w:lang w:val="en-US" w:eastAsia="zh-CN"/>
              </w:rPr>
              <w:t>3</w:t>
            </w:r>
            <w:r>
              <w:rPr>
                <w:rFonts w:hint="eastAsia"/>
                <w:b w:val="0"/>
                <w:bCs w:val="0"/>
                <w:color w:val="auto"/>
                <w:highlight w:val="none"/>
                <w:vertAlign w:val="baseline"/>
                <w:lang w:val="en-US" w:eastAsia="zh-CN"/>
              </w:rPr>
              <w:t>。排气筒高度不低于15m，且应高出周围200m半径范围的建筑5m以上（本项目排气筒高度为30m，200m半径范围的最高建筑物为22m），同时满足企业承诺限值：</w:t>
            </w:r>
            <w:r>
              <w:rPr>
                <w:rFonts w:hint="eastAsia" w:ascii="Times New Roman" w:hAnsi="Times New Roman" w:cs="Times New Roman"/>
                <w:color w:val="auto"/>
                <w:sz w:val="24"/>
                <w:szCs w:val="24"/>
                <w:lang w:val="en-US" w:eastAsia="zh-CN"/>
              </w:rPr>
              <w:t>非甲烷总烃排放浓度不高于50mg/m</w:t>
            </w:r>
            <w:r>
              <w:rPr>
                <w:rFonts w:hint="eastAsia" w:ascii="Times New Roman" w:hAnsi="Times New Roman" w:cs="Times New Roman"/>
                <w:color w:val="auto"/>
                <w:sz w:val="24"/>
                <w:szCs w:val="24"/>
                <w:vertAlign w:val="superscript"/>
                <w:lang w:val="en-US" w:eastAsia="zh-CN"/>
              </w:rPr>
              <w:t>3</w:t>
            </w:r>
            <w:r>
              <w:rPr>
                <w:rFonts w:hint="eastAsia" w:ascii="Times New Roman" w:hAnsi="Times New Roman" w:cs="Times New Roman"/>
                <w:color w:val="auto"/>
                <w:sz w:val="24"/>
                <w:szCs w:val="24"/>
                <w:vertAlign w:val="baseline"/>
                <w:lang w:val="en-US" w:eastAsia="zh-CN"/>
              </w:rPr>
              <w:t>。</w:t>
            </w:r>
          </w:p>
          <w:p>
            <w:pPr>
              <w:bidi w:val="0"/>
              <w:rPr>
                <w:rFonts w:hint="default"/>
                <w:b/>
                <w:bCs/>
                <w:color w:val="auto"/>
                <w:highlight w:val="none"/>
                <w:lang w:val="en-US" w:eastAsia="zh-CN"/>
              </w:rPr>
            </w:pPr>
            <w:r>
              <w:rPr>
                <w:rFonts w:hint="eastAsia"/>
                <w:b/>
                <w:bCs/>
                <w:color w:val="auto"/>
                <w:highlight w:val="none"/>
                <w:lang w:val="en-US" w:eastAsia="zh-CN"/>
              </w:rPr>
              <w:t>1.2.4排气筒（DA001）污染物排放达标分析</w:t>
            </w:r>
          </w:p>
          <w:p>
            <w:pPr>
              <w:bidi w:val="0"/>
              <w:rPr>
                <w:rFonts w:hint="default"/>
                <w:b w:val="0"/>
                <w:bCs w:val="0"/>
                <w:color w:val="auto"/>
                <w:highlight w:val="none"/>
                <w:lang w:val="en-US" w:eastAsia="zh-CN"/>
              </w:rPr>
            </w:pPr>
            <w:r>
              <w:rPr>
                <w:rFonts w:hint="eastAsia"/>
                <w:b w:val="0"/>
                <w:bCs w:val="0"/>
                <w:color w:val="auto"/>
                <w:highlight w:val="none"/>
                <w:lang w:val="en-US" w:eastAsia="zh-CN"/>
              </w:rPr>
              <w:t>本项目建成后，现有工程镀膜工序生产工艺及废气治理设施均不发生变化，但由于镀膜工序废气经三级串联的碱液喷淋塔（TA001）处理后，与经两级活性炭（TA002）处理后的废气一起通过1根30m高排气筒（DA001）排放，故本次评价对其合并排放后，废气达标情况进行分析。</w:t>
            </w:r>
          </w:p>
          <w:p>
            <w:pPr>
              <w:bidi w:val="0"/>
              <w:rPr>
                <w:rFonts w:hint="default"/>
                <w:color w:val="auto"/>
                <w:vertAlign w:val="baseline"/>
                <w:lang w:val="en-US" w:eastAsia="zh-CN"/>
              </w:rPr>
            </w:pPr>
            <w:r>
              <w:rPr>
                <w:rFonts w:hint="eastAsia"/>
                <w:color w:val="auto"/>
                <w:lang w:val="en-US" w:eastAsia="zh-CN"/>
              </w:rPr>
              <w:t>根据现有工程验收检测报告，镀膜工序非甲烷总烃排放速率为0.0112kg/h，氟化物排放速率为1.63</w:t>
            </w:r>
            <w:r>
              <w:rPr>
                <w:rFonts w:hint="default" w:ascii="Times New Roman" w:hAnsi="Times New Roman" w:cs="Times New Roman"/>
                <w:color w:val="auto"/>
                <w:lang w:val="en-US" w:eastAsia="zh-CN"/>
              </w:rPr>
              <w:t>×</w:t>
            </w:r>
            <w:r>
              <w:rPr>
                <w:rFonts w:hint="eastAsia"/>
                <w:color w:val="auto"/>
                <w:lang w:val="en-US" w:eastAsia="zh-CN"/>
              </w:rPr>
              <w:t>10</w:t>
            </w:r>
            <w:r>
              <w:rPr>
                <w:rFonts w:hint="eastAsia"/>
                <w:color w:val="auto"/>
                <w:vertAlign w:val="superscript"/>
                <w:lang w:val="en-US" w:eastAsia="zh-CN"/>
              </w:rPr>
              <w:t>-3</w:t>
            </w:r>
            <w:r>
              <w:rPr>
                <w:rFonts w:hint="eastAsia"/>
                <w:color w:val="auto"/>
                <w:lang w:val="en-US" w:eastAsia="zh-CN"/>
              </w:rPr>
              <w:t>kg/h，氯化氢排放速率为0.0119kg/h，运行负荷为85%，折算为满负荷后非甲烷总烃排放速率为0.0132kg/h，氟化物排放速率为0.0019kg/h，氯化氢排放速率为0.014kg/h，现有工程镀膜工序年运行时间为2400h，则现有工程镀膜工序非甲烷总烃排放量为0.0317t/a，氟化物排放量为0.0046t/a，氯化氢排放量为0.0336t/a，由于镀膜工序非甲烷总烃、氟化物、氯化氢均来源于镀膜液，本项目建成后镀膜液用量减少八分之一，镀膜工序年运行时间为4800h，则本项目建成后镀膜工序非甲烷总烃有组织排放量为0.0277t/a，排放速率为0.0058kg/h，氟化物有组织排放量为0.004t/a，排放速率为0.0008kg/h，氯化氢有组织排放量为0.0294t/a，排放速率为0.0061kg/h。因此，经排气筒（DA001）排放的非甲烷总烃量为0.033t/a，排放速率为0.0069kg/h，排放浓度为0.4</w:t>
            </w:r>
            <w:r>
              <w:rPr>
                <w:rFonts w:hint="eastAsia" w:ascii="Times New Roman" w:hAnsi="Times New Roman" w:cs="Times New Roman"/>
                <w:color w:val="auto"/>
                <w:sz w:val="24"/>
                <w:szCs w:val="24"/>
                <w:lang w:val="en-US" w:eastAsia="zh-CN"/>
              </w:rPr>
              <w:t>mg/m</w:t>
            </w:r>
            <w:r>
              <w:rPr>
                <w:rFonts w:hint="eastAsia" w:ascii="Times New Roman" w:hAnsi="Times New Roman" w:cs="Times New Roman"/>
                <w:color w:val="auto"/>
                <w:sz w:val="24"/>
                <w:szCs w:val="24"/>
                <w:vertAlign w:val="superscript"/>
                <w:lang w:val="en-US" w:eastAsia="zh-CN"/>
              </w:rPr>
              <w:t>3</w:t>
            </w:r>
            <w:r>
              <w:rPr>
                <w:rFonts w:hint="eastAsia" w:ascii="Times New Roman" w:hAnsi="Times New Roman" w:cs="Times New Roman"/>
                <w:color w:val="auto"/>
                <w:sz w:val="24"/>
                <w:szCs w:val="24"/>
                <w:vertAlign w:val="baseline"/>
                <w:lang w:val="en-US" w:eastAsia="zh-CN"/>
              </w:rPr>
              <w:t>，氟化物</w:t>
            </w:r>
            <w:r>
              <w:rPr>
                <w:rFonts w:hint="eastAsia"/>
                <w:color w:val="auto"/>
                <w:lang w:val="en-US" w:eastAsia="zh-CN"/>
              </w:rPr>
              <w:t>排放量为0.004t/a，排放速率为0.0008kg/h，排放浓度为0.05</w:t>
            </w:r>
            <w:r>
              <w:rPr>
                <w:rFonts w:hint="eastAsia" w:ascii="Times New Roman" w:hAnsi="Times New Roman" w:cs="Times New Roman"/>
                <w:color w:val="auto"/>
                <w:sz w:val="24"/>
                <w:szCs w:val="24"/>
                <w:lang w:val="en-US" w:eastAsia="zh-CN"/>
              </w:rPr>
              <w:t>mg/m</w:t>
            </w:r>
            <w:r>
              <w:rPr>
                <w:rFonts w:hint="eastAsia" w:ascii="Times New Roman" w:hAnsi="Times New Roman" w:cs="Times New Roman"/>
                <w:color w:val="auto"/>
                <w:sz w:val="24"/>
                <w:szCs w:val="24"/>
                <w:vertAlign w:val="superscript"/>
                <w:lang w:val="en-US" w:eastAsia="zh-CN"/>
              </w:rPr>
              <w:t>3</w:t>
            </w:r>
            <w:r>
              <w:rPr>
                <w:rFonts w:hint="eastAsia" w:ascii="Times New Roman" w:hAnsi="Times New Roman" w:cs="Times New Roman"/>
                <w:color w:val="auto"/>
                <w:sz w:val="24"/>
                <w:szCs w:val="24"/>
                <w:vertAlign w:val="baseline"/>
                <w:lang w:val="en-US" w:eastAsia="zh-CN"/>
              </w:rPr>
              <w:t>，</w:t>
            </w:r>
            <w:r>
              <w:rPr>
                <w:rFonts w:hint="eastAsia"/>
                <w:color w:val="auto"/>
                <w:lang w:val="en-US" w:eastAsia="zh-CN"/>
              </w:rPr>
              <w:t>氯化氢排放量为0.0294t/a，排放速率为0.0061kg/h，排放浓度为0.41</w:t>
            </w:r>
            <w:r>
              <w:rPr>
                <w:rFonts w:hint="eastAsia" w:ascii="Times New Roman" w:hAnsi="Times New Roman" w:cs="Times New Roman"/>
                <w:color w:val="auto"/>
                <w:sz w:val="24"/>
                <w:szCs w:val="24"/>
                <w:lang w:val="en-US" w:eastAsia="zh-CN"/>
              </w:rPr>
              <w:t>mg/m</w:t>
            </w:r>
            <w:r>
              <w:rPr>
                <w:rFonts w:hint="eastAsia" w:ascii="Times New Roman" w:hAnsi="Times New Roman" w:cs="Times New Roman"/>
                <w:color w:val="auto"/>
                <w:sz w:val="24"/>
                <w:szCs w:val="24"/>
                <w:vertAlign w:val="superscript"/>
                <w:lang w:val="en-US" w:eastAsia="zh-CN"/>
              </w:rPr>
              <w:t>3</w:t>
            </w:r>
            <w:r>
              <w:rPr>
                <w:rFonts w:hint="eastAsia" w:ascii="Times New Roman" w:hAnsi="Times New Roman" w:cs="Times New Roman"/>
                <w:color w:val="auto"/>
                <w:sz w:val="24"/>
                <w:szCs w:val="24"/>
                <w:vertAlign w:val="baseline"/>
                <w:lang w:val="en-US" w:eastAsia="zh-CN"/>
              </w:rPr>
              <w:t>，满足</w:t>
            </w:r>
            <w:r>
              <w:rPr>
                <w:rFonts w:hint="eastAsia"/>
                <w:color w:val="auto"/>
                <w:lang w:val="en-US" w:eastAsia="zh-CN"/>
              </w:rPr>
              <w:t>《大气污染物综合排放标准》（GB16297-1996）中相关限值：氯化物最高允许排放浓度100mg/m</w:t>
            </w:r>
            <w:r>
              <w:rPr>
                <w:rFonts w:hint="eastAsia"/>
                <w:color w:val="auto"/>
                <w:vertAlign w:val="superscript"/>
                <w:lang w:val="en-US" w:eastAsia="zh-CN"/>
              </w:rPr>
              <w:t>3</w:t>
            </w:r>
            <w:r>
              <w:rPr>
                <w:rFonts w:hint="eastAsia"/>
                <w:color w:val="auto"/>
                <w:lang w:val="en-US" w:eastAsia="zh-CN"/>
              </w:rPr>
              <w:t>，最高允许排放速率1.4kg/h，氟化物最高允许排放浓度9.0mg/m</w:t>
            </w:r>
            <w:r>
              <w:rPr>
                <w:rFonts w:hint="eastAsia"/>
                <w:color w:val="auto"/>
                <w:vertAlign w:val="superscript"/>
                <w:lang w:val="en-US" w:eastAsia="zh-CN"/>
              </w:rPr>
              <w:t>3</w:t>
            </w:r>
            <w:r>
              <w:rPr>
                <w:rFonts w:hint="eastAsia"/>
                <w:color w:val="auto"/>
                <w:lang w:val="en-US" w:eastAsia="zh-CN"/>
              </w:rPr>
              <w:t>，最高允许排放速率0.59kg/h，</w:t>
            </w:r>
            <w:r>
              <w:rPr>
                <w:rFonts w:hint="default" w:ascii="Times New Roman" w:hAnsi="Times New Roman" w:eastAsia="宋体" w:cs="Times New Roman"/>
                <w:color w:val="auto"/>
                <w:sz w:val="24"/>
                <w:szCs w:val="24"/>
              </w:rPr>
              <w:t>《工业企业挥发性有机物排放控制标准》（DB13 2322-2016）表1中</w:t>
            </w:r>
            <w:r>
              <w:rPr>
                <w:rFonts w:hint="default" w:ascii="Times New Roman" w:hAnsi="Times New Roman" w:eastAsia="宋体" w:cs="Times New Roman"/>
                <w:color w:val="auto"/>
                <w:sz w:val="24"/>
                <w:szCs w:val="24"/>
                <w:lang w:eastAsia="zh-CN"/>
              </w:rPr>
              <w:t>其他行业</w:t>
            </w:r>
            <w:r>
              <w:rPr>
                <w:rFonts w:hint="default" w:ascii="Times New Roman" w:hAnsi="Times New Roman" w:eastAsia="宋体" w:cs="Times New Roman"/>
                <w:color w:val="auto"/>
                <w:sz w:val="24"/>
                <w:szCs w:val="24"/>
              </w:rPr>
              <w:t>最高允许排放浓度：非甲烷总烃</w:t>
            </w:r>
            <w:r>
              <w:rPr>
                <w:rFonts w:hint="default" w:ascii="Times New Roman" w:hAnsi="Times New Roman" w:eastAsia="宋体" w:cs="Times New Roman"/>
                <w:color w:val="auto"/>
                <w:sz w:val="24"/>
                <w:szCs w:val="24"/>
                <w:lang w:val="en-US" w:eastAsia="zh-CN"/>
              </w:rPr>
              <w:t>8</w:t>
            </w:r>
            <w:r>
              <w:rPr>
                <w:rFonts w:hint="default" w:ascii="Times New Roman" w:hAnsi="Times New Roman" w:eastAsia="宋体" w:cs="Times New Roman"/>
                <w:color w:val="auto"/>
                <w:sz w:val="24"/>
                <w:szCs w:val="24"/>
              </w:rPr>
              <w:t>0mg/</w:t>
            </w:r>
            <w:r>
              <w:rPr>
                <w:rFonts w:hint="default" w:ascii="Times New Roman" w:hAnsi="Times New Roman" w:eastAsia="宋体" w:cs="Times New Roman"/>
                <w:color w:val="auto"/>
                <w:sz w:val="24"/>
                <w:szCs w:val="24"/>
                <w:lang w:eastAsia="zh-CN"/>
              </w:rPr>
              <w:t>m</w:t>
            </w:r>
            <w:r>
              <w:rPr>
                <w:rFonts w:hint="eastAsia" w:ascii="Times New Roman" w:hAnsi="Times New Roman" w:cs="Times New Roman"/>
                <w:color w:val="auto"/>
                <w:sz w:val="24"/>
                <w:szCs w:val="24"/>
                <w:vertAlign w:val="superscript"/>
                <w:lang w:val="en-US" w:eastAsia="zh-CN"/>
              </w:rPr>
              <w:t>3</w:t>
            </w:r>
            <w:r>
              <w:rPr>
                <w:rFonts w:hint="eastAsia" w:ascii="Times New Roman" w:hAnsi="Times New Roman" w:cs="Times New Roman"/>
                <w:color w:val="auto"/>
                <w:sz w:val="24"/>
                <w:szCs w:val="24"/>
                <w:vertAlign w:val="baseline"/>
                <w:lang w:val="en-US" w:eastAsia="zh-CN"/>
              </w:rPr>
              <w:t>，同时满足</w:t>
            </w:r>
            <w:r>
              <w:rPr>
                <w:rFonts w:hint="eastAsia" w:ascii="Times New Roman" w:hAnsi="Times New Roman" w:cs="Times New Roman"/>
                <w:color w:val="auto"/>
                <w:sz w:val="24"/>
                <w:szCs w:val="24"/>
                <w:lang w:val="en-US" w:eastAsia="zh-CN"/>
              </w:rPr>
              <w:t>企业承诺限值：氯化氢排放浓度不高于10mg/m</w:t>
            </w:r>
            <w:r>
              <w:rPr>
                <w:rFonts w:hint="eastAsia" w:ascii="Times New Roman" w:hAnsi="Times New Roman" w:cs="Times New Roman"/>
                <w:color w:val="auto"/>
                <w:sz w:val="24"/>
                <w:szCs w:val="24"/>
                <w:vertAlign w:val="superscript"/>
                <w:lang w:val="en-US" w:eastAsia="zh-CN"/>
              </w:rPr>
              <w:t>3</w:t>
            </w:r>
            <w:r>
              <w:rPr>
                <w:rFonts w:hint="eastAsia" w:ascii="Times New Roman" w:hAnsi="Times New Roman" w:cs="Times New Roman"/>
                <w:color w:val="auto"/>
                <w:sz w:val="24"/>
                <w:szCs w:val="24"/>
                <w:lang w:val="en-US" w:eastAsia="zh-CN"/>
              </w:rPr>
              <w:t>，氟化物排放浓度不高于3mg/m</w:t>
            </w:r>
            <w:r>
              <w:rPr>
                <w:rFonts w:hint="eastAsia" w:ascii="Times New Roman" w:hAnsi="Times New Roman" w:cs="Times New Roman"/>
                <w:color w:val="auto"/>
                <w:sz w:val="24"/>
                <w:szCs w:val="24"/>
                <w:vertAlign w:val="superscript"/>
                <w:lang w:val="en-US" w:eastAsia="zh-CN"/>
              </w:rPr>
              <w:t>3</w:t>
            </w:r>
            <w:r>
              <w:rPr>
                <w:rFonts w:hint="eastAsia" w:ascii="Times New Roman" w:hAnsi="Times New Roman" w:cs="Times New Roman"/>
                <w:color w:val="auto"/>
                <w:sz w:val="24"/>
                <w:szCs w:val="24"/>
                <w:lang w:val="en-US" w:eastAsia="zh-CN"/>
              </w:rPr>
              <w:t>，非甲烷总烃排放浓度不高于50mg/m</w:t>
            </w:r>
            <w:r>
              <w:rPr>
                <w:rFonts w:hint="eastAsia" w:ascii="Times New Roman" w:hAnsi="Times New Roman" w:cs="Times New Roman"/>
                <w:color w:val="auto"/>
                <w:sz w:val="24"/>
                <w:szCs w:val="24"/>
                <w:vertAlign w:val="superscript"/>
                <w:lang w:val="en-US" w:eastAsia="zh-CN"/>
              </w:rPr>
              <w:t>3</w:t>
            </w:r>
            <w:r>
              <w:rPr>
                <w:rFonts w:hint="eastAsia" w:ascii="Times New Roman" w:hAnsi="Times New Roman" w:cs="Times New Roman"/>
                <w:color w:val="auto"/>
                <w:sz w:val="24"/>
                <w:szCs w:val="24"/>
                <w:vertAlign w:val="baseline"/>
                <w:lang w:val="en-US" w:eastAsia="zh-CN"/>
              </w:rPr>
              <w:t>。</w:t>
            </w:r>
          </w:p>
          <w:p>
            <w:pPr>
              <w:bidi w:val="0"/>
              <w:rPr>
                <w:rFonts w:hint="eastAsia"/>
                <w:b/>
                <w:bCs/>
                <w:color w:val="auto"/>
                <w:lang w:val="en-US" w:eastAsia="zh-CN"/>
              </w:rPr>
            </w:pPr>
            <w:r>
              <w:rPr>
                <w:rFonts w:hint="eastAsia"/>
                <w:b/>
                <w:bCs/>
                <w:color w:val="auto"/>
                <w:lang w:val="en-US" w:eastAsia="zh-CN"/>
              </w:rPr>
              <w:t>1.2.5无组织废气</w:t>
            </w:r>
          </w:p>
          <w:p>
            <w:pPr>
              <w:bidi w:val="0"/>
              <w:rPr>
                <w:rFonts w:hint="eastAsia" w:eastAsia="宋体"/>
                <w:color w:val="auto"/>
                <w:vertAlign w:val="baseline"/>
                <w:lang w:val="en-US" w:eastAsia="zh-CN"/>
              </w:rPr>
            </w:pPr>
            <w:r>
              <w:rPr>
                <w:rFonts w:hint="eastAsia"/>
                <w:color w:val="auto"/>
                <w:lang w:val="en-US" w:eastAsia="zh-CN"/>
              </w:rPr>
              <w:t>根据1.2.1至1.2.3分析，本项目非甲烷总烃无组织排放量为0.0087t/a，最大排放速率为0.0029kg/h，氯化氢无组织排放量为0.000023t/a，排放速率为0.000005kg/h，</w:t>
            </w:r>
            <w:r>
              <w:rPr>
                <w:rFonts w:ascii="Times New Roman" w:hAnsi="Times New Roman"/>
                <w:color w:val="auto"/>
                <w:sz w:val="24"/>
                <w:szCs w:val="24"/>
                <w:highlight w:val="none"/>
              </w:rPr>
              <w:t>经AERSCREEN预测</w:t>
            </w:r>
            <w:r>
              <w:rPr>
                <w:rFonts w:hint="eastAsia" w:ascii="Times New Roman" w:hAnsi="Times New Roman"/>
                <w:color w:val="auto"/>
                <w:sz w:val="24"/>
                <w:szCs w:val="24"/>
                <w:highlight w:val="none"/>
                <w:lang w:eastAsia="zh-CN"/>
              </w:rPr>
              <w:t>，</w:t>
            </w:r>
            <w:r>
              <w:rPr>
                <w:rFonts w:hint="eastAsia" w:ascii="Times New Roman" w:hAnsi="Times New Roman"/>
                <w:color w:val="auto"/>
                <w:sz w:val="24"/>
                <w:szCs w:val="24"/>
                <w:highlight w:val="none"/>
                <w:lang w:val="en-US" w:eastAsia="zh-CN"/>
              </w:rPr>
              <w:t>氯化氢最大落地浓度为1.76</w:t>
            </w:r>
            <w:r>
              <w:rPr>
                <w:rFonts w:hint="default" w:ascii="Times New Roman" w:hAnsi="Times New Roman" w:cs="Times New Roman"/>
                <w:color w:val="auto"/>
                <w:sz w:val="24"/>
                <w:szCs w:val="24"/>
                <w:highlight w:val="none"/>
                <w:lang w:val="en-US" w:eastAsia="zh-CN"/>
              </w:rPr>
              <w:t>×</w:t>
            </w:r>
            <w:r>
              <w:rPr>
                <w:rFonts w:hint="eastAsia" w:ascii="Times New Roman" w:hAnsi="Times New Roman"/>
                <w:color w:val="auto"/>
                <w:sz w:val="24"/>
                <w:szCs w:val="24"/>
                <w:highlight w:val="none"/>
                <w:lang w:val="en-US" w:eastAsia="zh-CN"/>
              </w:rPr>
              <w:t>10</w:t>
            </w:r>
            <w:r>
              <w:rPr>
                <w:rFonts w:hint="eastAsia" w:ascii="Times New Roman" w:hAnsi="Times New Roman"/>
                <w:color w:val="auto"/>
                <w:sz w:val="24"/>
                <w:szCs w:val="24"/>
                <w:highlight w:val="none"/>
                <w:vertAlign w:val="superscript"/>
                <w:lang w:val="en-US" w:eastAsia="zh-CN"/>
              </w:rPr>
              <w:t>-6</w:t>
            </w:r>
            <w:r>
              <w:rPr>
                <w:rFonts w:hint="eastAsia" w:ascii="Times New Roman" w:hAnsi="Times New Roman"/>
                <w:color w:val="auto"/>
                <w:sz w:val="24"/>
                <w:szCs w:val="24"/>
                <w:highlight w:val="none"/>
                <w:lang w:val="en-US" w:eastAsia="zh-CN"/>
              </w:rPr>
              <w:t>mg/m</w:t>
            </w:r>
            <w:r>
              <w:rPr>
                <w:rFonts w:hint="eastAsia" w:ascii="Times New Roman" w:hAnsi="Times New Roman"/>
                <w:color w:val="auto"/>
                <w:sz w:val="24"/>
                <w:szCs w:val="24"/>
                <w:highlight w:val="none"/>
                <w:vertAlign w:val="superscript"/>
                <w:lang w:val="en-US" w:eastAsia="zh-CN"/>
              </w:rPr>
              <w:t>3</w:t>
            </w:r>
            <w:r>
              <w:rPr>
                <w:rFonts w:hint="eastAsia" w:ascii="Times New Roman" w:hAnsi="Times New Roman"/>
                <w:color w:val="auto"/>
                <w:sz w:val="24"/>
                <w:szCs w:val="24"/>
                <w:highlight w:val="none"/>
                <w:lang w:val="en-US" w:eastAsia="zh-CN"/>
              </w:rPr>
              <w:t>，满足</w:t>
            </w:r>
            <w:r>
              <w:rPr>
                <w:rFonts w:hint="default"/>
                <w:color w:val="auto"/>
                <w:sz w:val="24"/>
                <w:szCs w:val="24"/>
                <w:highlight w:val="none"/>
              </w:rPr>
              <w:t>《大气污染物综合排放标准》（GB16297-1996）表2中无组织排放监控浓度限值要求：</w:t>
            </w:r>
            <w:r>
              <w:rPr>
                <w:rFonts w:hint="eastAsia"/>
                <w:color w:val="auto"/>
                <w:sz w:val="24"/>
                <w:szCs w:val="24"/>
                <w:highlight w:val="none"/>
                <w:lang w:val="en-US" w:eastAsia="zh-CN"/>
              </w:rPr>
              <w:t>氯化氢</w:t>
            </w:r>
            <w:r>
              <w:rPr>
                <w:rFonts w:hint="default"/>
                <w:color w:val="auto"/>
                <w:sz w:val="24"/>
                <w:szCs w:val="24"/>
                <w:highlight w:val="none"/>
              </w:rPr>
              <w:t>无组织排放周界外浓度最高</w:t>
            </w:r>
            <w:r>
              <w:rPr>
                <w:rFonts w:hint="eastAsia"/>
                <w:color w:val="auto"/>
                <w:sz w:val="24"/>
                <w:szCs w:val="24"/>
                <w:highlight w:val="none"/>
                <w:lang w:val="en-US" w:eastAsia="zh-CN"/>
              </w:rPr>
              <w:t>0.2</w:t>
            </w:r>
            <w:r>
              <w:rPr>
                <w:rFonts w:hint="default"/>
                <w:color w:val="auto"/>
                <w:sz w:val="24"/>
                <w:szCs w:val="24"/>
                <w:highlight w:val="none"/>
              </w:rPr>
              <w:t>mg/m</w:t>
            </w:r>
            <w:r>
              <w:rPr>
                <w:rFonts w:hint="default"/>
                <w:color w:val="auto"/>
                <w:sz w:val="24"/>
                <w:szCs w:val="24"/>
                <w:highlight w:val="none"/>
                <w:vertAlign w:val="superscript"/>
              </w:rPr>
              <w:t>3</w:t>
            </w:r>
            <w:r>
              <w:rPr>
                <w:rFonts w:hint="eastAsia"/>
                <w:color w:val="auto"/>
                <w:sz w:val="24"/>
                <w:szCs w:val="24"/>
                <w:highlight w:val="none"/>
                <w:vertAlign w:val="baseline"/>
                <w:lang w:eastAsia="zh-CN"/>
              </w:rPr>
              <w:t>；</w:t>
            </w:r>
            <w:r>
              <w:rPr>
                <w:rFonts w:hint="eastAsia" w:ascii="Times New Roman" w:hAnsi="Times New Roman"/>
                <w:color w:val="auto"/>
                <w:sz w:val="24"/>
                <w:szCs w:val="24"/>
                <w:highlight w:val="none"/>
                <w:lang w:val="en-US" w:eastAsia="zh-CN"/>
              </w:rPr>
              <w:t>非甲烷总烃最大落地浓度为0.00102mg/m</w:t>
            </w:r>
            <w:r>
              <w:rPr>
                <w:rFonts w:hint="eastAsia" w:ascii="Times New Roman" w:hAnsi="Times New Roman"/>
                <w:color w:val="auto"/>
                <w:sz w:val="24"/>
                <w:szCs w:val="24"/>
                <w:highlight w:val="none"/>
                <w:vertAlign w:val="superscript"/>
                <w:lang w:val="en-US" w:eastAsia="zh-CN"/>
              </w:rPr>
              <w:t>3</w:t>
            </w:r>
            <w:r>
              <w:rPr>
                <w:rFonts w:hint="eastAsia" w:ascii="Times New Roman" w:hAnsi="Times New Roman"/>
                <w:color w:val="auto"/>
                <w:sz w:val="24"/>
                <w:szCs w:val="24"/>
                <w:highlight w:val="none"/>
                <w:lang w:val="en-US" w:eastAsia="zh-CN"/>
              </w:rPr>
              <w:t>，根据现有工程验收检测报告，厂界非甲烷总烃最大浓度为1.40mg/m</w:t>
            </w:r>
            <w:r>
              <w:rPr>
                <w:rFonts w:hint="eastAsia" w:ascii="Times New Roman" w:hAnsi="Times New Roman"/>
                <w:color w:val="auto"/>
                <w:sz w:val="24"/>
                <w:szCs w:val="24"/>
                <w:highlight w:val="none"/>
                <w:vertAlign w:val="superscript"/>
                <w:lang w:val="en-US" w:eastAsia="zh-CN"/>
              </w:rPr>
              <w:t>3</w:t>
            </w:r>
            <w:r>
              <w:rPr>
                <w:rFonts w:hint="eastAsia" w:ascii="Times New Roman" w:hAnsi="Times New Roman"/>
                <w:color w:val="auto"/>
                <w:sz w:val="24"/>
                <w:szCs w:val="24"/>
                <w:highlight w:val="none"/>
                <w:vertAlign w:val="baseline"/>
                <w:lang w:val="en-US" w:eastAsia="zh-CN"/>
              </w:rPr>
              <w:t>，</w:t>
            </w:r>
            <w:r>
              <w:rPr>
                <w:rFonts w:hint="eastAsia"/>
                <w:color w:val="auto"/>
                <w:sz w:val="24"/>
                <w:szCs w:val="24"/>
                <w:highlight w:val="none"/>
                <w:vertAlign w:val="baseline"/>
                <w:lang w:val="en-US" w:eastAsia="zh-CN"/>
              </w:rPr>
              <w:t>本项目</w:t>
            </w:r>
            <w:r>
              <w:rPr>
                <w:rFonts w:hint="eastAsia"/>
                <w:color w:val="auto"/>
                <w:sz w:val="24"/>
                <w:szCs w:val="24"/>
                <w:highlight w:val="none"/>
                <w:lang w:val="en-US" w:eastAsia="zh-CN"/>
              </w:rPr>
              <w:t>非甲烷总烃</w:t>
            </w:r>
            <w:r>
              <w:rPr>
                <w:rFonts w:hint="eastAsia"/>
                <w:color w:val="auto"/>
                <w:sz w:val="24"/>
                <w:szCs w:val="24"/>
                <w:highlight w:val="none"/>
                <w:vertAlign w:val="baseline"/>
                <w:lang w:val="en-US" w:eastAsia="zh-CN"/>
              </w:rPr>
              <w:t>最大落地浓度叠加现有工程厂界无组织最大排放浓度为1.40102</w:t>
            </w:r>
            <w:r>
              <w:rPr>
                <w:rFonts w:hint="eastAsia" w:ascii="Times New Roman" w:hAnsi="Times New Roman" w:cs="Times New Roman"/>
                <w:color w:val="auto"/>
                <w:sz w:val="24"/>
                <w:szCs w:val="24"/>
                <w:highlight w:val="none"/>
                <w:lang w:val="en-US" w:eastAsia="zh-CN"/>
              </w:rPr>
              <w:t>m</w:t>
            </w:r>
            <w:r>
              <w:rPr>
                <w:rFonts w:hint="eastAsia" w:ascii="Times New Roman" w:hAnsi="Times New Roman"/>
                <w:color w:val="auto"/>
                <w:sz w:val="24"/>
                <w:szCs w:val="24"/>
                <w:highlight w:val="none"/>
                <w:lang w:val="en-US" w:eastAsia="zh-CN"/>
              </w:rPr>
              <w:t>g/m</w:t>
            </w:r>
            <w:r>
              <w:rPr>
                <w:rFonts w:hint="eastAsia" w:ascii="Times New Roman" w:hAnsi="Times New Roman"/>
                <w:color w:val="auto"/>
                <w:sz w:val="24"/>
                <w:szCs w:val="24"/>
                <w:highlight w:val="none"/>
                <w:vertAlign w:val="superscript"/>
                <w:lang w:val="en-US" w:eastAsia="zh-CN"/>
              </w:rPr>
              <w:t>3</w:t>
            </w:r>
            <w:r>
              <w:rPr>
                <w:rFonts w:hint="eastAsia" w:ascii="Times New Roman" w:hAnsi="Times New Roman"/>
                <w:color w:val="auto"/>
                <w:sz w:val="24"/>
                <w:szCs w:val="24"/>
                <w:highlight w:val="none"/>
                <w:vertAlign w:val="baseline"/>
                <w:lang w:val="en-US" w:eastAsia="zh-CN"/>
              </w:rPr>
              <w:t>，满足</w:t>
            </w:r>
            <w:r>
              <w:rPr>
                <w:color w:val="auto"/>
                <w:sz w:val="24"/>
                <w:szCs w:val="24"/>
                <w:highlight w:val="none"/>
              </w:rPr>
              <w:t>《工业企业挥发性有机物排放控制标准》（DB13/2322-2016）</w:t>
            </w:r>
            <w:r>
              <w:rPr>
                <w:rFonts w:hint="eastAsia"/>
                <w:color w:val="auto"/>
                <w:sz w:val="24"/>
                <w:szCs w:val="24"/>
                <w:highlight w:val="none"/>
              </w:rPr>
              <w:t>表</w:t>
            </w:r>
            <w:r>
              <w:rPr>
                <w:color w:val="auto"/>
                <w:sz w:val="24"/>
                <w:szCs w:val="24"/>
                <w:highlight w:val="none"/>
              </w:rPr>
              <w:t>2</w:t>
            </w:r>
            <w:r>
              <w:rPr>
                <w:rFonts w:hint="eastAsia"/>
                <w:color w:val="auto"/>
                <w:sz w:val="24"/>
                <w:szCs w:val="24"/>
                <w:highlight w:val="none"/>
              </w:rPr>
              <w:t>企业边界大气污染物浓度限值中其他企业：非甲烷总烃</w:t>
            </w:r>
            <w:r>
              <w:rPr>
                <w:color w:val="auto"/>
                <w:sz w:val="24"/>
                <w:szCs w:val="24"/>
                <w:highlight w:val="none"/>
              </w:rPr>
              <w:t>2.0mg/m</w:t>
            </w:r>
            <w:r>
              <w:rPr>
                <w:color w:val="auto"/>
                <w:sz w:val="24"/>
                <w:szCs w:val="24"/>
                <w:highlight w:val="none"/>
                <w:vertAlign w:val="superscript"/>
              </w:rPr>
              <w:t>3</w:t>
            </w:r>
            <w:r>
              <w:rPr>
                <w:rFonts w:hint="eastAsia"/>
                <w:color w:val="auto"/>
                <w:sz w:val="24"/>
                <w:szCs w:val="24"/>
                <w:highlight w:val="none"/>
                <w:vertAlign w:val="baseline"/>
                <w:lang w:eastAsia="zh-CN"/>
              </w:rPr>
              <w:t>。</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2" w:firstLineChars="200"/>
              <w:textAlignment w:val="auto"/>
              <w:rPr>
                <w:rFonts w:hint="eastAsia"/>
                <w:b/>
                <w:bCs/>
                <w:color w:val="auto"/>
                <w:highlight w:val="none"/>
                <w:lang w:val="en-US" w:eastAsia="zh-CN"/>
              </w:rPr>
            </w:pPr>
            <w:r>
              <w:rPr>
                <w:rFonts w:hint="eastAsia"/>
                <w:b/>
                <w:bCs/>
                <w:color w:val="auto"/>
                <w:highlight w:val="none"/>
                <w:lang w:val="en-US" w:eastAsia="zh-CN"/>
              </w:rPr>
              <w:t>1.3非正常情况分析</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color w:val="auto"/>
                <w:highlight w:val="none"/>
                <w:lang w:val="en-US" w:eastAsia="zh-CN"/>
              </w:rPr>
            </w:pPr>
            <w:r>
              <w:rPr>
                <w:rFonts w:hint="eastAsia"/>
                <w:color w:val="auto"/>
                <w:highlight w:val="none"/>
                <w:lang w:val="en-US" w:eastAsia="zh-CN"/>
              </w:rPr>
              <w:t>本项目可能发生的非正常工况主要为环保设施发生故障，发生故障时污染物不经过处理，直接排放至大气中，废气治理设施效率按0%计。故障频次按每年发生1次，每次持续0.5h计。环保设施发生故障后，立即停产，对故障设施进行检修，待故障设施恢复正常后恢复生产。本项目非正常工况污染物排放情况见下表。</w:t>
            </w:r>
          </w:p>
          <w:p>
            <w:pPr>
              <w:pStyle w:val="4"/>
              <w:keepNext w:val="0"/>
              <w:keepLines w:val="0"/>
              <w:pageBreakBefore w:val="0"/>
              <w:widowControl w:val="0"/>
              <w:kinsoku/>
              <w:wordWrap/>
              <w:overflowPunct/>
              <w:topLinePunct w:val="0"/>
              <w:autoSpaceDE/>
              <w:autoSpaceDN/>
              <w:bidi w:val="0"/>
              <w:adjustRightInd w:val="0"/>
              <w:snapToGrid w:val="0"/>
              <w:spacing w:line="480" w:lineRule="exact"/>
              <w:textAlignment w:val="auto"/>
              <w:rPr>
                <w:rFonts w:hint="default"/>
                <w:color w:val="auto"/>
                <w:sz w:val="21"/>
                <w:szCs w:val="21"/>
                <w:highlight w:val="none"/>
                <w:shd w:val="clear" w:color="auto" w:fill="auto"/>
              </w:rPr>
            </w:pPr>
          </w:p>
          <w:p>
            <w:pPr>
              <w:pStyle w:val="4"/>
              <w:keepNext w:val="0"/>
              <w:keepLines w:val="0"/>
              <w:pageBreakBefore w:val="0"/>
              <w:widowControl w:val="0"/>
              <w:kinsoku/>
              <w:wordWrap/>
              <w:overflowPunct/>
              <w:topLinePunct w:val="0"/>
              <w:autoSpaceDE/>
              <w:autoSpaceDN/>
              <w:bidi w:val="0"/>
              <w:adjustRightInd w:val="0"/>
              <w:snapToGrid w:val="0"/>
              <w:spacing w:line="480" w:lineRule="exact"/>
              <w:textAlignment w:val="auto"/>
              <w:rPr>
                <w:rFonts w:hint="default"/>
                <w:color w:val="auto"/>
                <w:sz w:val="21"/>
                <w:szCs w:val="21"/>
                <w:highlight w:val="none"/>
                <w:shd w:val="clear" w:color="auto" w:fill="auto"/>
              </w:rPr>
            </w:pPr>
            <w:r>
              <w:rPr>
                <w:rFonts w:hint="default"/>
                <w:color w:val="auto"/>
                <w:sz w:val="21"/>
                <w:szCs w:val="21"/>
                <w:highlight w:val="none"/>
                <w:shd w:val="clear" w:color="auto" w:fill="auto"/>
              </w:rPr>
              <w:t>表</w:t>
            </w:r>
            <w:r>
              <w:rPr>
                <w:rFonts w:hint="eastAsia"/>
                <w:color w:val="auto"/>
                <w:sz w:val="21"/>
                <w:szCs w:val="21"/>
                <w:highlight w:val="none"/>
                <w:shd w:val="clear" w:color="auto" w:fill="auto"/>
                <w:lang w:val="en-US" w:eastAsia="zh-CN"/>
              </w:rPr>
              <w:t>29</w:t>
            </w:r>
            <w:r>
              <w:rPr>
                <w:rFonts w:hint="default"/>
                <w:color w:val="auto"/>
                <w:sz w:val="21"/>
                <w:szCs w:val="21"/>
                <w:highlight w:val="none"/>
                <w:shd w:val="clear" w:color="auto" w:fill="auto"/>
              </w:rPr>
              <w:t xml:space="preserve">  </w:t>
            </w:r>
            <w:r>
              <w:rPr>
                <w:rFonts w:hint="eastAsia"/>
                <w:color w:val="auto"/>
                <w:sz w:val="21"/>
                <w:szCs w:val="21"/>
                <w:highlight w:val="none"/>
                <w:shd w:val="clear" w:color="auto" w:fill="auto"/>
                <w:lang w:eastAsia="zh-CN"/>
              </w:rPr>
              <w:t>非正常排放参数一</w:t>
            </w:r>
            <w:r>
              <w:rPr>
                <w:rFonts w:hint="default"/>
                <w:color w:val="auto"/>
                <w:sz w:val="21"/>
                <w:szCs w:val="21"/>
                <w:highlight w:val="none"/>
                <w:shd w:val="clear" w:color="auto" w:fill="auto"/>
              </w:rPr>
              <w:t>览表</w:t>
            </w:r>
          </w:p>
          <w:tbl>
            <w:tblPr>
              <w:tblStyle w:val="24"/>
              <w:tblW w:w="8277"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1844"/>
              <w:gridCol w:w="726"/>
              <w:gridCol w:w="1300"/>
              <w:gridCol w:w="967"/>
              <w:gridCol w:w="1192"/>
              <w:gridCol w:w="1123"/>
              <w:gridCol w:w="1125"/>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534" w:hRule="atLeast"/>
                <w:jc w:val="center"/>
              </w:trPr>
              <w:tc>
                <w:tcPr>
                  <w:tcW w:w="184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aps w:val="0"/>
                      <w:color w:val="auto"/>
                      <w:spacing w:val="0"/>
                      <w:position w:val="0"/>
                      <w:sz w:val="21"/>
                      <w:szCs w:val="21"/>
                      <w:highlight w:val="none"/>
                      <w:shd w:val="clear" w:color="auto" w:fill="auto"/>
                      <w:lang w:eastAsia="zh-CN"/>
                    </w:rPr>
                  </w:pPr>
                  <w:r>
                    <w:rPr>
                      <w:rFonts w:hint="eastAsia" w:ascii="Times New Roman" w:hAnsi="Times New Roman" w:eastAsia="宋体" w:cs="Times New Roman"/>
                      <w:b w:val="0"/>
                      <w:bCs/>
                      <w:caps w:val="0"/>
                      <w:color w:val="auto"/>
                      <w:spacing w:val="0"/>
                      <w:position w:val="0"/>
                      <w:sz w:val="21"/>
                      <w:szCs w:val="21"/>
                      <w:highlight w:val="none"/>
                      <w:shd w:val="clear" w:color="auto" w:fill="auto"/>
                      <w:lang w:eastAsia="zh-CN"/>
                    </w:rPr>
                    <w:t>非正常排放源</w:t>
                  </w:r>
                </w:p>
              </w:tc>
              <w:tc>
                <w:tcPr>
                  <w:tcW w:w="72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aps w:val="0"/>
                      <w:color w:val="auto"/>
                      <w:spacing w:val="0"/>
                      <w:position w:val="0"/>
                      <w:sz w:val="21"/>
                      <w:szCs w:val="21"/>
                      <w:highlight w:val="none"/>
                      <w:shd w:val="clear" w:color="auto" w:fill="auto"/>
                      <w:lang w:eastAsia="zh-CN"/>
                    </w:rPr>
                  </w:pPr>
                  <w:r>
                    <w:rPr>
                      <w:rFonts w:hint="eastAsia" w:ascii="Times New Roman" w:hAnsi="Times New Roman" w:eastAsia="宋体" w:cs="Times New Roman"/>
                      <w:b w:val="0"/>
                      <w:bCs/>
                      <w:caps w:val="0"/>
                      <w:color w:val="auto"/>
                      <w:spacing w:val="0"/>
                      <w:position w:val="0"/>
                      <w:sz w:val="21"/>
                      <w:szCs w:val="21"/>
                      <w:highlight w:val="none"/>
                      <w:shd w:val="clear" w:color="auto" w:fill="auto"/>
                      <w:lang w:eastAsia="zh-CN"/>
                    </w:rPr>
                    <w:t>频次</w:t>
                  </w:r>
                </w:p>
              </w:tc>
              <w:tc>
                <w:tcPr>
                  <w:tcW w:w="130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aps w:val="0"/>
                      <w:color w:val="auto"/>
                      <w:spacing w:val="0"/>
                      <w:position w:val="0"/>
                      <w:sz w:val="21"/>
                      <w:szCs w:val="21"/>
                      <w:highlight w:val="none"/>
                      <w:shd w:val="clear" w:color="auto" w:fill="auto"/>
                      <w:lang w:eastAsia="zh-CN"/>
                    </w:rPr>
                  </w:pPr>
                  <w:r>
                    <w:rPr>
                      <w:rFonts w:hint="eastAsia" w:ascii="Times New Roman" w:hAnsi="Times New Roman" w:eastAsia="宋体" w:cs="Times New Roman"/>
                      <w:b w:val="0"/>
                      <w:bCs/>
                      <w:caps w:val="0"/>
                      <w:color w:val="auto"/>
                      <w:spacing w:val="0"/>
                      <w:position w:val="0"/>
                      <w:sz w:val="21"/>
                      <w:szCs w:val="21"/>
                      <w:highlight w:val="none"/>
                      <w:shd w:val="clear" w:color="auto" w:fill="auto"/>
                      <w:lang w:eastAsia="zh-CN"/>
                    </w:rPr>
                    <w:t>排放浓度</w:t>
                  </w:r>
                </w:p>
              </w:tc>
              <w:tc>
                <w:tcPr>
                  <w:tcW w:w="96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aps w:val="0"/>
                      <w:color w:val="auto"/>
                      <w:spacing w:val="0"/>
                      <w:position w:val="0"/>
                      <w:sz w:val="21"/>
                      <w:szCs w:val="21"/>
                      <w:highlight w:val="none"/>
                      <w:shd w:val="clear" w:color="auto" w:fill="auto"/>
                      <w:lang w:eastAsia="zh-CN"/>
                    </w:rPr>
                  </w:pPr>
                  <w:r>
                    <w:rPr>
                      <w:rFonts w:hint="eastAsia" w:ascii="Times New Roman" w:hAnsi="Times New Roman" w:eastAsia="宋体" w:cs="Times New Roman"/>
                      <w:b w:val="0"/>
                      <w:bCs/>
                      <w:caps w:val="0"/>
                      <w:color w:val="auto"/>
                      <w:spacing w:val="0"/>
                      <w:position w:val="0"/>
                      <w:sz w:val="21"/>
                      <w:szCs w:val="21"/>
                      <w:highlight w:val="none"/>
                      <w:shd w:val="clear" w:color="auto" w:fill="auto"/>
                      <w:lang w:eastAsia="zh-CN"/>
                    </w:rPr>
                    <w:t>持续时间</w:t>
                  </w:r>
                </w:p>
              </w:tc>
              <w:tc>
                <w:tcPr>
                  <w:tcW w:w="119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aps w:val="0"/>
                      <w:color w:val="auto"/>
                      <w:spacing w:val="0"/>
                      <w:position w:val="0"/>
                      <w:sz w:val="21"/>
                      <w:szCs w:val="21"/>
                      <w:highlight w:val="none"/>
                      <w:shd w:val="clear" w:color="auto" w:fill="auto"/>
                      <w:lang w:val="en-US" w:eastAsia="zh-CN"/>
                    </w:rPr>
                  </w:pPr>
                  <w:r>
                    <w:rPr>
                      <w:rFonts w:hint="eastAsia" w:ascii="Times New Roman" w:hAnsi="Times New Roman" w:eastAsia="宋体" w:cs="Times New Roman"/>
                      <w:b w:val="0"/>
                      <w:bCs/>
                      <w:caps w:val="0"/>
                      <w:color w:val="auto"/>
                      <w:spacing w:val="0"/>
                      <w:position w:val="0"/>
                      <w:sz w:val="21"/>
                      <w:szCs w:val="21"/>
                      <w:highlight w:val="none"/>
                      <w:shd w:val="clear" w:color="auto" w:fill="auto"/>
                      <w:lang w:val="en-US" w:eastAsia="zh-CN"/>
                    </w:rPr>
                    <w:t>污染物</w:t>
                  </w:r>
                </w:p>
              </w:tc>
              <w:tc>
                <w:tcPr>
                  <w:tcW w:w="112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aps w:val="0"/>
                      <w:color w:val="auto"/>
                      <w:spacing w:val="0"/>
                      <w:position w:val="0"/>
                      <w:sz w:val="21"/>
                      <w:szCs w:val="21"/>
                      <w:highlight w:val="none"/>
                      <w:shd w:val="clear" w:color="auto" w:fill="auto"/>
                      <w:lang w:eastAsia="zh-CN"/>
                    </w:rPr>
                  </w:pPr>
                  <w:r>
                    <w:rPr>
                      <w:rFonts w:hint="eastAsia" w:ascii="Times New Roman" w:hAnsi="Times New Roman" w:eastAsia="宋体" w:cs="Times New Roman"/>
                      <w:b w:val="0"/>
                      <w:bCs/>
                      <w:caps w:val="0"/>
                      <w:color w:val="auto"/>
                      <w:spacing w:val="0"/>
                      <w:position w:val="0"/>
                      <w:sz w:val="21"/>
                      <w:szCs w:val="21"/>
                      <w:highlight w:val="none"/>
                      <w:shd w:val="clear" w:color="auto" w:fill="auto"/>
                      <w:lang w:eastAsia="zh-CN"/>
                    </w:rPr>
                    <w:t>排放量</w:t>
                  </w:r>
                </w:p>
              </w:tc>
              <w:tc>
                <w:tcPr>
                  <w:tcW w:w="112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aps w:val="0"/>
                      <w:color w:val="auto"/>
                      <w:spacing w:val="0"/>
                      <w:position w:val="0"/>
                      <w:sz w:val="21"/>
                      <w:szCs w:val="21"/>
                      <w:highlight w:val="none"/>
                      <w:shd w:val="clear" w:color="auto" w:fill="auto"/>
                      <w:lang w:eastAsia="zh-CN"/>
                    </w:rPr>
                  </w:pPr>
                  <w:r>
                    <w:rPr>
                      <w:rFonts w:hint="eastAsia" w:ascii="Times New Roman" w:hAnsi="Times New Roman" w:eastAsia="宋体" w:cs="Times New Roman"/>
                      <w:b w:val="0"/>
                      <w:bCs/>
                      <w:caps w:val="0"/>
                      <w:color w:val="auto"/>
                      <w:spacing w:val="0"/>
                      <w:position w:val="0"/>
                      <w:sz w:val="21"/>
                      <w:szCs w:val="21"/>
                      <w:highlight w:val="none"/>
                      <w:shd w:val="clear" w:color="auto" w:fill="auto"/>
                      <w:lang w:eastAsia="zh-CN"/>
                    </w:rPr>
                    <w:t>措施</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690" w:hRule="atLeast"/>
                <w:jc w:val="center"/>
              </w:trPr>
              <w:tc>
                <w:tcPr>
                  <w:tcW w:w="184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aps w:val="0"/>
                      <w:color w:val="auto"/>
                      <w:spacing w:val="0"/>
                      <w:position w:val="0"/>
                      <w:sz w:val="21"/>
                      <w:szCs w:val="21"/>
                      <w:highlight w:val="none"/>
                      <w:shd w:val="clear" w:color="auto" w:fill="auto"/>
                      <w:lang w:val="en-US" w:eastAsia="zh-CN"/>
                    </w:rPr>
                  </w:pPr>
                  <w:r>
                    <w:rPr>
                      <w:rFonts w:hint="eastAsia" w:cs="Times New Roman"/>
                      <w:b w:val="0"/>
                      <w:bCs/>
                      <w:caps w:val="0"/>
                      <w:color w:val="auto"/>
                      <w:spacing w:val="0"/>
                      <w:position w:val="0"/>
                      <w:sz w:val="21"/>
                      <w:szCs w:val="21"/>
                      <w:highlight w:val="none"/>
                      <w:shd w:val="clear" w:color="auto" w:fill="auto"/>
                      <w:lang w:val="en-US" w:eastAsia="zh-CN"/>
                    </w:rPr>
                    <w:t>两级活性炭吸附装置发生故障</w:t>
                  </w:r>
                </w:p>
              </w:tc>
              <w:tc>
                <w:tcPr>
                  <w:tcW w:w="72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aps w:val="0"/>
                      <w:color w:val="auto"/>
                      <w:spacing w:val="0"/>
                      <w:position w:val="0"/>
                      <w:sz w:val="21"/>
                      <w:szCs w:val="21"/>
                      <w:highlight w:val="none"/>
                      <w:shd w:val="clear" w:color="auto" w:fill="auto"/>
                      <w:lang w:val="en-US" w:eastAsia="zh-CN"/>
                    </w:rPr>
                  </w:pPr>
                  <w:r>
                    <w:rPr>
                      <w:rFonts w:hint="eastAsia" w:ascii="Times New Roman" w:hAnsi="Times New Roman" w:cs="Times New Roman"/>
                      <w:b w:val="0"/>
                      <w:bCs/>
                      <w:caps w:val="0"/>
                      <w:color w:val="auto"/>
                      <w:spacing w:val="0"/>
                      <w:position w:val="0"/>
                      <w:sz w:val="21"/>
                      <w:szCs w:val="21"/>
                      <w:highlight w:val="none"/>
                      <w:shd w:val="clear" w:color="auto" w:fill="auto"/>
                      <w:lang w:val="en-US" w:eastAsia="zh-CN"/>
                    </w:rPr>
                    <w:t>1次/年</w:t>
                  </w:r>
                </w:p>
              </w:tc>
              <w:tc>
                <w:tcPr>
                  <w:tcW w:w="130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aps w:val="0"/>
                      <w:color w:val="auto"/>
                      <w:spacing w:val="0"/>
                      <w:position w:val="0"/>
                      <w:sz w:val="21"/>
                      <w:szCs w:val="21"/>
                      <w:highlight w:val="none"/>
                      <w:shd w:val="clear" w:color="auto" w:fill="auto"/>
                      <w:lang w:val="en-US" w:eastAsia="zh-CN"/>
                    </w:rPr>
                  </w:pPr>
                  <w:r>
                    <w:rPr>
                      <w:rFonts w:hint="eastAsia" w:cs="Times New Roman"/>
                      <w:b w:val="0"/>
                      <w:bCs/>
                      <w:caps w:val="0"/>
                      <w:color w:val="auto"/>
                      <w:spacing w:val="0"/>
                      <w:position w:val="0"/>
                      <w:sz w:val="21"/>
                      <w:szCs w:val="21"/>
                      <w:highlight w:val="none"/>
                      <w:shd w:val="clear" w:color="auto" w:fill="auto"/>
                      <w:lang w:val="en-US" w:eastAsia="zh-CN"/>
                    </w:rPr>
                    <w:t>1.32mg/m</w:t>
                  </w:r>
                  <w:r>
                    <w:rPr>
                      <w:rFonts w:hint="eastAsia" w:cs="Times New Roman"/>
                      <w:b w:val="0"/>
                      <w:bCs/>
                      <w:caps w:val="0"/>
                      <w:color w:val="auto"/>
                      <w:spacing w:val="0"/>
                      <w:position w:val="0"/>
                      <w:sz w:val="21"/>
                      <w:szCs w:val="21"/>
                      <w:highlight w:val="none"/>
                      <w:shd w:val="clear" w:color="auto" w:fill="auto"/>
                      <w:vertAlign w:val="superscript"/>
                      <w:lang w:val="en-US" w:eastAsia="zh-CN"/>
                    </w:rPr>
                    <w:t>3</w:t>
                  </w:r>
                </w:p>
              </w:tc>
              <w:tc>
                <w:tcPr>
                  <w:tcW w:w="96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aps w:val="0"/>
                      <w:color w:val="auto"/>
                      <w:spacing w:val="0"/>
                      <w:position w:val="0"/>
                      <w:sz w:val="21"/>
                      <w:szCs w:val="21"/>
                      <w:highlight w:val="none"/>
                      <w:shd w:val="clear" w:color="auto" w:fill="auto"/>
                      <w:lang w:val="en-US" w:eastAsia="zh-CN"/>
                    </w:rPr>
                  </w:pPr>
                  <w:r>
                    <w:rPr>
                      <w:rFonts w:hint="eastAsia" w:ascii="Times New Roman" w:hAnsi="Times New Roman" w:cs="Times New Roman"/>
                      <w:b w:val="0"/>
                      <w:bCs/>
                      <w:caps w:val="0"/>
                      <w:color w:val="auto"/>
                      <w:spacing w:val="0"/>
                      <w:position w:val="0"/>
                      <w:sz w:val="21"/>
                      <w:szCs w:val="21"/>
                      <w:highlight w:val="none"/>
                      <w:shd w:val="clear" w:color="auto" w:fill="auto"/>
                      <w:lang w:val="en-US" w:eastAsia="zh-CN"/>
                    </w:rPr>
                    <w:t>单次</w:t>
                  </w:r>
                  <w:r>
                    <w:rPr>
                      <w:rFonts w:hint="eastAsia" w:cs="Times New Roman"/>
                      <w:b w:val="0"/>
                      <w:bCs/>
                      <w:caps w:val="0"/>
                      <w:color w:val="auto"/>
                      <w:spacing w:val="0"/>
                      <w:position w:val="0"/>
                      <w:sz w:val="21"/>
                      <w:szCs w:val="21"/>
                      <w:highlight w:val="none"/>
                      <w:shd w:val="clear" w:color="auto" w:fill="auto"/>
                      <w:lang w:val="en-US" w:eastAsia="zh-CN"/>
                    </w:rPr>
                    <w:t>0.5</w:t>
                  </w:r>
                  <w:r>
                    <w:rPr>
                      <w:rFonts w:hint="eastAsia" w:ascii="Times New Roman" w:hAnsi="Times New Roman" w:cs="Times New Roman"/>
                      <w:b w:val="0"/>
                      <w:bCs/>
                      <w:caps w:val="0"/>
                      <w:color w:val="auto"/>
                      <w:spacing w:val="0"/>
                      <w:position w:val="0"/>
                      <w:sz w:val="21"/>
                      <w:szCs w:val="21"/>
                      <w:highlight w:val="none"/>
                      <w:shd w:val="clear" w:color="auto" w:fill="auto"/>
                      <w:lang w:val="en-US" w:eastAsia="zh-CN"/>
                    </w:rPr>
                    <w:t>h</w:t>
                  </w:r>
                </w:p>
              </w:tc>
              <w:tc>
                <w:tcPr>
                  <w:tcW w:w="119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aps w:val="0"/>
                      <w:color w:val="auto"/>
                      <w:spacing w:val="0"/>
                      <w:position w:val="0"/>
                      <w:sz w:val="21"/>
                      <w:szCs w:val="21"/>
                      <w:highlight w:val="none"/>
                      <w:shd w:val="clear" w:color="auto" w:fill="auto"/>
                      <w:lang w:val="en-US" w:eastAsia="zh-CN"/>
                    </w:rPr>
                  </w:pPr>
                  <w:r>
                    <w:rPr>
                      <w:rFonts w:hint="eastAsia" w:cs="Times New Roman"/>
                      <w:b w:val="0"/>
                      <w:bCs/>
                      <w:caps w:val="0"/>
                      <w:color w:val="auto"/>
                      <w:spacing w:val="0"/>
                      <w:position w:val="0"/>
                      <w:sz w:val="21"/>
                      <w:szCs w:val="21"/>
                      <w:highlight w:val="none"/>
                      <w:shd w:val="clear" w:color="auto" w:fill="auto"/>
                      <w:lang w:val="en-US" w:eastAsia="zh-CN"/>
                    </w:rPr>
                    <w:t>非甲烷总烃</w:t>
                  </w:r>
                </w:p>
              </w:tc>
              <w:tc>
                <w:tcPr>
                  <w:tcW w:w="112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aps w:val="0"/>
                      <w:color w:val="auto"/>
                      <w:spacing w:val="0"/>
                      <w:position w:val="0"/>
                      <w:sz w:val="21"/>
                      <w:szCs w:val="21"/>
                      <w:highlight w:val="none"/>
                      <w:shd w:val="clear" w:color="auto" w:fill="auto"/>
                      <w:lang w:val="en-US" w:eastAsia="zh-CN"/>
                    </w:rPr>
                  </w:pPr>
                  <w:r>
                    <w:rPr>
                      <w:rFonts w:hint="eastAsia" w:cs="Times New Roman"/>
                      <w:b w:val="0"/>
                      <w:bCs/>
                      <w:caps w:val="0"/>
                      <w:color w:val="auto"/>
                      <w:spacing w:val="0"/>
                      <w:position w:val="0"/>
                      <w:sz w:val="21"/>
                      <w:szCs w:val="21"/>
                      <w:highlight w:val="none"/>
                      <w:shd w:val="clear" w:color="auto" w:fill="auto"/>
                      <w:lang w:val="en-US" w:eastAsia="zh-CN"/>
                    </w:rPr>
                    <w:t>0.00111</w:t>
                  </w:r>
                  <w:r>
                    <w:rPr>
                      <w:rFonts w:hint="eastAsia" w:ascii="Times New Roman" w:hAnsi="Times New Roman" w:cs="Times New Roman"/>
                      <w:b w:val="0"/>
                      <w:bCs/>
                      <w:caps w:val="0"/>
                      <w:color w:val="auto"/>
                      <w:spacing w:val="0"/>
                      <w:position w:val="0"/>
                      <w:sz w:val="21"/>
                      <w:szCs w:val="21"/>
                      <w:highlight w:val="none"/>
                      <w:shd w:val="clear" w:color="auto" w:fill="auto"/>
                      <w:lang w:val="en-US" w:eastAsia="zh-CN"/>
                    </w:rPr>
                    <w:t>kg</w:t>
                  </w:r>
                </w:p>
              </w:tc>
              <w:tc>
                <w:tcPr>
                  <w:tcW w:w="112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aps w:val="0"/>
                      <w:color w:val="auto"/>
                      <w:spacing w:val="0"/>
                      <w:position w:val="0"/>
                      <w:sz w:val="21"/>
                      <w:szCs w:val="21"/>
                      <w:highlight w:val="none"/>
                      <w:shd w:val="clear" w:color="auto" w:fill="auto"/>
                      <w:lang w:val="en-US" w:eastAsia="zh-CN"/>
                    </w:rPr>
                  </w:pPr>
                  <w:r>
                    <w:rPr>
                      <w:rFonts w:hint="eastAsia" w:ascii="Times New Roman" w:hAnsi="Times New Roman" w:cs="Times New Roman"/>
                      <w:b w:val="0"/>
                      <w:bCs/>
                      <w:caps w:val="0"/>
                      <w:color w:val="auto"/>
                      <w:spacing w:val="0"/>
                      <w:position w:val="0"/>
                      <w:sz w:val="21"/>
                      <w:szCs w:val="21"/>
                      <w:highlight w:val="none"/>
                      <w:shd w:val="clear" w:color="auto" w:fill="auto"/>
                      <w:lang w:val="en-US" w:eastAsia="zh-CN"/>
                    </w:rPr>
                    <w:t>停产、维修</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719" w:hRule="atLeast"/>
                <w:jc w:val="center"/>
              </w:trPr>
              <w:tc>
                <w:tcPr>
                  <w:tcW w:w="8277" w:type="dxa"/>
                  <w:gridSpan w:val="7"/>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cs="Times New Roman"/>
                      <w:b w:val="0"/>
                      <w:bCs/>
                      <w:caps w:val="0"/>
                      <w:color w:val="auto"/>
                      <w:spacing w:val="0"/>
                      <w:position w:val="0"/>
                      <w:sz w:val="21"/>
                      <w:szCs w:val="21"/>
                      <w:highlight w:val="none"/>
                      <w:shd w:val="clear" w:color="auto" w:fill="auto"/>
                      <w:lang w:val="en-US" w:eastAsia="zh-CN"/>
                    </w:rPr>
                  </w:pPr>
                  <w:r>
                    <w:rPr>
                      <w:rFonts w:hint="eastAsia" w:cs="Times New Roman"/>
                      <w:b w:val="0"/>
                      <w:bCs/>
                      <w:caps w:val="0"/>
                      <w:color w:val="auto"/>
                      <w:spacing w:val="0"/>
                      <w:position w:val="0"/>
                      <w:sz w:val="21"/>
                      <w:szCs w:val="21"/>
                      <w:highlight w:val="none"/>
                      <w:shd w:val="clear" w:color="auto" w:fill="auto"/>
                      <w:lang w:val="en-US" w:eastAsia="zh-CN"/>
                    </w:rPr>
                    <w:t>备注：非正常工况下非甲烷总烃排放量及排放浓度包含经碱式喷淋塔处理的非甲烷总烃和经故障设施处理后的印刷、印刷烘干、覆膜、烘干及烧结还原工序非甲烷总烃。</w:t>
                  </w:r>
                </w:p>
              </w:tc>
            </w:tr>
          </w:tbl>
          <w:p>
            <w:pPr>
              <w:bidi w:val="0"/>
              <w:rPr>
                <w:rFonts w:hint="eastAsia"/>
                <w:b/>
                <w:bCs/>
                <w:color w:val="auto"/>
                <w:highlight w:val="none"/>
              </w:rPr>
            </w:pPr>
            <w:r>
              <w:rPr>
                <w:rFonts w:hint="default"/>
                <w:b/>
                <w:bCs/>
                <w:color w:val="auto"/>
                <w:highlight w:val="none"/>
              </w:rPr>
              <w:t>1.</w:t>
            </w:r>
            <w:r>
              <w:rPr>
                <w:rFonts w:hint="eastAsia"/>
                <w:b/>
                <w:bCs/>
                <w:color w:val="auto"/>
                <w:highlight w:val="none"/>
                <w:lang w:val="en-US" w:eastAsia="zh-CN"/>
              </w:rPr>
              <w:t>4</w:t>
            </w:r>
            <w:r>
              <w:rPr>
                <w:rFonts w:hint="eastAsia"/>
                <w:b/>
                <w:bCs/>
                <w:color w:val="auto"/>
                <w:highlight w:val="none"/>
              </w:rPr>
              <w:t>废气治理设施可行性分析</w:t>
            </w:r>
          </w:p>
          <w:p>
            <w:pPr>
              <w:numPr>
                <w:ilvl w:val="0"/>
                <w:numId w:val="27"/>
              </w:numPr>
              <w:bidi w:val="0"/>
              <w:ind w:left="0" w:leftChars="0" w:firstLine="480" w:firstLineChars="200"/>
              <w:rPr>
                <w:rFonts w:hint="eastAsia"/>
                <w:color w:val="auto"/>
                <w:highlight w:val="none"/>
                <w:lang w:val="en-US" w:eastAsia="zh-CN"/>
              </w:rPr>
            </w:pPr>
            <w:r>
              <w:rPr>
                <w:rFonts w:hint="eastAsia"/>
                <w:color w:val="auto"/>
                <w:highlight w:val="none"/>
                <w:lang w:val="en-US" w:eastAsia="zh-CN"/>
              </w:rPr>
              <w:t>活性炭吸附装置</w:t>
            </w:r>
          </w:p>
          <w:p>
            <w:pPr>
              <w:keepNext w:val="0"/>
              <w:keepLines w:val="0"/>
              <w:pageBreakBefore w:val="0"/>
              <w:suppressLineNumbers w:val="0"/>
              <w:kinsoku/>
              <w:wordWrap/>
              <w:overflowPunct/>
              <w:topLinePunct w:val="0"/>
              <w:autoSpaceDE/>
              <w:autoSpaceDN/>
              <w:bidi w:val="0"/>
              <w:adjustRightInd/>
              <w:snapToGrid/>
              <w:spacing w:beforeAutospacing="0" w:after="0" w:afterAutospacing="0" w:line="480" w:lineRule="exact"/>
              <w:ind w:left="0" w:right="0" w:firstLine="480" w:firstLineChars="200"/>
              <w:jc w:val="left"/>
              <w:textAlignment w:val="auto"/>
              <w:rPr>
                <w:rFonts w:hint="default"/>
                <w:color w:val="auto"/>
                <w:highlight w:val="none"/>
              </w:rPr>
            </w:pPr>
            <w:r>
              <w:rPr>
                <w:rFonts w:hint="eastAsia"/>
                <w:color w:val="auto"/>
                <w:highlight w:val="none"/>
              </w:rPr>
              <w:t>活性炭吸附</w:t>
            </w:r>
            <w:r>
              <w:rPr>
                <w:rFonts w:hint="default"/>
                <w:color w:val="auto"/>
                <w:highlight w:val="none"/>
              </w:rPr>
              <w:t>原理：</w:t>
            </w:r>
            <w:r>
              <w:rPr>
                <w:rFonts w:hint="eastAsia"/>
                <w:color w:val="auto"/>
                <w:highlight w:val="none"/>
              </w:rPr>
              <w:t>废气由风机提供动力，负压进入吸附箱后进入活性炭吸附层，由于活性炭吸附剂表面上存在着未平衡和未饱和的分子引力或化学键力，当活性炭吸附剂的表面与气体接触时，就能吸引气体分子，使其浓聚并保持在活性炭表面，此现象称为吸附。利用活性炭吸附剂表面的吸附能力，使废气与表面的多孔性活性炭吸附剂相接触，废气中的污染物被吸附在活性炭表面上，使其与气体混合物分离，净化后的气体高空排放。活性炭吸附箱是一种干式废气处理设备，由箱体和填装在箱体内的吸附单元组成。</w:t>
            </w:r>
          </w:p>
          <w:p>
            <w:pPr>
              <w:keepNext w:val="0"/>
              <w:keepLines w:val="0"/>
              <w:pageBreakBefore w:val="0"/>
              <w:suppressLineNumbers w:val="0"/>
              <w:kinsoku/>
              <w:wordWrap/>
              <w:overflowPunct/>
              <w:topLinePunct w:val="0"/>
              <w:autoSpaceDE/>
              <w:autoSpaceDN/>
              <w:bidi w:val="0"/>
              <w:adjustRightInd/>
              <w:snapToGrid/>
              <w:spacing w:beforeAutospacing="0" w:after="0" w:afterAutospacing="0" w:line="480" w:lineRule="exact"/>
              <w:ind w:left="0" w:right="0" w:firstLine="480" w:firstLineChars="200"/>
              <w:textAlignment w:val="auto"/>
              <w:rPr>
                <w:rFonts w:hint="default"/>
                <w:color w:val="auto"/>
                <w:highlight w:val="none"/>
              </w:rPr>
            </w:pPr>
            <w:r>
              <w:rPr>
                <w:rFonts w:hint="eastAsia"/>
                <w:color w:val="auto"/>
                <w:highlight w:val="none"/>
              </w:rPr>
              <w:t>活性炭吸附装置具有以下特点：</w:t>
            </w:r>
          </w:p>
          <w:p>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480" w:lineRule="exact"/>
              <w:ind w:left="0" w:right="0" w:firstLine="480" w:firstLineChars="200"/>
              <w:jc w:val="left"/>
              <w:textAlignment w:val="auto"/>
              <w:rPr>
                <w:rFonts w:hint="default"/>
                <w:color w:val="auto"/>
                <w:highlight w:val="none"/>
              </w:rPr>
            </w:pPr>
            <w:r>
              <w:rPr>
                <w:rFonts w:hint="eastAsia"/>
                <w:color w:val="auto"/>
                <w:highlight w:val="none"/>
              </w:rPr>
              <w:t>a.吸附效率高，能力强；</w:t>
            </w:r>
          </w:p>
          <w:p>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480" w:lineRule="exact"/>
              <w:ind w:left="0" w:right="0" w:firstLine="480" w:firstLineChars="200"/>
              <w:jc w:val="left"/>
              <w:textAlignment w:val="auto"/>
              <w:rPr>
                <w:rFonts w:hint="default"/>
                <w:color w:val="auto"/>
                <w:highlight w:val="none"/>
              </w:rPr>
            </w:pPr>
            <w:r>
              <w:rPr>
                <w:rFonts w:hint="eastAsia"/>
                <w:color w:val="auto"/>
                <w:highlight w:val="none"/>
              </w:rPr>
              <w:t>b.能够同时处理多种混合有机废气，净化效率</w:t>
            </w:r>
            <w:r>
              <w:rPr>
                <w:rFonts w:hint="default"/>
                <w:color w:val="auto"/>
                <w:highlight w:val="none"/>
              </w:rPr>
              <w:t>≥</w:t>
            </w:r>
            <w:r>
              <w:rPr>
                <w:rFonts w:hint="eastAsia"/>
                <w:color w:val="auto"/>
                <w:highlight w:val="none"/>
              </w:rPr>
              <w:t>9</w:t>
            </w:r>
            <w:r>
              <w:rPr>
                <w:rFonts w:hint="eastAsia"/>
                <w:color w:val="auto"/>
                <w:highlight w:val="none"/>
                <w:lang w:val="en-US" w:eastAsia="zh-CN"/>
              </w:rPr>
              <w:t>0</w:t>
            </w:r>
            <w:r>
              <w:rPr>
                <w:rFonts w:hint="eastAsia"/>
                <w:color w:val="auto"/>
                <w:highlight w:val="none"/>
              </w:rPr>
              <w:t>%；</w:t>
            </w:r>
          </w:p>
          <w:p>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480" w:lineRule="exact"/>
              <w:ind w:left="0" w:right="0" w:firstLine="480" w:firstLineChars="200"/>
              <w:jc w:val="left"/>
              <w:textAlignment w:val="auto"/>
              <w:rPr>
                <w:rFonts w:hint="default"/>
                <w:color w:val="auto"/>
                <w:highlight w:val="none"/>
              </w:rPr>
            </w:pPr>
            <w:r>
              <w:rPr>
                <w:rFonts w:hint="eastAsia"/>
                <w:color w:val="auto"/>
                <w:highlight w:val="none"/>
              </w:rPr>
              <w:t>c.设备构造紧凑，占地面积小，维护管理简单，运转成本低；</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jc w:val="left"/>
              <w:textAlignment w:val="auto"/>
              <w:rPr>
                <w:rFonts w:hint="eastAsia"/>
                <w:color w:val="auto"/>
                <w:highlight w:val="none"/>
              </w:rPr>
            </w:pPr>
            <w:r>
              <w:rPr>
                <w:rFonts w:hint="eastAsia"/>
                <w:color w:val="auto"/>
                <w:highlight w:val="none"/>
              </w:rPr>
              <w:t>d.采用自动化控制运转设计，操作简单，安全；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firstLine="480" w:firstLineChars="200"/>
              <w:jc w:val="left"/>
              <w:textAlignment w:val="auto"/>
              <w:rPr>
                <w:rFonts w:hint="eastAsia"/>
                <w:color w:val="auto"/>
                <w:highlight w:val="none"/>
              </w:rPr>
            </w:pPr>
            <w:r>
              <w:rPr>
                <w:rFonts w:hint="eastAsia"/>
                <w:color w:val="auto"/>
                <w:highlight w:val="none"/>
              </w:rPr>
              <w:t>e.全封闭型，室内外皆可使用。</w:t>
            </w:r>
          </w:p>
          <w:p>
            <w:pPr>
              <w:keepNext w:val="0"/>
              <w:keepLines w:val="0"/>
              <w:suppressLineNumbers w:val="0"/>
              <w:spacing w:before="0" w:beforeAutospacing="0" w:after="0" w:afterAutospacing="0" w:line="480" w:lineRule="exact"/>
              <w:ind w:left="0" w:right="0" w:firstLine="480" w:firstLineChars="200"/>
              <w:rPr>
                <w:rFonts w:hint="default"/>
                <w:color w:val="auto"/>
                <w:highlight w:val="none"/>
                <w:lang w:val="en-US" w:eastAsia="zh-CN"/>
              </w:rPr>
            </w:pPr>
            <w:r>
              <w:rPr>
                <w:rFonts w:hint="eastAsia"/>
                <w:color w:val="auto"/>
                <w:highlight w:val="none"/>
                <w:lang w:val="en-US" w:eastAsia="zh-CN"/>
              </w:rPr>
              <w:t>根据“</w:t>
            </w:r>
            <w:r>
              <w:rPr>
                <w:rFonts w:hint="eastAsia"/>
                <w:color w:val="auto"/>
                <w:highlight w:val="none"/>
              </w:rPr>
              <w:t>关于印发《河北省涉VOCs工业企业常用治理技术指南》的通知</w:t>
            </w:r>
            <w:r>
              <w:rPr>
                <w:rFonts w:hint="eastAsia"/>
                <w:color w:val="auto"/>
                <w:highlight w:val="none"/>
                <w:lang w:val="en-US" w:eastAsia="zh-CN"/>
              </w:rPr>
              <w:t>”要求，蜂窝状活性炭吸附单元应满足：①蜂窝活性炭层表观流速宜</w:t>
            </w:r>
            <w:r>
              <w:rPr>
                <w:rFonts w:hint="default" w:ascii="Times New Roman" w:hAnsi="Times New Roman" w:cs="Times New Roman"/>
                <w:color w:val="auto"/>
                <w:highlight w:val="none"/>
                <w:lang w:val="en-US" w:eastAsia="zh-CN"/>
              </w:rPr>
              <w:t>﹤</w:t>
            </w:r>
            <w:r>
              <w:rPr>
                <w:rFonts w:hint="eastAsia" w:cs="Times New Roman"/>
                <w:color w:val="auto"/>
                <w:highlight w:val="none"/>
                <w:lang w:val="en-US" w:eastAsia="zh-CN"/>
              </w:rPr>
              <w:t>1.2m/s；②吸附装置设计的总压力损失宜</w:t>
            </w:r>
            <w:r>
              <w:rPr>
                <w:rFonts w:hint="default" w:ascii="Calibri" w:hAnsi="Calibri" w:cs="Calibri"/>
                <w:color w:val="auto"/>
                <w:highlight w:val="none"/>
                <w:lang w:val="en-US" w:eastAsia="zh-CN"/>
              </w:rPr>
              <w:t>﹤</w:t>
            </w:r>
            <w:r>
              <w:rPr>
                <w:rFonts w:hint="eastAsia" w:ascii="Times New Roman" w:hAnsi="Times New Roman" w:cs="Times New Roman"/>
                <w:color w:val="auto"/>
                <w:highlight w:val="none"/>
                <w:lang w:val="en-US" w:eastAsia="zh-CN"/>
              </w:rPr>
              <w:t>600Pa；③</w:t>
            </w:r>
            <w:r>
              <w:rPr>
                <w:rFonts w:hint="eastAsia"/>
                <w:color w:val="auto"/>
                <w:highlight w:val="none"/>
                <w:lang w:val="en-US" w:eastAsia="zh-CN"/>
              </w:rPr>
              <w:t>采用一次性活性炭吸附工艺的，应选择碘值</w:t>
            </w:r>
            <w:r>
              <w:rPr>
                <w:rFonts w:hint="default" w:ascii="Times New Roman" w:hAnsi="Times New Roman" w:cs="Times New Roman"/>
                <w:color w:val="auto"/>
                <w:highlight w:val="none"/>
                <w:lang w:val="en-US" w:eastAsia="zh-CN"/>
              </w:rPr>
              <w:t>≥</w:t>
            </w:r>
            <w:r>
              <w:rPr>
                <w:rFonts w:hint="eastAsia" w:cs="Times New Roman"/>
                <w:color w:val="auto"/>
                <w:highlight w:val="none"/>
                <w:lang w:val="en-US" w:eastAsia="zh-CN"/>
              </w:rPr>
              <w:t>650mg/g的活性炭；④蜂窝状活性炭的横向强度不应低于0.3MPa，纵向强度不应低于0.8MPa；⑤蜂窝状活性炭填充量与每小时处理废气量体积之比宜</w:t>
            </w:r>
            <w:r>
              <w:rPr>
                <w:rFonts w:hint="default" w:cs="Times New Roman" w:asciiTheme="minorAscii" w:hAnsiTheme="minorAscii"/>
                <w:color w:val="auto"/>
                <w:highlight w:val="none"/>
                <w:lang w:val="en-US" w:eastAsia="zh-CN"/>
              </w:rPr>
              <w:t>≮</w:t>
            </w:r>
            <w:r>
              <w:rPr>
                <w:rFonts w:hint="default" w:ascii="Times New Roman" w:hAnsi="Times New Roman" w:cs="Times New Roman"/>
                <w:color w:val="auto"/>
                <w:highlight w:val="none"/>
                <w:lang w:val="en-US" w:eastAsia="zh-CN"/>
              </w:rPr>
              <w:t>1</w:t>
            </w:r>
            <w:r>
              <w:rPr>
                <w:rFonts w:hint="eastAsia" w:cs="Times New Roman"/>
                <w:color w:val="auto"/>
                <w:highlight w:val="none"/>
                <w:lang w:val="en-US" w:eastAsia="zh-CN"/>
              </w:rPr>
              <w:t>:5000，每1万Nm</w:t>
            </w:r>
            <w:r>
              <w:rPr>
                <w:rFonts w:hint="eastAsia" w:cs="Times New Roman"/>
                <w:color w:val="auto"/>
                <w:highlight w:val="none"/>
                <w:vertAlign w:val="superscript"/>
                <w:lang w:val="en-US" w:eastAsia="zh-CN"/>
              </w:rPr>
              <w:t>3</w:t>
            </w:r>
            <w:r>
              <w:rPr>
                <w:rFonts w:hint="eastAsia" w:cs="Times New Roman"/>
                <w:color w:val="auto"/>
                <w:highlight w:val="none"/>
                <w:lang w:val="en-US" w:eastAsia="zh-CN"/>
              </w:rPr>
              <w:t>/h废气处理蜂窝活性炭吸附截面积宜</w:t>
            </w:r>
            <w:r>
              <w:rPr>
                <w:rFonts w:hint="default" w:cs="Times New Roman" w:asciiTheme="minorAscii" w:hAnsiTheme="minorAscii"/>
                <w:color w:val="auto"/>
                <w:highlight w:val="none"/>
                <w:lang w:val="en-US" w:eastAsia="zh-CN"/>
              </w:rPr>
              <w:t>≮</w:t>
            </w:r>
            <w:r>
              <w:rPr>
                <w:rFonts w:hint="default" w:ascii="Times New Roman" w:hAnsi="Times New Roman" w:cs="Times New Roman"/>
                <w:color w:val="auto"/>
                <w:highlight w:val="none"/>
                <w:lang w:val="en-US" w:eastAsia="zh-CN"/>
              </w:rPr>
              <w:t>2.3m</w:t>
            </w:r>
            <w:r>
              <w:rPr>
                <w:rFonts w:hint="default" w:ascii="Times New Roman" w:hAnsi="Times New Roman" w:cs="Times New Roman"/>
                <w:color w:val="auto"/>
                <w:highlight w:val="none"/>
                <w:vertAlign w:val="superscript"/>
                <w:lang w:val="en-US" w:eastAsia="zh-CN"/>
              </w:rPr>
              <w:t>2</w:t>
            </w:r>
            <w:r>
              <w:rPr>
                <w:rFonts w:hint="eastAsia" w:cs="Times New Roman"/>
                <w:color w:val="auto"/>
                <w:highlight w:val="none"/>
                <w:vertAlign w:val="baseline"/>
                <w:lang w:val="en-US" w:eastAsia="zh-CN"/>
              </w:rPr>
              <w:t>；⑥活性炭层穿透厚度宜﹥500mm</w:t>
            </w:r>
            <w:r>
              <w:rPr>
                <w:rFonts w:hint="eastAsia" w:cs="Times New Roman"/>
                <w:color w:val="auto"/>
                <w:highlight w:val="none"/>
                <w:lang w:val="en-US" w:eastAsia="zh-CN"/>
              </w:rPr>
              <w:t>。</w:t>
            </w:r>
          </w:p>
          <w:p>
            <w:pPr>
              <w:keepNext w:val="0"/>
              <w:keepLines w:val="0"/>
              <w:suppressLineNumbers w:val="0"/>
              <w:spacing w:before="0" w:beforeAutospacing="0" w:after="0" w:afterAutospacing="0" w:line="480" w:lineRule="exact"/>
              <w:ind w:left="0" w:right="0" w:firstLine="480" w:firstLineChars="200"/>
              <w:rPr>
                <w:rFonts w:hint="default"/>
                <w:color w:val="auto"/>
                <w:highlight w:val="none"/>
              </w:rPr>
            </w:pPr>
            <w:r>
              <w:rPr>
                <w:rFonts w:hint="eastAsia"/>
                <w:color w:val="auto"/>
                <w:highlight w:val="none"/>
              </w:rPr>
              <w:t>本项目</w:t>
            </w:r>
            <w:r>
              <w:rPr>
                <w:rFonts w:hint="eastAsia"/>
                <w:color w:val="auto"/>
                <w:highlight w:val="none"/>
                <w:lang w:val="en-US" w:eastAsia="zh-CN"/>
              </w:rPr>
              <w:t>建成后，</w:t>
            </w:r>
            <w:r>
              <w:rPr>
                <w:rFonts w:hint="eastAsia"/>
                <w:color w:val="auto"/>
                <w:lang w:val="en-US" w:eastAsia="zh-CN"/>
              </w:rPr>
              <w:t>印刷、印刷烘干、覆膜过程产生的废气与烘干及烧结还原废气</w:t>
            </w:r>
            <w:r>
              <w:rPr>
                <w:rFonts w:hint="eastAsia"/>
                <w:color w:val="auto"/>
                <w:highlight w:val="none"/>
                <w:lang w:val="en-US" w:eastAsia="zh-CN"/>
              </w:rPr>
              <w:t>采用两级活性炭吸附装置进行处理，活性炭</w:t>
            </w:r>
            <w:r>
              <w:rPr>
                <w:rFonts w:hint="eastAsia"/>
                <w:color w:val="auto"/>
                <w:highlight w:val="none"/>
              </w:rPr>
              <w:t>材质为蜂窝</w:t>
            </w:r>
            <w:r>
              <w:rPr>
                <w:rFonts w:hint="eastAsia"/>
                <w:color w:val="auto"/>
                <w:highlight w:val="none"/>
                <w:lang w:eastAsia="zh-CN"/>
              </w:rPr>
              <w:t>，</w:t>
            </w:r>
            <w:r>
              <w:rPr>
                <w:rFonts w:hint="eastAsia"/>
                <w:color w:val="auto"/>
                <w:highlight w:val="none"/>
              </w:rPr>
              <w:t>设计活性炭</w:t>
            </w:r>
            <w:r>
              <w:rPr>
                <w:rFonts w:hint="eastAsia"/>
                <w:color w:val="auto"/>
                <w:highlight w:val="none"/>
                <w:lang w:val="en-US" w:eastAsia="zh-CN"/>
              </w:rPr>
              <w:t>碘值</w:t>
            </w:r>
            <w:r>
              <w:rPr>
                <w:rFonts w:hint="default" w:ascii="Times New Roman" w:hAnsi="Times New Roman" w:cs="Times New Roman"/>
                <w:color w:val="auto"/>
                <w:highlight w:val="none"/>
                <w:lang w:val="en-US" w:eastAsia="zh-CN"/>
              </w:rPr>
              <w:t>≥</w:t>
            </w:r>
            <w:r>
              <w:rPr>
                <w:rFonts w:hint="eastAsia"/>
                <w:color w:val="auto"/>
                <w:highlight w:val="none"/>
                <w:lang w:val="en-US" w:eastAsia="zh-CN"/>
              </w:rPr>
              <w:t>650mg/g</w:t>
            </w:r>
            <w:r>
              <w:rPr>
                <w:rFonts w:hint="eastAsia"/>
                <w:color w:val="auto"/>
                <w:highlight w:val="none"/>
              </w:rPr>
              <w:t>，</w:t>
            </w:r>
            <w:r>
              <w:rPr>
                <w:rFonts w:hint="eastAsia"/>
                <w:color w:val="auto"/>
                <w:highlight w:val="none"/>
                <w:lang w:val="en-US" w:eastAsia="zh-CN"/>
              </w:rPr>
              <w:t>活性炭层表观流速</w:t>
            </w:r>
            <w:r>
              <w:rPr>
                <w:rFonts w:hint="default" w:ascii="Times New Roman" w:hAnsi="Times New Roman" w:cs="Times New Roman"/>
                <w:color w:val="auto"/>
                <w:highlight w:val="none"/>
                <w:lang w:val="en-US" w:eastAsia="zh-CN"/>
              </w:rPr>
              <w:t>﹤</w:t>
            </w:r>
            <w:r>
              <w:rPr>
                <w:rFonts w:hint="eastAsia" w:cs="Times New Roman"/>
                <w:color w:val="auto"/>
                <w:highlight w:val="none"/>
                <w:lang w:val="en-US" w:eastAsia="zh-CN"/>
              </w:rPr>
              <w:t>1.2m/s</w:t>
            </w:r>
            <w:r>
              <w:rPr>
                <w:rFonts w:hint="eastAsia"/>
                <w:color w:val="auto"/>
                <w:highlight w:val="none"/>
              </w:rPr>
              <w:t>，</w:t>
            </w:r>
            <w:r>
              <w:rPr>
                <w:rFonts w:hint="eastAsia" w:cs="Times New Roman"/>
                <w:color w:val="auto"/>
                <w:highlight w:val="none"/>
                <w:lang w:val="en-US" w:eastAsia="zh-CN"/>
              </w:rPr>
              <w:t>横向强度不低于0.3MPa，纵向强度不低于0.8MPa，设计的总压力损失</w:t>
            </w:r>
            <w:r>
              <w:rPr>
                <w:rFonts w:hint="default" w:ascii="Calibri" w:hAnsi="Calibri" w:cs="Calibri"/>
                <w:color w:val="auto"/>
                <w:highlight w:val="none"/>
                <w:lang w:val="en-US" w:eastAsia="zh-CN"/>
              </w:rPr>
              <w:t>﹤</w:t>
            </w:r>
            <w:r>
              <w:rPr>
                <w:rFonts w:hint="eastAsia" w:ascii="Times New Roman" w:hAnsi="Times New Roman" w:cs="Times New Roman"/>
                <w:color w:val="auto"/>
                <w:highlight w:val="none"/>
                <w:lang w:val="en-US" w:eastAsia="zh-CN"/>
              </w:rPr>
              <w:t>600Pa，</w:t>
            </w:r>
            <w:r>
              <w:rPr>
                <w:rFonts w:hint="eastAsia" w:cs="Times New Roman"/>
                <w:color w:val="auto"/>
                <w:highlight w:val="none"/>
                <w:vertAlign w:val="baseline"/>
                <w:lang w:val="en-US" w:eastAsia="zh-CN"/>
              </w:rPr>
              <w:t>活性炭层穿透厚度﹥500mm，</w:t>
            </w:r>
            <w:r>
              <w:rPr>
                <w:rFonts w:hint="eastAsia"/>
                <w:color w:val="auto"/>
                <w:highlight w:val="none"/>
              </w:rPr>
              <w:t>设计风量为</w:t>
            </w:r>
            <w:r>
              <w:rPr>
                <w:rFonts w:hint="eastAsia"/>
                <w:color w:val="auto"/>
                <w:highlight w:val="none"/>
                <w:lang w:val="en-US" w:eastAsia="zh-CN"/>
              </w:rPr>
              <w:t>15000</w:t>
            </w:r>
            <w:r>
              <w:rPr>
                <w:rFonts w:hint="default"/>
                <w:color w:val="auto"/>
                <w:highlight w:val="none"/>
              </w:rPr>
              <w:t>m</w:t>
            </w:r>
            <w:r>
              <w:rPr>
                <w:rFonts w:hint="default"/>
                <w:color w:val="auto"/>
                <w:highlight w:val="none"/>
                <w:vertAlign w:val="superscript"/>
              </w:rPr>
              <w:t>3</w:t>
            </w:r>
            <w:r>
              <w:rPr>
                <w:rFonts w:hint="default"/>
                <w:color w:val="auto"/>
                <w:highlight w:val="none"/>
              </w:rPr>
              <w:t>/h</w:t>
            </w:r>
            <w:r>
              <w:rPr>
                <w:rFonts w:hint="eastAsia"/>
                <w:color w:val="auto"/>
                <w:highlight w:val="none"/>
              </w:rPr>
              <w:t>，</w:t>
            </w:r>
            <w:r>
              <w:rPr>
                <w:rFonts w:hint="eastAsia"/>
                <w:color w:val="auto"/>
                <w:highlight w:val="none"/>
                <w:lang w:val="en-US" w:eastAsia="zh-CN"/>
              </w:rPr>
              <w:t>活性炭填装量为6m</w:t>
            </w:r>
            <w:r>
              <w:rPr>
                <w:rFonts w:hint="eastAsia"/>
                <w:color w:val="auto"/>
                <w:highlight w:val="none"/>
                <w:vertAlign w:val="superscript"/>
                <w:lang w:val="en-US" w:eastAsia="zh-CN"/>
              </w:rPr>
              <w:t>3</w:t>
            </w:r>
            <w:r>
              <w:rPr>
                <w:rFonts w:hint="eastAsia"/>
                <w:color w:val="auto"/>
                <w:highlight w:val="none"/>
                <w:vertAlign w:val="baseline"/>
                <w:lang w:val="en-US" w:eastAsia="zh-CN"/>
              </w:rPr>
              <w:t>，约</w:t>
            </w:r>
            <w:r>
              <w:rPr>
                <w:rFonts w:hint="eastAsia"/>
                <w:color w:val="auto"/>
                <w:highlight w:val="none"/>
                <w:lang w:val="en-US" w:eastAsia="zh-CN"/>
              </w:rPr>
              <w:t>3t，对挥发性有机物去除</w:t>
            </w:r>
            <w:r>
              <w:rPr>
                <w:rFonts w:hint="eastAsia"/>
                <w:color w:val="auto"/>
                <w:highlight w:val="none"/>
              </w:rPr>
              <w:t>效率为9</w:t>
            </w:r>
            <w:r>
              <w:rPr>
                <w:rFonts w:hint="eastAsia"/>
                <w:color w:val="auto"/>
                <w:highlight w:val="none"/>
                <w:lang w:val="en-US" w:eastAsia="zh-CN"/>
              </w:rPr>
              <w:t>0</w:t>
            </w:r>
            <w:r>
              <w:rPr>
                <w:rFonts w:hint="eastAsia"/>
                <w:color w:val="auto"/>
                <w:highlight w:val="none"/>
              </w:rPr>
              <w:t>%，</w:t>
            </w:r>
            <w:r>
              <w:rPr>
                <w:rFonts w:hint="eastAsia"/>
                <w:color w:val="auto"/>
                <w:highlight w:val="none"/>
                <w:lang w:val="en-US" w:eastAsia="zh-CN"/>
              </w:rPr>
              <w:t>根据废气源强分析，活性炭吸附挥发性有机物量为0.0473t/a，每两年更换一次活性炭，每次更换量为1.5t（将两级活性炭中的第一级活性炭替换为第二级活性炭，第二级活性炭更换为新的活性炭，可吸附挥发性有机物0.15t，本项目建成后活性炭吸附挥发性有机物量为0.0946t/2a），</w:t>
            </w:r>
            <w:r>
              <w:rPr>
                <w:rFonts w:hint="eastAsia"/>
                <w:color w:val="auto"/>
                <w:highlight w:val="none"/>
              </w:rPr>
              <w:t>能够满足废气处理需求。活性炭吸附装置参数</w:t>
            </w:r>
            <w:r>
              <w:rPr>
                <w:rFonts w:hint="eastAsia"/>
                <w:color w:val="auto"/>
                <w:highlight w:val="none"/>
                <w:lang w:val="en-US" w:eastAsia="zh-CN"/>
              </w:rPr>
              <w:t>见下表</w:t>
            </w:r>
            <w:r>
              <w:rPr>
                <w:rFonts w:hint="eastAsia"/>
                <w:color w:val="auto"/>
                <w:highlight w:val="none"/>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0" w:firstLineChars="0"/>
              <w:jc w:val="center"/>
              <w:textAlignment w:val="auto"/>
              <w:rPr>
                <w:rFonts w:hint="eastAsia" w:eastAsia="宋体"/>
                <w:b/>
                <w:bCs/>
                <w:color w:val="auto"/>
                <w:sz w:val="21"/>
                <w:szCs w:val="21"/>
                <w:highlight w:val="none"/>
                <w:lang w:val="en-US" w:eastAsia="zh-CN"/>
              </w:rPr>
            </w:pPr>
            <w:r>
              <w:rPr>
                <w:rFonts w:hint="eastAsia"/>
                <w:b/>
                <w:bCs/>
                <w:color w:val="auto"/>
                <w:sz w:val="21"/>
                <w:szCs w:val="21"/>
                <w:highlight w:val="none"/>
              </w:rPr>
              <w:t>表</w:t>
            </w:r>
            <w:r>
              <w:rPr>
                <w:rFonts w:hint="eastAsia"/>
                <w:b/>
                <w:bCs/>
                <w:color w:val="auto"/>
                <w:sz w:val="21"/>
                <w:szCs w:val="21"/>
                <w:highlight w:val="none"/>
                <w:lang w:val="en-US" w:eastAsia="zh-CN"/>
              </w:rPr>
              <w:t>30</w:t>
            </w:r>
            <w:r>
              <w:rPr>
                <w:rFonts w:hint="eastAsia"/>
                <w:b/>
                <w:bCs/>
                <w:color w:val="auto"/>
                <w:sz w:val="21"/>
                <w:szCs w:val="21"/>
                <w:highlight w:val="none"/>
              </w:rPr>
              <w:t xml:space="preserve">  活性炭吸附装置技术参数</w:t>
            </w:r>
            <w:r>
              <w:rPr>
                <w:rFonts w:hint="eastAsia"/>
                <w:b/>
                <w:bCs/>
                <w:color w:val="auto"/>
                <w:sz w:val="21"/>
                <w:szCs w:val="21"/>
                <w:highlight w:val="none"/>
                <w:lang w:val="en-US" w:eastAsia="zh-CN"/>
              </w:rPr>
              <w:t>一览表</w:t>
            </w:r>
          </w:p>
          <w:tbl>
            <w:tblPr>
              <w:tblStyle w:val="25"/>
              <w:tblW w:w="827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69"/>
              <w:gridCol w:w="2036"/>
              <w:gridCol w:w="2727"/>
              <w:gridCol w:w="234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213"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rPr>
                  </w:pPr>
                  <w:r>
                    <w:rPr>
                      <w:rFonts w:hint="eastAsia"/>
                      <w:color w:val="auto"/>
                      <w:sz w:val="21"/>
                      <w:szCs w:val="21"/>
                      <w:highlight w:val="none"/>
                    </w:rPr>
                    <w:t>序号</w:t>
                  </w:r>
                </w:p>
              </w:tc>
              <w:tc>
                <w:tcPr>
                  <w:tcW w:w="2119"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rPr>
                  </w:pPr>
                  <w:r>
                    <w:rPr>
                      <w:rFonts w:hint="eastAsia"/>
                      <w:color w:val="auto"/>
                      <w:sz w:val="21"/>
                      <w:szCs w:val="21"/>
                      <w:highlight w:val="none"/>
                    </w:rPr>
                    <w:t>项目</w:t>
                  </w:r>
                </w:p>
              </w:tc>
              <w:tc>
                <w:tcPr>
                  <w:tcW w:w="2842"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rPr>
                  </w:pPr>
                  <w:r>
                    <w:rPr>
                      <w:rFonts w:hint="eastAsia"/>
                      <w:color w:val="auto"/>
                      <w:sz w:val="21"/>
                      <w:szCs w:val="21"/>
                      <w:highlight w:val="none"/>
                    </w:rPr>
                    <w:t>单位</w:t>
                  </w:r>
                </w:p>
              </w:tc>
              <w:tc>
                <w:tcPr>
                  <w:tcW w:w="2443"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rPr>
                  </w:pPr>
                  <w:r>
                    <w:rPr>
                      <w:rFonts w:hint="eastAsia"/>
                      <w:color w:val="auto"/>
                      <w:sz w:val="21"/>
                      <w:szCs w:val="21"/>
                      <w:highlight w:val="none"/>
                    </w:rPr>
                    <w:t>参数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213" w:type="dxa"/>
                  <w:tcBorders>
                    <w:tl2br w:val="nil"/>
                    <w:tr2bl w:val="nil"/>
                  </w:tcBorders>
                  <w:noWrap w:val="0"/>
                  <w:vAlign w:val="center"/>
                </w:tcPr>
                <w:p>
                  <w:pPr>
                    <w:keepNext w:val="0"/>
                    <w:keepLines w:val="0"/>
                    <w:pageBreakBefore w:val="0"/>
                    <w:widowControl w:val="0"/>
                    <w:numPr>
                      <w:ilvl w:val="0"/>
                      <w:numId w:val="28"/>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color w:val="auto"/>
                      <w:sz w:val="21"/>
                      <w:szCs w:val="21"/>
                      <w:highlight w:val="none"/>
                    </w:rPr>
                  </w:pPr>
                </w:p>
              </w:tc>
              <w:tc>
                <w:tcPr>
                  <w:tcW w:w="2119"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rPr>
                  </w:pPr>
                  <w:r>
                    <w:rPr>
                      <w:rFonts w:hint="eastAsia"/>
                      <w:color w:val="auto"/>
                      <w:sz w:val="21"/>
                      <w:szCs w:val="21"/>
                      <w:highlight w:val="none"/>
                    </w:rPr>
                    <w:t>风机</w:t>
                  </w:r>
                  <w:r>
                    <w:rPr>
                      <w:rFonts w:hint="default"/>
                      <w:color w:val="auto"/>
                      <w:sz w:val="21"/>
                      <w:szCs w:val="21"/>
                      <w:highlight w:val="none"/>
                    </w:rPr>
                    <w:t>风量</w:t>
                  </w:r>
                </w:p>
              </w:tc>
              <w:tc>
                <w:tcPr>
                  <w:tcW w:w="2842"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rPr>
                  </w:pPr>
                  <w:r>
                    <w:rPr>
                      <w:rFonts w:hint="eastAsia"/>
                      <w:color w:val="auto"/>
                      <w:sz w:val="21"/>
                      <w:szCs w:val="21"/>
                      <w:highlight w:val="none"/>
                    </w:rPr>
                    <w:t>m</w:t>
                  </w:r>
                  <w:r>
                    <w:rPr>
                      <w:rFonts w:hint="eastAsia"/>
                      <w:color w:val="auto"/>
                      <w:sz w:val="21"/>
                      <w:szCs w:val="21"/>
                      <w:highlight w:val="none"/>
                      <w:vertAlign w:val="superscript"/>
                    </w:rPr>
                    <w:t>3</w:t>
                  </w:r>
                  <w:r>
                    <w:rPr>
                      <w:rFonts w:hint="eastAsia"/>
                      <w:color w:val="auto"/>
                      <w:sz w:val="21"/>
                      <w:szCs w:val="21"/>
                      <w:highlight w:val="none"/>
                    </w:rPr>
                    <w:t>/h</w:t>
                  </w:r>
                </w:p>
              </w:tc>
              <w:tc>
                <w:tcPr>
                  <w:tcW w:w="2443"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15000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1213" w:type="dxa"/>
                  <w:tcBorders>
                    <w:tl2br w:val="nil"/>
                    <w:tr2bl w:val="nil"/>
                  </w:tcBorders>
                  <w:noWrap w:val="0"/>
                  <w:vAlign w:val="center"/>
                </w:tcPr>
                <w:p>
                  <w:pPr>
                    <w:keepNext w:val="0"/>
                    <w:keepLines w:val="0"/>
                    <w:pageBreakBefore w:val="0"/>
                    <w:widowControl w:val="0"/>
                    <w:numPr>
                      <w:ilvl w:val="0"/>
                      <w:numId w:val="28"/>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color w:val="auto"/>
                      <w:sz w:val="21"/>
                      <w:szCs w:val="21"/>
                      <w:highlight w:val="none"/>
                    </w:rPr>
                  </w:pPr>
                </w:p>
              </w:tc>
              <w:tc>
                <w:tcPr>
                  <w:tcW w:w="2119"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rPr>
                  </w:pPr>
                  <w:r>
                    <w:rPr>
                      <w:rFonts w:hint="eastAsia"/>
                      <w:color w:val="auto"/>
                      <w:sz w:val="21"/>
                      <w:szCs w:val="21"/>
                      <w:highlight w:val="none"/>
                    </w:rPr>
                    <w:t>处理</w:t>
                  </w:r>
                  <w:r>
                    <w:rPr>
                      <w:rFonts w:hint="default"/>
                      <w:color w:val="auto"/>
                      <w:sz w:val="21"/>
                      <w:szCs w:val="21"/>
                      <w:highlight w:val="none"/>
                    </w:rPr>
                    <w:t>效率</w:t>
                  </w:r>
                </w:p>
              </w:tc>
              <w:tc>
                <w:tcPr>
                  <w:tcW w:w="2842"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rPr>
                  </w:pPr>
                  <w:r>
                    <w:rPr>
                      <w:rFonts w:hint="eastAsia"/>
                      <w:color w:val="auto"/>
                      <w:sz w:val="21"/>
                      <w:szCs w:val="21"/>
                      <w:highlight w:val="none"/>
                    </w:rPr>
                    <w:t>%</w:t>
                  </w:r>
                </w:p>
              </w:tc>
              <w:tc>
                <w:tcPr>
                  <w:tcW w:w="2443"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lang w:val="en-US" w:eastAsia="zh-CN"/>
                    </w:rPr>
                  </w:pPr>
                  <w:r>
                    <w:rPr>
                      <w:rFonts w:hint="eastAsia" w:cs="Times New Roman"/>
                      <w:color w:val="auto"/>
                      <w:sz w:val="21"/>
                      <w:szCs w:val="21"/>
                      <w:highlight w:val="none"/>
                      <w:lang w:val="en-US" w:eastAsia="zh-CN"/>
                    </w:rPr>
                    <w:t>90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1213" w:type="dxa"/>
                  <w:tcBorders>
                    <w:tl2br w:val="nil"/>
                    <w:tr2bl w:val="nil"/>
                  </w:tcBorders>
                  <w:noWrap w:val="0"/>
                  <w:vAlign w:val="center"/>
                </w:tcPr>
                <w:p>
                  <w:pPr>
                    <w:keepNext w:val="0"/>
                    <w:keepLines w:val="0"/>
                    <w:pageBreakBefore w:val="0"/>
                    <w:widowControl w:val="0"/>
                    <w:numPr>
                      <w:ilvl w:val="0"/>
                      <w:numId w:val="28"/>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color w:val="auto"/>
                      <w:sz w:val="21"/>
                      <w:szCs w:val="21"/>
                      <w:highlight w:val="none"/>
                    </w:rPr>
                  </w:pPr>
                </w:p>
              </w:tc>
              <w:tc>
                <w:tcPr>
                  <w:tcW w:w="2119"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碘值</w:t>
                  </w:r>
                </w:p>
              </w:tc>
              <w:tc>
                <w:tcPr>
                  <w:tcW w:w="2842"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rPr>
                    <w:t>m</w:t>
                  </w:r>
                  <w:r>
                    <w:rPr>
                      <w:rFonts w:hint="eastAsia"/>
                      <w:color w:val="auto"/>
                      <w:sz w:val="21"/>
                      <w:szCs w:val="21"/>
                      <w:highlight w:val="none"/>
                      <w:vertAlign w:val="baseline"/>
                      <w:lang w:val="en-US" w:eastAsia="zh-CN"/>
                    </w:rPr>
                    <w:t>g</w:t>
                  </w:r>
                  <w:r>
                    <w:rPr>
                      <w:rFonts w:hint="eastAsia"/>
                      <w:color w:val="auto"/>
                      <w:sz w:val="21"/>
                      <w:szCs w:val="21"/>
                      <w:highlight w:val="none"/>
                      <w:lang w:val="en-US" w:eastAsia="zh-CN"/>
                    </w:rPr>
                    <w:t>/g</w:t>
                  </w:r>
                </w:p>
              </w:tc>
              <w:tc>
                <w:tcPr>
                  <w:tcW w:w="2443"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lang w:val="en-US" w:eastAsia="zh-CN"/>
                    </w:rPr>
                  </w:pPr>
                  <w:r>
                    <w:rPr>
                      <w:rFonts w:hint="default" w:ascii="Times New Roman" w:hAnsi="Times New Roman" w:cs="Times New Roman"/>
                      <w:color w:val="auto"/>
                      <w:highlight w:val="none"/>
                      <w:lang w:val="en-US" w:eastAsia="zh-CN"/>
                    </w:rPr>
                    <w:t>≥</w:t>
                  </w:r>
                  <w:r>
                    <w:rPr>
                      <w:rFonts w:hint="eastAsia"/>
                      <w:color w:val="auto"/>
                      <w:sz w:val="21"/>
                      <w:szCs w:val="21"/>
                      <w:highlight w:val="none"/>
                      <w:lang w:val="en-US" w:eastAsia="zh-CN"/>
                    </w:rPr>
                    <w:t>650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213" w:type="dxa"/>
                  <w:tcBorders>
                    <w:tl2br w:val="nil"/>
                    <w:tr2bl w:val="nil"/>
                  </w:tcBorders>
                  <w:noWrap w:val="0"/>
                  <w:vAlign w:val="center"/>
                </w:tcPr>
                <w:p>
                  <w:pPr>
                    <w:keepNext w:val="0"/>
                    <w:keepLines w:val="0"/>
                    <w:pageBreakBefore w:val="0"/>
                    <w:widowControl w:val="0"/>
                    <w:numPr>
                      <w:ilvl w:val="0"/>
                      <w:numId w:val="28"/>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color w:val="auto"/>
                      <w:sz w:val="21"/>
                      <w:szCs w:val="21"/>
                      <w:highlight w:val="none"/>
                    </w:rPr>
                  </w:pPr>
                </w:p>
              </w:tc>
              <w:tc>
                <w:tcPr>
                  <w:tcW w:w="2119"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rPr>
                  </w:pPr>
                  <w:r>
                    <w:rPr>
                      <w:rFonts w:hint="eastAsia"/>
                      <w:color w:val="auto"/>
                      <w:sz w:val="21"/>
                      <w:szCs w:val="21"/>
                      <w:highlight w:val="none"/>
                    </w:rPr>
                    <w:t>吸附材料</w:t>
                  </w:r>
                </w:p>
              </w:tc>
              <w:tc>
                <w:tcPr>
                  <w:tcW w:w="2842"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rPr>
                  </w:pPr>
                  <w:r>
                    <w:rPr>
                      <w:rFonts w:hint="eastAsia"/>
                      <w:color w:val="auto"/>
                      <w:sz w:val="21"/>
                      <w:szCs w:val="21"/>
                      <w:highlight w:val="none"/>
                    </w:rPr>
                    <w:t>-</w:t>
                  </w:r>
                </w:p>
              </w:tc>
              <w:tc>
                <w:tcPr>
                  <w:tcW w:w="2443"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rPr>
                  </w:pPr>
                  <w:r>
                    <w:rPr>
                      <w:rFonts w:hint="eastAsia"/>
                      <w:color w:val="auto"/>
                      <w:sz w:val="21"/>
                      <w:szCs w:val="21"/>
                      <w:highlight w:val="none"/>
                    </w:rPr>
                    <w:t>蜂窝活性炭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1213" w:type="dxa"/>
                  <w:tcBorders>
                    <w:tl2br w:val="nil"/>
                    <w:tr2bl w:val="nil"/>
                  </w:tcBorders>
                  <w:noWrap w:val="0"/>
                  <w:vAlign w:val="center"/>
                </w:tcPr>
                <w:p>
                  <w:pPr>
                    <w:keepNext w:val="0"/>
                    <w:keepLines w:val="0"/>
                    <w:pageBreakBefore w:val="0"/>
                    <w:widowControl w:val="0"/>
                    <w:numPr>
                      <w:ilvl w:val="0"/>
                      <w:numId w:val="28"/>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color w:val="auto"/>
                      <w:sz w:val="21"/>
                      <w:szCs w:val="21"/>
                      <w:highlight w:val="none"/>
                    </w:rPr>
                  </w:pPr>
                </w:p>
              </w:tc>
              <w:tc>
                <w:tcPr>
                  <w:tcW w:w="2119"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olor w:val="auto"/>
                      <w:sz w:val="21"/>
                      <w:szCs w:val="21"/>
                      <w:highlight w:val="none"/>
                    </w:rPr>
                  </w:pPr>
                  <w:r>
                    <w:rPr>
                      <w:rFonts w:hint="eastAsia"/>
                      <w:color w:val="auto"/>
                      <w:sz w:val="21"/>
                      <w:szCs w:val="21"/>
                      <w:highlight w:val="none"/>
                      <w:lang w:val="en-US" w:eastAsia="zh-CN"/>
                    </w:rPr>
                    <w:t>活性炭层表观流速</w:t>
                  </w:r>
                </w:p>
              </w:tc>
              <w:tc>
                <w:tcPr>
                  <w:tcW w:w="2842"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olor w:val="auto"/>
                      <w:sz w:val="21"/>
                      <w:szCs w:val="21"/>
                      <w:highlight w:val="none"/>
                    </w:rPr>
                  </w:pPr>
                  <w:r>
                    <w:rPr>
                      <w:rFonts w:hint="eastAsia" w:cs="Times New Roman"/>
                      <w:color w:val="auto"/>
                      <w:highlight w:val="none"/>
                      <w:lang w:val="en-US" w:eastAsia="zh-CN"/>
                    </w:rPr>
                    <w:t>m/s</w:t>
                  </w:r>
                </w:p>
              </w:tc>
              <w:tc>
                <w:tcPr>
                  <w:tcW w:w="2443"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﹤1.2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213" w:type="dxa"/>
                  <w:tcBorders>
                    <w:tl2br w:val="nil"/>
                    <w:tr2bl w:val="nil"/>
                  </w:tcBorders>
                  <w:noWrap w:val="0"/>
                  <w:vAlign w:val="center"/>
                </w:tcPr>
                <w:p>
                  <w:pPr>
                    <w:keepNext w:val="0"/>
                    <w:keepLines w:val="0"/>
                    <w:pageBreakBefore w:val="0"/>
                    <w:widowControl w:val="0"/>
                    <w:numPr>
                      <w:ilvl w:val="0"/>
                      <w:numId w:val="28"/>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color w:val="auto"/>
                      <w:sz w:val="21"/>
                      <w:szCs w:val="21"/>
                      <w:highlight w:val="none"/>
                    </w:rPr>
                  </w:pPr>
                </w:p>
              </w:tc>
              <w:tc>
                <w:tcPr>
                  <w:tcW w:w="2119"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olor w:val="auto"/>
                      <w:sz w:val="21"/>
                      <w:szCs w:val="21"/>
                      <w:highlight w:val="none"/>
                    </w:rPr>
                  </w:pPr>
                  <w:r>
                    <w:rPr>
                      <w:rFonts w:hint="eastAsia"/>
                      <w:color w:val="auto"/>
                      <w:sz w:val="21"/>
                      <w:szCs w:val="21"/>
                      <w:highlight w:val="none"/>
                      <w:lang w:val="en-US" w:eastAsia="zh-CN"/>
                    </w:rPr>
                    <w:t>横向强度</w:t>
                  </w:r>
                </w:p>
              </w:tc>
              <w:tc>
                <w:tcPr>
                  <w:tcW w:w="2842"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olor w:val="auto"/>
                      <w:sz w:val="21"/>
                      <w:szCs w:val="21"/>
                      <w:highlight w:val="none"/>
                    </w:rPr>
                  </w:pPr>
                  <w:r>
                    <w:rPr>
                      <w:rFonts w:hint="eastAsia"/>
                      <w:color w:val="auto"/>
                      <w:sz w:val="21"/>
                      <w:szCs w:val="21"/>
                      <w:highlight w:val="none"/>
                      <w:lang w:val="en-US" w:eastAsia="zh-CN"/>
                    </w:rPr>
                    <w:t>MPa</w:t>
                  </w:r>
                </w:p>
              </w:tc>
              <w:tc>
                <w:tcPr>
                  <w:tcW w:w="2443"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eastAsia="宋体"/>
                      <w:color w:val="auto"/>
                      <w:sz w:val="21"/>
                      <w:szCs w:val="21"/>
                      <w:highlight w:val="none"/>
                      <w:lang w:val="en-US" w:eastAsia="zh-CN"/>
                    </w:rPr>
                  </w:pPr>
                  <w:r>
                    <w:rPr>
                      <w:rFonts w:hint="default" w:ascii="Times New Roman" w:hAnsi="Times New Roman" w:cs="Times New Roman"/>
                      <w:color w:val="auto"/>
                      <w:highlight w:val="none"/>
                      <w:lang w:val="en-US" w:eastAsia="zh-CN"/>
                    </w:rPr>
                    <w:t>≥</w:t>
                  </w:r>
                  <w:r>
                    <w:rPr>
                      <w:rFonts w:hint="eastAsia"/>
                      <w:color w:val="auto"/>
                      <w:sz w:val="21"/>
                      <w:szCs w:val="21"/>
                      <w:highlight w:val="none"/>
                      <w:lang w:val="en-US" w:eastAsia="zh-CN"/>
                    </w:rPr>
                    <w:t>0.3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1213" w:type="dxa"/>
                  <w:tcBorders>
                    <w:tl2br w:val="nil"/>
                    <w:tr2bl w:val="nil"/>
                  </w:tcBorders>
                  <w:noWrap w:val="0"/>
                  <w:vAlign w:val="center"/>
                </w:tcPr>
                <w:p>
                  <w:pPr>
                    <w:keepNext w:val="0"/>
                    <w:keepLines w:val="0"/>
                    <w:pageBreakBefore w:val="0"/>
                    <w:widowControl w:val="0"/>
                    <w:numPr>
                      <w:ilvl w:val="0"/>
                      <w:numId w:val="28"/>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color w:val="auto"/>
                      <w:sz w:val="21"/>
                      <w:szCs w:val="21"/>
                      <w:highlight w:val="none"/>
                    </w:rPr>
                  </w:pPr>
                </w:p>
              </w:tc>
              <w:tc>
                <w:tcPr>
                  <w:tcW w:w="2119"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纵向强度</w:t>
                  </w:r>
                </w:p>
              </w:tc>
              <w:tc>
                <w:tcPr>
                  <w:tcW w:w="2842"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olor w:val="auto"/>
                      <w:sz w:val="21"/>
                      <w:szCs w:val="21"/>
                      <w:highlight w:val="none"/>
                    </w:rPr>
                  </w:pPr>
                  <w:r>
                    <w:rPr>
                      <w:rFonts w:hint="eastAsia"/>
                      <w:color w:val="auto"/>
                      <w:sz w:val="21"/>
                      <w:szCs w:val="21"/>
                      <w:highlight w:val="none"/>
                      <w:lang w:val="en-US" w:eastAsia="zh-CN"/>
                    </w:rPr>
                    <w:t>MPa</w:t>
                  </w:r>
                </w:p>
              </w:tc>
              <w:tc>
                <w:tcPr>
                  <w:tcW w:w="2443"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eastAsia="宋体"/>
                      <w:color w:val="auto"/>
                      <w:sz w:val="21"/>
                      <w:szCs w:val="21"/>
                      <w:highlight w:val="none"/>
                      <w:lang w:val="en-US" w:eastAsia="zh-CN"/>
                    </w:rPr>
                  </w:pPr>
                  <w:r>
                    <w:rPr>
                      <w:rFonts w:hint="default" w:ascii="Times New Roman" w:hAnsi="Times New Roman" w:cs="Times New Roman"/>
                      <w:color w:val="auto"/>
                      <w:highlight w:val="none"/>
                      <w:lang w:val="en-US" w:eastAsia="zh-CN"/>
                    </w:rPr>
                    <w:t>≥</w:t>
                  </w:r>
                  <w:r>
                    <w:rPr>
                      <w:rFonts w:hint="eastAsia"/>
                      <w:color w:val="auto"/>
                      <w:sz w:val="21"/>
                      <w:szCs w:val="21"/>
                      <w:highlight w:val="none"/>
                      <w:lang w:val="en-US" w:eastAsia="zh-CN"/>
                    </w:rPr>
                    <w:t>0.8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1213" w:type="dxa"/>
                  <w:tcBorders>
                    <w:tl2br w:val="nil"/>
                    <w:tr2bl w:val="nil"/>
                  </w:tcBorders>
                  <w:noWrap w:val="0"/>
                  <w:vAlign w:val="center"/>
                </w:tcPr>
                <w:p>
                  <w:pPr>
                    <w:keepNext w:val="0"/>
                    <w:keepLines w:val="0"/>
                    <w:pageBreakBefore w:val="0"/>
                    <w:widowControl w:val="0"/>
                    <w:numPr>
                      <w:ilvl w:val="0"/>
                      <w:numId w:val="28"/>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color w:val="auto"/>
                      <w:sz w:val="21"/>
                      <w:szCs w:val="21"/>
                      <w:highlight w:val="none"/>
                    </w:rPr>
                  </w:pPr>
                </w:p>
              </w:tc>
              <w:tc>
                <w:tcPr>
                  <w:tcW w:w="2119"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总压力损失</w:t>
                  </w:r>
                </w:p>
              </w:tc>
              <w:tc>
                <w:tcPr>
                  <w:tcW w:w="2842"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olor w:val="auto"/>
                      <w:sz w:val="21"/>
                      <w:szCs w:val="21"/>
                      <w:highlight w:val="none"/>
                    </w:rPr>
                  </w:pPr>
                  <w:r>
                    <w:rPr>
                      <w:rFonts w:hint="eastAsia"/>
                      <w:color w:val="auto"/>
                      <w:sz w:val="21"/>
                      <w:szCs w:val="21"/>
                      <w:highlight w:val="none"/>
                      <w:lang w:val="en-US" w:eastAsia="zh-CN"/>
                    </w:rPr>
                    <w:t>Pa</w:t>
                  </w:r>
                </w:p>
              </w:tc>
              <w:tc>
                <w:tcPr>
                  <w:tcW w:w="2443"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﹤600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1213" w:type="dxa"/>
                  <w:tcBorders>
                    <w:tl2br w:val="nil"/>
                    <w:tr2bl w:val="nil"/>
                  </w:tcBorders>
                  <w:noWrap w:val="0"/>
                  <w:vAlign w:val="center"/>
                </w:tcPr>
                <w:p>
                  <w:pPr>
                    <w:keepNext w:val="0"/>
                    <w:keepLines w:val="0"/>
                    <w:pageBreakBefore w:val="0"/>
                    <w:widowControl w:val="0"/>
                    <w:numPr>
                      <w:ilvl w:val="0"/>
                      <w:numId w:val="28"/>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color w:val="auto"/>
                      <w:sz w:val="21"/>
                      <w:szCs w:val="21"/>
                      <w:highlight w:val="none"/>
                    </w:rPr>
                  </w:pPr>
                </w:p>
              </w:tc>
              <w:tc>
                <w:tcPr>
                  <w:tcW w:w="2119"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活性炭层穿透厚度</w:t>
                  </w:r>
                </w:p>
              </w:tc>
              <w:tc>
                <w:tcPr>
                  <w:tcW w:w="2842"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olor w:val="auto"/>
                      <w:sz w:val="21"/>
                      <w:szCs w:val="21"/>
                      <w:highlight w:val="none"/>
                    </w:rPr>
                  </w:pPr>
                  <w:r>
                    <w:rPr>
                      <w:rFonts w:hint="eastAsia"/>
                      <w:color w:val="auto"/>
                      <w:sz w:val="21"/>
                      <w:szCs w:val="21"/>
                      <w:highlight w:val="none"/>
                      <w:lang w:val="en-US" w:eastAsia="zh-CN"/>
                    </w:rPr>
                    <w:t>mm</w:t>
                  </w:r>
                </w:p>
              </w:tc>
              <w:tc>
                <w:tcPr>
                  <w:tcW w:w="2443"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﹥500</w:t>
                  </w:r>
                </w:p>
              </w:tc>
            </w:tr>
          </w:tbl>
          <w:p>
            <w:pPr>
              <w:bidi w:val="0"/>
              <w:rPr>
                <w:rFonts w:hint="default"/>
                <w:color w:val="auto"/>
                <w:highlight w:val="none"/>
                <w:lang w:val="en-US" w:eastAsia="zh-CN"/>
              </w:rPr>
            </w:pPr>
            <w:r>
              <w:rPr>
                <w:rFonts w:hint="eastAsia"/>
                <w:color w:val="auto"/>
                <w:highlight w:val="none"/>
                <w:lang w:val="en-US" w:eastAsia="zh-CN"/>
              </w:rPr>
              <w:t>本项目风机风量设置合理性分析如下：</w:t>
            </w:r>
          </w:p>
          <w:p>
            <w:pPr>
              <w:bidi w:val="0"/>
              <w:rPr>
                <w:rFonts w:hint="default"/>
                <w:color w:val="auto"/>
                <w:highlight w:val="none"/>
                <w:lang w:val="en-US" w:eastAsia="zh-CN"/>
              </w:rPr>
            </w:pPr>
            <w:r>
              <w:rPr>
                <w:rFonts w:hint="eastAsia"/>
                <w:color w:val="auto"/>
                <w:highlight w:val="none"/>
                <w:lang w:val="en-US" w:eastAsia="zh-CN"/>
              </w:rPr>
              <w:t>集气罩风量计算公式为：</w:t>
            </w:r>
          </w:p>
          <w:p>
            <w:pPr>
              <w:bidi w:val="0"/>
              <w:jc w:val="center"/>
              <w:rPr>
                <w:rFonts w:hint="eastAsia" w:ascii="Times New Roman" w:hAnsi="Times New Roman" w:eastAsia="宋体" w:cs="Times New Roman"/>
                <w:color w:val="auto"/>
                <w:sz w:val="24"/>
                <w:szCs w:val="24"/>
                <w:highlight w:val="none"/>
                <w:vertAlign w:val="baseline"/>
                <w:lang w:val="en-US" w:eastAsia="zh-CN"/>
              </w:rPr>
            </w:pPr>
            <w:r>
              <w:rPr>
                <w:rFonts w:hint="default" w:ascii="Times New Roman" w:hAnsi="Times New Roman" w:eastAsia="宋体" w:cs="Times New Roman"/>
                <w:color w:val="auto"/>
                <w:sz w:val="24"/>
                <w:szCs w:val="24"/>
                <w:highlight w:val="none"/>
                <w:lang w:val="en-US" w:eastAsia="zh-CN"/>
              </w:rPr>
              <w:t>Q＝3600×</w:t>
            </w:r>
            <w:r>
              <w:rPr>
                <w:rFonts w:hint="eastAsia" w:ascii="Times New Roman" w:hAnsi="Times New Roman" w:eastAsia="宋体" w:cs="Times New Roman"/>
                <w:color w:val="auto"/>
                <w:sz w:val="24"/>
                <w:szCs w:val="24"/>
                <w:highlight w:val="none"/>
                <w:lang w:val="en-US" w:eastAsia="zh-CN"/>
              </w:rPr>
              <w:t>A</w:t>
            </w:r>
            <w:r>
              <w:rPr>
                <w:rFonts w:hint="default" w:ascii="Times New Roman" w:hAnsi="Times New Roman" w:eastAsia="宋体"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V</w:t>
            </w:r>
            <w:r>
              <w:rPr>
                <w:rFonts w:hint="eastAsia" w:ascii="Times New Roman" w:hAnsi="Times New Roman" w:eastAsia="宋体" w:cs="Times New Roman"/>
                <w:color w:val="auto"/>
                <w:sz w:val="24"/>
                <w:szCs w:val="24"/>
                <w:highlight w:val="none"/>
                <w:vertAlign w:val="subscript"/>
                <w:lang w:val="en-US" w:eastAsia="zh-CN"/>
              </w:rPr>
              <w:t>p1</w:t>
            </w:r>
            <w:r>
              <w:rPr>
                <w:rFonts w:hint="eastAsia" w:ascii="Times New Roman" w:hAnsi="Times New Roman" w:eastAsia="宋体" w:cs="Times New Roman"/>
                <w:color w:val="auto"/>
                <w:sz w:val="24"/>
                <w:szCs w:val="24"/>
                <w:highlight w:val="none"/>
                <w:vertAlign w:val="baseline"/>
                <w:lang w:val="en-US" w:eastAsia="zh-CN"/>
              </w:rPr>
              <w:t>........................................................公式（</w:t>
            </w:r>
            <w:r>
              <w:rPr>
                <w:rFonts w:hint="eastAsia" w:cs="Times New Roman"/>
                <w:color w:val="auto"/>
                <w:sz w:val="24"/>
                <w:szCs w:val="24"/>
                <w:highlight w:val="none"/>
                <w:vertAlign w:val="baseline"/>
                <w:lang w:val="en-US" w:eastAsia="zh-CN"/>
              </w:rPr>
              <w:t>1</w:t>
            </w:r>
            <w:r>
              <w:rPr>
                <w:rFonts w:hint="eastAsia" w:ascii="Times New Roman" w:hAnsi="Times New Roman" w:eastAsia="宋体" w:cs="Times New Roman"/>
                <w:color w:val="auto"/>
                <w:sz w:val="24"/>
                <w:szCs w:val="24"/>
                <w:highlight w:val="none"/>
                <w:vertAlign w:val="baseline"/>
                <w:lang w:val="en-US" w:eastAsia="zh-CN"/>
              </w:rPr>
              <w:t>）</w:t>
            </w:r>
          </w:p>
          <w:p>
            <w:pPr>
              <w:bidi w:val="0"/>
              <w:rPr>
                <w:rFonts w:hint="default"/>
                <w:color w:val="auto"/>
                <w:highlight w:val="none"/>
                <w:lang w:val="en-US" w:eastAsia="zh-CN"/>
              </w:rPr>
            </w:pPr>
            <w:r>
              <w:rPr>
                <w:rFonts w:hint="default"/>
                <w:color w:val="auto"/>
                <w:highlight w:val="none"/>
                <w:lang w:val="en-US" w:eastAsia="zh-CN"/>
              </w:rPr>
              <w:t>式中：</w:t>
            </w:r>
          </w:p>
          <w:p>
            <w:pPr>
              <w:keepNext w:val="0"/>
              <w:keepLines w:val="0"/>
              <w:pageBreakBefore w:val="0"/>
              <w:widowControl w:val="0"/>
              <w:kinsoku/>
              <w:wordWrap/>
              <w:overflowPunct/>
              <w:topLinePunct w:val="0"/>
              <w:autoSpaceDE/>
              <w:autoSpaceDN/>
              <w:bidi w:val="0"/>
              <w:adjustRightInd/>
              <w:snapToGrid/>
              <w:ind w:firstLine="960" w:firstLineChars="4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Q：</w:t>
            </w:r>
            <w:r>
              <w:rPr>
                <w:rFonts w:hint="eastAsia" w:ascii="Times New Roman" w:hAnsi="Times New Roman" w:eastAsia="宋体" w:cs="Times New Roman"/>
                <w:color w:val="auto"/>
                <w:sz w:val="24"/>
                <w:szCs w:val="24"/>
                <w:highlight w:val="none"/>
                <w:lang w:val="en-US" w:eastAsia="zh-CN"/>
              </w:rPr>
              <w:t>排</w:t>
            </w:r>
            <w:r>
              <w:rPr>
                <w:rFonts w:hint="default" w:ascii="Times New Roman" w:hAnsi="Times New Roman" w:eastAsia="宋体" w:cs="Times New Roman"/>
                <w:color w:val="auto"/>
                <w:sz w:val="24"/>
                <w:szCs w:val="24"/>
                <w:highlight w:val="none"/>
                <w:lang w:val="en-US" w:eastAsia="zh-CN"/>
              </w:rPr>
              <w:t>风量，</w:t>
            </w:r>
            <w:r>
              <w:rPr>
                <w:rFonts w:hint="default" w:ascii="Times New Roman" w:hAnsi="Times New Roman" w:eastAsia="宋体" w:cs="Times New Roman"/>
                <w:color w:val="auto"/>
                <w:kern w:val="2"/>
                <w:sz w:val="24"/>
                <w:szCs w:val="24"/>
                <w:highlight w:val="none"/>
                <w:lang w:val="en-US" w:eastAsia="zh-CN" w:bidi="ar-SA"/>
              </w:rPr>
              <w:t>m</w:t>
            </w:r>
            <w:r>
              <w:rPr>
                <w:rFonts w:hint="default" w:ascii="Times New Roman" w:hAnsi="Times New Roman" w:eastAsia="宋体" w:cs="Times New Roman"/>
                <w:color w:val="auto"/>
                <w:kern w:val="2"/>
                <w:sz w:val="24"/>
                <w:szCs w:val="24"/>
                <w:highlight w:val="none"/>
                <w:vertAlign w:val="superscript"/>
                <w:lang w:val="en-US" w:eastAsia="zh-CN" w:bidi="ar-SA"/>
              </w:rPr>
              <w:t>3</w:t>
            </w:r>
            <w:r>
              <w:rPr>
                <w:rFonts w:hint="default" w:ascii="Times New Roman" w:hAnsi="Times New Roman" w:eastAsia="宋体" w:cs="Times New Roman"/>
                <w:color w:val="auto"/>
                <w:kern w:val="2"/>
                <w:sz w:val="24"/>
                <w:szCs w:val="24"/>
                <w:highlight w:val="none"/>
                <w:lang w:val="en-US" w:eastAsia="zh-CN" w:bidi="ar-SA"/>
              </w:rPr>
              <w:t>/h；</w:t>
            </w:r>
          </w:p>
          <w:p>
            <w:pPr>
              <w:keepNext w:val="0"/>
              <w:keepLines w:val="0"/>
              <w:pageBreakBefore w:val="0"/>
              <w:widowControl w:val="0"/>
              <w:kinsoku/>
              <w:wordWrap/>
              <w:overflowPunct/>
              <w:topLinePunct w:val="0"/>
              <w:autoSpaceDE/>
              <w:autoSpaceDN/>
              <w:bidi w:val="0"/>
              <w:adjustRightInd/>
              <w:snapToGrid/>
              <w:ind w:firstLine="960" w:firstLineChars="400"/>
              <w:textAlignment w:val="auto"/>
              <w:rPr>
                <w:rFonts w:hint="default"/>
                <w:color w:val="auto"/>
                <w:highlight w:val="none"/>
                <w:lang w:val="en-US" w:eastAsia="zh-CN"/>
              </w:rPr>
            </w:pPr>
            <w:r>
              <w:rPr>
                <w:rFonts w:hint="eastAsia"/>
                <w:color w:val="auto"/>
                <w:highlight w:val="none"/>
                <w:lang w:val="en-US" w:eastAsia="zh-CN"/>
              </w:rPr>
              <w:t>A：罩口面积；</w:t>
            </w:r>
          </w:p>
          <w:p>
            <w:pPr>
              <w:keepNext w:val="0"/>
              <w:keepLines w:val="0"/>
              <w:pageBreakBefore w:val="0"/>
              <w:widowControl w:val="0"/>
              <w:kinsoku/>
              <w:wordWrap/>
              <w:overflowPunct/>
              <w:topLinePunct w:val="0"/>
              <w:autoSpaceDE/>
              <w:autoSpaceDN/>
              <w:bidi w:val="0"/>
              <w:adjustRightInd/>
              <w:snapToGrid/>
              <w:ind w:firstLine="960" w:firstLineChars="400"/>
              <w:textAlignment w:val="auto"/>
              <w:rPr>
                <w:rFonts w:hint="default"/>
                <w:color w:val="auto"/>
                <w:highlight w:val="none"/>
                <w:lang w:val="en-US" w:eastAsia="zh-CN"/>
              </w:rPr>
            </w:pPr>
            <w:r>
              <w:rPr>
                <w:rFonts w:hint="eastAsia"/>
                <w:color w:val="auto"/>
                <w:highlight w:val="none"/>
                <w:lang w:val="en-US" w:eastAsia="zh-CN"/>
              </w:rPr>
              <w:t>V</w:t>
            </w:r>
            <w:r>
              <w:rPr>
                <w:rFonts w:hint="eastAsia"/>
                <w:color w:val="auto"/>
                <w:highlight w:val="none"/>
                <w:vertAlign w:val="subscript"/>
                <w:lang w:val="en-US" w:eastAsia="zh-CN"/>
              </w:rPr>
              <w:t>p1</w:t>
            </w:r>
            <w:r>
              <w:rPr>
                <w:rFonts w:hint="eastAsia"/>
                <w:color w:val="auto"/>
                <w:highlight w:val="none"/>
                <w:lang w:val="en-US" w:eastAsia="zh-CN"/>
              </w:rPr>
              <w:t>：罩口平均风速，m/s。</w:t>
            </w:r>
          </w:p>
          <w:p>
            <w:pPr>
              <w:keepNext w:val="0"/>
              <w:keepLines w:val="0"/>
              <w:pageBreakBefore w:val="0"/>
              <w:widowControl w:val="0"/>
              <w:kinsoku/>
              <w:wordWrap/>
              <w:overflowPunct/>
              <w:topLinePunct w:val="0"/>
              <w:autoSpaceDE/>
              <w:autoSpaceDN/>
              <w:bidi w:val="0"/>
              <w:adjustRightInd/>
              <w:snapToGrid/>
              <w:textAlignment w:val="auto"/>
              <w:rPr>
                <w:rFonts w:hint="eastAsia" w:ascii="Times New Roman" w:hAnsi="Times New Roman"/>
                <w:color w:val="auto"/>
                <w:sz w:val="24"/>
                <w:highlight w:val="none"/>
                <w:shd w:val="solid" w:color="FFFFFF" w:fill="auto"/>
                <w:lang w:val="en-US" w:eastAsia="zh-CN"/>
              </w:rPr>
            </w:pPr>
            <w:r>
              <w:rPr>
                <w:rFonts w:hint="eastAsia"/>
                <w:b w:val="0"/>
                <w:bCs w:val="0"/>
                <w:color w:val="auto"/>
                <w:highlight w:val="none"/>
                <w:lang w:val="en-US" w:eastAsia="zh-CN"/>
              </w:rPr>
              <w:t>根据</w:t>
            </w:r>
            <w:r>
              <w:rPr>
                <w:rFonts w:hint="default"/>
                <w:b w:val="0"/>
                <w:bCs w:val="0"/>
                <w:color w:val="auto"/>
                <w:highlight w:val="none"/>
                <w:lang w:val="en-US" w:eastAsia="zh-CN"/>
              </w:rPr>
              <w:t>《唐山市2021年挥发性有机物综合治理工作方案》</w:t>
            </w:r>
            <w:r>
              <w:rPr>
                <w:rFonts w:hint="eastAsia"/>
                <w:b w:val="0"/>
                <w:bCs w:val="0"/>
                <w:color w:val="auto"/>
                <w:highlight w:val="none"/>
                <w:lang w:val="en-US" w:eastAsia="zh-CN"/>
              </w:rPr>
              <w:t>，</w:t>
            </w:r>
            <w:r>
              <w:rPr>
                <w:rFonts w:hint="eastAsia" w:ascii="宋体" w:hAnsi="宋体" w:eastAsia="宋体" w:cs="宋体"/>
                <w:b w:val="0"/>
                <w:bCs w:val="0"/>
                <w:color w:val="auto"/>
                <w:highlight w:val="none"/>
                <w:lang w:val="en-US" w:eastAsia="zh-CN"/>
              </w:rPr>
              <w:t>“</w:t>
            </w:r>
            <w:r>
              <w:rPr>
                <w:rFonts w:hint="default"/>
                <w:b w:val="0"/>
                <w:bCs w:val="0"/>
                <w:color w:val="auto"/>
                <w:highlight w:val="none"/>
                <w:lang w:val="en-US" w:eastAsia="zh-CN"/>
              </w:rPr>
              <w:t>工业涂装生产线采用整体密闭的，密闭区域内换风次数原则上不少于20次/h，车间采用整体密闭的（如烘干、晾干车间、流平车间等），车间换风次数原则上不少于8次/h</w:t>
            </w:r>
            <w:r>
              <w:rPr>
                <w:rFonts w:hint="eastAsia"/>
                <w:b w:val="0"/>
                <w:bCs w:val="0"/>
                <w:color w:val="auto"/>
                <w:highlight w:val="none"/>
                <w:lang w:val="en-US" w:eastAsia="zh-CN"/>
              </w:rPr>
              <w:t>。</w:t>
            </w:r>
            <w:r>
              <w:rPr>
                <w:rFonts w:hint="eastAsia" w:ascii="宋体" w:hAnsi="宋体" w:eastAsia="宋体" w:cs="宋体"/>
                <w:b w:val="0"/>
                <w:bCs w:val="0"/>
                <w:color w:val="auto"/>
                <w:highlight w:val="none"/>
                <w:lang w:val="en-US" w:eastAsia="zh-CN"/>
              </w:rPr>
              <w:t>”</w:t>
            </w:r>
          </w:p>
        </w:tc>
      </w:tr>
    </w:tbl>
    <w:p>
      <w:pPr>
        <w:rPr>
          <w:color w:val="auto"/>
          <w:highlight w:val="none"/>
        </w:rPr>
        <w:sectPr>
          <w:pgSz w:w="11906" w:h="16838"/>
          <w:pgMar w:top="1440" w:right="1247" w:bottom="1440" w:left="1417"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25"/>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889"/>
        <w:gridCol w:w="1328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c>
          <w:tcPr>
            <w:tcW w:w="1024" w:type="dxa"/>
            <w:tcBorders>
              <w:tl2br w:val="nil"/>
              <w:tr2bl w:val="nil"/>
            </w:tcBorders>
          </w:tcPr>
          <w:p>
            <w:pPr>
              <w:rPr>
                <w:color w:val="auto"/>
                <w:highlight w:val="none"/>
                <w:vertAlign w:val="baseline"/>
              </w:rPr>
            </w:pPr>
          </w:p>
        </w:tc>
        <w:tc>
          <w:tcPr>
            <w:tcW w:w="13150" w:type="dxa"/>
            <w:tcBorders>
              <w:tl2br w:val="nil"/>
              <w:tr2bl w:val="nil"/>
            </w:tcBorders>
          </w:tcPr>
          <w:p>
            <w:pPr>
              <w:pStyle w:val="31"/>
              <w:bidi w:val="0"/>
              <w:rPr>
                <w:rFonts w:hint="eastAsia"/>
                <w:color w:val="auto"/>
                <w:highlight w:val="none"/>
                <w:lang w:val="en-US" w:eastAsia="zh-CN"/>
              </w:rPr>
            </w:pPr>
            <w:r>
              <w:rPr>
                <w:rFonts w:hint="eastAsia"/>
                <w:color w:val="auto"/>
                <w:highlight w:val="none"/>
                <w:lang w:val="en-US" w:eastAsia="zh-CN"/>
              </w:rPr>
              <w:t>表31  风机风量设置情况一览表</w:t>
            </w:r>
          </w:p>
          <w:tbl>
            <w:tblPr>
              <w:tblStyle w:val="25"/>
              <w:tblW w:w="1303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91"/>
              <w:gridCol w:w="1123"/>
              <w:gridCol w:w="798"/>
              <w:gridCol w:w="2416"/>
              <w:gridCol w:w="1635"/>
              <w:gridCol w:w="1649"/>
              <w:gridCol w:w="1294"/>
              <w:gridCol w:w="1302"/>
              <w:gridCol w:w="975"/>
              <w:gridCol w:w="95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2014" w:type="dxa"/>
                  <w:gridSpan w:val="2"/>
                  <w:vMerge w:val="restart"/>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产污环节</w:t>
                  </w:r>
                </w:p>
              </w:tc>
              <w:tc>
                <w:tcPr>
                  <w:tcW w:w="798" w:type="dxa"/>
                  <w:vMerge w:val="restart"/>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数量</w:t>
                  </w:r>
                </w:p>
              </w:tc>
              <w:tc>
                <w:tcPr>
                  <w:tcW w:w="4051" w:type="dxa"/>
                  <w:gridSpan w:val="2"/>
                  <w:vMerge w:val="restart"/>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废气收集措施</w:t>
                  </w:r>
                </w:p>
              </w:tc>
              <w:tc>
                <w:tcPr>
                  <w:tcW w:w="5220" w:type="dxa"/>
                  <w:gridSpan w:val="4"/>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废气量</w:t>
                  </w:r>
                </w:p>
              </w:tc>
              <w:tc>
                <w:tcPr>
                  <w:tcW w:w="956" w:type="dxa"/>
                  <w:vMerge w:val="restart"/>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风机风量（</w:t>
                  </w:r>
                  <w:r>
                    <w:rPr>
                      <w:color w:val="auto"/>
                      <w:sz w:val="21"/>
                      <w:szCs w:val="21"/>
                      <w:highlight w:val="none"/>
                    </w:rPr>
                    <w:t>m</w:t>
                  </w:r>
                  <w:r>
                    <w:rPr>
                      <w:color w:val="auto"/>
                      <w:sz w:val="21"/>
                      <w:szCs w:val="21"/>
                      <w:highlight w:val="none"/>
                      <w:vertAlign w:val="superscript"/>
                    </w:rPr>
                    <w:t>3</w:t>
                  </w:r>
                  <w:r>
                    <w:rPr>
                      <w:color w:val="auto"/>
                      <w:sz w:val="21"/>
                      <w:szCs w:val="21"/>
                      <w:highlight w:val="none"/>
                    </w:rPr>
                    <w:t>/h</w:t>
                  </w:r>
                  <w:r>
                    <w:rPr>
                      <w:rFonts w:hint="eastAsia"/>
                      <w:color w:val="auto"/>
                      <w:sz w:val="21"/>
                      <w:szCs w:val="21"/>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2014" w:type="dxa"/>
                  <w:gridSpan w:val="2"/>
                  <w:vMerge w:val="continue"/>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rFonts w:hint="eastAsia"/>
                      <w:color w:val="auto"/>
                      <w:sz w:val="21"/>
                      <w:szCs w:val="21"/>
                      <w:highlight w:val="none"/>
                      <w:lang w:val="en-US" w:eastAsia="zh-CN"/>
                    </w:rPr>
                  </w:pPr>
                </w:p>
              </w:tc>
              <w:tc>
                <w:tcPr>
                  <w:tcW w:w="798" w:type="dxa"/>
                  <w:vMerge w:val="continue"/>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rFonts w:hint="eastAsia"/>
                      <w:color w:val="auto"/>
                      <w:sz w:val="21"/>
                      <w:szCs w:val="21"/>
                      <w:highlight w:val="none"/>
                      <w:lang w:val="en-US" w:eastAsia="zh-CN"/>
                    </w:rPr>
                  </w:pPr>
                </w:p>
              </w:tc>
              <w:tc>
                <w:tcPr>
                  <w:tcW w:w="4051" w:type="dxa"/>
                  <w:gridSpan w:val="2"/>
                  <w:vMerge w:val="continue"/>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rFonts w:hint="eastAsia"/>
                      <w:color w:val="auto"/>
                      <w:sz w:val="21"/>
                      <w:szCs w:val="21"/>
                      <w:highlight w:val="none"/>
                      <w:lang w:val="en-US" w:eastAsia="zh-CN"/>
                    </w:rPr>
                  </w:pPr>
                </w:p>
              </w:tc>
              <w:tc>
                <w:tcPr>
                  <w:tcW w:w="2943" w:type="dxa"/>
                  <w:gridSpan w:val="2"/>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依据</w:t>
                  </w:r>
                </w:p>
              </w:tc>
              <w:tc>
                <w:tcPr>
                  <w:tcW w:w="2277" w:type="dxa"/>
                  <w:gridSpan w:val="2"/>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废气量（</w:t>
                  </w:r>
                  <w:r>
                    <w:rPr>
                      <w:color w:val="auto"/>
                      <w:sz w:val="21"/>
                      <w:szCs w:val="21"/>
                      <w:highlight w:val="none"/>
                    </w:rPr>
                    <w:t>m</w:t>
                  </w:r>
                  <w:r>
                    <w:rPr>
                      <w:color w:val="auto"/>
                      <w:sz w:val="21"/>
                      <w:szCs w:val="21"/>
                      <w:highlight w:val="none"/>
                      <w:vertAlign w:val="superscript"/>
                    </w:rPr>
                    <w:t>3</w:t>
                  </w:r>
                  <w:r>
                    <w:rPr>
                      <w:color w:val="auto"/>
                      <w:sz w:val="21"/>
                      <w:szCs w:val="21"/>
                      <w:highlight w:val="none"/>
                    </w:rPr>
                    <w:t>/h</w:t>
                  </w:r>
                  <w:r>
                    <w:rPr>
                      <w:rFonts w:hint="eastAsia"/>
                      <w:color w:val="auto"/>
                      <w:sz w:val="21"/>
                      <w:szCs w:val="21"/>
                      <w:highlight w:val="none"/>
                      <w:lang w:val="en-US" w:eastAsia="zh-CN"/>
                    </w:rPr>
                    <w:t>）</w:t>
                  </w:r>
                </w:p>
              </w:tc>
              <w:tc>
                <w:tcPr>
                  <w:tcW w:w="956" w:type="dxa"/>
                  <w:vMerge w:val="continue"/>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rFonts w:hint="default"/>
                      <w:color w:val="auto"/>
                      <w:sz w:val="21"/>
                      <w:szCs w:val="21"/>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891" w:type="dxa"/>
                  <w:vMerge w:val="restart"/>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印刷、印刷烘干、覆膜过程</w:t>
                  </w:r>
                </w:p>
              </w:tc>
              <w:tc>
                <w:tcPr>
                  <w:tcW w:w="1123" w:type="dxa"/>
                  <w:vMerge w:val="restart"/>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覆膜印刷机</w:t>
                  </w:r>
                </w:p>
              </w:tc>
              <w:tc>
                <w:tcPr>
                  <w:tcW w:w="798" w:type="dxa"/>
                  <w:vMerge w:val="restart"/>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w:t>
                  </w:r>
                </w:p>
              </w:tc>
              <w:tc>
                <w:tcPr>
                  <w:tcW w:w="2416" w:type="dxa"/>
                  <w:vMerge w:val="restart"/>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rFonts w:hint="eastAsia"/>
                      <w:color w:val="auto"/>
                      <w:sz w:val="21"/>
                      <w:szCs w:val="21"/>
                      <w:highlight w:val="none"/>
                      <w:lang w:val="en-US" w:eastAsia="zh-CN"/>
                    </w:rPr>
                  </w:pPr>
                  <w:r>
                    <w:rPr>
                      <w:rFonts w:hint="eastAsia" w:cs="Times New Roman"/>
                      <w:color w:val="auto"/>
                      <w:kern w:val="2"/>
                      <w:sz w:val="21"/>
                      <w:szCs w:val="21"/>
                      <w:highlight w:val="none"/>
                      <w:lang w:val="en-US" w:eastAsia="zh-CN" w:bidi="ar-SA"/>
                    </w:rPr>
                    <w:t>烘</w:t>
                  </w:r>
                  <w:r>
                    <w:rPr>
                      <w:rFonts w:hint="default" w:ascii="Times New Roman" w:hAnsi="Times New Roman" w:eastAsia="宋体" w:cs="Times New Roman"/>
                      <w:color w:val="auto"/>
                      <w:kern w:val="2"/>
                      <w:sz w:val="21"/>
                      <w:szCs w:val="21"/>
                      <w:highlight w:val="none"/>
                      <w:lang w:val="en-US" w:eastAsia="zh-CN" w:bidi="ar-SA"/>
                    </w:rPr>
                    <w:t>干和烧结还原过程</w:t>
                  </w:r>
                  <w:r>
                    <w:rPr>
                      <w:rFonts w:hint="eastAsia" w:cs="Times New Roman"/>
                      <w:color w:val="auto"/>
                      <w:kern w:val="2"/>
                      <w:sz w:val="21"/>
                      <w:szCs w:val="21"/>
                      <w:highlight w:val="none"/>
                      <w:lang w:val="en-US" w:eastAsia="zh-CN" w:bidi="ar-SA"/>
                    </w:rPr>
                    <w:t>设备密闭</w:t>
                  </w:r>
                  <w:r>
                    <w:rPr>
                      <w:rFonts w:hint="default" w:ascii="Times New Roman" w:hAnsi="Times New Roman" w:eastAsia="宋体" w:cs="Times New Roman"/>
                      <w:color w:val="auto"/>
                      <w:kern w:val="2"/>
                      <w:sz w:val="21"/>
                      <w:szCs w:val="21"/>
                      <w:highlight w:val="none"/>
                      <w:lang w:val="en-US" w:eastAsia="zh-CN" w:bidi="ar-SA"/>
                    </w:rPr>
                    <w:t>，在各烘干</w:t>
                  </w:r>
                  <w:r>
                    <w:rPr>
                      <w:rFonts w:hint="eastAsia" w:cs="Times New Roman"/>
                      <w:color w:val="auto"/>
                      <w:kern w:val="2"/>
                      <w:sz w:val="21"/>
                      <w:szCs w:val="21"/>
                      <w:highlight w:val="none"/>
                      <w:lang w:val="en-US" w:eastAsia="zh-CN" w:bidi="ar-SA"/>
                    </w:rPr>
                    <w:t>炉</w:t>
                  </w:r>
                  <w:r>
                    <w:rPr>
                      <w:rFonts w:hint="default" w:ascii="Times New Roman" w:hAnsi="Times New Roman" w:eastAsia="宋体" w:cs="Times New Roman"/>
                      <w:color w:val="auto"/>
                      <w:kern w:val="2"/>
                      <w:sz w:val="21"/>
                      <w:szCs w:val="21"/>
                      <w:highlight w:val="none"/>
                      <w:lang w:val="en-US" w:eastAsia="zh-CN" w:bidi="ar-SA"/>
                    </w:rPr>
                    <w:t>和烧熔炉的出口上方设置集气罩</w:t>
                  </w:r>
                  <w:r>
                    <w:rPr>
                      <w:rFonts w:hint="eastAsia" w:cs="Times New Roman"/>
                      <w:color w:val="auto"/>
                      <w:kern w:val="2"/>
                      <w:sz w:val="21"/>
                      <w:szCs w:val="21"/>
                      <w:highlight w:val="none"/>
                      <w:lang w:val="en-US" w:eastAsia="zh-CN" w:bidi="ar-SA"/>
                    </w:rPr>
                    <w:t>；覆膜印刷机、覆膜烘干机封闭，在设备上方设置集气管道；自动覆膜机上方设置集气罩，采用</w:t>
                  </w:r>
                  <w:r>
                    <w:rPr>
                      <w:rFonts w:hint="default" w:ascii="Times New Roman" w:hAnsi="Times New Roman" w:eastAsia="宋体" w:cs="Times New Roman"/>
                      <w:color w:val="auto"/>
                      <w:kern w:val="2"/>
                      <w:sz w:val="21"/>
                      <w:szCs w:val="21"/>
                      <w:highlight w:val="none"/>
                      <w:lang w:val="en-US" w:eastAsia="zh-CN" w:bidi="ar-SA"/>
                    </w:rPr>
                    <w:t>风机将</w:t>
                  </w:r>
                  <w:r>
                    <w:rPr>
                      <w:rFonts w:hint="eastAsia" w:cs="Times New Roman"/>
                      <w:color w:val="auto"/>
                      <w:kern w:val="2"/>
                      <w:sz w:val="21"/>
                      <w:szCs w:val="21"/>
                      <w:highlight w:val="none"/>
                      <w:lang w:val="en-US" w:eastAsia="zh-CN" w:bidi="ar-SA"/>
                    </w:rPr>
                    <w:t>印刷、印刷烘干、覆膜、烘干及烧结还原过程产生的废气</w:t>
                  </w:r>
                  <w:r>
                    <w:rPr>
                      <w:rFonts w:hint="default" w:ascii="Times New Roman" w:hAnsi="Times New Roman" w:eastAsia="宋体" w:cs="Times New Roman"/>
                      <w:color w:val="auto"/>
                      <w:kern w:val="2"/>
                      <w:sz w:val="21"/>
                      <w:szCs w:val="21"/>
                      <w:highlight w:val="none"/>
                      <w:lang w:val="en-US" w:eastAsia="zh-CN" w:bidi="ar-SA"/>
                    </w:rPr>
                    <w:t>引入1套</w:t>
                  </w:r>
                  <w:r>
                    <w:rPr>
                      <w:rFonts w:hint="eastAsia" w:cs="Times New Roman"/>
                      <w:color w:val="auto"/>
                      <w:kern w:val="2"/>
                      <w:sz w:val="21"/>
                      <w:szCs w:val="21"/>
                      <w:highlight w:val="none"/>
                      <w:lang w:val="en-US" w:eastAsia="zh-CN" w:bidi="ar-SA"/>
                    </w:rPr>
                    <w:t>两级</w:t>
                  </w:r>
                  <w:r>
                    <w:rPr>
                      <w:rFonts w:hint="default" w:ascii="Times New Roman" w:hAnsi="Times New Roman" w:eastAsia="宋体" w:cs="Times New Roman"/>
                      <w:color w:val="auto"/>
                      <w:kern w:val="2"/>
                      <w:sz w:val="21"/>
                      <w:szCs w:val="21"/>
                      <w:highlight w:val="none"/>
                      <w:lang w:val="en-US" w:eastAsia="zh-CN" w:bidi="ar-SA"/>
                    </w:rPr>
                    <w:t>活性炭吸附装置</w:t>
                  </w:r>
                  <w:r>
                    <w:rPr>
                      <w:rFonts w:hint="eastAsia" w:cs="Times New Roman"/>
                      <w:color w:val="auto"/>
                      <w:kern w:val="2"/>
                      <w:sz w:val="21"/>
                      <w:szCs w:val="21"/>
                      <w:highlight w:val="none"/>
                      <w:lang w:val="en-US" w:eastAsia="zh-CN" w:bidi="ar-SA"/>
                    </w:rPr>
                    <w:t>（TA002）</w:t>
                  </w:r>
                  <w:r>
                    <w:rPr>
                      <w:rFonts w:hint="default" w:ascii="Times New Roman" w:hAnsi="Times New Roman" w:eastAsia="宋体" w:cs="Times New Roman"/>
                      <w:color w:val="auto"/>
                      <w:kern w:val="2"/>
                      <w:sz w:val="21"/>
                      <w:szCs w:val="21"/>
                      <w:highlight w:val="none"/>
                      <w:lang w:val="en-US" w:eastAsia="zh-CN" w:bidi="ar-SA"/>
                    </w:rPr>
                    <w:t>进行净化处理</w:t>
                  </w:r>
                </w:p>
              </w:tc>
              <w:tc>
                <w:tcPr>
                  <w:tcW w:w="1635" w:type="dxa"/>
                  <w:vMerge w:val="restart"/>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封闭区域尺寸：3.4m</w:t>
                  </w:r>
                  <w:r>
                    <w:rPr>
                      <w:rFonts w:hint="default" w:ascii="Times New Roman" w:hAnsi="Times New Roman" w:cs="Times New Roman"/>
                      <w:color w:val="auto"/>
                      <w:kern w:val="2"/>
                      <w:sz w:val="21"/>
                      <w:szCs w:val="21"/>
                      <w:highlight w:val="none"/>
                      <w:lang w:val="en-US" w:eastAsia="zh-CN" w:bidi="ar-SA"/>
                    </w:rPr>
                    <w:t>×</w:t>
                  </w:r>
                  <w:r>
                    <w:rPr>
                      <w:rFonts w:hint="eastAsia" w:ascii="Times New Roman" w:hAnsi="Times New Roman" w:cs="Times New Roman"/>
                      <w:color w:val="auto"/>
                      <w:kern w:val="2"/>
                      <w:sz w:val="21"/>
                      <w:szCs w:val="21"/>
                      <w:highlight w:val="none"/>
                      <w:lang w:val="en-US" w:eastAsia="zh-CN" w:bidi="ar-SA"/>
                    </w:rPr>
                    <w:t>1.3m</w:t>
                  </w:r>
                  <w:r>
                    <w:rPr>
                      <w:rFonts w:hint="default" w:ascii="Times New Roman" w:hAnsi="Times New Roman" w:cs="Times New Roman"/>
                      <w:color w:val="auto"/>
                      <w:kern w:val="2"/>
                      <w:sz w:val="21"/>
                      <w:szCs w:val="21"/>
                      <w:highlight w:val="none"/>
                      <w:lang w:val="en-US" w:eastAsia="zh-CN" w:bidi="ar-SA"/>
                    </w:rPr>
                    <w:t>×</w:t>
                  </w:r>
                  <w:r>
                    <w:rPr>
                      <w:rFonts w:hint="eastAsia" w:ascii="Times New Roman" w:hAnsi="Times New Roman" w:cs="Times New Roman"/>
                      <w:color w:val="auto"/>
                      <w:kern w:val="2"/>
                      <w:sz w:val="21"/>
                      <w:szCs w:val="21"/>
                      <w:highlight w:val="none"/>
                      <w:lang w:val="en-US" w:eastAsia="zh-CN" w:bidi="ar-SA"/>
                    </w:rPr>
                    <w:t>1.2m</w:t>
                  </w:r>
                </w:p>
              </w:tc>
              <w:tc>
                <w:tcPr>
                  <w:tcW w:w="1649" w:type="dxa"/>
                  <w:vMerge w:val="restart"/>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参照</w:t>
                  </w:r>
                  <w:r>
                    <w:rPr>
                      <w:rFonts w:hint="default"/>
                      <w:b w:val="0"/>
                      <w:bCs w:val="0"/>
                      <w:color w:val="auto"/>
                      <w:highlight w:val="none"/>
                      <w:lang w:val="en-US" w:eastAsia="zh-CN"/>
                    </w:rPr>
                    <w:t>《唐山市2021年挥发性有机物综合治理工作方案》</w:t>
                  </w:r>
                  <w:r>
                    <w:rPr>
                      <w:rFonts w:hint="eastAsia"/>
                      <w:b w:val="0"/>
                      <w:bCs w:val="0"/>
                      <w:color w:val="auto"/>
                      <w:highlight w:val="none"/>
                      <w:lang w:val="en-US" w:eastAsia="zh-CN"/>
                    </w:rPr>
                    <w:t>，换气次数按60次计</w:t>
                  </w:r>
                </w:p>
              </w:tc>
              <w:tc>
                <w:tcPr>
                  <w:tcW w:w="1294"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长：3.4m</w:t>
                  </w:r>
                </w:p>
              </w:tc>
              <w:tc>
                <w:tcPr>
                  <w:tcW w:w="1302" w:type="dxa"/>
                  <w:vMerge w:val="restart"/>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318</w:t>
                  </w:r>
                </w:p>
              </w:tc>
              <w:tc>
                <w:tcPr>
                  <w:tcW w:w="975" w:type="dxa"/>
                  <w:vMerge w:val="restart"/>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12539</w:t>
                  </w:r>
                </w:p>
              </w:tc>
              <w:tc>
                <w:tcPr>
                  <w:tcW w:w="956" w:type="dxa"/>
                  <w:vMerge w:val="restart"/>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15000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891" w:type="dxa"/>
                  <w:vMerge w:val="continue"/>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color w:val="auto"/>
                    </w:rPr>
                  </w:pPr>
                </w:p>
              </w:tc>
              <w:tc>
                <w:tcPr>
                  <w:tcW w:w="1123" w:type="dxa"/>
                  <w:vMerge w:val="continue"/>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color w:val="auto"/>
                    </w:rPr>
                  </w:pPr>
                </w:p>
              </w:tc>
              <w:tc>
                <w:tcPr>
                  <w:tcW w:w="798" w:type="dxa"/>
                  <w:vMerge w:val="continue"/>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color w:val="auto"/>
                    </w:rPr>
                  </w:pPr>
                </w:p>
              </w:tc>
              <w:tc>
                <w:tcPr>
                  <w:tcW w:w="2416" w:type="dxa"/>
                  <w:vMerge w:val="continue"/>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color w:val="auto"/>
                    </w:rPr>
                  </w:pPr>
                </w:p>
              </w:tc>
              <w:tc>
                <w:tcPr>
                  <w:tcW w:w="1635" w:type="dxa"/>
                  <w:vMerge w:val="continue"/>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color w:val="auto"/>
                    </w:rPr>
                  </w:pPr>
                </w:p>
              </w:tc>
              <w:tc>
                <w:tcPr>
                  <w:tcW w:w="1649" w:type="dxa"/>
                  <w:vMerge w:val="continue"/>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color w:val="auto"/>
                    </w:rPr>
                  </w:pPr>
                </w:p>
              </w:tc>
              <w:tc>
                <w:tcPr>
                  <w:tcW w:w="1294"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宽：1.3m</w:t>
                  </w:r>
                </w:p>
              </w:tc>
              <w:tc>
                <w:tcPr>
                  <w:tcW w:w="1302" w:type="dxa"/>
                  <w:vMerge w:val="continue"/>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rFonts w:hint="eastAsia"/>
                      <w:color w:val="auto"/>
                      <w:sz w:val="21"/>
                      <w:szCs w:val="21"/>
                      <w:highlight w:val="none"/>
                      <w:lang w:val="en-US" w:eastAsia="zh-CN"/>
                    </w:rPr>
                  </w:pPr>
                </w:p>
              </w:tc>
              <w:tc>
                <w:tcPr>
                  <w:tcW w:w="975" w:type="dxa"/>
                  <w:vMerge w:val="continue"/>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rFonts w:hint="eastAsia"/>
                      <w:color w:val="auto"/>
                      <w:sz w:val="21"/>
                      <w:szCs w:val="21"/>
                      <w:highlight w:val="none"/>
                      <w:lang w:val="en-US" w:eastAsia="zh-CN"/>
                    </w:rPr>
                  </w:pPr>
                </w:p>
              </w:tc>
              <w:tc>
                <w:tcPr>
                  <w:tcW w:w="956" w:type="dxa"/>
                  <w:vMerge w:val="continue"/>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rFonts w:hint="eastAsia"/>
                      <w:color w:val="auto"/>
                      <w:sz w:val="21"/>
                      <w:szCs w:val="21"/>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891" w:type="dxa"/>
                  <w:vMerge w:val="continue"/>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rFonts w:hint="eastAsia"/>
                      <w:color w:val="auto"/>
                      <w:sz w:val="21"/>
                      <w:szCs w:val="21"/>
                      <w:highlight w:val="none"/>
                      <w:lang w:val="en-US" w:eastAsia="zh-CN"/>
                    </w:rPr>
                  </w:pPr>
                </w:p>
              </w:tc>
              <w:tc>
                <w:tcPr>
                  <w:tcW w:w="1123" w:type="dxa"/>
                  <w:vMerge w:val="continue"/>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rFonts w:hint="eastAsia"/>
                      <w:color w:val="auto"/>
                      <w:sz w:val="21"/>
                      <w:szCs w:val="21"/>
                      <w:highlight w:val="none"/>
                      <w:lang w:val="en-US" w:eastAsia="zh-CN"/>
                    </w:rPr>
                  </w:pPr>
                </w:p>
              </w:tc>
              <w:tc>
                <w:tcPr>
                  <w:tcW w:w="798" w:type="dxa"/>
                  <w:vMerge w:val="continue"/>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rFonts w:hint="eastAsia"/>
                      <w:color w:val="auto"/>
                      <w:sz w:val="21"/>
                      <w:szCs w:val="21"/>
                      <w:highlight w:val="none"/>
                      <w:lang w:val="en-US" w:eastAsia="zh-CN"/>
                    </w:rPr>
                  </w:pPr>
                </w:p>
              </w:tc>
              <w:tc>
                <w:tcPr>
                  <w:tcW w:w="2416" w:type="dxa"/>
                  <w:vMerge w:val="continue"/>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rFonts w:hint="eastAsia"/>
                      <w:color w:val="auto"/>
                      <w:sz w:val="21"/>
                      <w:szCs w:val="21"/>
                      <w:highlight w:val="none"/>
                      <w:lang w:val="en-US" w:eastAsia="zh-CN"/>
                    </w:rPr>
                  </w:pPr>
                </w:p>
              </w:tc>
              <w:tc>
                <w:tcPr>
                  <w:tcW w:w="1635" w:type="dxa"/>
                  <w:vMerge w:val="continue"/>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rFonts w:hint="eastAsia"/>
                      <w:color w:val="auto"/>
                      <w:sz w:val="21"/>
                      <w:szCs w:val="21"/>
                      <w:highlight w:val="none"/>
                      <w:lang w:val="en-US" w:eastAsia="zh-CN"/>
                    </w:rPr>
                  </w:pPr>
                </w:p>
              </w:tc>
              <w:tc>
                <w:tcPr>
                  <w:tcW w:w="1649" w:type="dxa"/>
                  <w:vMerge w:val="continue"/>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rFonts w:hint="eastAsia"/>
                      <w:color w:val="auto"/>
                      <w:sz w:val="21"/>
                      <w:szCs w:val="21"/>
                      <w:highlight w:val="none"/>
                      <w:lang w:val="en-US" w:eastAsia="zh-CN"/>
                    </w:rPr>
                  </w:pPr>
                </w:p>
              </w:tc>
              <w:tc>
                <w:tcPr>
                  <w:tcW w:w="1294"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高：1.2m</w:t>
                  </w:r>
                </w:p>
              </w:tc>
              <w:tc>
                <w:tcPr>
                  <w:tcW w:w="1302" w:type="dxa"/>
                  <w:vMerge w:val="continue"/>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rFonts w:hint="eastAsia"/>
                      <w:color w:val="auto"/>
                      <w:sz w:val="21"/>
                      <w:szCs w:val="21"/>
                      <w:highlight w:val="none"/>
                      <w:lang w:val="en-US" w:eastAsia="zh-CN"/>
                    </w:rPr>
                  </w:pPr>
                </w:p>
              </w:tc>
              <w:tc>
                <w:tcPr>
                  <w:tcW w:w="975" w:type="dxa"/>
                  <w:vMerge w:val="continue"/>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rFonts w:hint="eastAsia"/>
                      <w:color w:val="auto"/>
                      <w:sz w:val="21"/>
                      <w:szCs w:val="21"/>
                      <w:highlight w:val="none"/>
                      <w:lang w:val="en-US" w:eastAsia="zh-CN"/>
                    </w:rPr>
                  </w:pPr>
                </w:p>
              </w:tc>
              <w:tc>
                <w:tcPr>
                  <w:tcW w:w="956" w:type="dxa"/>
                  <w:vMerge w:val="continue"/>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rFonts w:hint="eastAsia"/>
                      <w:color w:val="auto"/>
                      <w:sz w:val="21"/>
                      <w:szCs w:val="21"/>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4" w:hRule="atLeast"/>
                <w:jc w:val="center"/>
              </w:trPr>
              <w:tc>
                <w:tcPr>
                  <w:tcW w:w="891" w:type="dxa"/>
                  <w:vMerge w:val="continue"/>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rFonts w:hint="eastAsia"/>
                      <w:color w:val="auto"/>
                      <w:sz w:val="21"/>
                      <w:szCs w:val="21"/>
                      <w:highlight w:val="none"/>
                      <w:lang w:val="en-US" w:eastAsia="zh-CN"/>
                    </w:rPr>
                  </w:pPr>
                </w:p>
              </w:tc>
              <w:tc>
                <w:tcPr>
                  <w:tcW w:w="1123" w:type="dxa"/>
                  <w:vMerge w:val="restart"/>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覆膜烘干机</w:t>
                  </w:r>
                </w:p>
              </w:tc>
              <w:tc>
                <w:tcPr>
                  <w:tcW w:w="798" w:type="dxa"/>
                  <w:vMerge w:val="restart"/>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w:t>
                  </w:r>
                </w:p>
              </w:tc>
              <w:tc>
                <w:tcPr>
                  <w:tcW w:w="2416" w:type="dxa"/>
                  <w:vMerge w:val="continue"/>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rFonts w:hint="eastAsia"/>
                      <w:color w:val="auto"/>
                      <w:sz w:val="21"/>
                      <w:szCs w:val="21"/>
                      <w:highlight w:val="none"/>
                      <w:lang w:val="en-US" w:eastAsia="zh-CN"/>
                    </w:rPr>
                  </w:pPr>
                </w:p>
              </w:tc>
              <w:tc>
                <w:tcPr>
                  <w:tcW w:w="1635" w:type="dxa"/>
                  <w:vMerge w:val="restart"/>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封闭区域尺寸：1.6m</w:t>
                  </w:r>
                  <w:r>
                    <w:rPr>
                      <w:rFonts w:hint="default" w:ascii="Times New Roman" w:hAnsi="Times New Roman" w:cs="Times New Roman"/>
                      <w:color w:val="auto"/>
                      <w:kern w:val="2"/>
                      <w:sz w:val="21"/>
                      <w:szCs w:val="21"/>
                      <w:highlight w:val="none"/>
                      <w:lang w:val="en-US" w:eastAsia="zh-CN" w:bidi="ar-SA"/>
                    </w:rPr>
                    <w:t>×</w:t>
                  </w:r>
                  <w:r>
                    <w:rPr>
                      <w:rFonts w:hint="eastAsia" w:ascii="Times New Roman" w:hAnsi="Times New Roman" w:cs="Times New Roman"/>
                      <w:color w:val="auto"/>
                      <w:kern w:val="2"/>
                      <w:sz w:val="21"/>
                      <w:szCs w:val="21"/>
                      <w:highlight w:val="none"/>
                      <w:lang w:val="en-US" w:eastAsia="zh-CN" w:bidi="ar-SA"/>
                    </w:rPr>
                    <w:t>1.3m</w:t>
                  </w:r>
                  <w:r>
                    <w:rPr>
                      <w:rFonts w:hint="default" w:ascii="Times New Roman" w:hAnsi="Times New Roman" w:cs="Times New Roman"/>
                      <w:color w:val="auto"/>
                      <w:kern w:val="2"/>
                      <w:sz w:val="21"/>
                      <w:szCs w:val="21"/>
                      <w:highlight w:val="none"/>
                      <w:lang w:val="en-US" w:eastAsia="zh-CN" w:bidi="ar-SA"/>
                    </w:rPr>
                    <w:t>×</w:t>
                  </w:r>
                  <w:r>
                    <w:rPr>
                      <w:rFonts w:hint="eastAsia" w:ascii="Times New Roman" w:hAnsi="Times New Roman" w:cs="Times New Roman"/>
                      <w:color w:val="auto"/>
                      <w:kern w:val="2"/>
                      <w:sz w:val="21"/>
                      <w:szCs w:val="21"/>
                      <w:highlight w:val="none"/>
                      <w:lang w:val="en-US" w:eastAsia="zh-CN" w:bidi="ar-SA"/>
                    </w:rPr>
                    <w:t>1m</w:t>
                  </w:r>
                </w:p>
              </w:tc>
              <w:tc>
                <w:tcPr>
                  <w:tcW w:w="1649" w:type="dxa"/>
                  <w:vMerge w:val="continue"/>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rFonts w:hint="eastAsia"/>
                      <w:color w:val="auto"/>
                      <w:sz w:val="21"/>
                      <w:szCs w:val="21"/>
                      <w:highlight w:val="none"/>
                      <w:lang w:val="en-US" w:eastAsia="zh-CN"/>
                    </w:rPr>
                  </w:pPr>
                </w:p>
              </w:tc>
              <w:tc>
                <w:tcPr>
                  <w:tcW w:w="1294"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长：1.6m</w:t>
                  </w:r>
                </w:p>
              </w:tc>
              <w:tc>
                <w:tcPr>
                  <w:tcW w:w="1302" w:type="dxa"/>
                  <w:vMerge w:val="restart"/>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125</w:t>
                  </w:r>
                </w:p>
              </w:tc>
              <w:tc>
                <w:tcPr>
                  <w:tcW w:w="975" w:type="dxa"/>
                  <w:vMerge w:val="continue"/>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rFonts w:hint="eastAsia"/>
                      <w:color w:val="auto"/>
                      <w:sz w:val="21"/>
                      <w:szCs w:val="21"/>
                      <w:highlight w:val="none"/>
                      <w:lang w:val="en-US" w:eastAsia="zh-CN"/>
                    </w:rPr>
                  </w:pPr>
                </w:p>
              </w:tc>
              <w:tc>
                <w:tcPr>
                  <w:tcW w:w="956" w:type="dxa"/>
                  <w:vMerge w:val="continue"/>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rFonts w:hint="default"/>
                      <w:color w:val="auto"/>
                      <w:sz w:val="21"/>
                      <w:szCs w:val="21"/>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891" w:type="dxa"/>
                  <w:vMerge w:val="continue"/>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color w:val="auto"/>
                    </w:rPr>
                  </w:pPr>
                </w:p>
              </w:tc>
              <w:tc>
                <w:tcPr>
                  <w:tcW w:w="1123" w:type="dxa"/>
                  <w:vMerge w:val="continue"/>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color w:val="auto"/>
                    </w:rPr>
                  </w:pPr>
                </w:p>
              </w:tc>
              <w:tc>
                <w:tcPr>
                  <w:tcW w:w="798" w:type="dxa"/>
                  <w:vMerge w:val="continue"/>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color w:val="auto"/>
                    </w:rPr>
                  </w:pPr>
                </w:p>
              </w:tc>
              <w:tc>
                <w:tcPr>
                  <w:tcW w:w="2416" w:type="dxa"/>
                  <w:vMerge w:val="continue"/>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color w:val="auto"/>
                    </w:rPr>
                  </w:pPr>
                </w:p>
              </w:tc>
              <w:tc>
                <w:tcPr>
                  <w:tcW w:w="1635" w:type="dxa"/>
                  <w:vMerge w:val="continue"/>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color w:val="auto"/>
                    </w:rPr>
                  </w:pPr>
                </w:p>
              </w:tc>
              <w:tc>
                <w:tcPr>
                  <w:tcW w:w="1649" w:type="dxa"/>
                  <w:vMerge w:val="continue"/>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color w:val="auto"/>
                    </w:rPr>
                  </w:pPr>
                </w:p>
              </w:tc>
              <w:tc>
                <w:tcPr>
                  <w:tcW w:w="1294"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宽：1.3m</w:t>
                  </w:r>
                </w:p>
              </w:tc>
              <w:tc>
                <w:tcPr>
                  <w:tcW w:w="1302" w:type="dxa"/>
                  <w:vMerge w:val="continue"/>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rFonts w:hint="eastAsia"/>
                      <w:color w:val="auto"/>
                      <w:sz w:val="21"/>
                      <w:szCs w:val="21"/>
                      <w:highlight w:val="none"/>
                      <w:lang w:val="en-US" w:eastAsia="zh-CN"/>
                    </w:rPr>
                  </w:pPr>
                </w:p>
              </w:tc>
              <w:tc>
                <w:tcPr>
                  <w:tcW w:w="975" w:type="dxa"/>
                  <w:vMerge w:val="continue"/>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rFonts w:hint="eastAsia"/>
                      <w:color w:val="auto"/>
                      <w:sz w:val="21"/>
                      <w:szCs w:val="21"/>
                      <w:highlight w:val="none"/>
                      <w:lang w:val="en-US" w:eastAsia="zh-CN"/>
                    </w:rPr>
                  </w:pPr>
                </w:p>
              </w:tc>
              <w:tc>
                <w:tcPr>
                  <w:tcW w:w="956" w:type="dxa"/>
                  <w:vMerge w:val="continue"/>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rFonts w:hint="eastAsia"/>
                      <w:color w:val="auto"/>
                      <w:sz w:val="21"/>
                      <w:szCs w:val="21"/>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4" w:hRule="atLeast"/>
                <w:jc w:val="center"/>
              </w:trPr>
              <w:tc>
                <w:tcPr>
                  <w:tcW w:w="891" w:type="dxa"/>
                  <w:vMerge w:val="continue"/>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rFonts w:hint="eastAsia"/>
                      <w:color w:val="auto"/>
                      <w:sz w:val="21"/>
                      <w:szCs w:val="21"/>
                      <w:highlight w:val="none"/>
                      <w:lang w:val="en-US" w:eastAsia="zh-CN"/>
                    </w:rPr>
                  </w:pPr>
                </w:p>
              </w:tc>
              <w:tc>
                <w:tcPr>
                  <w:tcW w:w="1123" w:type="dxa"/>
                  <w:vMerge w:val="continue"/>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rFonts w:hint="eastAsia"/>
                      <w:color w:val="auto"/>
                      <w:sz w:val="21"/>
                      <w:szCs w:val="21"/>
                      <w:highlight w:val="none"/>
                      <w:lang w:val="en-US" w:eastAsia="zh-CN"/>
                    </w:rPr>
                  </w:pPr>
                </w:p>
              </w:tc>
              <w:tc>
                <w:tcPr>
                  <w:tcW w:w="798" w:type="dxa"/>
                  <w:vMerge w:val="continue"/>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rFonts w:hint="eastAsia"/>
                      <w:color w:val="auto"/>
                      <w:sz w:val="21"/>
                      <w:szCs w:val="21"/>
                      <w:highlight w:val="none"/>
                      <w:lang w:val="en-US" w:eastAsia="zh-CN"/>
                    </w:rPr>
                  </w:pPr>
                </w:p>
              </w:tc>
              <w:tc>
                <w:tcPr>
                  <w:tcW w:w="2416" w:type="dxa"/>
                  <w:vMerge w:val="continue"/>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rFonts w:hint="eastAsia"/>
                      <w:color w:val="auto"/>
                      <w:sz w:val="21"/>
                      <w:szCs w:val="21"/>
                      <w:highlight w:val="none"/>
                      <w:lang w:val="en-US" w:eastAsia="zh-CN"/>
                    </w:rPr>
                  </w:pPr>
                </w:p>
              </w:tc>
              <w:tc>
                <w:tcPr>
                  <w:tcW w:w="1635" w:type="dxa"/>
                  <w:vMerge w:val="continue"/>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rFonts w:hint="eastAsia"/>
                      <w:color w:val="auto"/>
                      <w:sz w:val="21"/>
                      <w:szCs w:val="21"/>
                      <w:highlight w:val="none"/>
                      <w:lang w:val="en-US" w:eastAsia="zh-CN"/>
                    </w:rPr>
                  </w:pPr>
                </w:p>
              </w:tc>
              <w:tc>
                <w:tcPr>
                  <w:tcW w:w="1649" w:type="dxa"/>
                  <w:vMerge w:val="continue"/>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rFonts w:hint="eastAsia"/>
                      <w:color w:val="auto"/>
                      <w:sz w:val="21"/>
                      <w:szCs w:val="21"/>
                      <w:highlight w:val="none"/>
                      <w:lang w:val="en-US" w:eastAsia="zh-CN"/>
                    </w:rPr>
                  </w:pPr>
                </w:p>
              </w:tc>
              <w:tc>
                <w:tcPr>
                  <w:tcW w:w="1294"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高：1m</w:t>
                  </w:r>
                </w:p>
              </w:tc>
              <w:tc>
                <w:tcPr>
                  <w:tcW w:w="1302" w:type="dxa"/>
                  <w:vMerge w:val="continue"/>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rFonts w:hint="eastAsia"/>
                      <w:color w:val="auto"/>
                      <w:sz w:val="21"/>
                      <w:szCs w:val="21"/>
                      <w:highlight w:val="none"/>
                      <w:lang w:val="en-US" w:eastAsia="zh-CN"/>
                    </w:rPr>
                  </w:pPr>
                </w:p>
              </w:tc>
              <w:tc>
                <w:tcPr>
                  <w:tcW w:w="975" w:type="dxa"/>
                  <w:vMerge w:val="continue"/>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rFonts w:hint="eastAsia"/>
                      <w:color w:val="auto"/>
                      <w:sz w:val="21"/>
                      <w:szCs w:val="21"/>
                      <w:highlight w:val="none"/>
                      <w:lang w:val="en-US" w:eastAsia="zh-CN"/>
                    </w:rPr>
                  </w:pPr>
                </w:p>
              </w:tc>
              <w:tc>
                <w:tcPr>
                  <w:tcW w:w="956" w:type="dxa"/>
                  <w:vMerge w:val="continue"/>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rFonts w:hint="eastAsia"/>
                      <w:color w:val="auto"/>
                      <w:sz w:val="21"/>
                      <w:szCs w:val="21"/>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91" w:type="dxa"/>
                  <w:vMerge w:val="continue"/>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rFonts w:hint="eastAsia"/>
                      <w:color w:val="auto"/>
                      <w:sz w:val="21"/>
                      <w:szCs w:val="21"/>
                      <w:highlight w:val="none"/>
                      <w:lang w:val="en-US" w:eastAsia="zh-CN"/>
                    </w:rPr>
                  </w:pPr>
                </w:p>
              </w:tc>
              <w:tc>
                <w:tcPr>
                  <w:tcW w:w="1123" w:type="dxa"/>
                  <w:vMerge w:val="restart"/>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自动覆膜机</w:t>
                  </w:r>
                </w:p>
              </w:tc>
              <w:tc>
                <w:tcPr>
                  <w:tcW w:w="798" w:type="dxa"/>
                  <w:vMerge w:val="restart"/>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w:t>
                  </w:r>
                </w:p>
              </w:tc>
              <w:tc>
                <w:tcPr>
                  <w:tcW w:w="2416" w:type="dxa"/>
                  <w:vMerge w:val="continue"/>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rFonts w:hint="eastAsia"/>
                      <w:color w:val="auto"/>
                      <w:sz w:val="21"/>
                      <w:szCs w:val="21"/>
                      <w:highlight w:val="none"/>
                      <w:lang w:val="en-US" w:eastAsia="zh-CN"/>
                    </w:rPr>
                  </w:pPr>
                </w:p>
              </w:tc>
              <w:tc>
                <w:tcPr>
                  <w:tcW w:w="1635" w:type="dxa"/>
                  <w:vMerge w:val="restart"/>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设置1个1.5</w:t>
                  </w:r>
                  <w:r>
                    <w:rPr>
                      <w:rFonts w:hint="eastAsia" w:ascii="Times New Roman" w:hAnsi="Times New Roman" w:cs="Times New Roman"/>
                      <w:color w:val="auto"/>
                      <w:kern w:val="2"/>
                      <w:sz w:val="21"/>
                      <w:szCs w:val="21"/>
                      <w:highlight w:val="none"/>
                      <w:lang w:val="en-US" w:eastAsia="zh-CN" w:bidi="ar-SA"/>
                    </w:rPr>
                    <w:t>m</w:t>
                  </w:r>
                  <w:r>
                    <w:rPr>
                      <w:rFonts w:hint="default" w:ascii="Times New Roman" w:hAnsi="Times New Roman" w:cs="Times New Roman"/>
                      <w:color w:val="auto"/>
                      <w:kern w:val="2"/>
                      <w:sz w:val="21"/>
                      <w:szCs w:val="21"/>
                      <w:highlight w:val="none"/>
                      <w:lang w:val="en-US" w:eastAsia="zh-CN" w:bidi="ar-SA"/>
                    </w:rPr>
                    <w:t>×</w:t>
                  </w:r>
                  <w:r>
                    <w:rPr>
                      <w:rFonts w:hint="eastAsia" w:ascii="Times New Roman" w:hAnsi="Times New Roman" w:cs="Times New Roman"/>
                      <w:color w:val="auto"/>
                      <w:kern w:val="2"/>
                      <w:sz w:val="21"/>
                      <w:szCs w:val="21"/>
                      <w:highlight w:val="none"/>
                      <w:lang w:val="en-US" w:eastAsia="zh-CN" w:bidi="ar-SA"/>
                    </w:rPr>
                    <w:t>0.4m集气罩</w:t>
                  </w:r>
                </w:p>
              </w:tc>
              <w:tc>
                <w:tcPr>
                  <w:tcW w:w="1649" w:type="dxa"/>
                  <w:vMerge w:val="restart"/>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公式（1）</w:t>
                  </w:r>
                </w:p>
              </w:tc>
              <w:tc>
                <w:tcPr>
                  <w:tcW w:w="1294"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A：0.6m</w:t>
                  </w:r>
                </w:p>
              </w:tc>
              <w:tc>
                <w:tcPr>
                  <w:tcW w:w="1302" w:type="dxa"/>
                  <w:vMerge w:val="restart"/>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2160</w:t>
                  </w:r>
                </w:p>
              </w:tc>
              <w:tc>
                <w:tcPr>
                  <w:tcW w:w="975" w:type="dxa"/>
                  <w:vMerge w:val="continue"/>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rFonts w:hint="eastAsia"/>
                      <w:color w:val="auto"/>
                      <w:sz w:val="21"/>
                      <w:szCs w:val="21"/>
                      <w:highlight w:val="none"/>
                      <w:lang w:val="en-US" w:eastAsia="zh-CN"/>
                    </w:rPr>
                  </w:pPr>
                </w:p>
              </w:tc>
              <w:tc>
                <w:tcPr>
                  <w:tcW w:w="956" w:type="dxa"/>
                  <w:vMerge w:val="continue"/>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rFonts w:hint="default"/>
                      <w:color w:val="auto"/>
                      <w:sz w:val="21"/>
                      <w:szCs w:val="21"/>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13" w:hRule="atLeast"/>
                <w:jc w:val="center"/>
              </w:trPr>
              <w:tc>
                <w:tcPr>
                  <w:tcW w:w="891" w:type="dxa"/>
                  <w:vMerge w:val="continue"/>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color w:val="auto"/>
                    </w:rPr>
                  </w:pPr>
                </w:p>
              </w:tc>
              <w:tc>
                <w:tcPr>
                  <w:tcW w:w="1123" w:type="dxa"/>
                  <w:vMerge w:val="continue"/>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color w:val="auto"/>
                    </w:rPr>
                  </w:pPr>
                </w:p>
              </w:tc>
              <w:tc>
                <w:tcPr>
                  <w:tcW w:w="798" w:type="dxa"/>
                  <w:vMerge w:val="continue"/>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color w:val="auto"/>
                    </w:rPr>
                  </w:pPr>
                </w:p>
              </w:tc>
              <w:tc>
                <w:tcPr>
                  <w:tcW w:w="2416" w:type="dxa"/>
                  <w:vMerge w:val="continue"/>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color w:val="auto"/>
                    </w:rPr>
                  </w:pPr>
                </w:p>
              </w:tc>
              <w:tc>
                <w:tcPr>
                  <w:tcW w:w="1635" w:type="dxa"/>
                  <w:vMerge w:val="continue"/>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color w:val="auto"/>
                    </w:rPr>
                  </w:pPr>
                </w:p>
              </w:tc>
              <w:tc>
                <w:tcPr>
                  <w:tcW w:w="1649" w:type="dxa"/>
                  <w:vMerge w:val="continue"/>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color w:val="auto"/>
                    </w:rPr>
                  </w:pPr>
                </w:p>
              </w:tc>
              <w:tc>
                <w:tcPr>
                  <w:tcW w:w="1294"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firstLine="0" w:firstLineChars="0"/>
                    <w:jc w:val="center"/>
                    <w:textAlignment w:val="auto"/>
                    <w:rPr>
                      <w:rFonts w:hint="default"/>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V</w:t>
                  </w:r>
                  <w:r>
                    <w:rPr>
                      <w:rFonts w:hint="eastAsia" w:ascii="Times New Roman" w:hAnsi="Times New Roman" w:eastAsia="宋体" w:cs="Times New Roman"/>
                      <w:color w:val="auto"/>
                      <w:sz w:val="21"/>
                      <w:szCs w:val="21"/>
                      <w:highlight w:val="none"/>
                      <w:vertAlign w:val="subscript"/>
                      <w:lang w:val="en-US" w:eastAsia="zh-CN"/>
                    </w:rPr>
                    <w:t>p1</w:t>
                  </w:r>
                  <w:r>
                    <w:rPr>
                      <w:rFonts w:hint="eastAsia" w:ascii="Times New Roman" w:hAnsi="Times New Roman" w:eastAsia="宋体" w:cs="Times New Roman"/>
                      <w:color w:val="auto"/>
                      <w:sz w:val="21"/>
                      <w:szCs w:val="21"/>
                      <w:highlight w:val="none"/>
                      <w:vertAlign w:val="baseline"/>
                      <w:lang w:val="en-US" w:eastAsia="zh-CN"/>
                    </w:rPr>
                    <w:t>：</w:t>
                  </w:r>
                  <w:r>
                    <w:rPr>
                      <w:rFonts w:hint="eastAsia" w:ascii="Times New Roman" w:hAnsi="Times New Roman" w:cs="Times New Roman"/>
                      <w:color w:val="auto"/>
                      <w:sz w:val="21"/>
                      <w:szCs w:val="21"/>
                      <w:highlight w:val="none"/>
                      <w:vertAlign w:val="baseline"/>
                      <w:lang w:val="en-US" w:eastAsia="zh-CN"/>
                    </w:rPr>
                    <w:t>1m/s</w:t>
                  </w:r>
                </w:p>
              </w:tc>
              <w:tc>
                <w:tcPr>
                  <w:tcW w:w="1302" w:type="dxa"/>
                  <w:vMerge w:val="continue"/>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rFonts w:hint="eastAsia"/>
                      <w:color w:val="auto"/>
                      <w:sz w:val="21"/>
                      <w:szCs w:val="21"/>
                      <w:highlight w:val="none"/>
                      <w:lang w:val="en-US" w:eastAsia="zh-CN"/>
                    </w:rPr>
                  </w:pPr>
                </w:p>
              </w:tc>
              <w:tc>
                <w:tcPr>
                  <w:tcW w:w="975" w:type="dxa"/>
                  <w:vMerge w:val="continue"/>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rFonts w:hint="eastAsia"/>
                      <w:color w:val="auto"/>
                      <w:sz w:val="21"/>
                      <w:szCs w:val="21"/>
                      <w:highlight w:val="none"/>
                      <w:lang w:val="en-US" w:eastAsia="zh-CN"/>
                    </w:rPr>
                  </w:pPr>
                </w:p>
              </w:tc>
              <w:tc>
                <w:tcPr>
                  <w:tcW w:w="956" w:type="dxa"/>
                  <w:vMerge w:val="continue"/>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rFonts w:hint="eastAsia"/>
                      <w:color w:val="auto"/>
                      <w:sz w:val="21"/>
                      <w:szCs w:val="21"/>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13" w:hRule="atLeast"/>
                <w:jc w:val="center"/>
              </w:trPr>
              <w:tc>
                <w:tcPr>
                  <w:tcW w:w="891" w:type="dxa"/>
                  <w:vMerge w:val="restart"/>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烘干及烧结还原过程</w:t>
                  </w:r>
                </w:p>
              </w:tc>
              <w:tc>
                <w:tcPr>
                  <w:tcW w:w="1123" w:type="dxa"/>
                  <w:vMerge w:val="restart"/>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烘干炉</w:t>
                  </w:r>
                </w:p>
              </w:tc>
              <w:tc>
                <w:tcPr>
                  <w:tcW w:w="798" w:type="dxa"/>
                  <w:vMerge w:val="restart"/>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w:t>
                  </w:r>
                </w:p>
              </w:tc>
              <w:tc>
                <w:tcPr>
                  <w:tcW w:w="2416" w:type="dxa"/>
                  <w:vMerge w:val="continue"/>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rFonts w:hint="eastAsia"/>
                      <w:color w:val="auto"/>
                      <w:sz w:val="21"/>
                      <w:szCs w:val="21"/>
                      <w:highlight w:val="none"/>
                      <w:lang w:val="en-US" w:eastAsia="zh-CN"/>
                    </w:rPr>
                  </w:pPr>
                </w:p>
              </w:tc>
              <w:tc>
                <w:tcPr>
                  <w:tcW w:w="1635" w:type="dxa"/>
                  <w:vMerge w:val="restart"/>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各设置1个1.2</w:t>
                  </w:r>
                  <w:r>
                    <w:rPr>
                      <w:rFonts w:hint="eastAsia" w:ascii="Times New Roman" w:hAnsi="Times New Roman" w:cs="Times New Roman"/>
                      <w:color w:val="auto"/>
                      <w:kern w:val="2"/>
                      <w:sz w:val="21"/>
                      <w:szCs w:val="21"/>
                      <w:highlight w:val="none"/>
                      <w:lang w:val="en-US" w:eastAsia="zh-CN" w:bidi="ar-SA"/>
                    </w:rPr>
                    <w:t>m</w:t>
                  </w:r>
                  <w:r>
                    <w:rPr>
                      <w:rFonts w:hint="default" w:ascii="Times New Roman" w:hAnsi="Times New Roman" w:cs="Times New Roman"/>
                      <w:color w:val="auto"/>
                      <w:kern w:val="2"/>
                      <w:sz w:val="21"/>
                      <w:szCs w:val="21"/>
                      <w:highlight w:val="none"/>
                      <w:lang w:val="en-US" w:eastAsia="zh-CN" w:bidi="ar-SA"/>
                    </w:rPr>
                    <w:t>×</w:t>
                  </w:r>
                  <w:r>
                    <w:rPr>
                      <w:rFonts w:hint="eastAsia" w:ascii="Times New Roman" w:hAnsi="Times New Roman" w:cs="Times New Roman"/>
                      <w:color w:val="auto"/>
                      <w:kern w:val="2"/>
                      <w:sz w:val="21"/>
                      <w:szCs w:val="21"/>
                      <w:highlight w:val="none"/>
                      <w:lang w:val="en-US" w:eastAsia="zh-CN" w:bidi="ar-SA"/>
                    </w:rPr>
                    <w:t>0.4m集气罩</w:t>
                  </w:r>
                </w:p>
              </w:tc>
              <w:tc>
                <w:tcPr>
                  <w:tcW w:w="1649" w:type="dxa"/>
                  <w:vMerge w:val="restart"/>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公式（1）</w:t>
                  </w:r>
                </w:p>
              </w:tc>
              <w:tc>
                <w:tcPr>
                  <w:tcW w:w="1294"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A：0.48m</w:t>
                  </w:r>
                </w:p>
              </w:tc>
              <w:tc>
                <w:tcPr>
                  <w:tcW w:w="1302" w:type="dxa"/>
                  <w:vMerge w:val="restart"/>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1728</w:t>
                  </w:r>
                  <w:r>
                    <w:rPr>
                      <w:rFonts w:hint="default" w:ascii="Times New Roman" w:hAnsi="Times New Roman" w:cs="Times New Roman"/>
                      <w:color w:val="auto"/>
                      <w:kern w:val="2"/>
                      <w:sz w:val="21"/>
                      <w:szCs w:val="21"/>
                      <w:highlight w:val="none"/>
                      <w:lang w:val="en-US" w:eastAsia="zh-CN" w:bidi="ar-SA"/>
                    </w:rPr>
                    <w:t>×</w:t>
                  </w:r>
                  <w:r>
                    <w:rPr>
                      <w:rFonts w:hint="eastAsia" w:ascii="Times New Roman" w:hAnsi="Times New Roman" w:cs="Times New Roman"/>
                      <w:color w:val="auto"/>
                      <w:kern w:val="2"/>
                      <w:sz w:val="21"/>
                      <w:szCs w:val="21"/>
                      <w:highlight w:val="none"/>
                      <w:lang w:val="en-US" w:eastAsia="zh-CN" w:bidi="ar-SA"/>
                    </w:rPr>
                    <w:t>2=3456</w:t>
                  </w:r>
                </w:p>
              </w:tc>
              <w:tc>
                <w:tcPr>
                  <w:tcW w:w="975" w:type="dxa"/>
                  <w:vMerge w:val="continue"/>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rFonts w:hint="eastAsia"/>
                      <w:color w:val="auto"/>
                      <w:sz w:val="21"/>
                      <w:szCs w:val="21"/>
                      <w:highlight w:val="none"/>
                      <w:lang w:val="en-US" w:eastAsia="zh-CN"/>
                    </w:rPr>
                  </w:pPr>
                </w:p>
              </w:tc>
              <w:tc>
                <w:tcPr>
                  <w:tcW w:w="956" w:type="dxa"/>
                  <w:vMerge w:val="continue"/>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rFonts w:hint="default"/>
                      <w:color w:val="auto"/>
                      <w:sz w:val="21"/>
                      <w:szCs w:val="21"/>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13" w:hRule="atLeast"/>
                <w:jc w:val="center"/>
              </w:trPr>
              <w:tc>
                <w:tcPr>
                  <w:tcW w:w="891" w:type="dxa"/>
                  <w:vMerge w:val="continue"/>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color w:val="auto"/>
                    </w:rPr>
                  </w:pPr>
                </w:p>
              </w:tc>
              <w:tc>
                <w:tcPr>
                  <w:tcW w:w="1123" w:type="dxa"/>
                  <w:vMerge w:val="continue"/>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color w:val="auto"/>
                    </w:rPr>
                  </w:pPr>
                </w:p>
              </w:tc>
              <w:tc>
                <w:tcPr>
                  <w:tcW w:w="798" w:type="dxa"/>
                  <w:vMerge w:val="continue"/>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color w:val="auto"/>
                    </w:rPr>
                  </w:pPr>
                </w:p>
              </w:tc>
              <w:tc>
                <w:tcPr>
                  <w:tcW w:w="2416" w:type="dxa"/>
                  <w:vMerge w:val="continue"/>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color w:val="auto"/>
                    </w:rPr>
                  </w:pPr>
                </w:p>
              </w:tc>
              <w:tc>
                <w:tcPr>
                  <w:tcW w:w="1635" w:type="dxa"/>
                  <w:vMerge w:val="continue"/>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color w:val="auto"/>
                    </w:rPr>
                  </w:pPr>
                </w:p>
              </w:tc>
              <w:tc>
                <w:tcPr>
                  <w:tcW w:w="1649" w:type="dxa"/>
                  <w:vMerge w:val="continue"/>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color w:val="auto"/>
                    </w:rPr>
                  </w:pPr>
                </w:p>
              </w:tc>
              <w:tc>
                <w:tcPr>
                  <w:tcW w:w="1294"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firstLine="0" w:firstLineChars="0"/>
                    <w:jc w:val="center"/>
                    <w:textAlignment w:val="auto"/>
                    <w:rPr>
                      <w:rFonts w:hint="eastAsia"/>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V</w:t>
                  </w:r>
                  <w:r>
                    <w:rPr>
                      <w:rFonts w:hint="eastAsia" w:ascii="Times New Roman" w:hAnsi="Times New Roman" w:eastAsia="宋体" w:cs="Times New Roman"/>
                      <w:color w:val="auto"/>
                      <w:sz w:val="21"/>
                      <w:szCs w:val="21"/>
                      <w:highlight w:val="none"/>
                      <w:vertAlign w:val="subscript"/>
                      <w:lang w:val="en-US" w:eastAsia="zh-CN"/>
                    </w:rPr>
                    <w:t>p1</w:t>
                  </w:r>
                  <w:r>
                    <w:rPr>
                      <w:rFonts w:hint="eastAsia" w:ascii="Times New Roman" w:hAnsi="Times New Roman" w:eastAsia="宋体" w:cs="Times New Roman"/>
                      <w:color w:val="auto"/>
                      <w:sz w:val="21"/>
                      <w:szCs w:val="21"/>
                      <w:highlight w:val="none"/>
                      <w:vertAlign w:val="baseline"/>
                      <w:lang w:val="en-US" w:eastAsia="zh-CN"/>
                    </w:rPr>
                    <w:t>：</w:t>
                  </w:r>
                  <w:r>
                    <w:rPr>
                      <w:rFonts w:hint="eastAsia" w:ascii="Times New Roman" w:hAnsi="Times New Roman" w:cs="Times New Roman"/>
                      <w:color w:val="auto"/>
                      <w:sz w:val="21"/>
                      <w:szCs w:val="21"/>
                      <w:highlight w:val="none"/>
                      <w:vertAlign w:val="baseline"/>
                      <w:lang w:val="en-US" w:eastAsia="zh-CN"/>
                    </w:rPr>
                    <w:t>1m/s</w:t>
                  </w:r>
                </w:p>
              </w:tc>
              <w:tc>
                <w:tcPr>
                  <w:tcW w:w="1302" w:type="dxa"/>
                  <w:vMerge w:val="continue"/>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rFonts w:hint="eastAsia"/>
                      <w:color w:val="auto"/>
                      <w:sz w:val="21"/>
                      <w:szCs w:val="21"/>
                      <w:highlight w:val="none"/>
                      <w:lang w:val="en-US" w:eastAsia="zh-CN"/>
                    </w:rPr>
                  </w:pPr>
                </w:p>
              </w:tc>
              <w:tc>
                <w:tcPr>
                  <w:tcW w:w="975" w:type="dxa"/>
                  <w:vMerge w:val="continue"/>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rFonts w:hint="eastAsia"/>
                      <w:color w:val="auto"/>
                      <w:sz w:val="21"/>
                      <w:szCs w:val="21"/>
                      <w:highlight w:val="none"/>
                      <w:lang w:val="en-US" w:eastAsia="zh-CN"/>
                    </w:rPr>
                  </w:pPr>
                </w:p>
              </w:tc>
              <w:tc>
                <w:tcPr>
                  <w:tcW w:w="956" w:type="dxa"/>
                  <w:vMerge w:val="continue"/>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rFonts w:hint="eastAsia"/>
                      <w:color w:val="auto"/>
                      <w:sz w:val="21"/>
                      <w:szCs w:val="21"/>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18" w:hRule="atLeast"/>
                <w:jc w:val="center"/>
              </w:trPr>
              <w:tc>
                <w:tcPr>
                  <w:tcW w:w="891" w:type="dxa"/>
                  <w:vMerge w:val="continue"/>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rFonts w:hint="eastAsia"/>
                      <w:color w:val="auto"/>
                      <w:sz w:val="21"/>
                      <w:szCs w:val="21"/>
                      <w:highlight w:val="none"/>
                      <w:lang w:val="en-US" w:eastAsia="zh-CN"/>
                    </w:rPr>
                  </w:pPr>
                </w:p>
              </w:tc>
              <w:tc>
                <w:tcPr>
                  <w:tcW w:w="1123" w:type="dxa"/>
                  <w:vMerge w:val="restart"/>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烧熔炉</w:t>
                  </w:r>
                </w:p>
              </w:tc>
              <w:tc>
                <w:tcPr>
                  <w:tcW w:w="798" w:type="dxa"/>
                  <w:vMerge w:val="restart"/>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3</w:t>
                  </w:r>
                </w:p>
              </w:tc>
              <w:tc>
                <w:tcPr>
                  <w:tcW w:w="2416" w:type="dxa"/>
                  <w:vMerge w:val="continue"/>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rFonts w:hint="eastAsia"/>
                      <w:color w:val="auto"/>
                      <w:sz w:val="21"/>
                      <w:szCs w:val="21"/>
                      <w:highlight w:val="none"/>
                      <w:lang w:val="en-US" w:eastAsia="zh-CN"/>
                    </w:rPr>
                  </w:pPr>
                </w:p>
              </w:tc>
              <w:tc>
                <w:tcPr>
                  <w:tcW w:w="1635" w:type="dxa"/>
                  <w:vMerge w:val="restart"/>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各设置1个1.5</w:t>
                  </w:r>
                  <w:r>
                    <w:rPr>
                      <w:rFonts w:hint="eastAsia" w:ascii="Times New Roman" w:hAnsi="Times New Roman" w:cs="Times New Roman"/>
                      <w:color w:val="auto"/>
                      <w:kern w:val="2"/>
                      <w:sz w:val="21"/>
                      <w:szCs w:val="21"/>
                      <w:highlight w:val="none"/>
                      <w:lang w:val="en-US" w:eastAsia="zh-CN" w:bidi="ar-SA"/>
                    </w:rPr>
                    <w:t>m</w:t>
                  </w:r>
                  <w:r>
                    <w:rPr>
                      <w:rFonts w:hint="default" w:ascii="Times New Roman" w:hAnsi="Times New Roman" w:cs="Times New Roman"/>
                      <w:color w:val="auto"/>
                      <w:kern w:val="2"/>
                      <w:sz w:val="21"/>
                      <w:szCs w:val="21"/>
                      <w:highlight w:val="none"/>
                      <w:lang w:val="en-US" w:eastAsia="zh-CN" w:bidi="ar-SA"/>
                    </w:rPr>
                    <w:t>×</w:t>
                  </w:r>
                  <w:r>
                    <w:rPr>
                      <w:rFonts w:hint="eastAsia" w:ascii="Times New Roman" w:hAnsi="Times New Roman" w:cs="Times New Roman"/>
                      <w:color w:val="auto"/>
                      <w:kern w:val="2"/>
                      <w:sz w:val="21"/>
                      <w:szCs w:val="21"/>
                      <w:highlight w:val="none"/>
                      <w:lang w:val="en-US" w:eastAsia="zh-CN" w:bidi="ar-SA"/>
                    </w:rPr>
                    <w:t>0.4m集气罩</w:t>
                  </w:r>
                </w:p>
              </w:tc>
              <w:tc>
                <w:tcPr>
                  <w:tcW w:w="1649" w:type="dxa"/>
                  <w:vMerge w:val="restart"/>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公式（1）</w:t>
                  </w:r>
                </w:p>
              </w:tc>
              <w:tc>
                <w:tcPr>
                  <w:tcW w:w="1294"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A：0.6m</w:t>
                  </w:r>
                </w:p>
              </w:tc>
              <w:tc>
                <w:tcPr>
                  <w:tcW w:w="1302" w:type="dxa"/>
                  <w:vMerge w:val="restart"/>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2160</w:t>
                  </w:r>
                  <w:r>
                    <w:rPr>
                      <w:rFonts w:hint="default" w:ascii="Times New Roman" w:hAnsi="Times New Roman" w:cs="Times New Roman"/>
                      <w:color w:val="auto"/>
                      <w:kern w:val="2"/>
                      <w:sz w:val="21"/>
                      <w:szCs w:val="21"/>
                      <w:highlight w:val="none"/>
                      <w:lang w:val="en-US" w:eastAsia="zh-CN" w:bidi="ar-SA"/>
                    </w:rPr>
                    <w:t>×</w:t>
                  </w:r>
                  <w:r>
                    <w:rPr>
                      <w:rFonts w:hint="eastAsia" w:ascii="Times New Roman" w:hAnsi="Times New Roman" w:cs="Times New Roman"/>
                      <w:color w:val="auto"/>
                      <w:kern w:val="2"/>
                      <w:sz w:val="21"/>
                      <w:szCs w:val="21"/>
                      <w:highlight w:val="none"/>
                      <w:lang w:val="en-US" w:eastAsia="zh-CN" w:bidi="ar-SA"/>
                    </w:rPr>
                    <w:t>3=6480</w:t>
                  </w:r>
                </w:p>
              </w:tc>
              <w:tc>
                <w:tcPr>
                  <w:tcW w:w="975" w:type="dxa"/>
                  <w:vMerge w:val="continue"/>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rFonts w:hint="eastAsia"/>
                      <w:color w:val="auto"/>
                      <w:sz w:val="21"/>
                      <w:szCs w:val="21"/>
                      <w:highlight w:val="none"/>
                      <w:lang w:val="en-US" w:eastAsia="zh-CN"/>
                    </w:rPr>
                  </w:pPr>
                </w:p>
              </w:tc>
              <w:tc>
                <w:tcPr>
                  <w:tcW w:w="956" w:type="dxa"/>
                  <w:vMerge w:val="continue"/>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rFonts w:hint="default"/>
                      <w:color w:val="auto"/>
                      <w:sz w:val="21"/>
                      <w:szCs w:val="21"/>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18" w:hRule="atLeast"/>
                <w:jc w:val="center"/>
              </w:trPr>
              <w:tc>
                <w:tcPr>
                  <w:tcW w:w="891" w:type="dxa"/>
                  <w:vMerge w:val="continue"/>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color w:val="auto"/>
                    </w:rPr>
                  </w:pPr>
                </w:p>
              </w:tc>
              <w:tc>
                <w:tcPr>
                  <w:tcW w:w="1123" w:type="dxa"/>
                  <w:vMerge w:val="continue"/>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color w:val="auto"/>
                    </w:rPr>
                  </w:pPr>
                </w:p>
              </w:tc>
              <w:tc>
                <w:tcPr>
                  <w:tcW w:w="798" w:type="dxa"/>
                  <w:vMerge w:val="continue"/>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color w:val="auto"/>
                    </w:rPr>
                  </w:pPr>
                </w:p>
              </w:tc>
              <w:tc>
                <w:tcPr>
                  <w:tcW w:w="2416" w:type="dxa"/>
                  <w:vMerge w:val="continue"/>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color w:val="auto"/>
                    </w:rPr>
                  </w:pPr>
                </w:p>
              </w:tc>
              <w:tc>
                <w:tcPr>
                  <w:tcW w:w="1635" w:type="dxa"/>
                  <w:vMerge w:val="continue"/>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color w:val="auto"/>
                    </w:rPr>
                  </w:pPr>
                </w:p>
              </w:tc>
              <w:tc>
                <w:tcPr>
                  <w:tcW w:w="1649" w:type="dxa"/>
                  <w:vMerge w:val="continue"/>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color w:val="auto"/>
                    </w:rPr>
                  </w:pPr>
                </w:p>
              </w:tc>
              <w:tc>
                <w:tcPr>
                  <w:tcW w:w="1294" w:type="dxa"/>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firstLine="0" w:firstLineChars="0"/>
                    <w:jc w:val="center"/>
                    <w:textAlignment w:val="auto"/>
                    <w:rPr>
                      <w:rFonts w:hint="eastAsia"/>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V</w:t>
                  </w:r>
                  <w:r>
                    <w:rPr>
                      <w:rFonts w:hint="eastAsia" w:ascii="Times New Roman" w:hAnsi="Times New Roman" w:eastAsia="宋体" w:cs="Times New Roman"/>
                      <w:color w:val="auto"/>
                      <w:sz w:val="21"/>
                      <w:szCs w:val="21"/>
                      <w:highlight w:val="none"/>
                      <w:vertAlign w:val="subscript"/>
                      <w:lang w:val="en-US" w:eastAsia="zh-CN"/>
                    </w:rPr>
                    <w:t>p1</w:t>
                  </w:r>
                  <w:r>
                    <w:rPr>
                      <w:rFonts w:hint="eastAsia" w:ascii="Times New Roman" w:hAnsi="Times New Roman" w:eastAsia="宋体" w:cs="Times New Roman"/>
                      <w:color w:val="auto"/>
                      <w:sz w:val="21"/>
                      <w:szCs w:val="21"/>
                      <w:highlight w:val="none"/>
                      <w:vertAlign w:val="baseline"/>
                      <w:lang w:val="en-US" w:eastAsia="zh-CN"/>
                    </w:rPr>
                    <w:t>：</w:t>
                  </w:r>
                  <w:r>
                    <w:rPr>
                      <w:rFonts w:hint="eastAsia" w:ascii="Times New Roman" w:hAnsi="Times New Roman" w:cs="Times New Roman"/>
                      <w:color w:val="auto"/>
                      <w:sz w:val="21"/>
                      <w:szCs w:val="21"/>
                      <w:highlight w:val="none"/>
                      <w:vertAlign w:val="baseline"/>
                      <w:lang w:val="en-US" w:eastAsia="zh-CN"/>
                    </w:rPr>
                    <w:t>1m/s</w:t>
                  </w:r>
                </w:p>
              </w:tc>
              <w:tc>
                <w:tcPr>
                  <w:tcW w:w="1302" w:type="dxa"/>
                  <w:vMerge w:val="continue"/>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rFonts w:hint="eastAsia"/>
                      <w:color w:val="auto"/>
                      <w:sz w:val="21"/>
                      <w:szCs w:val="21"/>
                      <w:highlight w:val="none"/>
                      <w:lang w:val="en-US" w:eastAsia="zh-CN"/>
                    </w:rPr>
                  </w:pPr>
                </w:p>
              </w:tc>
              <w:tc>
                <w:tcPr>
                  <w:tcW w:w="975" w:type="dxa"/>
                  <w:vMerge w:val="continue"/>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rFonts w:hint="eastAsia"/>
                      <w:color w:val="auto"/>
                      <w:sz w:val="21"/>
                      <w:szCs w:val="21"/>
                      <w:highlight w:val="none"/>
                      <w:lang w:val="en-US" w:eastAsia="zh-CN"/>
                    </w:rPr>
                  </w:pPr>
                </w:p>
              </w:tc>
              <w:tc>
                <w:tcPr>
                  <w:tcW w:w="956" w:type="dxa"/>
                  <w:vMerge w:val="continue"/>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left="-48" w:leftChars="-20" w:right="-48" w:rightChars="-20"/>
                    <w:jc w:val="center"/>
                    <w:textAlignment w:val="auto"/>
                    <w:rPr>
                      <w:rFonts w:hint="eastAsia"/>
                      <w:color w:val="auto"/>
                      <w:sz w:val="21"/>
                      <w:szCs w:val="21"/>
                      <w:highlight w:val="none"/>
                      <w:lang w:val="en-US" w:eastAsia="zh-CN"/>
                    </w:rPr>
                  </w:pPr>
                </w:p>
              </w:tc>
            </w:tr>
          </w:tbl>
          <w:p>
            <w:pPr>
              <w:rPr>
                <w:rFonts w:hint="default" w:eastAsia="宋体"/>
                <w:color w:val="auto"/>
                <w:highlight w:val="none"/>
                <w:vertAlign w:val="baseline"/>
                <w:lang w:val="en-US" w:eastAsia="zh-CN"/>
              </w:rPr>
            </w:pPr>
            <w:r>
              <w:rPr>
                <w:rFonts w:hint="eastAsia"/>
                <w:color w:val="auto"/>
                <w:highlight w:val="none"/>
                <w:vertAlign w:val="baseline"/>
                <w:lang w:val="en-US" w:eastAsia="zh-CN"/>
              </w:rPr>
              <w:t>由上表可知，本项目风机风量设置满足需求。</w:t>
            </w:r>
          </w:p>
          <w:p>
            <w:pPr>
              <w:bidi w:val="0"/>
              <w:rPr>
                <w:rFonts w:hint="default" w:eastAsia="宋体"/>
                <w:b/>
                <w:bCs/>
                <w:color w:val="auto"/>
                <w:highlight w:val="none"/>
                <w:lang w:val="en-US" w:eastAsia="zh-CN"/>
              </w:rPr>
            </w:pPr>
            <w:r>
              <w:rPr>
                <w:rFonts w:hint="eastAsia"/>
                <w:b w:val="0"/>
                <w:bCs w:val="0"/>
                <w:color w:val="auto"/>
                <w:highlight w:val="none"/>
                <w:lang w:val="en-US" w:eastAsia="zh-CN"/>
              </w:rPr>
              <w:t>本项目建成后，</w:t>
            </w:r>
            <w:r>
              <w:rPr>
                <w:rFonts w:hint="eastAsia"/>
                <w:color w:val="auto"/>
                <w:lang w:val="en-US" w:eastAsia="zh-CN"/>
              </w:rPr>
              <w:t>印刷、印刷烘干、覆膜过程产生的废气与烘干及烧结还原废气</w:t>
            </w:r>
            <w:r>
              <w:rPr>
                <w:rFonts w:hint="eastAsia"/>
                <w:color w:val="auto"/>
                <w:highlight w:val="none"/>
                <w:lang w:val="en-US" w:eastAsia="zh-CN"/>
              </w:rPr>
              <w:t>采用两级活性炭吸附装置进行处理，非甲烷总烃可达标排放，治理设施风机风量设置合理，故该治理措施可行。</w:t>
            </w:r>
          </w:p>
          <w:p>
            <w:pPr>
              <w:rPr>
                <w:color w:val="auto"/>
                <w:highlight w:val="none"/>
                <w:vertAlign w:val="baseline"/>
              </w:rPr>
            </w:pPr>
          </w:p>
          <w:p>
            <w:pPr>
              <w:ind w:left="0" w:leftChars="0" w:firstLine="0" w:firstLineChars="0"/>
              <w:rPr>
                <w:color w:val="auto"/>
                <w:highlight w:val="none"/>
                <w:vertAlign w:val="baseline"/>
              </w:rPr>
            </w:pPr>
          </w:p>
        </w:tc>
      </w:tr>
    </w:tbl>
    <w:p>
      <w:pPr>
        <w:rPr>
          <w:color w:val="auto"/>
          <w:highlight w:val="none"/>
        </w:rPr>
        <w:sectPr>
          <w:pgSz w:w="16838" w:h="11906" w:orient="landscape"/>
          <w:pgMar w:top="1417" w:right="1440" w:bottom="1247" w:left="144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25"/>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935"/>
        <w:gridCol w:w="852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c>
          <w:tcPr>
            <w:tcW w:w="1004" w:type="dxa"/>
            <w:tcBorders>
              <w:tl2br w:val="nil"/>
              <w:tr2bl w:val="nil"/>
            </w:tcBorders>
          </w:tcPr>
          <w:p>
            <w:pPr>
              <w:rPr>
                <w:color w:val="auto"/>
                <w:highlight w:val="none"/>
                <w:vertAlign w:val="baseline"/>
              </w:rPr>
            </w:pPr>
          </w:p>
        </w:tc>
        <w:tc>
          <w:tcPr>
            <w:tcW w:w="8454" w:type="dxa"/>
            <w:tcBorders>
              <w:tl2br w:val="nil"/>
              <w:tr2bl w:val="nil"/>
            </w:tcBorders>
          </w:tcPr>
          <w:p>
            <w:pPr>
              <w:keepNext w:val="0"/>
              <w:keepLines w:val="0"/>
              <w:pageBreakBefore w:val="0"/>
              <w:widowControl w:val="0"/>
              <w:kinsoku/>
              <w:wordWrap/>
              <w:overflowPunct/>
              <w:topLinePunct w:val="0"/>
              <w:autoSpaceDE/>
              <w:autoSpaceDN/>
              <w:bidi w:val="0"/>
              <w:adjustRightInd/>
              <w:snapToGrid/>
              <w:textAlignment w:val="auto"/>
              <w:rPr>
                <w:rFonts w:hint="eastAsia"/>
                <w:b/>
                <w:bCs/>
                <w:color w:val="auto"/>
                <w:highlight w:val="none"/>
                <w:lang w:val="en-US" w:eastAsia="zh-CN"/>
              </w:rPr>
            </w:pPr>
            <w:r>
              <w:rPr>
                <w:rFonts w:hint="default"/>
                <w:b/>
                <w:bCs/>
                <w:color w:val="auto"/>
                <w:highlight w:val="none"/>
              </w:rPr>
              <w:t>1.</w:t>
            </w:r>
            <w:r>
              <w:rPr>
                <w:rFonts w:hint="eastAsia"/>
                <w:b/>
                <w:bCs/>
                <w:color w:val="auto"/>
                <w:highlight w:val="none"/>
                <w:lang w:val="en-US" w:eastAsia="zh-CN"/>
              </w:rPr>
              <w:t>5大气环境评价结论</w:t>
            </w:r>
          </w:p>
          <w:p>
            <w:pPr>
              <w:keepNext w:val="0"/>
              <w:keepLines w:val="0"/>
              <w:pageBreakBefore w:val="0"/>
              <w:widowControl w:val="0"/>
              <w:kinsoku/>
              <w:wordWrap/>
              <w:overflowPunct/>
              <w:topLinePunct w:val="0"/>
              <w:autoSpaceDE/>
              <w:autoSpaceDN/>
              <w:bidi w:val="0"/>
              <w:adjustRightInd/>
              <w:snapToGrid/>
              <w:textAlignment w:val="auto"/>
              <w:rPr>
                <w:rFonts w:hint="eastAsia"/>
                <w:color w:val="auto"/>
                <w:highlight w:val="none"/>
                <w:lang w:eastAsia="zh-CN"/>
              </w:rPr>
            </w:pPr>
            <w:r>
              <w:rPr>
                <w:rFonts w:hint="eastAsia"/>
                <w:color w:val="auto"/>
                <w:highlight w:val="none"/>
                <w:lang w:val="en-US" w:eastAsia="zh-CN"/>
              </w:rPr>
              <w:t>项目</w:t>
            </w:r>
            <w:r>
              <w:rPr>
                <w:rFonts w:hint="default"/>
                <w:color w:val="auto"/>
                <w:highlight w:val="none"/>
                <w:lang w:val="en-US" w:eastAsia="zh-CN"/>
              </w:rPr>
              <w:t>所在区域环境空气质量属于不达标区</w:t>
            </w:r>
            <w:r>
              <w:rPr>
                <w:rFonts w:hint="eastAsia"/>
                <w:color w:val="auto"/>
                <w:highlight w:val="none"/>
                <w:lang w:val="en-US" w:eastAsia="zh-CN"/>
              </w:rPr>
              <w:t>，区域PM</w:t>
            </w:r>
            <w:r>
              <w:rPr>
                <w:rFonts w:hint="eastAsia"/>
                <w:color w:val="auto"/>
                <w:highlight w:val="none"/>
                <w:vertAlign w:val="subscript"/>
                <w:lang w:val="en-US" w:eastAsia="zh-CN"/>
              </w:rPr>
              <w:t>2.5</w:t>
            </w:r>
            <w:r>
              <w:rPr>
                <w:rFonts w:hint="eastAsia"/>
                <w:color w:val="auto"/>
                <w:highlight w:val="none"/>
                <w:lang w:val="en-US" w:eastAsia="zh-CN"/>
              </w:rPr>
              <w:t>、O</w:t>
            </w:r>
            <w:r>
              <w:rPr>
                <w:rFonts w:hint="eastAsia"/>
                <w:color w:val="auto"/>
                <w:highlight w:val="none"/>
                <w:vertAlign w:val="subscript"/>
                <w:lang w:val="en-US" w:eastAsia="zh-CN"/>
              </w:rPr>
              <w:t>3</w:t>
            </w:r>
            <w:r>
              <w:rPr>
                <w:rFonts w:hint="eastAsia"/>
                <w:color w:val="auto"/>
                <w:highlight w:val="none"/>
                <w:lang w:val="en-US" w:eastAsia="zh-CN"/>
              </w:rPr>
              <w:t>存在超标现象</w:t>
            </w:r>
            <w:r>
              <w:rPr>
                <w:rFonts w:hint="default"/>
                <w:color w:val="auto"/>
                <w:highlight w:val="none"/>
                <w:lang w:val="en-US" w:eastAsia="zh-CN"/>
              </w:rPr>
              <w:t>。</w:t>
            </w:r>
            <w:r>
              <w:rPr>
                <w:rFonts w:hint="default"/>
                <w:color w:val="auto"/>
                <w:highlight w:val="none"/>
              </w:rPr>
              <w:t>其他污染物非甲烷总烃</w:t>
            </w:r>
            <w:r>
              <w:rPr>
                <w:rFonts w:hint="eastAsia"/>
                <w:color w:val="auto"/>
                <w:highlight w:val="none"/>
                <w:lang w:val="en-US" w:eastAsia="zh-CN"/>
              </w:rPr>
              <w:t>1</w:t>
            </w:r>
            <w:r>
              <w:rPr>
                <w:rFonts w:hint="default"/>
                <w:color w:val="auto"/>
                <w:highlight w:val="none"/>
              </w:rPr>
              <w:t>小时</w:t>
            </w:r>
            <w:r>
              <w:rPr>
                <w:rFonts w:hint="eastAsia"/>
                <w:color w:val="auto"/>
                <w:highlight w:val="none"/>
                <w:lang w:val="en-US" w:eastAsia="zh-CN"/>
              </w:rPr>
              <w:t>平均</w:t>
            </w:r>
            <w:r>
              <w:rPr>
                <w:rFonts w:hint="default"/>
                <w:color w:val="auto"/>
                <w:highlight w:val="none"/>
              </w:rPr>
              <w:t>浓度满足《环境空气质量 非甲烷总烃</w:t>
            </w:r>
            <w:r>
              <w:rPr>
                <w:rFonts w:hint="eastAsia"/>
                <w:color w:val="auto"/>
                <w:highlight w:val="none"/>
                <w:lang w:val="en-US" w:eastAsia="zh-CN"/>
              </w:rPr>
              <w:t>限值</w:t>
            </w:r>
            <w:r>
              <w:rPr>
                <w:rFonts w:hint="default"/>
                <w:color w:val="auto"/>
                <w:highlight w:val="none"/>
              </w:rPr>
              <w:t>》（DB13/1577-2012）</w:t>
            </w:r>
            <w:r>
              <w:rPr>
                <w:rFonts w:hint="eastAsia"/>
                <w:color w:val="auto"/>
                <w:highlight w:val="none"/>
                <w:lang w:val="en-US" w:eastAsia="zh-CN"/>
              </w:rPr>
              <w:t>限值的要求</w:t>
            </w:r>
            <w:r>
              <w:rPr>
                <w:rFonts w:hint="default"/>
                <w:color w:val="auto"/>
                <w:highlight w:val="none"/>
              </w:rPr>
              <w:t>。</w:t>
            </w:r>
            <w:r>
              <w:rPr>
                <w:rFonts w:hint="eastAsia"/>
                <w:color w:val="auto"/>
                <w:lang w:val="en-US" w:eastAsia="zh-CN"/>
              </w:rPr>
              <w:t>本项目新增印刷、印刷烘干、覆膜过程产生的废气与现有石墨烯电发热体生产线烘干及烧结还原废气一起进入两级活性炭吸附装置进行处理，处理后与经三级碱液喷淋塔处理的镀膜废气一起通过排气筒有组织排放</w:t>
            </w:r>
            <w:r>
              <w:rPr>
                <w:rFonts w:hint="eastAsia"/>
                <w:color w:val="auto"/>
                <w:highlight w:val="none"/>
                <w:vertAlign w:val="baseline"/>
                <w:lang w:val="en-US" w:eastAsia="zh-CN"/>
              </w:rPr>
              <w:t>。本项目建成后全厂非甲烷总烃排放量为0.0426t/a，氯化氢排放量为0.029423t/a，氟化物排放量为0.004t/a，非甲烷总烃排放量减少0.02388t/a，氯化氢排放量减少0.004577t/a，氟化物排放量减少0.006t/a。</w:t>
            </w:r>
            <w:r>
              <w:rPr>
                <w:rFonts w:hint="eastAsia"/>
                <w:color w:val="auto"/>
                <w:highlight w:val="none"/>
                <w:lang w:val="en-US" w:eastAsia="zh-CN"/>
              </w:rPr>
              <w:t>项目</w:t>
            </w:r>
            <w:r>
              <w:rPr>
                <w:rFonts w:hint="eastAsia" w:ascii="Times New Roman" w:hAnsi="Times New Roman" w:eastAsia="宋体"/>
                <w:b w:val="0"/>
                <w:bCs w:val="0"/>
                <w:color w:val="auto"/>
                <w:sz w:val="24"/>
                <w:szCs w:val="24"/>
                <w:highlight w:val="none"/>
                <w:lang w:val="en-US" w:eastAsia="zh-CN"/>
              </w:rPr>
              <w:t>厂界外500m范围内</w:t>
            </w:r>
            <w:r>
              <w:rPr>
                <w:rFonts w:hint="eastAsia"/>
                <w:b w:val="0"/>
                <w:bCs w:val="0"/>
                <w:color w:val="auto"/>
                <w:sz w:val="24"/>
                <w:szCs w:val="24"/>
                <w:highlight w:val="none"/>
                <w:lang w:val="en-US" w:eastAsia="zh-CN"/>
              </w:rPr>
              <w:t>的大气环境保护目标为</w:t>
            </w:r>
            <w:r>
              <w:rPr>
                <w:rFonts w:hint="eastAsia"/>
                <w:color w:val="auto"/>
                <w:sz w:val="24"/>
                <w:szCs w:val="24"/>
                <w:highlight w:val="none"/>
                <w:lang w:val="en-US" w:eastAsia="zh-CN"/>
              </w:rPr>
              <w:t>东侧250m处的龙湖·天境尘林间居民区和东北侧300m处的凤城凯旋公馆2期居民区，</w:t>
            </w:r>
            <w:r>
              <w:rPr>
                <w:color w:val="auto"/>
                <w:highlight w:val="none"/>
              </w:rPr>
              <w:t>采取各项污染防治措施后，污染物排放均能满足相应标准要求，</w:t>
            </w:r>
            <w:r>
              <w:rPr>
                <w:rFonts w:hint="eastAsia"/>
                <w:color w:val="auto"/>
                <w:highlight w:val="none"/>
                <w:lang w:eastAsia="zh-CN"/>
              </w:rPr>
              <w:t>且排放量</w:t>
            </w:r>
            <w:r>
              <w:rPr>
                <w:rFonts w:hint="eastAsia"/>
                <w:color w:val="auto"/>
                <w:highlight w:val="none"/>
                <w:lang w:val="en-US" w:eastAsia="zh-CN"/>
              </w:rPr>
              <w:t>较</w:t>
            </w:r>
            <w:r>
              <w:rPr>
                <w:rFonts w:hint="eastAsia"/>
                <w:color w:val="auto"/>
                <w:highlight w:val="none"/>
                <w:lang w:eastAsia="zh-CN"/>
              </w:rPr>
              <w:t>少，</w:t>
            </w:r>
            <w:r>
              <w:rPr>
                <w:rFonts w:hint="eastAsia"/>
                <w:color w:val="auto"/>
                <w:highlight w:val="none"/>
                <w:lang w:val="en-US" w:eastAsia="zh-CN"/>
              </w:rPr>
              <w:t>不会对环境保护目标产生</w:t>
            </w:r>
            <w:r>
              <w:rPr>
                <w:color w:val="auto"/>
                <w:highlight w:val="none"/>
              </w:rPr>
              <w:t>影响，本项目大气环境影响可接受</w:t>
            </w:r>
            <w:r>
              <w:rPr>
                <w:rFonts w:hint="eastAsia"/>
                <w:color w:val="auto"/>
                <w:highlight w:val="none"/>
                <w:lang w:eastAsia="zh-CN"/>
              </w:rPr>
              <w:t>。</w:t>
            </w:r>
          </w:p>
          <w:p>
            <w:pPr>
              <w:keepNext w:val="0"/>
              <w:keepLines w:val="0"/>
              <w:pageBreakBefore w:val="0"/>
              <w:widowControl w:val="0"/>
              <w:kinsoku/>
              <w:wordWrap/>
              <w:overflowPunct/>
              <w:topLinePunct w:val="0"/>
              <w:autoSpaceDE/>
              <w:autoSpaceDN/>
              <w:bidi w:val="0"/>
              <w:adjustRightInd/>
              <w:snapToGrid/>
              <w:textAlignment w:val="auto"/>
              <w:rPr>
                <w:rFonts w:hint="eastAsia" w:ascii="Times New Roman" w:hAnsi="Times New Roman" w:cs="Times New Roman"/>
                <w:b/>
                <w:bCs/>
                <w:color w:val="auto"/>
                <w:highlight w:val="none"/>
                <w:lang w:val="en-US" w:eastAsia="zh-CN"/>
              </w:rPr>
            </w:pPr>
            <w:r>
              <w:rPr>
                <w:rFonts w:hint="default" w:ascii="Times New Roman" w:hAnsi="Times New Roman" w:cs="Times New Roman"/>
                <w:b/>
                <w:bCs/>
                <w:color w:val="auto"/>
                <w:highlight w:val="none"/>
                <w:lang w:val="en-US" w:eastAsia="zh-CN"/>
              </w:rPr>
              <w:t>1.</w:t>
            </w:r>
            <w:r>
              <w:rPr>
                <w:rFonts w:hint="eastAsia" w:cs="Times New Roman"/>
                <w:b/>
                <w:bCs/>
                <w:color w:val="auto"/>
                <w:highlight w:val="none"/>
                <w:lang w:val="en-US" w:eastAsia="zh-CN"/>
              </w:rPr>
              <w:t>6</w:t>
            </w:r>
            <w:r>
              <w:rPr>
                <w:rFonts w:hint="eastAsia" w:ascii="Times New Roman" w:hAnsi="Times New Roman" w:cs="Times New Roman"/>
                <w:b/>
                <w:bCs/>
                <w:color w:val="auto"/>
                <w:highlight w:val="none"/>
                <w:lang w:val="en-US" w:eastAsia="zh-CN"/>
              </w:rPr>
              <w:t xml:space="preserve"> 本项目建成后废气排放情况对比分析</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b/>
                <w:bCs/>
                <w:color w:val="auto"/>
                <w:sz w:val="21"/>
                <w:szCs w:val="21"/>
                <w:highlight w:val="none"/>
                <w:lang w:val="en-US" w:eastAsia="zh-CN"/>
              </w:rPr>
            </w:pPr>
            <w:r>
              <w:rPr>
                <w:rFonts w:hint="default"/>
                <w:b/>
                <w:bCs/>
                <w:color w:val="auto"/>
                <w:sz w:val="21"/>
                <w:szCs w:val="21"/>
                <w:highlight w:val="none"/>
                <w:lang w:val="en-US" w:eastAsia="zh-CN"/>
              </w:rPr>
              <w:t>表</w:t>
            </w:r>
            <w:r>
              <w:rPr>
                <w:rFonts w:hint="eastAsia"/>
                <w:b/>
                <w:bCs/>
                <w:color w:val="auto"/>
                <w:sz w:val="21"/>
                <w:szCs w:val="21"/>
                <w:highlight w:val="none"/>
                <w:lang w:val="en-US" w:eastAsia="zh-CN"/>
              </w:rPr>
              <w:t>32</w:t>
            </w:r>
            <w:r>
              <w:rPr>
                <w:rFonts w:hint="default"/>
                <w:b/>
                <w:bCs/>
                <w:color w:val="auto"/>
                <w:sz w:val="21"/>
                <w:szCs w:val="21"/>
                <w:highlight w:val="none"/>
                <w:lang w:val="en-US" w:eastAsia="zh-CN"/>
              </w:rPr>
              <w:t xml:space="preserve"> </w:t>
            </w:r>
            <w:r>
              <w:rPr>
                <w:rFonts w:hint="eastAsia"/>
                <w:b/>
                <w:bCs/>
                <w:color w:val="auto"/>
                <w:sz w:val="21"/>
                <w:szCs w:val="21"/>
                <w:highlight w:val="none"/>
                <w:lang w:val="en-US" w:eastAsia="zh-CN"/>
              </w:rPr>
              <w:t xml:space="preserve"> 项目建成后废气排放情况对比分析一览表</w:t>
            </w:r>
            <w:r>
              <w:rPr>
                <w:rFonts w:hint="default"/>
                <w:b/>
                <w:bCs/>
                <w:color w:val="auto"/>
                <w:sz w:val="21"/>
                <w:szCs w:val="21"/>
                <w:highlight w:val="none"/>
                <w:lang w:val="en-US" w:eastAsia="zh-CN"/>
              </w:rPr>
              <w:t xml:space="preserve"> </w:t>
            </w:r>
          </w:p>
          <w:tbl>
            <w:tblPr>
              <w:tblStyle w:val="25"/>
              <w:tblW w:w="8277" w:type="dxa"/>
              <w:tblInd w:w="-5"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469"/>
              <w:gridCol w:w="1307"/>
              <w:gridCol w:w="1364"/>
              <w:gridCol w:w="1362"/>
              <w:gridCol w:w="1686"/>
              <w:gridCol w:w="108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146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firstLine="0" w:firstLineChars="0"/>
                    <w:jc w:val="center"/>
                    <w:textAlignment w:val="auto"/>
                    <w:outlineLvl w:val="9"/>
                    <w:rPr>
                      <w:rFonts w:hint="default" w:ascii="Times New Roman" w:hAnsi="Times New Roman" w:cs="Times New Roman"/>
                      <w:b w:val="0"/>
                      <w:bCs w:val="0"/>
                      <w:smallCaps w:val="0"/>
                      <w:color w:val="auto"/>
                      <w:spacing w:val="0"/>
                      <w:position w:val="0"/>
                      <w:sz w:val="21"/>
                      <w:szCs w:val="21"/>
                      <w:highlight w:val="none"/>
                      <w:vertAlign w:val="baseline"/>
                      <w:lang w:val="en-US" w:eastAsia="zh-CN"/>
                    </w:rPr>
                  </w:pPr>
                  <w:r>
                    <w:rPr>
                      <w:rFonts w:hint="eastAsia" w:ascii="Times New Roman" w:hAnsi="Times New Roman" w:cs="Times New Roman"/>
                      <w:b w:val="0"/>
                      <w:bCs w:val="0"/>
                      <w:smallCaps w:val="0"/>
                      <w:color w:val="auto"/>
                      <w:spacing w:val="0"/>
                      <w:position w:val="0"/>
                      <w:sz w:val="21"/>
                      <w:szCs w:val="21"/>
                      <w:highlight w:val="none"/>
                      <w:vertAlign w:val="baseline"/>
                      <w:lang w:val="en-US" w:eastAsia="zh-CN"/>
                    </w:rPr>
                    <w:t>污染物</w:t>
                  </w:r>
                </w:p>
              </w:tc>
              <w:tc>
                <w:tcPr>
                  <w:tcW w:w="130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firstLine="0" w:firstLineChars="0"/>
                    <w:jc w:val="center"/>
                    <w:textAlignment w:val="auto"/>
                    <w:outlineLvl w:val="9"/>
                    <w:rPr>
                      <w:rFonts w:hint="default" w:ascii="Times New Roman" w:hAnsi="Times New Roman" w:cs="Times New Roman"/>
                      <w:b w:val="0"/>
                      <w:bCs w:val="0"/>
                      <w:smallCaps w:val="0"/>
                      <w:color w:val="auto"/>
                      <w:spacing w:val="0"/>
                      <w:position w:val="0"/>
                      <w:sz w:val="21"/>
                      <w:szCs w:val="21"/>
                      <w:highlight w:val="none"/>
                      <w:vertAlign w:val="baseline"/>
                      <w:lang w:val="en-US" w:eastAsia="zh-CN"/>
                    </w:rPr>
                  </w:pPr>
                  <w:r>
                    <w:rPr>
                      <w:rFonts w:hint="eastAsia" w:ascii="Times New Roman" w:hAnsi="Times New Roman" w:cs="Times New Roman"/>
                      <w:b w:val="0"/>
                      <w:bCs w:val="0"/>
                      <w:smallCaps w:val="0"/>
                      <w:color w:val="auto"/>
                      <w:spacing w:val="0"/>
                      <w:position w:val="0"/>
                      <w:sz w:val="21"/>
                      <w:szCs w:val="21"/>
                      <w:highlight w:val="none"/>
                      <w:vertAlign w:val="baseline"/>
                      <w:lang w:val="en-US" w:eastAsia="zh-CN"/>
                    </w:rPr>
                    <w:t>现有工程排放量</w:t>
                  </w:r>
                  <w:r>
                    <w:rPr>
                      <w:rFonts w:hint="eastAsia" w:cs="Times New Roman"/>
                      <w:b w:val="0"/>
                      <w:bCs w:val="0"/>
                      <w:smallCaps w:val="0"/>
                      <w:color w:val="auto"/>
                      <w:spacing w:val="0"/>
                      <w:position w:val="0"/>
                      <w:sz w:val="21"/>
                      <w:szCs w:val="21"/>
                      <w:highlight w:val="none"/>
                      <w:vertAlign w:val="baseline"/>
                      <w:lang w:val="en-US" w:eastAsia="zh-CN"/>
                    </w:rPr>
                    <w:t>（t/a）</w:t>
                  </w:r>
                </w:p>
              </w:tc>
              <w:tc>
                <w:tcPr>
                  <w:tcW w:w="136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firstLine="0" w:firstLineChars="0"/>
                    <w:jc w:val="center"/>
                    <w:textAlignment w:val="auto"/>
                    <w:outlineLvl w:val="9"/>
                    <w:rPr>
                      <w:rFonts w:hint="default" w:ascii="Times New Roman" w:hAnsi="Times New Roman" w:cs="Times New Roman"/>
                      <w:b w:val="0"/>
                      <w:bCs w:val="0"/>
                      <w:smallCaps w:val="0"/>
                      <w:color w:val="auto"/>
                      <w:spacing w:val="0"/>
                      <w:position w:val="0"/>
                      <w:sz w:val="21"/>
                      <w:szCs w:val="21"/>
                      <w:highlight w:val="none"/>
                      <w:vertAlign w:val="baseline"/>
                      <w:lang w:val="en-US" w:eastAsia="zh-CN"/>
                    </w:rPr>
                  </w:pPr>
                  <w:r>
                    <w:rPr>
                      <w:rFonts w:hint="eastAsia" w:ascii="Times New Roman" w:hAnsi="Times New Roman" w:cs="Times New Roman"/>
                      <w:b w:val="0"/>
                      <w:bCs w:val="0"/>
                      <w:smallCaps w:val="0"/>
                      <w:color w:val="auto"/>
                      <w:spacing w:val="0"/>
                      <w:position w:val="0"/>
                      <w:sz w:val="21"/>
                      <w:szCs w:val="21"/>
                      <w:highlight w:val="none"/>
                      <w:vertAlign w:val="baseline"/>
                      <w:lang w:val="en-US" w:eastAsia="zh-CN"/>
                    </w:rPr>
                    <w:t>本项目排放量</w:t>
                  </w:r>
                  <w:r>
                    <w:rPr>
                      <w:rFonts w:hint="eastAsia" w:cs="Times New Roman"/>
                      <w:b w:val="0"/>
                      <w:bCs w:val="0"/>
                      <w:smallCaps w:val="0"/>
                      <w:color w:val="auto"/>
                      <w:spacing w:val="0"/>
                      <w:position w:val="0"/>
                      <w:sz w:val="21"/>
                      <w:szCs w:val="21"/>
                      <w:highlight w:val="none"/>
                      <w:vertAlign w:val="baseline"/>
                      <w:lang w:val="en-US" w:eastAsia="zh-CN"/>
                    </w:rPr>
                    <w:t>（t/a）</w:t>
                  </w:r>
                </w:p>
              </w:tc>
              <w:tc>
                <w:tcPr>
                  <w:tcW w:w="136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firstLine="0" w:firstLineChars="0"/>
                    <w:jc w:val="center"/>
                    <w:textAlignment w:val="auto"/>
                    <w:outlineLvl w:val="9"/>
                    <w:rPr>
                      <w:rFonts w:hint="default" w:ascii="Times New Roman" w:hAnsi="Times New Roman" w:cs="Times New Roman"/>
                      <w:b w:val="0"/>
                      <w:bCs w:val="0"/>
                      <w:smallCaps w:val="0"/>
                      <w:color w:val="auto"/>
                      <w:spacing w:val="0"/>
                      <w:position w:val="0"/>
                      <w:sz w:val="21"/>
                      <w:szCs w:val="21"/>
                      <w:highlight w:val="none"/>
                      <w:vertAlign w:val="baseline"/>
                      <w:lang w:val="en-US" w:eastAsia="zh-CN"/>
                    </w:rPr>
                  </w:pPr>
                  <w:r>
                    <w:rPr>
                      <w:rFonts w:hint="eastAsia" w:ascii="Times New Roman" w:hAnsi="Times New Roman" w:cs="Times New Roman"/>
                      <w:b w:val="0"/>
                      <w:bCs w:val="0"/>
                      <w:smallCaps w:val="0"/>
                      <w:color w:val="auto"/>
                      <w:spacing w:val="0"/>
                      <w:position w:val="0"/>
                      <w:sz w:val="21"/>
                      <w:szCs w:val="21"/>
                      <w:highlight w:val="none"/>
                      <w:vertAlign w:val="baseline"/>
                      <w:lang w:val="en-US" w:eastAsia="zh-CN"/>
                    </w:rPr>
                    <w:t>以新带老削减量</w:t>
                  </w:r>
                  <w:r>
                    <w:rPr>
                      <w:rFonts w:hint="eastAsia" w:cs="Times New Roman"/>
                      <w:b w:val="0"/>
                      <w:bCs w:val="0"/>
                      <w:smallCaps w:val="0"/>
                      <w:color w:val="auto"/>
                      <w:spacing w:val="0"/>
                      <w:position w:val="0"/>
                      <w:sz w:val="21"/>
                      <w:szCs w:val="21"/>
                      <w:highlight w:val="none"/>
                      <w:vertAlign w:val="baseline"/>
                      <w:lang w:val="en-US" w:eastAsia="zh-CN"/>
                    </w:rPr>
                    <w:t>（t/a）</w:t>
                  </w:r>
                </w:p>
              </w:tc>
              <w:tc>
                <w:tcPr>
                  <w:tcW w:w="168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firstLine="0" w:firstLineChars="0"/>
                    <w:jc w:val="center"/>
                    <w:textAlignment w:val="auto"/>
                    <w:outlineLvl w:val="9"/>
                    <w:rPr>
                      <w:rFonts w:hint="default" w:ascii="Times New Roman" w:hAnsi="Times New Roman" w:cs="Times New Roman"/>
                      <w:b w:val="0"/>
                      <w:bCs w:val="0"/>
                      <w:smallCaps w:val="0"/>
                      <w:color w:val="auto"/>
                      <w:spacing w:val="0"/>
                      <w:position w:val="0"/>
                      <w:sz w:val="21"/>
                      <w:szCs w:val="21"/>
                      <w:highlight w:val="none"/>
                      <w:vertAlign w:val="baseline"/>
                      <w:lang w:val="en-US" w:eastAsia="zh-CN"/>
                    </w:rPr>
                  </w:pPr>
                  <w:r>
                    <w:rPr>
                      <w:rFonts w:hint="eastAsia" w:ascii="Times New Roman" w:hAnsi="Times New Roman" w:cs="Times New Roman"/>
                      <w:b w:val="0"/>
                      <w:bCs w:val="0"/>
                      <w:smallCaps w:val="0"/>
                      <w:color w:val="auto"/>
                      <w:spacing w:val="0"/>
                      <w:position w:val="0"/>
                      <w:sz w:val="21"/>
                      <w:szCs w:val="21"/>
                      <w:highlight w:val="none"/>
                      <w:vertAlign w:val="baseline"/>
                      <w:lang w:val="en-US" w:eastAsia="zh-CN"/>
                    </w:rPr>
                    <w:t>本项目实施后全厂排放量</w:t>
                  </w:r>
                  <w:r>
                    <w:rPr>
                      <w:rFonts w:hint="eastAsia" w:cs="Times New Roman"/>
                      <w:b w:val="0"/>
                      <w:bCs w:val="0"/>
                      <w:smallCaps w:val="0"/>
                      <w:color w:val="auto"/>
                      <w:spacing w:val="0"/>
                      <w:position w:val="0"/>
                      <w:sz w:val="21"/>
                      <w:szCs w:val="21"/>
                      <w:highlight w:val="none"/>
                      <w:vertAlign w:val="baseline"/>
                      <w:lang w:val="en-US" w:eastAsia="zh-CN"/>
                    </w:rPr>
                    <w:t>（t/a）</w:t>
                  </w:r>
                </w:p>
              </w:tc>
              <w:tc>
                <w:tcPr>
                  <w:tcW w:w="108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firstLine="0" w:firstLineChars="0"/>
                    <w:jc w:val="center"/>
                    <w:textAlignment w:val="auto"/>
                    <w:outlineLvl w:val="9"/>
                    <w:rPr>
                      <w:rFonts w:hint="default" w:ascii="Times New Roman" w:hAnsi="Times New Roman" w:cs="Times New Roman"/>
                      <w:b w:val="0"/>
                      <w:bCs w:val="0"/>
                      <w:smallCaps w:val="0"/>
                      <w:color w:val="auto"/>
                      <w:spacing w:val="0"/>
                      <w:position w:val="0"/>
                      <w:sz w:val="21"/>
                      <w:szCs w:val="21"/>
                      <w:highlight w:val="none"/>
                      <w:vertAlign w:val="baseline"/>
                      <w:lang w:val="en-US" w:eastAsia="zh-CN"/>
                    </w:rPr>
                  </w:pPr>
                  <w:r>
                    <w:rPr>
                      <w:rFonts w:hint="eastAsia" w:ascii="Times New Roman" w:hAnsi="Times New Roman" w:cs="Times New Roman"/>
                      <w:b w:val="0"/>
                      <w:bCs w:val="0"/>
                      <w:smallCaps w:val="0"/>
                      <w:color w:val="auto"/>
                      <w:spacing w:val="0"/>
                      <w:position w:val="0"/>
                      <w:sz w:val="21"/>
                      <w:szCs w:val="21"/>
                      <w:highlight w:val="none"/>
                      <w:vertAlign w:val="baseline"/>
                      <w:lang w:val="en-US" w:eastAsia="zh-CN"/>
                    </w:rPr>
                    <w:t>变化量</w:t>
                  </w:r>
                  <w:r>
                    <w:rPr>
                      <w:rFonts w:hint="eastAsia" w:cs="Times New Roman"/>
                      <w:b w:val="0"/>
                      <w:bCs w:val="0"/>
                      <w:smallCaps w:val="0"/>
                      <w:color w:val="auto"/>
                      <w:spacing w:val="0"/>
                      <w:position w:val="0"/>
                      <w:sz w:val="21"/>
                      <w:szCs w:val="21"/>
                      <w:highlight w:val="none"/>
                      <w:vertAlign w:val="baseline"/>
                      <w:lang w:val="en-US" w:eastAsia="zh-CN"/>
                    </w:rPr>
                    <w:t>（t/a）</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69" w:type="dxa"/>
                  <w:tcBorders>
                    <w:tl2br w:val="nil"/>
                    <w:tr2bl w:val="nil"/>
                  </w:tcBorders>
                  <w:noWrap w:val="0"/>
                  <w:vAlign w:val="center"/>
                </w:tcPr>
                <w:p>
                  <w:pPr>
                    <w:pStyle w:val="32"/>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smallCaps w:val="0"/>
                      <w:color w:val="auto"/>
                      <w:spacing w:val="0"/>
                      <w:position w:val="0"/>
                      <w:sz w:val="21"/>
                      <w:szCs w:val="21"/>
                      <w:highlight w:val="none"/>
                      <w:vertAlign w:val="baseline"/>
                      <w:lang w:val="en-US" w:eastAsia="zh-CN"/>
                    </w:rPr>
                  </w:pPr>
                  <w:r>
                    <w:rPr>
                      <w:rFonts w:hint="eastAsia" w:cs="Times New Roman" w:eastAsiaTheme="minorEastAsia"/>
                      <w:snapToGrid w:val="0"/>
                      <w:color w:val="auto"/>
                      <w:kern w:val="21"/>
                      <w:sz w:val="21"/>
                      <w:szCs w:val="21"/>
                      <w:highlight w:val="none"/>
                      <w:lang w:val="en-US" w:eastAsia="zh-CN"/>
                    </w:rPr>
                    <w:t>非甲烷总烃</w:t>
                  </w:r>
                </w:p>
              </w:tc>
              <w:tc>
                <w:tcPr>
                  <w:tcW w:w="1307"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cs="Times New Roman"/>
                      <w:b w:val="0"/>
                      <w:bCs w:val="0"/>
                      <w:smallCaps w:val="0"/>
                      <w:color w:val="auto"/>
                      <w:spacing w:val="0"/>
                      <w:position w:val="0"/>
                      <w:sz w:val="21"/>
                      <w:szCs w:val="21"/>
                      <w:highlight w:val="none"/>
                      <w:vertAlign w:val="baseline"/>
                      <w:lang w:val="en-US" w:eastAsia="zh-CN"/>
                    </w:rPr>
                  </w:pPr>
                  <w:r>
                    <w:rPr>
                      <w:rFonts w:hint="eastAsia" w:cs="Times New Roman"/>
                      <w:b w:val="0"/>
                      <w:bCs w:val="0"/>
                      <w:smallCaps w:val="0"/>
                      <w:color w:val="auto"/>
                      <w:spacing w:val="0"/>
                      <w:position w:val="0"/>
                      <w:sz w:val="21"/>
                      <w:szCs w:val="21"/>
                      <w:highlight w:val="none"/>
                      <w:vertAlign w:val="baseline"/>
                      <w:lang w:val="en-US" w:eastAsia="zh-CN"/>
                    </w:rPr>
                    <w:t>0.06648</w:t>
                  </w:r>
                </w:p>
              </w:tc>
              <w:tc>
                <w:tcPr>
                  <w:tcW w:w="1364" w:type="dxa"/>
                  <w:tcBorders>
                    <w:tl2br w:val="nil"/>
                    <w:tr2bl w:val="nil"/>
                  </w:tcBorders>
                  <w:noWrap w:val="0"/>
                  <w:vAlign w:val="center"/>
                </w:tcPr>
                <w:p>
                  <w:pPr>
                    <w:pStyle w:val="32"/>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s="Times New Roman"/>
                      <w:snapToGrid w:val="0"/>
                      <w:color w:val="auto"/>
                      <w:kern w:val="21"/>
                      <w:sz w:val="21"/>
                      <w:szCs w:val="21"/>
                      <w:highlight w:val="none"/>
                      <w:lang w:val="en-US" w:eastAsia="zh-CN"/>
                    </w:rPr>
                  </w:pPr>
                  <w:r>
                    <w:rPr>
                      <w:rFonts w:hint="eastAsia" w:cs="Times New Roman"/>
                      <w:snapToGrid w:val="0"/>
                      <w:color w:val="auto"/>
                      <w:kern w:val="21"/>
                      <w:sz w:val="21"/>
                      <w:szCs w:val="21"/>
                      <w:highlight w:val="none"/>
                      <w:lang w:val="en-US" w:eastAsia="zh-CN"/>
                    </w:rPr>
                    <w:t>0.0426</w:t>
                  </w:r>
                </w:p>
              </w:tc>
              <w:tc>
                <w:tcPr>
                  <w:tcW w:w="136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b w:val="0"/>
                      <w:bCs w:val="0"/>
                      <w:smallCaps w:val="0"/>
                      <w:color w:val="auto"/>
                      <w:spacing w:val="0"/>
                      <w:position w:val="0"/>
                      <w:sz w:val="21"/>
                      <w:szCs w:val="21"/>
                      <w:highlight w:val="none"/>
                      <w:vertAlign w:val="baseline"/>
                      <w:lang w:val="en-US" w:eastAsia="zh-CN"/>
                    </w:rPr>
                  </w:pPr>
                  <w:r>
                    <w:rPr>
                      <w:rFonts w:hint="eastAsia" w:cs="Times New Roman"/>
                      <w:b w:val="0"/>
                      <w:bCs w:val="0"/>
                      <w:smallCaps w:val="0"/>
                      <w:color w:val="auto"/>
                      <w:spacing w:val="0"/>
                      <w:position w:val="0"/>
                      <w:sz w:val="21"/>
                      <w:szCs w:val="21"/>
                      <w:highlight w:val="none"/>
                      <w:vertAlign w:val="baseline"/>
                      <w:lang w:val="en-US" w:eastAsia="zh-CN"/>
                    </w:rPr>
                    <w:t>0.06648</w:t>
                  </w:r>
                </w:p>
              </w:tc>
              <w:tc>
                <w:tcPr>
                  <w:tcW w:w="1686" w:type="dxa"/>
                  <w:tcBorders>
                    <w:tl2br w:val="nil"/>
                    <w:tr2bl w:val="nil"/>
                  </w:tcBorders>
                  <w:noWrap w:val="0"/>
                  <w:vAlign w:val="center"/>
                </w:tcPr>
                <w:p>
                  <w:pPr>
                    <w:pStyle w:val="32"/>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smallCaps w:val="0"/>
                      <w:color w:val="auto"/>
                      <w:spacing w:val="0"/>
                      <w:position w:val="0"/>
                      <w:sz w:val="21"/>
                      <w:szCs w:val="21"/>
                      <w:highlight w:val="none"/>
                      <w:vertAlign w:val="baseline"/>
                      <w:lang w:val="en-US" w:eastAsia="zh-CN"/>
                    </w:rPr>
                  </w:pPr>
                  <w:r>
                    <w:rPr>
                      <w:rFonts w:hint="eastAsia" w:cs="Times New Roman"/>
                      <w:snapToGrid w:val="0"/>
                      <w:color w:val="auto"/>
                      <w:kern w:val="21"/>
                      <w:sz w:val="21"/>
                      <w:szCs w:val="21"/>
                      <w:highlight w:val="none"/>
                      <w:lang w:val="en-US" w:eastAsia="zh-CN"/>
                    </w:rPr>
                    <w:t>0.0426</w:t>
                  </w:r>
                </w:p>
              </w:tc>
              <w:tc>
                <w:tcPr>
                  <w:tcW w:w="1089" w:type="dxa"/>
                  <w:tcBorders>
                    <w:tl2br w:val="nil"/>
                    <w:tr2bl w:val="nil"/>
                  </w:tcBorders>
                  <w:noWrap w:val="0"/>
                  <w:vAlign w:val="center"/>
                </w:tcPr>
                <w:p>
                  <w:pPr>
                    <w:pStyle w:val="32"/>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smallCaps w:val="0"/>
                      <w:color w:val="auto"/>
                      <w:spacing w:val="0"/>
                      <w:position w:val="0"/>
                      <w:sz w:val="21"/>
                      <w:szCs w:val="21"/>
                      <w:highlight w:val="none"/>
                      <w:vertAlign w:val="baseline"/>
                      <w:lang w:val="en-US" w:eastAsia="zh-CN"/>
                    </w:rPr>
                  </w:pPr>
                  <w:r>
                    <w:rPr>
                      <w:rFonts w:hint="eastAsia" w:cs="Times New Roman"/>
                      <w:b w:val="0"/>
                      <w:bCs w:val="0"/>
                      <w:smallCaps w:val="0"/>
                      <w:color w:val="auto"/>
                      <w:spacing w:val="0"/>
                      <w:position w:val="0"/>
                      <w:sz w:val="21"/>
                      <w:szCs w:val="21"/>
                      <w:highlight w:val="none"/>
                      <w:vertAlign w:val="baseline"/>
                      <w:lang w:val="en-US" w:eastAsia="zh-CN"/>
                    </w:rPr>
                    <w:t>-0.02388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69" w:type="dxa"/>
                  <w:tcBorders>
                    <w:tl2br w:val="nil"/>
                    <w:tr2bl w:val="nil"/>
                  </w:tcBorders>
                  <w:noWrap w:val="0"/>
                  <w:vAlign w:val="center"/>
                </w:tcPr>
                <w:p>
                  <w:pPr>
                    <w:pStyle w:val="32"/>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smallCaps w:val="0"/>
                      <w:color w:val="auto"/>
                      <w:spacing w:val="0"/>
                      <w:position w:val="0"/>
                      <w:sz w:val="21"/>
                      <w:szCs w:val="21"/>
                      <w:highlight w:val="none"/>
                      <w:vertAlign w:val="baseline"/>
                      <w:lang w:val="en-US" w:eastAsia="zh-CN"/>
                    </w:rPr>
                  </w:pPr>
                  <w:r>
                    <w:rPr>
                      <w:rFonts w:hint="eastAsia" w:cs="Times New Roman" w:eastAsiaTheme="minorEastAsia"/>
                      <w:snapToGrid w:val="0"/>
                      <w:color w:val="auto"/>
                      <w:kern w:val="21"/>
                      <w:sz w:val="21"/>
                      <w:szCs w:val="21"/>
                      <w:highlight w:val="none"/>
                      <w:lang w:val="en-US" w:eastAsia="zh-CN"/>
                    </w:rPr>
                    <w:t>氯化氢</w:t>
                  </w:r>
                </w:p>
              </w:tc>
              <w:tc>
                <w:tcPr>
                  <w:tcW w:w="1307"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b w:val="0"/>
                      <w:bCs w:val="0"/>
                      <w:smallCaps w:val="0"/>
                      <w:color w:val="auto"/>
                      <w:spacing w:val="0"/>
                      <w:position w:val="0"/>
                      <w:sz w:val="21"/>
                      <w:szCs w:val="21"/>
                      <w:highlight w:val="none"/>
                      <w:vertAlign w:val="baseline"/>
                      <w:lang w:val="en-US" w:eastAsia="zh-CN"/>
                    </w:rPr>
                  </w:pPr>
                  <w:r>
                    <w:rPr>
                      <w:rFonts w:hint="eastAsia" w:cs="Times New Roman"/>
                      <w:b w:val="0"/>
                      <w:bCs w:val="0"/>
                      <w:smallCaps w:val="0"/>
                      <w:color w:val="auto"/>
                      <w:spacing w:val="0"/>
                      <w:position w:val="0"/>
                      <w:sz w:val="21"/>
                      <w:szCs w:val="21"/>
                      <w:highlight w:val="none"/>
                      <w:vertAlign w:val="baseline"/>
                      <w:lang w:val="en-US" w:eastAsia="zh-CN"/>
                    </w:rPr>
                    <w:t>0.034</w:t>
                  </w:r>
                </w:p>
              </w:tc>
              <w:tc>
                <w:tcPr>
                  <w:tcW w:w="1364" w:type="dxa"/>
                  <w:tcBorders>
                    <w:tl2br w:val="nil"/>
                    <w:tr2bl w:val="nil"/>
                  </w:tcBorders>
                  <w:noWrap w:val="0"/>
                  <w:vAlign w:val="center"/>
                </w:tcPr>
                <w:p>
                  <w:pPr>
                    <w:pStyle w:val="32"/>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s="Times New Roman"/>
                      <w:snapToGrid w:val="0"/>
                      <w:color w:val="auto"/>
                      <w:kern w:val="21"/>
                      <w:sz w:val="21"/>
                      <w:szCs w:val="21"/>
                      <w:highlight w:val="none"/>
                      <w:lang w:val="en-US" w:eastAsia="zh-CN"/>
                    </w:rPr>
                  </w:pPr>
                  <w:r>
                    <w:rPr>
                      <w:rFonts w:hint="eastAsia" w:cs="Times New Roman"/>
                      <w:snapToGrid w:val="0"/>
                      <w:color w:val="auto"/>
                      <w:kern w:val="21"/>
                      <w:sz w:val="21"/>
                      <w:szCs w:val="21"/>
                      <w:highlight w:val="none"/>
                      <w:lang w:val="en-US" w:eastAsia="zh-CN"/>
                    </w:rPr>
                    <w:t>0.029423</w:t>
                  </w:r>
                </w:p>
              </w:tc>
              <w:tc>
                <w:tcPr>
                  <w:tcW w:w="136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b w:val="0"/>
                      <w:bCs w:val="0"/>
                      <w:smallCaps w:val="0"/>
                      <w:color w:val="auto"/>
                      <w:spacing w:val="0"/>
                      <w:position w:val="0"/>
                      <w:sz w:val="21"/>
                      <w:szCs w:val="21"/>
                      <w:highlight w:val="none"/>
                      <w:vertAlign w:val="baseline"/>
                      <w:lang w:val="en-US" w:eastAsia="zh-CN"/>
                    </w:rPr>
                  </w:pPr>
                  <w:r>
                    <w:rPr>
                      <w:rFonts w:hint="eastAsia" w:cs="Times New Roman"/>
                      <w:b w:val="0"/>
                      <w:bCs w:val="0"/>
                      <w:smallCaps w:val="0"/>
                      <w:color w:val="auto"/>
                      <w:spacing w:val="0"/>
                      <w:position w:val="0"/>
                      <w:sz w:val="21"/>
                      <w:szCs w:val="21"/>
                      <w:highlight w:val="none"/>
                      <w:vertAlign w:val="baseline"/>
                      <w:lang w:val="en-US" w:eastAsia="zh-CN"/>
                    </w:rPr>
                    <w:t>0.034</w:t>
                  </w:r>
                </w:p>
              </w:tc>
              <w:tc>
                <w:tcPr>
                  <w:tcW w:w="1686" w:type="dxa"/>
                  <w:tcBorders>
                    <w:tl2br w:val="nil"/>
                    <w:tr2bl w:val="nil"/>
                  </w:tcBorders>
                  <w:noWrap w:val="0"/>
                  <w:vAlign w:val="center"/>
                </w:tcPr>
                <w:p>
                  <w:pPr>
                    <w:pStyle w:val="32"/>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smallCaps w:val="0"/>
                      <w:color w:val="auto"/>
                      <w:spacing w:val="0"/>
                      <w:position w:val="0"/>
                      <w:sz w:val="21"/>
                      <w:szCs w:val="21"/>
                      <w:highlight w:val="none"/>
                      <w:vertAlign w:val="baseline"/>
                      <w:lang w:val="en-US" w:eastAsia="zh-CN"/>
                    </w:rPr>
                  </w:pPr>
                  <w:r>
                    <w:rPr>
                      <w:rFonts w:hint="eastAsia" w:cs="Times New Roman"/>
                      <w:snapToGrid w:val="0"/>
                      <w:color w:val="auto"/>
                      <w:kern w:val="21"/>
                      <w:sz w:val="21"/>
                      <w:szCs w:val="21"/>
                      <w:highlight w:val="none"/>
                      <w:lang w:val="en-US" w:eastAsia="zh-CN"/>
                    </w:rPr>
                    <w:t>0.029423</w:t>
                  </w:r>
                </w:p>
              </w:tc>
              <w:tc>
                <w:tcPr>
                  <w:tcW w:w="1089" w:type="dxa"/>
                  <w:tcBorders>
                    <w:tl2br w:val="nil"/>
                    <w:tr2bl w:val="nil"/>
                  </w:tcBorders>
                  <w:noWrap w:val="0"/>
                  <w:vAlign w:val="center"/>
                </w:tcPr>
                <w:p>
                  <w:pPr>
                    <w:pStyle w:val="32"/>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smallCaps w:val="0"/>
                      <w:color w:val="auto"/>
                      <w:spacing w:val="0"/>
                      <w:position w:val="0"/>
                      <w:sz w:val="21"/>
                      <w:szCs w:val="21"/>
                      <w:highlight w:val="none"/>
                      <w:vertAlign w:val="baseline"/>
                      <w:lang w:val="en-US" w:eastAsia="zh-CN"/>
                    </w:rPr>
                  </w:pPr>
                  <w:r>
                    <w:rPr>
                      <w:rFonts w:hint="eastAsia" w:cs="Times New Roman"/>
                      <w:b w:val="0"/>
                      <w:bCs w:val="0"/>
                      <w:smallCaps w:val="0"/>
                      <w:color w:val="auto"/>
                      <w:spacing w:val="0"/>
                      <w:position w:val="0"/>
                      <w:sz w:val="21"/>
                      <w:szCs w:val="21"/>
                      <w:highlight w:val="none"/>
                      <w:vertAlign w:val="baseline"/>
                      <w:lang w:val="en-US" w:eastAsia="zh-CN"/>
                    </w:rPr>
                    <w:t>-0.004577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69" w:type="dxa"/>
                  <w:tcBorders>
                    <w:tl2br w:val="nil"/>
                    <w:tr2bl w:val="nil"/>
                  </w:tcBorders>
                  <w:noWrap w:val="0"/>
                  <w:vAlign w:val="center"/>
                </w:tcPr>
                <w:p>
                  <w:pPr>
                    <w:pStyle w:val="32"/>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smallCaps w:val="0"/>
                      <w:color w:val="auto"/>
                      <w:spacing w:val="0"/>
                      <w:position w:val="0"/>
                      <w:sz w:val="21"/>
                      <w:szCs w:val="21"/>
                      <w:highlight w:val="none"/>
                      <w:vertAlign w:val="baseline"/>
                      <w:lang w:val="en-US" w:eastAsia="zh-CN"/>
                    </w:rPr>
                  </w:pPr>
                  <w:r>
                    <w:rPr>
                      <w:rFonts w:hint="eastAsia" w:cs="Times New Roman"/>
                      <w:b w:val="0"/>
                      <w:bCs w:val="0"/>
                      <w:smallCaps w:val="0"/>
                      <w:color w:val="auto"/>
                      <w:spacing w:val="0"/>
                      <w:position w:val="0"/>
                      <w:sz w:val="21"/>
                      <w:szCs w:val="21"/>
                      <w:highlight w:val="none"/>
                      <w:vertAlign w:val="baseline"/>
                      <w:lang w:val="en-US" w:eastAsia="zh-CN"/>
                    </w:rPr>
                    <w:t>氟化物</w:t>
                  </w:r>
                </w:p>
              </w:tc>
              <w:tc>
                <w:tcPr>
                  <w:tcW w:w="1307"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b w:val="0"/>
                      <w:bCs w:val="0"/>
                      <w:smallCaps w:val="0"/>
                      <w:color w:val="auto"/>
                      <w:spacing w:val="0"/>
                      <w:position w:val="0"/>
                      <w:sz w:val="21"/>
                      <w:szCs w:val="21"/>
                      <w:highlight w:val="none"/>
                      <w:vertAlign w:val="baseline"/>
                      <w:lang w:val="en-US" w:eastAsia="zh-CN"/>
                    </w:rPr>
                  </w:pPr>
                  <w:r>
                    <w:rPr>
                      <w:rFonts w:hint="eastAsia" w:cs="Times New Roman"/>
                      <w:b w:val="0"/>
                      <w:bCs w:val="0"/>
                      <w:smallCaps w:val="0"/>
                      <w:color w:val="auto"/>
                      <w:spacing w:val="0"/>
                      <w:position w:val="0"/>
                      <w:sz w:val="21"/>
                      <w:szCs w:val="21"/>
                      <w:highlight w:val="none"/>
                      <w:vertAlign w:val="baseline"/>
                      <w:lang w:val="en-US" w:eastAsia="zh-CN"/>
                    </w:rPr>
                    <w:t>0.0046</w:t>
                  </w:r>
                </w:p>
              </w:tc>
              <w:tc>
                <w:tcPr>
                  <w:tcW w:w="1364" w:type="dxa"/>
                  <w:tcBorders>
                    <w:tl2br w:val="nil"/>
                    <w:tr2bl w:val="nil"/>
                  </w:tcBorders>
                  <w:noWrap w:val="0"/>
                  <w:vAlign w:val="center"/>
                </w:tcPr>
                <w:p>
                  <w:pPr>
                    <w:pStyle w:val="32"/>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hAnsi="宋体" w:cs="宋体"/>
                      <w:snapToGrid w:val="0"/>
                      <w:color w:val="auto"/>
                      <w:kern w:val="21"/>
                      <w:sz w:val="21"/>
                      <w:szCs w:val="21"/>
                      <w:highlight w:val="none"/>
                      <w:lang w:val="en-US" w:eastAsia="zh-CN"/>
                    </w:rPr>
                  </w:pPr>
                  <w:r>
                    <w:rPr>
                      <w:rFonts w:hint="eastAsia" w:hAnsi="宋体" w:cs="宋体"/>
                      <w:snapToGrid w:val="0"/>
                      <w:color w:val="auto"/>
                      <w:kern w:val="21"/>
                      <w:sz w:val="21"/>
                      <w:szCs w:val="21"/>
                      <w:highlight w:val="none"/>
                      <w:lang w:val="en-US" w:eastAsia="zh-CN"/>
                    </w:rPr>
                    <w:t>0.004</w:t>
                  </w:r>
                </w:p>
              </w:tc>
              <w:tc>
                <w:tcPr>
                  <w:tcW w:w="136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b w:val="0"/>
                      <w:bCs w:val="0"/>
                      <w:smallCaps w:val="0"/>
                      <w:color w:val="auto"/>
                      <w:spacing w:val="0"/>
                      <w:position w:val="0"/>
                      <w:sz w:val="21"/>
                      <w:szCs w:val="21"/>
                      <w:highlight w:val="none"/>
                      <w:vertAlign w:val="baseline"/>
                      <w:lang w:val="en-US" w:eastAsia="zh-CN"/>
                    </w:rPr>
                  </w:pPr>
                  <w:r>
                    <w:rPr>
                      <w:rFonts w:hint="eastAsia" w:cs="Times New Roman"/>
                      <w:b w:val="0"/>
                      <w:bCs w:val="0"/>
                      <w:smallCaps w:val="0"/>
                      <w:color w:val="auto"/>
                      <w:spacing w:val="0"/>
                      <w:position w:val="0"/>
                      <w:sz w:val="21"/>
                      <w:szCs w:val="21"/>
                      <w:highlight w:val="none"/>
                      <w:vertAlign w:val="baseline"/>
                      <w:lang w:val="en-US" w:eastAsia="zh-CN"/>
                    </w:rPr>
                    <w:t>0.0046</w:t>
                  </w:r>
                </w:p>
              </w:tc>
              <w:tc>
                <w:tcPr>
                  <w:tcW w:w="1686" w:type="dxa"/>
                  <w:tcBorders>
                    <w:tl2br w:val="nil"/>
                    <w:tr2bl w:val="nil"/>
                  </w:tcBorders>
                  <w:noWrap w:val="0"/>
                  <w:vAlign w:val="center"/>
                </w:tcPr>
                <w:p>
                  <w:pPr>
                    <w:pStyle w:val="32"/>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smallCaps w:val="0"/>
                      <w:color w:val="auto"/>
                      <w:spacing w:val="0"/>
                      <w:position w:val="0"/>
                      <w:sz w:val="21"/>
                      <w:szCs w:val="21"/>
                      <w:highlight w:val="none"/>
                      <w:vertAlign w:val="baseline"/>
                      <w:lang w:val="en-US" w:eastAsia="zh-CN"/>
                    </w:rPr>
                  </w:pPr>
                  <w:r>
                    <w:rPr>
                      <w:rFonts w:hint="eastAsia" w:hAnsi="宋体" w:cs="宋体"/>
                      <w:snapToGrid w:val="0"/>
                      <w:color w:val="auto"/>
                      <w:kern w:val="21"/>
                      <w:sz w:val="21"/>
                      <w:szCs w:val="21"/>
                      <w:highlight w:val="none"/>
                      <w:lang w:val="en-US" w:eastAsia="zh-CN"/>
                    </w:rPr>
                    <w:t>0.004</w:t>
                  </w:r>
                </w:p>
              </w:tc>
              <w:tc>
                <w:tcPr>
                  <w:tcW w:w="1089" w:type="dxa"/>
                  <w:tcBorders>
                    <w:tl2br w:val="nil"/>
                    <w:tr2bl w:val="nil"/>
                  </w:tcBorders>
                  <w:noWrap w:val="0"/>
                  <w:vAlign w:val="center"/>
                </w:tcPr>
                <w:p>
                  <w:pPr>
                    <w:pStyle w:val="32"/>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smallCaps w:val="0"/>
                      <w:color w:val="auto"/>
                      <w:spacing w:val="0"/>
                      <w:position w:val="0"/>
                      <w:sz w:val="21"/>
                      <w:szCs w:val="21"/>
                      <w:highlight w:val="none"/>
                      <w:vertAlign w:val="baseline"/>
                      <w:lang w:val="en-US" w:eastAsia="zh-CN"/>
                    </w:rPr>
                  </w:pPr>
                  <w:r>
                    <w:rPr>
                      <w:rFonts w:hint="eastAsia" w:cs="Times New Roman"/>
                      <w:b w:val="0"/>
                      <w:bCs w:val="0"/>
                      <w:smallCaps w:val="0"/>
                      <w:color w:val="auto"/>
                      <w:spacing w:val="0"/>
                      <w:position w:val="0"/>
                      <w:sz w:val="21"/>
                      <w:szCs w:val="21"/>
                      <w:highlight w:val="none"/>
                      <w:vertAlign w:val="baseline"/>
                      <w:lang w:val="en-US" w:eastAsia="zh-CN"/>
                    </w:rPr>
                    <w:t>-0.0006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8277" w:type="dxa"/>
                  <w:gridSpan w:val="6"/>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left"/>
                    <w:textAlignment w:val="auto"/>
                    <w:rPr>
                      <w:rFonts w:hint="default" w:ascii="Times New Roman" w:hAnsi="Times New Roman" w:cs="Times New Roman"/>
                      <w:b w:val="0"/>
                      <w:bCs w:val="0"/>
                      <w:smallCaps w:val="0"/>
                      <w:color w:val="auto"/>
                      <w:spacing w:val="0"/>
                      <w:position w:val="0"/>
                      <w:sz w:val="21"/>
                      <w:szCs w:val="21"/>
                      <w:highlight w:val="none"/>
                      <w:vertAlign w:val="baseline"/>
                      <w:lang w:val="en-US" w:eastAsia="zh-CN"/>
                    </w:rPr>
                  </w:pPr>
                  <w:r>
                    <w:rPr>
                      <w:rFonts w:hint="eastAsia" w:cs="Times New Roman"/>
                      <w:b w:val="0"/>
                      <w:bCs w:val="0"/>
                      <w:smallCaps w:val="0"/>
                      <w:color w:val="auto"/>
                      <w:spacing w:val="0"/>
                      <w:position w:val="0"/>
                      <w:sz w:val="21"/>
                      <w:szCs w:val="21"/>
                      <w:highlight w:val="none"/>
                      <w:vertAlign w:val="baseline"/>
                      <w:lang w:val="en-US" w:eastAsia="zh-CN"/>
                    </w:rPr>
                    <w:t>备注：由于本项目建成后现有石墨烯电发热体生产线产能减小，污染物排放量相应减少，且污染物源强核算方法发生变化，故本项目排放量为项目建成后全厂排放量。</w:t>
                  </w:r>
                </w:p>
              </w:tc>
            </w:tr>
          </w:tbl>
          <w:p>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b/>
                <w:bCs/>
                <w:color w:val="auto"/>
                <w:highlight w:val="none"/>
                <w:lang w:val="en-US" w:eastAsia="zh-CN"/>
              </w:rPr>
            </w:pPr>
            <w:r>
              <w:rPr>
                <w:rFonts w:hint="eastAsia" w:ascii="Times New Roman" w:hAnsi="Times New Roman" w:eastAsia="宋体" w:cs="Times New Roman"/>
                <w:b/>
                <w:bCs/>
                <w:color w:val="auto"/>
                <w:highlight w:val="none"/>
                <w:lang w:val="en-US" w:eastAsia="zh-CN"/>
              </w:rPr>
              <w:t>1.7监测计划</w:t>
            </w:r>
          </w:p>
          <w:p>
            <w:pPr>
              <w:bidi w:val="0"/>
              <w:rPr>
                <w:rFonts w:hint="eastAsia"/>
                <w:color w:val="auto"/>
                <w:kern w:val="1"/>
                <w:sz w:val="24"/>
                <w:szCs w:val="24"/>
                <w:highlight w:val="none"/>
                <w:lang w:val="en-US" w:eastAsia="zh-CN" w:bidi="ar"/>
              </w:rPr>
            </w:pPr>
            <w:r>
              <w:rPr>
                <w:rFonts w:ascii="Times New Roman" w:hAnsi="Times New Roman"/>
                <w:snapToGrid w:val="0"/>
                <w:color w:val="auto"/>
                <w:kern w:val="0"/>
                <w:sz w:val="24"/>
                <w:szCs w:val="24"/>
                <w:highlight w:val="none"/>
                <w:lang w:bidi="ar"/>
              </w:rPr>
              <w:t>根据本建设项目性质与实际情况，</w:t>
            </w:r>
            <w:r>
              <w:rPr>
                <w:rFonts w:ascii="Times New Roman" w:hAnsi="Times New Roman"/>
                <w:color w:val="auto"/>
                <w:sz w:val="24"/>
                <w:szCs w:val="24"/>
                <w:highlight w:val="none"/>
              </w:rPr>
              <w:t>按照《排污单位自行监测技术指南 总则》</w:t>
            </w:r>
            <w:r>
              <w:rPr>
                <w:rFonts w:hint="eastAsia"/>
                <w:color w:val="auto"/>
                <w:sz w:val="24"/>
                <w:szCs w:val="24"/>
                <w:highlight w:val="none"/>
                <w:lang w:eastAsia="zh-CN"/>
              </w:rPr>
              <w:t>（</w:t>
            </w:r>
            <w:r>
              <w:rPr>
                <w:rFonts w:hint="eastAsia"/>
                <w:color w:val="auto"/>
                <w:sz w:val="24"/>
                <w:szCs w:val="24"/>
                <w:highlight w:val="none"/>
                <w:lang w:val="en-US" w:eastAsia="zh-CN"/>
              </w:rPr>
              <w:t>HJ819-2017</w:t>
            </w:r>
            <w:r>
              <w:rPr>
                <w:rFonts w:hint="eastAsia"/>
                <w:color w:val="auto"/>
                <w:sz w:val="24"/>
                <w:szCs w:val="24"/>
                <w:highlight w:val="none"/>
                <w:lang w:eastAsia="zh-CN"/>
              </w:rPr>
              <w:t>）</w:t>
            </w:r>
            <w:r>
              <w:rPr>
                <w:rFonts w:hint="eastAsia" w:ascii="Times New Roman" w:hAnsi="Times New Roman"/>
                <w:color w:val="auto"/>
                <w:sz w:val="24"/>
                <w:szCs w:val="24"/>
                <w:highlight w:val="none"/>
                <w:lang w:val="en-US" w:eastAsia="zh-CN"/>
              </w:rPr>
              <w:t>，</w:t>
            </w:r>
            <w:r>
              <w:rPr>
                <w:rFonts w:hint="eastAsia"/>
                <w:color w:val="auto"/>
                <w:kern w:val="1"/>
                <w:sz w:val="24"/>
                <w:szCs w:val="24"/>
                <w:highlight w:val="none"/>
                <w:lang w:val="en-US" w:eastAsia="zh-CN" w:bidi="ar"/>
              </w:rPr>
              <w:t>本项目建成后全厂废气监测因子、监测频次、执行排放标准情况见下表。</w:t>
            </w:r>
          </w:p>
          <w:p>
            <w:pPr>
              <w:pStyle w:val="31"/>
              <w:bidi w:val="0"/>
              <w:rPr>
                <w:rFonts w:hint="default"/>
                <w:color w:val="auto"/>
                <w:sz w:val="21"/>
                <w:szCs w:val="21"/>
                <w:highlight w:val="none"/>
              </w:rPr>
            </w:pPr>
          </w:p>
          <w:p>
            <w:pPr>
              <w:pStyle w:val="31"/>
              <w:bidi w:val="0"/>
              <w:rPr>
                <w:rFonts w:hint="default"/>
                <w:color w:val="auto"/>
                <w:sz w:val="21"/>
                <w:szCs w:val="21"/>
                <w:highlight w:val="none"/>
              </w:rPr>
            </w:pPr>
          </w:p>
          <w:p>
            <w:pPr>
              <w:pStyle w:val="31"/>
              <w:bidi w:val="0"/>
              <w:rPr>
                <w:rFonts w:hint="default"/>
                <w:color w:val="auto"/>
                <w:sz w:val="21"/>
                <w:szCs w:val="21"/>
                <w:highlight w:val="none"/>
              </w:rPr>
            </w:pPr>
          </w:p>
          <w:p>
            <w:pPr>
              <w:pStyle w:val="31"/>
              <w:bidi w:val="0"/>
              <w:rPr>
                <w:rFonts w:hint="default"/>
                <w:color w:val="auto"/>
                <w:sz w:val="21"/>
                <w:szCs w:val="21"/>
                <w:highlight w:val="none"/>
              </w:rPr>
            </w:pPr>
          </w:p>
          <w:p>
            <w:pPr>
              <w:pStyle w:val="31"/>
              <w:bidi w:val="0"/>
              <w:rPr>
                <w:rFonts w:hint="default"/>
                <w:color w:val="auto"/>
                <w:sz w:val="21"/>
                <w:szCs w:val="21"/>
                <w:highlight w:val="none"/>
              </w:rPr>
            </w:pPr>
            <w:r>
              <w:rPr>
                <w:rFonts w:hint="default"/>
                <w:color w:val="auto"/>
                <w:sz w:val="21"/>
                <w:szCs w:val="21"/>
                <w:highlight w:val="none"/>
              </w:rPr>
              <w:t>表</w:t>
            </w:r>
            <w:r>
              <w:rPr>
                <w:rFonts w:hint="eastAsia"/>
                <w:color w:val="auto"/>
                <w:sz w:val="21"/>
                <w:szCs w:val="21"/>
                <w:highlight w:val="none"/>
                <w:lang w:val="en-US" w:eastAsia="zh-CN"/>
              </w:rPr>
              <w:t>33</w:t>
            </w:r>
            <w:r>
              <w:rPr>
                <w:rFonts w:hint="default"/>
                <w:color w:val="auto"/>
                <w:sz w:val="21"/>
                <w:szCs w:val="21"/>
                <w:highlight w:val="none"/>
              </w:rPr>
              <w:t xml:space="preserve">  </w:t>
            </w:r>
            <w:r>
              <w:rPr>
                <w:rFonts w:hint="eastAsia"/>
                <w:color w:val="auto"/>
                <w:sz w:val="21"/>
                <w:szCs w:val="21"/>
                <w:highlight w:val="none"/>
                <w:lang w:val="en-US" w:eastAsia="zh-CN"/>
              </w:rPr>
              <w:t>本项目建成后全厂</w:t>
            </w:r>
            <w:r>
              <w:rPr>
                <w:rFonts w:hint="default"/>
                <w:color w:val="auto"/>
                <w:sz w:val="21"/>
                <w:szCs w:val="21"/>
                <w:highlight w:val="none"/>
              </w:rPr>
              <w:t>废</w:t>
            </w:r>
            <w:r>
              <w:rPr>
                <w:rFonts w:hint="eastAsia"/>
                <w:color w:val="auto"/>
                <w:sz w:val="21"/>
                <w:szCs w:val="21"/>
                <w:highlight w:val="none"/>
                <w:lang w:val="en-US" w:eastAsia="zh-CN"/>
              </w:rPr>
              <w:t>气</w:t>
            </w:r>
            <w:r>
              <w:rPr>
                <w:rFonts w:hint="default"/>
                <w:color w:val="auto"/>
                <w:sz w:val="21"/>
                <w:szCs w:val="21"/>
                <w:highlight w:val="none"/>
              </w:rPr>
              <w:t>监测计划</w:t>
            </w:r>
            <w:r>
              <w:rPr>
                <w:rFonts w:hint="eastAsia"/>
                <w:color w:val="auto"/>
                <w:sz w:val="21"/>
                <w:szCs w:val="21"/>
                <w:highlight w:val="none"/>
                <w:lang w:val="en-US" w:eastAsia="zh-CN"/>
              </w:rPr>
              <w:t>一览</w:t>
            </w:r>
            <w:r>
              <w:rPr>
                <w:rFonts w:hint="default"/>
                <w:color w:val="auto"/>
                <w:sz w:val="21"/>
                <w:szCs w:val="21"/>
                <w:highlight w:val="none"/>
              </w:rPr>
              <w:t>表</w:t>
            </w:r>
          </w:p>
          <w:tbl>
            <w:tblPr>
              <w:tblStyle w:val="24"/>
              <w:tblW w:w="8277"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08" w:type="dxa"/>
                <w:bottom w:w="0" w:type="dxa"/>
                <w:right w:w="108" w:type="dxa"/>
              </w:tblCellMar>
            </w:tblPr>
            <w:tblGrid>
              <w:gridCol w:w="1423"/>
              <w:gridCol w:w="1179"/>
              <w:gridCol w:w="978"/>
              <w:gridCol w:w="4697"/>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64" w:hRule="atLeast"/>
                <w:jc w:val="center"/>
              </w:trPr>
              <w:tc>
                <w:tcPr>
                  <w:tcW w:w="1423" w:type="dxa"/>
                  <w:tcBorders>
                    <w:tl2br w:val="nil"/>
                    <w:tr2bl w:val="nil"/>
                  </w:tcBorders>
                  <w:noWrap w:val="0"/>
                  <w:tcMar>
                    <w:top w:w="15" w:type="dxa"/>
                    <w:left w:w="15" w:type="dxa"/>
                    <w:bottom w:w="15" w:type="dxa"/>
                    <w:right w:w="15" w:type="dxa"/>
                  </w:tcMar>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default"/>
                      <w:color w:val="auto"/>
                      <w:sz w:val="21"/>
                      <w:szCs w:val="21"/>
                      <w:highlight w:val="none"/>
                    </w:rPr>
                    <w:t>监测点位</w:t>
                  </w:r>
                </w:p>
              </w:tc>
              <w:tc>
                <w:tcPr>
                  <w:tcW w:w="1179" w:type="dxa"/>
                  <w:tcBorders>
                    <w:tl2br w:val="nil"/>
                    <w:tr2bl w:val="nil"/>
                  </w:tcBorders>
                  <w:noWrap w:val="0"/>
                  <w:tcMar>
                    <w:top w:w="15" w:type="dxa"/>
                    <w:left w:w="15" w:type="dxa"/>
                    <w:bottom w:w="15" w:type="dxa"/>
                    <w:right w:w="15" w:type="dxa"/>
                  </w:tcMar>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rFonts w:hint="eastAsia" w:eastAsia="宋体"/>
                      <w:color w:val="auto"/>
                      <w:sz w:val="21"/>
                      <w:szCs w:val="21"/>
                      <w:highlight w:val="none"/>
                      <w:lang w:eastAsia="zh-CN"/>
                    </w:rPr>
                  </w:pPr>
                  <w:r>
                    <w:rPr>
                      <w:rFonts w:hint="default"/>
                      <w:color w:val="auto"/>
                      <w:sz w:val="21"/>
                      <w:szCs w:val="21"/>
                      <w:highlight w:val="none"/>
                    </w:rPr>
                    <w:t>监测</w:t>
                  </w:r>
                  <w:r>
                    <w:rPr>
                      <w:rFonts w:hint="eastAsia"/>
                      <w:color w:val="auto"/>
                      <w:sz w:val="21"/>
                      <w:szCs w:val="21"/>
                      <w:highlight w:val="none"/>
                      <w:lang w:val="en-US" w:eastAsia="zh-CN"/>
                    </w:rPr>
                    <w:t>因子</w:t>
                  </w:r>
                </w:p>
              </w:tc>
              <w:tc>
                <w:tcPr>
                  <w:tcW w:w="978" w:type="dxa"/>
                  <w:tcBorders>
                    <w:tl2br w:val="nil"/>
                    <w:tr2bl w:val="nil"/>
                  </w:tcBorders>
                  <w:noWrap w:val="0"/>
                  <w:tcMar>
                    <w:top w:w="15" w:type="dxa"/>
                    <w:left w:w="15" w:type="dxa"/>
                    <w:bottom w:w="15" w:type="dxa"/>
                    <w:right w:w="15" w:type="dxa"/>
                  </w:tcMar>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default"/>
                      <w:color w:val="auto"/>
                      <w:sz w:val="21"/>
                      <w:szCs w:val="21"/>
                      <w:highlight w:val="none"/>
                    </w:rPr>
                    <w:t>监测频次</w:t>
                  </w:r>
                </w:p>
              </w:tc>
              <w:tc>
                <w:tcPr>
                  <w:tcW w:w="4697" w:type="dxa"/>
                  <w:tcBorders>
                    <w:tl2br w:val="nil"/>
                    <w:tr2bl w:val="nil"/>
                  </w:tcBorders>
                  <w:noWrap w:val="0"/>
                  <w:tcMar>
                    <w:top w:w="15" w:type="dxa"/>
                    <w:left w:w="15" w:type="dxa"/>
                    <w:bottom w:w="15" w:type="dxa"/>
                    <w:right w:w="15" w:type="dxa"/>
                  </w:tcMar>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default"/>
                      <w:color w:val="auto"/>
                      <w:sz w:val="21"/>
                      <w:szCs w:val="21"/>
                      <w:highlight w:val="none"/>
                    </w:rPr>
                    <w:t>执行排放标准</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301" w:hRule="atLeast"/>
                <w:jc w:val="center"/>
              </w:trPr>
              <w:tc>
                <w:tcPr>
                  <w:tcW w:w="1423" w:type="dxa"/>
                  <w:vMerge w:val="restart"/>
                  <w:tcBorders>
                    <w:tl2br w:val="nil"/>
                    <w:tr2bl w:val="nil"/>
                  </w:tcBorders>
                  <w:noWrap w:val="0"/>
                  <w:tcMar>
                    <w:top w:w="15" w:type="dxa"/>
                    <w:left w:w="15" w:type="dxa"/>
                    <w:bottom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电发热元件生产废气排放口（DA001）</w:t>
                  </w:r>
                </w:p>
              </w:tc>
              <w:tc>
                <w:tcPr>
                  <w:tcW w:w="1179" w:type="dxa"/>
                  <w:tcBorders>
                    <w:tl2br w:val="nil"/>
                    <w:tr2bl w:val="nil"/>
                  </w:tcBorders>
                  <w:noWrap w:val="0"/>
                  <w:tcMar>
                    <w:top w:w="15" w:type="dxa"/>
                    <w:left w:w="15" w:type="dxa"/>
                    <w:bottom w:w="15" w:type="dxa"/>
                    <w:right w:w="15" w:type="dxa"/>
                  </w:tcMar>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default"/>
                      <w:color w:val="auto"/>
                      <w:sz w:val="21"/>
                      <w:szCs w:val="21"/>
                      <w:highlight w:val="none"/>
                      <w:lang w:val="en-US" w:eastAsia="zh-CN"/>
                    </w:rPr>
                  </w:pPr>
                  <w:r>
                    <w:rPr>
                      <w:rFonts w:hint="eastAsia"/>
                      <w:color w:val="auto"/>
                      <w:sz w:val="21"/>
                      <w:szCs w:val="21"/>
                      <w:highlight w:val="none"/>
                      <w:lang w:val="en-US" w:eastAsia="zh-CN"/>
                    </w:rPr>
                    <w:t>非甲烷总烃</w:t>
                  </w:r>
                </w:p>
              </w:tc>
              <w:tc>
                <w:tcPr>
                  <w:tcW w:w="978" w:type="dxa"/>
                  <w:tcBorders>
                    <w:tl2br w:val="nil"/>
                    <w:tr2bl w:val="nil"/>
                  </w:tcBorders>
                  <w:noWrap w:val="0"/>
                  <w:tcMar>
                    <w:top w:w="15" w:type="dxa"/>
                    <w:left w:w="15" w:type="dxa"/>
                    <w:bottom w:w="15" w:type="dxa"/>
                    <w:right w:w="15" w:type="dxa"/>
                  </w:tcMar>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default"/>
                      <w:color w:val="auto"/>
                      <w:sz w:val="21"/>
                      <w:szCs w:val="21"/>
                      <w:highlight w:val="none"/>
                      <w:lang w:val="en-US" w:eastAsia="zh-CN"/>
                    </w:rPr>
                  </w:pPr>
                  <w:r>
                    <w:rPr>
                      <w:rFonts w:hint="eastAsia"/>
                      <w:color w:val="auto"/>
                      <w:sz w:val="21"/>
                      <w:szCs w:val="21"/>
                      <w:highlight w:val="none"/>
                      <w:lang w:val="en-US" w:eastAsia="zh-CN"/>
                    </w:rPr>
                    <w:t>1次/年</w:t>
                  </w:r>
                </w:p>
              </w:tc>
              <w:tc>
                <w:tcPr>
                  <w:tcW w:w="4697" w:type="dxa"/>
                  <w:tcBorders>
                    <w:tl2br w:val="nil"/>
                    <w:tr2bl w:val="nil"/>
                  </w:tcBorders>
                  <w:noWrap w:val="0"/>
                  <w:tcMar>
                    <w:top w:w="15" w:type="dxa"/>
                    <w:left w:w="15" w:type="dxa"/>
                    <w:bottom w:w="15" w:type="dxa"/>
                    <w:right w:w="15" w:type="dxa"/>
                  </w:tcMar>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eastAsia"/>
                      <w:b w:val="0"/>
                      <w:bCs w:val="0"/>
                      <w:color w:val="auto"/>
                      <w:sz w:val="21"/>
                      <w:szCs w:val="21"/>
                      <w:highlight w:val="none"/>
                      <w:lang w:val="en-US" w:eastAsia="zh-CN"/>
                    </w:rPr>
                  </w:pPr>
                  <w:r>
                    <w:rPr>
                      <w:rFonts w:hint="eastAsia"/>
                      <w:b w:val="0"/>
                      <w:bCs w:val="0"/>
                      <w:color w:val="auto"/>
                      <w:sz w:val="21"/>
                      <w:szCs w:val="21"/>
                      <w:highlight w:val="none"/>
                      <w:lang w:val="en-US" w:eastAsia="zh-CN"/>
                    </w:rPr>
                    <w:t>工业企业挥发性有机物排放控制标准》（DB13 2322-2016）表1中其他行业最高允许排放浓度：非甲烷总烃80mg/m</w:t>
                  </w:r>
                  <w:r>
                    <w:rPr>
                      <w:rFonts w:hint="eastAsia"/>
                      <w:b w:val="0"/>
                      <w:bCs w:val="0"/>
                      <w:color w:val="auto"/>
                      <w:sz w:val="21"/>
                      <w:szCs w:val="21"/>
                      <w:highlight w:val="none"/>
                      <w:vertAlign w:val="superscript"/>
                      <w:lang w:val="en-US" w:eastAsia="zh-CN"/>
                    </w:rPr>
                    <w:t>3</w:t>
                  </w:r>
                  <w:r>
                    <w:rPr>
                      <w:rFonts w:hint="eastAsia"/>
                      <w:b w:val="0"/>
                      <w:bCs w:val="0"/>
                      <w:color w:val="auto"/>
                      <w:sz w:val="21"/>
                      <w:szCs w:val="21"/>
                      <w:highlight w:val="none"/>
                      <w:vertAlign w:val="baseline"/>
                      <w:lang w:val="en-US" w:eastAsia="zh-CN"/>
                    </w:rPr>
                    <w:t>，同时执行企业承诺限值：非甲烷总烃排放浓度不高于50mg/m</w:t>
                  </w:r>
                  <w:r>
                    <w:rPr>
                      <w:rFonts w:hint="eastAsia"/>
                      <w:b w:val="0"/>
                      <w:bCs w:val="0"/>
                      <w:color w:val="auto"/>
                      <w:sz w:val="21"/>
                      <w:szCs w:val="21"/>
                      <w:highlight w:val="none"/>
                      <w:vertAlign w:val="superscript"/>
                      <w:lang w:val="en-US" w:eastAsia="zh-CN"/>
                    </w:rPr>
                    <w:t>3</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344" w:hRule="atLeast"/>
                <w:jc w:val="center"/>
              </w:trPr>
              <w:tc>
                <w:tcPr>
                  <w:tcW w:w="1423" w:type="dxa"/>
                  <w:vMerge w:val="continue"/>
                  <w:tcBorders>
                    <w:tl2br w:val="nil"/>
                    <w:tr2bl w:val="nil"/>
                  </w:tcBorders>
                  <w:noWrap w:val="0"/>
                  <w:tcMar>
                    <w:top w:w="15" w:type="dxa"/>
                    <w:left w:w="15" w:type="dxa"/>
                    <w:bottom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1179" w:type="dxa"/>
                  <w:tcBorders>
                    <w:tl2br w:val="nil"/>
                    <w:tr2bl w:val="nil"/>
                  </w:tcBorders>
                  <w:noWrap w:val="0"/>
                  <w:tcMar>
                    <w:top w:w="15" w:type="dxa"/>
                    <w:left w:w="15" w:type="dxa"/>
                    <w:bottom w:w="15" w:type="dxa"/>
                    <w:right w:w="15" w:type="dxa"/>
                  </w:tcMar>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default"/>
                      <w:color w:val="auto"/>
                      <w:sz w:val="21"/>
                      <w:szCs w:val="21"/>
                      <w:highlight w:val="none"/>
                      <w:lang w:val="en-US" w:eastAsia="zh-CN"/>
                    </w:rPr>
                  </w:pPr>
                  <w:r>
                    <w:rPr>
                      <w:rFonts w:hint="eastAsia"/>
                      <w:color w:val="auto"/>
                      <w:sz w:val="21"/>
                      <w:szCs w:val="21"/>
                      <w:highlight w:val="none"/>
                      <w:lang w:val="en-US" w:eastAsia="zh-CN"/>
                    </w:rPr>
                    <w:t>氟化物</w:t>
                  </w:r>
                </w:p>
              </w:tc>
              <w:tc>
                <w:tcPr>
                  <w:tcW w:w="978" w:type="dxa"/>
                  <w:tcBorders>
                    <w:tl2br w:val="nil"/>
                    <w:tr2bl w:val="nil"/>
                  </w:tcBorders>
                  <w:noWrap w:val="0"/>
                  <w:tcMar>
                    <w:top w:w="15" w:type="dxa"/>
                    <w:left w:w="15" w:type="dxa"/>
                    <w:bottom w:w="15" w:type="dxa"/>
                    <w:right w:w="15" w:type="dxa"/>
                  </w:tcMar>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eastAsia"/>
                      <w:color w:val="auto"/>
                      <w:sz w:val="21"/>
                      <w:szCs w:val="21"/>
                      <w:highlight w:val="none"/>
                      <w:lang w:val="en-US" w:eastAsia="zh-CN"/>
                    </w:rPr>
                  </w:pPr>
                  <w:r>
                    <w:rPr>
                      <w:rFonts w:hint="eastAsia"/>
                      <w:color w:val="auto"/>
                      <w:sz w:val="21"/>
                      <w:szCs w:val="21"/>
                      <w:highlight w:val="none"/>
                      <w:lang w:val="en-US" w:eastAsia="zh-CN"/>
                    </w:rPr>
                    <w:t>1次/年</w:t>
                  </w:r>
                </w:p>
              </w:tc>
              <w:tc>
                <w:tcPr>
                  <w:tcW w:w="4697" w:type="dxa"/>
                  <w:tcBorders>
                    <w:tl2br w:val="nil"/>
                    <w:tr2bl w:val="nil"/>
                  </w:tcBorders>
                  <w:noWrap w:val="0"/>
                  <w:tcMar>
                    <w:top w:w="15" w:type="dxa"/>
                    <w:left w:w="15" w:type="dxa"/>
                    <w:bottom w:w="15" w:type="dxa"/>
                    <w:right w:w="15" w:type="dxa"/>
                  </w:tcMar>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default" w:ascii="Times New Roman" w:hAnsi="Times New Roman" w:cs="Times New Roman"/>
                      <w:color w:val="auto"/>
                      <w:sz w:val="21"/>
                      <w:szCs w:val="21"/>
                      <w:highlight w:val="none"/>
                      <w:vertAlign w:val="baseline"/>
                      <w:lang w:val="en-US" w:eastAsia="zh-CN"/>
                    </w:rPr>
                  </w:pPr>
                  <w:r>
                    <w:rPr>
                      <w:rFonts w:hint="eastAsia"/>
                      <w:color w:val="auto"/>
                      <w:sz w:val="21"/>
                      <w:szCs w:val="21"/>
                      <w:lang w:val="en-US" w:eastAsia="zh-CN"/>
                    </w:rPr>
                    <w:t>《大气污染物综合排放标准》（GB16297-1996）中相关限值：氟化物最高允许排放浓度9.0mg/m</w:t>
                  </w:r>
                  <w:r>
                    <w:rPr>
                      <w:rFonts w:hint="eastAsia"/>
                      <w:color w:val="auto"/>
                      <w:sz w:val="21"/>
                      <w:szCs w:val="21"/>
                      <w:vertAlign w:val="superscript"/>
                      <w:lang w:val="en-US" w:eastAsia="zh-CN"/>
                    </w:rPr>
                    <w:t>3</w:t>
                  </w:r>
                  <w:r>
                    <w:rPr>
                      <w:rFonts w:hint="eastAsia"/>
                      <w:color w:val="auto"/>
                      <w:sz w:val="21"/>
                      <w:szCs w:val="21"/>
                      <w:lang w:val="en-US" w:eastAsia="zh-CN"/>
                    </w:rPr>
                    <w:t>，最高允许排放速率0.59kg/h，</w:t>
                  </w:r>
                  <w:r>
                    <w:rPr>
                      <w:rFonts w:hint="eastAsia"/>
                      <w:b w:val="0"/>
                      <w:bCs w:val="0"/>
                      <w:color w:val="auto"/>
                      <w:sz w:val="21"/>
                      <w:szCs w:val="21"/>
                      <w:highlight w:val="none"/>
                      <w:vertAlign w:val="baseline"/>
                      <w:lang w:val="en-US" w:eastAsia="zh-CN"/>
                    </w:rPr>
                    <w:t>同时执行企业承诺限值：氟化物排放浓度不高于3mg/m</w:t>
                  </w:r>
                  <w:r>
                    <w:rPr>
                      <w:rFonts w:hint="eastAsia"/>
                      <w:b w:val="0"/>
                      <w:bCs w:val="0"/>
                      <w:color w:val="auto"/>
                      <w:sz w:val="21"/>
                      <w:szCs w:val="21"/>
                      <w:highlight w:val="none"/>
                      <w:vertAlign w:val="superscript"/>
                      <w:lang w:val="en-US" w:eastAsia="zh-CN"/>
                    </w:rPr>
                    <w:t>3</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393" w:hRule="atLeast"/>
                <w:jc w:val="center"/>
              </w:trPr>
              <w:tc>
                <w:tcPr>
                  <w:tcW w:w="1423" w:type="dxa"/>
                  <w:vMerge w:val="continue"/>
                  <w:tcBorders>
                    <w:tl2br w:val="nil"/>
                    <w:tr2bl w:val="nil"/>
                  </w:tcBorders>
                  <w:noWrap w:val="0"/>
                  <w:tcMar>
                    <w:top w:w="15" w:type="dxa"/>
                    <w:left w:w="15" w:type="dxa"/>
                    <w:bottom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1179" w:type="dxa"/>
                  <w:tcBorders>
                    <w:tl2br w:val="nil"/>
                    <w:tr2bl w:val="nil"/>
                  </w:tcBorders>
                  <w:noWrap w:val="0"/>
                  <w:tcMar>
                    <w:top w:w="15" w:type="dxa"/>
                    <w:left w:w="15" w:type="dxa"/>
                    <w:bottom w:w="15" w:type="dxa"/>
                    <w:right w:w="15" w:type="dxa"/>
                  </w:tcMar>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default"/>
                      <w:color w:val="auto"/>
                      <w:sz w:val="21"/>
                      <w:szCs w:val="21"/>
                      <w:highlight w:val="none"/>
                      <w:lang w:val="en-US" w:eastAsia="zh-CN"/>
                    </w:rPr>
                  </w:pPr>
                  <w:r>
                    <w:rPr>
                      <w:rFonts w:hint="eastAsia"/>
                      <w:color w:val="auto"/>
                      <w:sz w:val="21"/>
                      <w:szCs w:val="21"/>
                      <w:highlight w:val="none"/>
                      <w:lang w:val="en-US" w:eastAsia="zh-CN"/>
                    </w:rPr>
                    <w:t>氯化氢</w:t>
                  </w:r>
                </w:p>
              </w:tc>
              <w:tc>
                <w:tcPr>
                  <w:tcW w:w="978" w:type="dxa"/>
                  <w:tcBorders>
                    <w:tl2br w:val="nil"/>
                    <w:tr2bl w:val="nil"/>
                  </w:tcBorders>
                  <w:noWrap w:val="0"/>
                  <w:tcMar>
                    <w:top w:w="15" w:type="dxa"/>
                    <w:left w:w="15" w:type="dxa"/>
                    <w:bottom w:w="15" w:type="dxa"/>
                    <w:right w:w="15" w:type="dxa"/>
                  </w:tcMar>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eastAsia"/>
                      <w:color w:val="auto"/>
                      <w:sz w:val="21"/>
                      <w:szCs w:val="21"/>
                      <w:highlight w:val="none"/>
                      <w:lang w:val="en-US" w:eastAsia="zh-CN"/>
                    </w:rPr>
                  </w:pPr>
                  <w:r>
                    <w:rPr>
                      <w:rFonts w:hint="eastAsia"/>
                      <w:color w:val="auto"/>
                      <w:sz w:val="21"/>
                      <w:szCs w:val="21"/>
                      <w:highlight w:val="none"/>
                      <w:lang w:val="en-US" w:eastAsia="zh-CN"/>
                    </w:rPr>
                    <w:t>1次/年</w:t>
                  </w:r>
                </w:p>
              </w:tc>
              <w:tc>
                <w:tcPr>
                  <w:tcW w:w="4697" w:type="dxa"/>
                  <w:tcBorders>
                    <w:tl2br w:val="nil"/>
                    <w:tr2bl w:val="nil"/>
                  </w:tcBorders>
                  <w:noWrap w:val="0"/>
                  <w:tcMar>
                    <w:top w:w="15" w:type="dxa"/>
                    <w:left w:w="15" w:type="dxa"/>
                    <w:bottom w:w="15" w:type="dxa"/>
                    <w:right w:w="15" w:type="dxa"/>
                  </w:tcMar>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default" w:ascii="Times New Roman" w:hAnsi="Times New Roman" w:cs="Times New Roman"/>
                      <w:color w:val="auto"/>
                      <w:sz w:val="21"/>
                      <w:szCs w:val="21"/>
                      <w:highlight w:val="none"/>
                      <w:vertAlign w:val="baseline"/>
                      <w:lang w:val="en-US" w:eastAsia="zh-CN"/>
                    </w:rPr>
                  </w:pPr>
                  <w:r>
                    <w:rPr>
                      <w:rFonts w:hint="eastAsia"/>
                      <w:color w:val="auto"/>
                      <w:sz w:val="21"/>
                      <w:szCs w:val="21"/>
                      <w:lang w:val="en-US" w:eastAsia="zh-CN"/>
                    </w:rPr>
                    <w:t>《大气污染物综合排放标准》（GB16297-1996）中相关限值：氯化物最高允许排放浓度100mg/m</w:t>
                  </w:r>
                  <w:r>
                    <w:rPr>
                      <w:rFonts w:hint="eastAsia"/>
                      <w:color w:val="auto"/>
                      <w:sz w:val="21"/>
                      <w:szCs w:val="21"/>
                      <w:vertAlign w:val="superscript"/>
                      <w:lang w:val="en-US" w:eastAsia="zh-CN"/>
                    </w:rPr>
                    <w:t>3</w:t>
                  </w:r>
                  <w:r>
                    <w:rPr>
                      <w:rFonts w:hint="eastAsia"/>
                      <w:color w:val="auto"/>
                      <w:sz w:val="21"/>
                      <w:szCs w:val="21"/>
                      <w:lang w:val="en-US" w:eastAsia="zh-CN"/>
                    </w:rPr>
                    <w:t>，最高允许排放速率1.4kg/h，氯化氢排放浓度不高于10mg/m</w:t>
                  </w:r>
                  <w:r>
                    <w:rPr>
                      <w:rFonts w:hint="eastAsia"/>
                      <w:color w:val="auto"/>
                      <w:sz w:val="21"/>
                      <w:szCs w:val="21"/>
                      <w:vertAlign w:val="superscript"/>
                      <w:lang w:val="en-US" w:eastAsia="zh-CN"/>
                    </w:rPr>
                    <w:t>3</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675" w:hRule="atLeast"/>
                <w:jc w:val="center"/>
              </w:trPr>
              <w:tc>
                <w:tcPr>
                  <w:tcW w:w="1423" w:type="dxa"/>
                  <w:tcBorders>
                    <w:tl2br w:val="nil"/>
                    <w:tr2bl w:val="nil"/>
                  </w:tcBorders>
                  <w:noWrap w:val="0"/>
                  <w:tcMar>
                    <w:top w:w="15" w:type="dxa"/>
                    <w:left w:w="15" w:type="dxa"/>
                    <w:bottom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厂区内</w:t>
                  </w:r>
                </w:p>
              </w:tc>
              <w:tc>
                <w:tcPr>
                  <w:tcW w:w="1179" w:type="dxa"/>
                  <w:tcBorders>
                    <w:tl2br w:val="nil"/>
                    <w:tr2bl w:val="nil"/>
                  </w:tcBorders>
                  <w:noWrap w:val="0"/>
                  <w:tcMar>
                    <w:top w:w="15" w:type="dxa"/>
                    <w:left w:w="15" w:type="dxa"/>
                    <w:bottom w:w="15" w:type="dxa"/>
                    <w:right w:w="15" w:type="dxa"/>
                  </w:tcMar>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eastAsia"/>
                      <w:color w:val="auto"/>
                      <w:sz w:val="21"/>
                      <w:szCs w:val="21"/>
                      <w:highlight w:val="none"/>
                      <w:lang w:val="en-US" w:eastAsia="zh-CN"/>
                    </w:rPr>
                  </w:pPr>
                  <w:r>
                    <w:rPr>
                      <w:rFonts w:hint="eastAsia"/>
                      <w:color w:val="auto"/>
                      <w:sz w:val="21"/>
                      <w:szCs w:val="21"/>
                      <w:highlight w:val="none"/>
                      <w:lang w:val="en-US" w:eastAsia="zh-CN"/>
                    </w:rPr>
                    <w:t>非甲烷总烃</w:t>
                  </w:r>
                </w:p>
              </w:tc>
              <w:tc>
                <w:tcPr>
                  <w:tcW w:w="978" w:type="dxa"/>
                  <w:tcBorders>
                    <w:tl2br w:val="nil"/>
                    <w:tr2bl w:val="nil"/>
                  </w:tcBorders>
                  <w:noWrap w:val="0"/>
                  <w:tcMar>
                    <w:top w:w="15" w:type="dxa"/>
                    <w:left w:w="15" w:type="dxa"/>
                    <w:bottom w:w="15" w:type="dxa"/>
                    <w:right w:w="15" w:type="dxa"/>
                  </w:tcMar>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eastAsia"/>
                      <w:color w:val="auto"/>
                      <w:sz w:val="21"/>
                      <w:szCs w:val="21"/>
                      <w:highlight w:val="none"/>
                      <w:lang w:val="en-US" w:eastAsia="zh-CN"/>
                    </w:rPr>
                  </w:pPr>
                  <w:r>
                    <w:rPr>
                      <w:rFonts w:hint="eastAsia"/>
                      <w:color w:val="auto"/>
                      <w:sz w:val="21"/>
                      <w:szCs w:val="21"/>
                      <w:highlight w:val="none"/>
                      <w:lang w:val="en-US" w:eastAsia="zh-CN"/>
                    </w:rPr>
                    <w:t>1次/年</w:t>
                  </w:r>
                </w:p>
              </w:tc>
              <w:tc>
                <w:tcPr>
                  <w:tcW w:w="4697" w:type="dxa"/>
                  <w:tcBorders>
                    <w:tl2br w:val="nil"/>
                    <w:tr2bl w:val="nil"/>
                  </w:tcBorders>
                  <w:noWrap w:val="0"/>
                  <w:tcMar>
                    <w:top w:w="15" w:type="dxa"/>
                    <w:left w:w="15" w:type="dxa"/>
                    <w:bottom w:w="15" w:type="dxa"/>
                    <w:right w:w="15" w:type="dxa"/>
                  </w:tcMar>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eastAsia"/>
                      <w:color w:val="auto"/>
                      <w:sz w:val="21"/>
                      <w:szCs w:val="21"/>
                      <w:lang w:val="en-US" w:eastAsia="zh-CN"/>
                    </w:rPr>
                  </w:pPr>
                  <w:r>
                    <w:rPr>
                      <w:rFonts w:hint="eastAsia"/>
                      <w:color w:val="auto"/>
                      <w:sz w:val="21"/>
                      <w:szCs w:val="21"/>
                      <w:lang w:val="en-US" w:eastAsia="zh-CN"/>
                    </w:rPr>
                    <w:t>《挥发性有机物无组织排放控制标准》（GB37822-2019）附录A表A.1厂区内VOCs无组织排放限值中厂房外监控点1h平均浓度限值：非甲烷总烃6mg/m</w:t>
                  </w:r>
                  <w:r>
                    <w:rPr>
                      <w:rFonts w:hint="eastAsia"/>
                      <w:color w:val="auto"/>
                      <w:sz w:val="21"/>
                      <w:szCs w:val="21"/>
                      <w:vertAlign w:val="superscript"/>
                      <w:lang w:val="en-US" w:eastAsia="zh-CN"/>
                    </w:rPr>
                    <w:t>3</w:t>
                  </w:r>
                  <w:r>
                    <w:rPr>
                      <w:rFonts w:hint="eastAsia"/>
                      <w:color w:val="auto"/>
                      <w:sz w:val="21"/>
                      <w:szCs w:val="21"/>
                      <w:lang w:val="en-US" w:eastAsia="zh-CN"/>
                    </w:rPr>
                    <w:t>，任意一次浓度限值：非甲烷总烃20mg/m</w:t>
                  </w:r>
                  <w:r>
                    <w:rPr>
                      <w:rFonts w:hint="eastAsia"/>
                      <w:color w:val="auto"/>
                      <w:sz w:val="21"/>
                      <w:szCs w:val="21"/>
                      <w:vertAlign w:val="superscript"/>
                      <w:lang w:val="en-US" w:eastAsia="zh-CN"/>
                    </w:rPr>
                    <w:t>3</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041" w:hRule="atLeast"/>
                <w:jc w:val="center"/>
              </w:trPr>
              <w:tc>
                <w:tcPr>
                  <w:tcW w:w="1423" w:type="dxa"/>
                  <w:vMerge w:val="restart"/>
                  <w:tcBorders>
                    <w:tl2br w:val="nil"/>
                    <w:tr2bl w:val="nil"/>
                  </w:tcBorders>
                  <w:noWrap w:val="0"/>
                  <w:tcMar>
                    <w:top w:w="15" w:type="dxa"/>
                    <w:left w:w="15" w:type="dxa"/>
                    <w:bottom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厂界</w:t>
                  </w:r>
                </w:p>
              </w:tc>
              <w:tc>
                <w:tcPr>
                  <w:tcW w:w="1179" w:type="dxa"/>
                  <w:tcBorders>
                    <w:tl2br w:val="nil"/>
                    <w:tr2bl w:val="nil"/>
                  </w:tcBorders>
                  <w:noWrap w:val="0"/>
                  <w:tcMar>
                    <w:top w:w="15" w:type="dxa"/>
                    <w:left w:w="15" w:type="dxa"/>
                    <w:bottom w:w="15" w:type="dxa"/>
                    <w:right w:w="15" w:type="dxa"/>
                  </w:tcMar>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default"/>
                      <w:color w:val="auto"/>
                      <w:sz w:val="21"/>
                      <w:szCs w:val="21"/>
                      <w:highlight w:val="none"/>
                      <w:lang w:val="en-US" w:eastAsia="zh-CN"/>
                    </w:rPr>
                  </w:pPr>
                  <w:r>
                    <w:rPr>
                      <w:rFonts w:hint="eastAsia"/>
                      <w:color w:val="auto"/>
                      <w:sz w:val="21"/>
                      <w:szCs w:val="21"/>
                      <w:highlight w:val="none"/>
                      <w:lang w:val="en-US" w:eastAsia="zh-CN"/>
                    </w:rPr>
                    <w:t>非甲烷总烃</w:t>
                  </w:r>
                </w:p>
              </w:tc>
              <w:tc>
                <w:tcPr>
                  <w:tcW w:w="978" w:type="dxa"/>
                  <w:tcBorders>
                    <w:tl2br w:val="nil"/>
                    <w:tr2bl w:val="nil"/>
                  </w:tcBorders>
                  <w:noWrap w:val="0"/>
                  <w:tcMar>
                    <w:top w:w="15" w:type="dxa"/>
                    <w:left w:w="15" w:type="dxa"/>
                    <w:bottom w:w="15" w:type="dxa"/>
                    <w:right w:w="15" w:type="dxa"/>
                  </w:tcMar>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default"/>
                      <w:color w:val="auto"/>
                      <w:sz w:val="21"/>
                      <w:szCs w:val="21"/>
                      <w:highlight w:val="none"/>
                      <w:lang w:val="en-US" w:eastAsia="zh-CN"/>
                    </w:rPr>
                  </w:pPr>
                  <w:r>
                    <w:rPr>
                      <w:rFonts w:hint="eastAsia"/>
                      <w:color w:val="auto"/>
                      <w:sz w:val="21"/>
                      <w:szCs w:val="21"/>
                      <w:highlight w:val="none"/>
                      <w:lang w:val="en-US" w:eastAsia="zh-CN"/>
                    </w:rPr>
                    <w:t>1次/年</w:t>
                  </w:r>
                </w:p>
              </w:tc>
              <w:tc>
                <w:tcPr>
                  <w:tcW w:w="4697" w:type="dxa"/>
                  <w:tcBorders>
                    <w:tl2br w:val="nil"/>
                    <w:tr2bl w:val="nil"/>
                  </w:tcBorders>
                  <w:noWrap w:val="0"/>
                  <w:tcMar>
                    <w:top w:w="15" w:type="dxa"/>
                    <w:left w:w="15" w:type="dxa"/>
                    <w:bottom w:w="15" w:type="dxa"/>
                    <w:right w:w="15" w:type="dxa"/>
                  </w:tcMar>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vertAlign w:val="baseline"/>
                      <w:lang w:val="en-US"/>
                    </w:rPr>
                  </w:pPr>
                  <w:r>
                    <w:rPr>
                      <w:color w:val="auto"/>
                      <w:sz w:val="21"/>
                      <w:szCs w:val="21"/>
                      <w:highlight w:val="none"/>
                    </w:rPr>
                    <w:t>《工业企业挥发性有机物排放控制标准》（DB13/2322-2016）</w:t>
                  </w:r>
                  <w:r>
                    <w:rPr>
                      <w:rFonts w:hint="eastAsia"/>
                      <w:color w:val="auto"/>
                      <w:sz w:val="21"/>
                      <w:szCs w:val="21"/>
                      <w:highlight w:val="none"/>
                    </w:rPr>
                    <w:t>表</w:t>
                  </w:r>
                  <w:r>
                    <w:rPr>
                      <w:color w:val="auto"/>
                      <w:sz w:val="21"/>
                      <w:szCs w:val="21"/>
                      <w:highlight w:val="none"/>
                    </w:rPr>
                    <w:t>2</w:t>
                  </w:r>
                  <w:r>
                    <w:rPr>
                      <w:rFonts w:hint="eastAsia"/>
                      <w:color w:val="auto"/>
                      <w:sz w:val="21"/>
                      <w:szCs w:val="21"/>
                      <w:highlight w:val="none"/>
                    </w:rPr>
                    <w:t>企业边界大气污染物浓度限值中其他企业：非甲烷总烃</w:t>
                  </w:r>
                  <w:r>
                    <w:rPr>
                      <w:color w:val="auto"/>
                      <w:sz w:val="21"/>
                      <w:szCs w:val="21"/>
                      <w:highlight w:val="none"/>
                    </w:rPr>
                    <w:t>2.0mg/m</w:t>
                  </w:r>
                  <w:r>
                    <w:rPr>
                      <w:color w:val="auto"/>
                      <w:sz w:val="21"/>
                      <w:szCs w:val="21"/>
                      <w:highlight w:val="none"/>
                      <w:vertAlign w:val="superscript"/>
                    </w:rPr>
                    <w:t>3</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052" w:hRule="atLeast"/>
                <w:jc w:val="center"/>
              </w:trPr>
              <w:tc>
                <w:tcPr>
                  <w:tcW w:w="1423" w:type="dxa"/>
                  <w:vMerge w:val="continue"/>
                  <w:tcBorders>
                    <w:tl2br w:val="nil"/>
                    <w:tr2bl w:val="nil"/>
                  </w:tcBorders>
                  <w:noWrap w:val="0"/>
                  <w:tcMar>
                    <w:top w:w="15" w:type="dxa"/>
                    <w:left w:w="15" w:type="dxa"/>
                    <w:bottom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color w:val="auto"/>
                      <w:sz w:val="21"/>
                      <w:szCs w:val="21"/>
                      <w:highlight w:val="none"/>
                      <w:lang w:val="en-US" w:eastAsia="zh-CN"/>
                    </w:rPr>
                  </w:pPr>
                </w:p>
              </w:tc>
              <w:tc>
                <w:tcPr>
                  <w:tcW w:w="1179" w:type="dxa"/>
                  <w:tcBorders>
                    <w:tl2br w:val="nil"/>
                    <w:tr2bl w:val="nil"/>
                  </w:tcBorders>
                  <w:noWrap w:val="0"/>
                  <w:tcMar>
                    <w:top w:w="15" w:type="dxa"/>
                    <w:left w:w="15" w:type="dxa"/>
                    <w:bottom w:w="15" w:type="dxa"/>
                    <w:right w:w="15" w:type="dxa"/>
                  </w:tcMar>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lang w:val="en-US" w:eastAsia="zh-CN"/>
                    </w:rPr>
                  </w:pPr>
                  <w:r>
                    <w:rPr>
                      <w:rFonts w:hint="eastAsia"/>
                      <w:color w:val="auto"/>
                      <w:sz w:val="21"/>
                      <w:szCs w:val="21"/>
                      <w:highlight w:val="none"/>
                      <w:lang w:val="en-US" w:eastAsia="zh-CN"/>
                    </w:rPr>
                    <w:t>氯化氢</w:t>
                  </w:r>
                </w:p>
              </w:tc>
              <w:tc>
                <w:tcPr>
                  <w:tcW w:w="978" w:type="dxa"/>
                  <w:tcBorders>
                    <w:tl2br w:val="nil"/>
                    <w:tr2bl w:val="nil"/>
                  </w:tcBorders>
                  <w:noWrap w:val="0"/>
                  <w:tcMar>
                    <w:top w:w="15" w:type="dxa"/>
                    <w:left w:w="15" w:type="dxa"/>
                    <w:bottom w:w="15" w:type="dxa"/>
                    <w:right w:w="15" w:type="dxa"/>
                  </w:tcMar>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rFonts w:hint="eastAsia"/>
                      <w:color w:val="auto"/>
                      <w:sz w:val="21"/>
                      <w:szCs w:val="21"/>
                      <w:highlight w:val="none"/>
                      <w:lang w:val="en-US" w:eastAsia="zh-CN"/>
                    </w:rPr>
                  </w:pPr>
                  <w:r>
                    <w:rPr>
                      <w:rFonts w:hint="eastAsia"/>
                      <w:color w:val="auto"/>
                      <w:sz w:val="21"/>
                      <w:szCs w:val="21"/>
                      <w:highlight w:val="none"/>
                      <w:lang w:val="en-US" w:eastAsia="zh-CN"/>
                    </w:rPr>
                    <w:t>1次/年</w:t>
                  </w:r>
                </w:p>
              </w:tc>
              <w:tc>
                <w:tcPr>
                  <w:tcW w:w="4697" w:type="dxa"/>
                  <w:tcBorders>
                    <w:tl2br w:val="nil"/>
                    <w:tr2bl w:val="nil"/>
                  </w:tcBorders>
                  <w:noWrap w:val="0"/>
                  <w:tcMar>
                    <w:top w:w="15" w:type="dxa"/>
                    <w:left w:w="15" w:type="dxa"/>
                    <w:bottom w:w="15" w:type="dxa"/>
                    <w:right w:w="15" w:type="dxa"/>
                  </w:tcMar>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rFonts w:hint="eastAsia"/>
                      <w:b w:val="0"/>
                      <w:bCs w:val="0"/>
                      <w:color w:val="auto"/>
                      <w:sz w:val="21"/>
                      <w:szCs w:val="21"/>
                      <w:highlight w:val="none"/>
                      <w:lang w:val="en-US" w:eastAsia="zh-CN"/>
                    </w:rPr>
                  </w:pPr>
                  <w:r>
                    <w:rPr>
                      <w:rFonts w:hint="eastAsia"/>
                      <w:b w:val="0"/>
                      <w:bCs w:val="0"/>
                      <w:color w:val="auto"/>
                      <w:sz w:val="21"/>
                      <w:szCs w:val="21"/>
                      <w:highlight w:val="none"/>
                      <w:lang w:val="en-US" w:eastAsia="zh-CN"/>
                    </w:rPr>
                    <w:t>《大气污染物综合排放标准》（GB16297-1996）表2中无组织排放监控浓度相关限值要求：氯化氢0.20mg/m</w:t>
                  </w:r>
                  <w:r>
                    <w:rPr>
                      <w:rFonts w:hint="eastAsia"/>
                      <w:b w:val="0"/>
                      <w:bCs w:val="0"/>
                      <w:color w:val="auto"/>
                      <w:sz w:val="21"/>
                      <w:szCs w:val="21"/>
                      <w:highlight w:val="none"/>
                      <w:vertAlign w:val="superscript"/>
                      <w:lang w:val="en-US" w:eastAsia="zh-CN"/>
                    </w:rPr>
                    <w:t>3</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8277" w:type="dxa"/>
                  <w:gridSpan w:val="4"/>
                  <w:tcBorders>
                    <w:tl2br w:val="nil"/>
                    <w:tr2bl w:val="nil"/>
                  </w:tcBorders>
                  <w:noWrap w:val="0"/>
                  <w:tcMar>
                    <w:top w:w="15" w:type="dxa"/>
                    <w:left w:w="15" w:type="dxa"/>
                    <w:bottom w:w="15" w:type="dxa"/>
                    <w:right w:w="15" w:type="dxa"/>
                  </w:tcMar>
                  <w:vAlign w:val="center"/>
                </w:tcPr>
                <w:p>
                  <w:pPr>
                    <w:pStyle w:val="32"/>
                    <w:keepNext w:val="0"/>
                    <w:keepLines w:val="0"/>
                    <w:pageBreakBefore w:val="0"/>
                    <w:widowControl w:val="0"/>
                    <w:kinsoku/>
                    <w:wordWrap/>
                    <w:overflowPunct/>
                    <w:topLinePunct w:val="0"/>
                    <w:autoSpaceDE/>
                    <w:autoSpaceDN/>
                    <w:bidi w:val="0"/>
                    <w:adjustRightInd/>
                    <w:snapToGrid/>
                    <w:spacing w:before="0" w:after="0"/>
                    <w:jc w:val="left"/>
                    <w:textAlignment w:val="auto"/>
                    <w:rPr>
                      <w:rFonts w:hint="default"/>
                      <w:b w:val="0"/>
                      <w:bCs w:val="0"/>
                      <w:color w:val="auto"/>
                      <w:sz w:val="21"/>
                      <w:szCs w:val="21"/>
                      <w:highlight w:val="none"/>
                      <w:lang w:val="en-US" w:eastAsia="zh-CN"/>
                    </w:rPr>
                  </w:pPr>
                  <w:r>
                    <w:rPr>
                      <w:rFonts w:hint="eastAsia"/>
                      <w:b w:val="0"/>
                      <w:bCs w:val="0"/>
                      <w:color w:val="auto"/>
                      <w:sz w:val="21"/>
                      <w:szCs w:val="21"/>
                      <w:highlight w:val="none"/>
                      <w:lang w:val="en-US" w:eastAsia="zh-CN"/>
                    </w:rPr>
                    <w:t>备注：待《</w:t>
                  </w:r>
                  <w:r>
                    <w:rPr>
                      <w:rFonts w:hint="eastAsia"/>
                      <w:color w:val="auto"/>
                      <w:lang w:val="en-US" w:eastAsia="zh-CN"/>
                    </w:rPr>
                    <w:t>电子工业污染物排放标准》发布正式标准后，非甲烷总烃、氟化物、氯化物排放标准可参照其执行。</w:t>
                  </w:r>
                </w:p>
              </w:tc>
            </w:tr>
          </w:tbl>
          <w:p>
            <w:pPr>
              <w:keepNext w:val="0"/>
              <w:keepLines w:val="0"/>
              <w:pageBreakBefore w:val="0"/>
              <w:widowControl w:val="0"/>
              <w:numPr>
                <w:ilvl w:val="0"/>
                <w:numId w:val="29"/>
              </w:numPr>
              <w:suppressLineNumbers w:val="0"/>
              <w:kinsoku/>
              <w:wordWrap/>
              <w:overflowPunct/>
              <w:topLinePunct w:val="0"/>
              <w:bidi w:val="0"/>
              <w:spacing w:beforeAutospacing="0" w:after="0" w:afterAutospacing="0" w:line="480" w:lineRule="exact"/>
              <w:ind w:left="0" w:leftChars="0" w:right="0" w:firstLine="0" w:firstLineChars="0"/>
              <w:textAlignment w:val="auto"/>
              <w:rPr>
                <w:rFonts w:hint="eastAsia"/>
                <w:b/>
                <w:bCs/>
                <w:color w:val="auto"/>
                <w:highlight w:val="none"/>
                <w:lang w:val="en-US" w:eastAsia="zh-CN"/>
              </w:rPr>
            </w:pPr>
            <w:r>
              <w:rPr>
                <w:rFonts w:hint="eastAsia"/>
                <w:b/>
                <w:bCs/>
                <w:color w:val="auto"/>
                <w:highlight w:val="none"/>
                <w:lang w:val="en-US" w:eastAsia="zh-CN"/>
              </w:rPr>
              <w:t>废水</w:t>
            </w:r>
          </w:p>
          <w:p>
            <w:pPr>
              <w:bidi w:val="0"/>
              <w:rPr>
                <w:rFonts w:hint="eastAsia" w:eastAsia="宋体"/>
                <w:color w:val="auto"/>
                <w:lang w:val="en-US" w:eastAsia="zh-CN"/>
              </w:rPr>
            </w:pPr>
            <w:r>
              <w:rPr>
                <w:rFonts w:hint="eastAsia"/>
                <w:color w:val="auto"/>
                <w:lang w:val="en-US" w:eastAsia="zh-CN"/>
              </w:rPr>
              <w:t>本项目无废水产生及排放，</w:t>
            </w:r>
            <w:r>
              <w:rPr>
                <w:rFonts w:hint="eastAsia"/>
                <w:color w:val="auto"/>
                <w:highlight w:val="none"/>
                <w:lang w:val="en-US" w:eastAsia="zh-CN"/>
              </w:rPr>
              <w:t>不会对周边地表</w:t>
            </w:r>
            <w:r>
              <w:rPr>
                <w:rFonts w:hint="default"/>
                <w:color w:val="auto"/>
                <w:highlight w:val="none"/>
              </w:rPr>
              <w:t>水环境</w:t>
            </w:r>
            <w:r>
              <w:rPr>
                <w:rFonts w:hint="eastAsia"/>
                <w:color w:val="auto"/>
                <w:highlight w:val="none"/>
                <w:lang w:val="en-US" w:eastAsia="zh-CN"/>
              </w:rPr>
              <w:t>造成</w:t>
            </w:r>
            <w:r>
              <w:rPr>
                <w:rFonts w:hint="default"/>
                <w:color w:val="auto"/>
                <w:highlight w:val="none"/>
              </w:rPr>
              <w:t>影响</w:t>
            </w:r>
            <w:r>
              <w:rPr>
                <w:rFonts w:hint="eastAsia"/>
                <w:color w:val="auto"/>
                <w:highlight w:val="none"/>
                <w:lang w:eastAsia="zh-CN"/>
              </w:rPr>
              <w:t>。</w:t>
            </w:r>
          </w:p>
          <w:p>
            <w:pPr>
              <w:keepNext w:val="0"/>
              <w:keepLines w:val="0"/>
              <w:pageBreakBefore w:val="0"/>
              <w:numPr>
                <w:ilvl w:val="0"/>
                <w:numId w:val="0"/>
              </w:numPr>
              <w:kinsoku/>
              <w:wordWrap/>
              <w:overflowPunct/>
              <w:topLinePunct w:val="0"/>
              <w:bidi w:val="0"/>
              <w:adjustRightInd w:val="0"/>
              <w:snapToGrid w:val="0"/>
              <w:spacing w:line="480" w:lineRule="exact"/>
              <w:textAlignment w:val="auto"/>
              <w:rPr>
                <w:rFonts w:hint="eastAsia"/>
                <w:b/>
                <w:bCs/>
                <w:color w:val="auto"/>
                <w:highlight w:val="none"/>
                <w:lang w:val="en-US" w:eastAsia="zh-CN"/>
              </w:rPr>
            </w:pPr>
            <w:r>
              <w:rPr>
                <w:rFonts w:hint="eastAsia"/>
                <w:b/>
                <w:bCs/>
                <w:color w:val="auto"/>
                <w:highlight w:val="none"/>
                <w:lang w:val="en-US" w:eastAsia="zh-CN"/>
              </w:rPr>
              <w:t>3、噪声</w:t>
            </w:r>
          </w:p>
          <w:p>
            <w:pPr>
              <w:bidi w:val="0"/>
              <w:rPr>
                <w:rFonts w:hint="default"/>
                <w:color w:val="auto"/>
                <w:lang w:val="en-US" w:eastAsia="zh-CN"/>
              </w:rPr>
            </w:pPr>
            <w:r>
              <w:rPr>
                <w:rFonts w:hint="eastAsia"/>
                <w:color w:val="auto"/>
                <w:lang w:val="en-US" w:eastAsia="zh-CN"/>
              </w:rPr>
              <w:t>项目现有工程厂界噪声不满足相关限值要求，本项目建成后，淘汰部分设备，同时调整平面布局，因此，本次评价对项目建成后全厂产噪设备进行预测。</w:t>
            </w:r>
          </w:p>
          <w:p>
            <w:pPr>
              <w:bidi w:val="0"/>
              <w:rPr>
                <w:rFonts w:hint="default" w:eastAsia="宋体"/>
                <w:b w:val="0"/>
                <w:bCs w:val="0"/>
                <w:color w:val="auto"/>
                <w:highlight w:val="none"/>
                <w:lang w:val="en-US" w:eastAsia="zh-CN"/>
              </w:rPr>
            </w:pPr>
            <w:r>
              <w:rPr>
                <w:rFonts w:hint="eastAsia" w:ascii="Times New Roman" w:eastAsia="宋体"/>
                <w:b/>
                <w:bCs/>
                <w:color w:val="auto"/>
                <w:highlight w:val="none"/>
                <w:lang w:val="en-US" w:eastAsia="zh-CN"/>
              </w:rPr>
              <w:t>3.1本项目噪声污染源分析</w:t>
            </w:r>
          </w:p>
          <w:p>
            <w:pPr>
              <w:rPr>
                <w:rFonts w:hint="default"/>
                <w:b w:val="0"/>
                <w:bCs w:val="0"/>
                <w:color w:val="auto"/>
                <w:highlight w:val="none"/>
              </w:rPr>
            </w:pPr>
            <w:r>
              <w:rPr>
                <w:rFonts w:hint="default"/>
                <w:b w:val="0"/>
                <w:bCs w:val="0"/>
                <w:color w:val="auto"/>
                <w:highlight w:val="none"/>
              </w:rPr>
              <w:t>本项目</w:t>
            </w:r>
            <w:r>
              <w:rPr>
                <w:rFonts w:hint="eastAsia"/>
                <w:b w:val="0"/>
                <w:bCs w:val="0"/>
                <w:color w:val="auto"/>
                <w:highlight w:val="none"/>
                <w:lang w:val="en-US" w:eastAsia="zh-CN"/>
              </w:rPr>
              <w:t>建成后</w:t>
            </w:r>
            <w:r>
              <w:rPr>
                <w:rFonts w:hint="default"/>
                <w:b w:val="0"/>
                <w:bCs w:val="0"/>
                <w:color w:val="auto"/>
                <w:highlight w:val="none"/>
              </w:rPr>
              <w:t>营运期主要噪声源为</w:t>
            </w:r>
            <w:r>
              <w:rPr>
                <w:rFonts w:hint="eastAsia"/>
                <w:b w:val="0"/>
                <w:bCs w:val="0"/>
                <w:color w:val="auto"/>
                <w:highlight w:val="none"/>
                <w:lang w:val="en-US" w:eastAsia="zh-CN"/>
              </w:rPr>
              <w:t>空压机、丝印机、研磨机、覆膜印刷机、覆膜烘干机、喷镀炉、蒸镀炉、烘干炉、烧熔炉、自动覆膜机、风机等</w:t>
            </w:r>
            <w:r>
              <w:rPr>
                <w:rFonts w:hint="default"/>
                <w:b w:val="0"/>
                <w:bCs w:val="0"/>
                <w:color w:val="auto"/>
                <w:highlight w:val="none"/>
              </w:rPr>
              <w:t>运行时产生的噪声，设备噪声源强</w:t>
            </w:r>
            <w:r>
              <w:rPr>
                <w:rFonts w:hint="eastAsia"/>
                <w:b w:val="0"/>
                <w:bCs w:val="0"/>
                <w:color w:val="auto"/>
                <w:highlight w:val="none"/>
                <w:lang w:val="en-US" w:eastAsia="zh-CN"/>
              </w:rPr>
              <w:t>为70～90</w:t>
            </w:r>
            <w:r>
              <w:rPr>
                <w:rFonts w:hint="eastAsia"/>
                <w:b w:val="0"/>
                <w:bCs w:val="0"/>
                <w:color w:val="auto"/>
                <w:highlight w:val="none"/>
              </w:rPr>
              <w:t>dB</w:t>
            </w:r>
            <w:r>
              <w:rPr>
                <w:rFonts w:hint="default"/>
                <w:b w:val="0"/>
                <w:bCs w:val="0"/>
                <w:color w:val="auto"/>
                <w:highlight w:val="none"/>
              </w:rPr>
              <w:t>（A），采取基础</w:t>
            </w:r>
            <w:r>
              <w:rPr>
                <w:rFonts w:hint="eastAsia"/>
                <w:b w:val="0"/>
                <w:bCs w:val="0"/>
                <w:color w:val="auto"/>
                <w:highlight w:val="none"/>
                <w:lang w:eastAsia="zh-CN"/>
              </w:rPr>
              <w:t>减振</w:t>
            </w:r>
            <w:r>
              <w:rPr>
                <w:rFonts w:hint="default"/>
                <w:b w:val="0"/>
                <w:bCs w:val="0"/>
                <w:color w:val="auto"/>
                <w:highlight w:val="none"/>
              </w:rPr>
              <w:t>、</w:t>
            </w:r>
            <w:r>
              <w:rPr>
                <w:rFonts w:hint="eastAsia"/>
                <w:b w:val="0"/>
                <w:bCs w:val="0"/>
                <w:color w:val="auto"/>
                <w:highlight w:val="none"/>
                <w:lang w:val="en-US" w:eastAsia="zh-CN"/>
              </w:rPr>
              <w:t>厂房隔声</w:t>
            </w:r>
            <w:r>
              <w:rPr>
                <w:rFonts w:hint="default"/>
                <w:b w:val="0"/>
                <w:bCs w:val="0"/>
                <w:color w:val="auto"/>
                <w:highlight w:val="none"/>
              </w:rPr>
              <w:t>等措施，</w:t>
            </w:r>
            <w:r>
              <w:rPr>
                <w:rFonts w:hint="eastAsia"/>
                <w:color w:val="auto"/>
                <w:highlight w:val="none"/>
                <w:lang w:val="en-US" w:eastAsia="zh-CN"/>
              </w:rPr>
              <w:t>项目厂房为单层彩钢板，四侧均设置门窗，生产时门窗关闭，</w:t>
            </w:r>
            <w:r>
              <w:rPr>
                <w:rFonts w:hint="default"/>
                <w:b w:val="0"/>
                <w:bCs w:val="0"/>
                <w:color w:val="auto"/>
                <w:highlight w:val="none"/>
              </w:rPr>
              <w:t>本项目主要设备噪声源强及治理措施见下表：</w:t>
            </w:r>
          </w:p>
          <w:p>
            <w:pPr>
              <w:rPr>
                <w:rFonts w:hint="default"/>
                <w:b w:val="0"/>
                <w:bCs w:val="0"/>
                <w:color w:val="auto"/>
                <w:highlight w:val="none"/>
              </w:rPr>
            </w:pPr>
          </w:p>
          <w:p>
            <w:pPr>
              <w:rPr>
                <w:rFonts w:hint="default"/>
                <w:b w:val="0"/>
                <w:bCs w:val="0"/>
                <w:color w:val="auto"/>
                <w:highlight w:val="none"/>
              </w:rPr>
            </w:pPr>
          </w:p>
          <w:p>
            <w:pPr>
              <w:rPr>
                <w:rFonts w:hint="default"/>
                <w:b w:val="0"/>
                <w:bCs w:val="0"/>
                <w:color w:val="auto"/>
                <w:highlight w:val="none"/>
              </w:rPr>
            </w:pPr>
          </w:p>
          <w:p>
            <w:pPr>
              <w:rPr>
                <w:rFonts w:hint="default"/>
                <w:b w:val="0"/>
                <w:bCs w:val="0"/>
                <w:color w:val="auto"/>
                <w:highlight w:val="none"/>
              </w:rPr>
            </w:pPr>
          </w:p>
          <w:p>
            <w:pPr>
              <w:rPr>
                <w:rFonts w:hint="default"/>
                <w:b w:val="0"/>
                <w:bCs w:val="0"/>
                <w:color w:val="auto"/>
                <w:highlight w:val="none"/>
              </w:rPr>
            </w:pPr>
          </w:p>
          <w:p>
            <w:pPr>
              <w:rPr>
                <w:rFonts w:hint="default"/>
                <w:b w:val="0"/>
                <w:bCs w:val="0"/>
                <w:color w:val="auto"/>
                <w:highlight w:val="none"/>
              </w:rPr>
            </w:pPr>
          </w:p>
          <w:p>
            <w:pPr>
              <w:rPr>
                <w:rFonts w:hint="default"/>
                <w:b w:val="0"/>
                <w:bCs w:val="0"/>
                <w:color w:val="auto"/>
                <w:highlight w:val="none"/>
              </w:rPr>
            </w:pPr>
          </w:p>
          <w:p>
            <w:pPr>
              <w:rPr>
                <w:rFonts w:hint="default"/>
                <w:b w:val="0"/>
                <w:bCs w:val="0"/>
                <w:color w:val="auto"/>
                <w:highlight w:val="none"/>
              </w:rPr>
            </w:pPr>
          </w:p>
          <w:p>
            <w:pPr>
              <w:rPr>
                <w:rFonts w:hint="default"/>
                <w:b w:val="0"/>
                <w:bCs w:val="0"/>
                <w:color w:val="auto"/>
                <w:highlight w:val="none"/>
              </w:rPr>
            </w:pPr>
          </w:p>
          <w:p>
            <w:pPr>
              <w:rPr>
                <w:rFonts w:hint="default"/>
                <w:b w:val="0"/>
                <w:bCs w:val="0"/>
                <w:color w:val="auto"/>
                <w:highlight w:val="none"/>
              </w:rPr>
            </w:pPr>
          </w:p>
          <w:p>
            <w:pPr>
              <w:rPr>
                <w:rFonts w:hint="default"/>
                <w:b w:val="0"/>
                <w:bCs w:val="0"/>
                <w:color w:val="auto"/>
                <w:highlight w:val="none"/>
              </w:rPr>
            </w:pPr>
          </w:p>
          <w:p>
            <w:pPr>
              <w:rPr>
                <w:rFonts w:hint="default"/>
                <w:b w:val="0"/>
                <w:bCs w:val="0"/>
                <w:color w:val="auto"/>
                <w:highlight w:val="none"/>
              </w:rPr>
            </w:pPr>
          </w:p>
          <w:p>
            <w:pPr>
              <w:rPr>
                <w:rFonts w:hint="default"/>
                <w:b w:val="0"/>
                <w:bCs w:val="0"/>
                <w:color w:val="auto"/>
                <w:highlight w:val="none"/>
              </w:rPr>
            </w:pPr>
          </w:p>
          <w:p>
            <w:pPr>
              <w:rPr>
                <w:rFonts w:hint="default"/>
                <w:b w:val="0"/>
                <w:bCs w:val="0"/>
                <w:color w:val="auto"/>
                <w:highlight w:val="none"/>
              </w:rPr>
            </w:pPr>
          </w:p>
          <w:p>
            <w:pPr>
              <w:rPr>
                <w:rFonts w:hint="default"/>
                <w:b w:val="0"/>
                <w:bCs w:val="0"/>
                <w:color w:val="auto"/>
                <w:highlight w:val="none"/>
              </w:rPr>
            </w:pPr>
          </w:p>
          <w:p>
            <w:pPr>
              <w:rPr>
                <w:rFonts w:hint="default"/>
                <w:b w:val="0"/>
                <w:bCs w:val="0"/>
                <w:color w:val="auto"/>
                <w:highlight w:val="none"/>
              </w:rPr>
            </w:pPr>
          </w:p>
          <w:p>
            <w:pPr>
              <w:rPr>
                <w:rFonts w:hint="default"/>
                <w:b w:val="0"/>
                <w:bCs w:val="0"/>
                <w:color w:val="auto"/>
                <w:highlight w:val="none"/>
              </w:rPr>
            </w:pPr>
          </w:p>
          <w:p>
            <w:pPr>
              <w:rPr>
                <w:rFonts w:hint="default"/>
                <w:b w:val="0"/>
                <w:bCs w:val="0"/>
                <w:color w:val="auto"/>
                <w:highlight w:val="none"/>
              </w:rPr>
            </w:pPr>
          </w:p>
          <w:p>
            <w:pPr>
              <w:rPr>
                <w:rFonts w:hint="default"/>
                <w:b w:val="0"/>
                <w:bCs w:val="0"/>
                <w:color w:val="auto"/>
                <w:highlight w:val="none"/>
              </w:rPr>
            </w:pPr>
          </w:p>
          <w:p>
            <w:pPr>
              <w:rPr>
                <w:rFonts w:hint="default"/>
                <w:b w:val="0"/>
                <w:bCs w:val="0"/>
                <w:color w:val="auto"/>
                <w:highlight w:val="none"/>
              </w:rPr>
            </w:pPr>
          </w:p>
          <w:p>
            <w:pPr>
              <w:rPr>
                <w:rFonts w:hint="default"/>
                <w:b w:val="0"/>
                <w:bCs w:val="0"/>
                <w:color w:val="auto"/>
                <w:highlight w:val="none"/>
              </w:rPr>
            </w:pPr>
          </w:p>
          <w:p>
            <w:pPr>
              <w:rPr>
                <w:rFonts w:hint="default"/>
                <w:b w:val="0"/>
                <w:bCs w:val="0"/>
                <w:color w:val="auto"/>
                <w:highlight w:val="none"/>
              </w:rPr>
            </w:pPr>
          </w:p>
          <w:p>
            <w:pPr>
              <w:rPr>
                <w:rFonts w:hint="default"/>
                <w:b w:val="0"/>
                <w:bCs w:val="0"/>
                <w:color w:val="auto"/>
                <w:highlight w:val="none"/>
              </w:rPr>
            </w:pPr>
          </w:p>
          <w:p>
            <w:pPr>
              <w:rPr>
                <w:rFonts w:hint="default"/>
                <w:b w:val="0"/>
                <w:bCs w:val="0"/>
                <w:color w:val="auto"/>
                <w:highlight w:val="none"/>
              </w:rPr>
            </w:pPr>
          </w:p>
          <w:p>
            <w:pPr>
              <w:ind w:left="0" w:leftChars="0" w:firstLine="0" w:firstLineChars="0"/>
              <w:rPr>
                <w:rFonts w:hint="default"/>
                <w:b w:val="0"/>
                <w:bCs w:val="0"/>
                <w:color w:val="auto"/>
                <w:highlight w:val="none"/>
              </w:rPr>
            </w:pPr>
          </w:p>
        </w:tc>
      </w:tr>
    </w:tbl>
    <w:p>
      <w:pPr>
        <w:rPr>
          <w:color w:val="auto"/>
          <w:highlight w:val="none"/>
        </w:rPr>
        <w:sectPr>
          <w:pgSz w:w="11906" w:h="16838"/>
          <w:pgMar w:top="1440" w:right="1247" w:bottom="1440" w:left="1417"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25"/>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95"/>
        <w:gridCol w:w="1337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c>
          <w:tcPr>
            <w:tcW w:w="795" w:type="dxa"/>
            <w:tcBorders>
              <w:tl2br w:val="nil"/>
              <w:tr2bl w:val="nil"/>
            </w:tcBorders>
          </w:tcPr>
          <w:p>
            <w:pPr>
              <w:rPr>
                <w:color w:val="auto"/>
                <w:highlight w:val="none"/>
                <w:vertAlign w:val="baseline"/>
              </w:rPr>
            </w:pPr>
          </w:p>
        </w:tc>
        <w:tc>
          <w:tcPr>
            <w:tcW w:w="13379" w:type="dxa"/>
            <w:tcBorders>
              <w:tl2br w:val="nil"/>
              <w:tr2bl w:val="nil"/>
            </w:tcBorders>
          </w:tcPr>
          <w:p>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color w:val="auto"/>
                <w:highlight w:val="none"/>
                <w:lang w:val="en-US" w:eastAsia="zh-CN"/>
              </w:rPr>
            </w:pPr>
            <w:r>
              <w:rPr>
                <w:rStyle w:val="48"/>
                <w:rFonts w:hint="default"/>
                <w:color w:val="auto"/>
                <w:sz w:val="21"/>
                <w:szCs w:val="21"/>
                <w:highlight w:val="none"/>
              </w:rPr>
              <w:t>表</w:t>
            </w:r>
            <w:r>
              <w:rPr>
                <w:rStyle w:val="48"/>
                <w:rFonts w:hint="eastAsia"/>
                <w:color w:val="auto"/>
                <w:sz w:val="21"/>
                <w:szCs w:val="21"/>
                <w:highlight w:val="none"/>
                <w:lang w:val="en-US" w:eastAsia="zh-CN"/>
              </w:rPr>
              <w:t>34</w:t>
            </w:r>
            <w:r>
              <w:rPr>
                <w:rStyle w:val="48"/>
                <w:rFonts w:hint="default"/>
                <w:color w:val="auto"/>
                <w:sz w:val="21"/>
                <w:szCs w:val="21"/>
                <w:highlight w:val="none"/>
              </w:rPr>
              <w:t xml:space="preserve">  噪声污染源及治理措施</w:t>
            </w:r>
            <w:r>
              <w:rPr>
                <w:rStyle w:val="48"/>
                <w:rFonts w:hint="eastAsia"/>
                <w:color w:val="auto"/>
                <w:sz w:val="21"/>
                <w:szCs w:val="21"/>
                <w:highlight w:val="none"/>
                <w:lang w:val="en-US" w:eastAsia="zh-CN"/>
              </w:rPr>
              <w:t>一览表（室内声源）</w:t>
            </w:r>
          </w:p>
          <w:tbl>
            <w:tblPr>
              <w:tblStyle w:val="59"/>
              <w:tblW w:w="5000"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359"/>
              <w:gridCol w:w="2"/>
              <w:gridCol w:w="645"/>
              <w:gridCol w:w="854"/>
              <w:gridCol w:w="993"/>
              <w:gridCol w:w="699"/>
              <w:gridCol w:w="733"/>
              <w:gridCol w:w="3"/>
              <w:gridCol w:w="765"/>
              <w:gridCol w:w="483"/>
              <w:gridCol w:w="494"/>
              <w:gridCol w:w="3"/>
              <w:gridCol w:w="580"/>
              <w:gridCol w:w="3"/>
              <w:gridCol w:w="751"/>
              <w:gridCol w:w="3"/>
              <w:gridCol w:w="659"/>
              <w:gridCol w:w="3"/>
              <w:gridCol w:w="938"/>
              <w:gridCol w:w="1037"/>
              <w:gridCol w:w="948"/>
              <w:gridCol w:w="981"/>
              <w:gridCol w:w="1197"/>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2" w:hRule="atLeast"/>
                <w:jc w:val="center"/>
              </w:trPr>
              <w:tc>
                <w:tcPr>
                  <w:tcW w:w="136" w:type="pct"/>
                  <w:vMerge w:val="restart"/>
                  <w:tcBorders>
                    <w:tl2br w:val="nil"/>
                    <w:tr2bl w:val="nil"/>
                  </w:tcBorders>
                  <w:vAlign w:val="center"/>
                </w:tcPr>
                <w:p>
                  <w:pPr>
                    <w:pStyle w:val="35"/>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b w:val="0"/>
                      <w:bCs w:val="0"/>
                      <w:color w:val="auto"/>
                      <w:sz w:val="21"/>
                      <w:szCs w:val="21"/>
                      <w:highlight w:val="none"/>
                    </w:rPr>
                  </w:pPr>
                  <w:r>
                    <w:rPr>
                      <w:rFonts w:hint="default" w:ascii="Times New Roman" w:hAnsi="Times New Roman" w:cs="Times New Roman" w:eastAsiaTheme="minorEastAsia"/>
                      <w:b w:val="0"/>
                      <w:bCs w:val="0"/>
                      <w:color w:val="auto"/>
                      <w:sz w:val="21"/>
                      <w:szCs w:val="21"/>
                      <w:highlight w:val="none"/>
                    </w:rPr>
                    <w:t>序号</w:t>
                  </w:r>
                </w:p>
              </w:tc>
              <w:tc>
                <w:tcPr>
                  <w:tcW w:w="246" w:type="pct"/>
                  <w:gridSpan w:val="2"/>
                  <w:vMerge w:val="restart"/>
                  <w:tcBorders>
                    <w:tl2br w:val="nil"/>
                    <w:tr2bl w:val="nil"/>
                  </w:tcBorders>
                  <w:vAlign w:val="center"/>
                </w:tcPr>
                <w:p>
                  <w:pPr>
                    <w:pStyle w:val="35"/>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b w:val="0"/>
                      <w:bCs w:val="0"/>
                      <w:color w:val="auto"/>
                      <w:sz w:val="21"/>
                      <w:szCs w:val="21"/>
                      <w:highlight w:val="none"/>
                    </w:rPr>
                  </w:pPr>
                  <w:r>
                    <w:rPr>
                      <w:rFonts w:hint="default" w:ascii="Times New Roman" w:hAnsi="Times New Roman" w:cs="Times New Roman" w:eastAsiaTheme="minorEastAsia"/>
                      <w:b w:val="0"/>
                      <w:bCs w:val="0"/>
                      <w:color w:val="auto"/>
                      <w:sz w:val="21"/>
                      <w:szCs w:val="21"/>
                      <w:highlight w:val="none"/>
                    </w:rPr>
                    <w:t>建筑物名称</w:t>
                  </w:r>
                </w:p>
              </w:tc>
              <w:tc>
                <w:tcPr>
                  <w:tcW w:w="325" w:type="pct"/>
                  <w:vMerge w:val="restart"/>
                  <w:tcBorders>
                    <w:tl2br w:val="nil"/>
                    <w:tr2bl w:val="nil"/>
                  </w:tcBorders>
                  <w:vAlign w:val="center"/>
                </w:tcPr>
                <w:p>
                  <w:pPr>
                    <w:pStyle w:val="35"/>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b w:val="0"/>
                      <w:bCs w:val="0"/>
                      <w:color w:val="auto"/>
                      <w:sz w:val="21"/>
                      <w:szCs w:val="21"/>
                      <w:highlight w:val="none"/>
                    </w:rPr>
                  </w:pPr>
                  <w:r>
                    <w:rPr>
                      <w:rFonts w:hint="default" w:ascii="Times New Roman" w:hAnsi="Times New Roman" w:cs="Times New Roman" w:eastAsiaTheme="minorEastAsia"/>
                      <w:b w:val="0"/>
                      <w:bCs w:val="0"/>
                      <w:color w:val="auto"/>
                      <w:sz w:val="21"/>
                      <w:szCs w:val="21"/>
                      <w:highlight w:val="none"/>
                    </w:rPr>
                    <w:t>声源名称</w:t>
                  </w:r>
                </w:p>
              </w:tc>
              <w:tc>
                <w:tcPr>
                  <w:tcW w:w="378" w:type="pct"/>
                  <w:vMerge w:val="restart"/>
                  <w:tcBorders>
                    <w:tl2br w:val="nil"/>
                    <w:tr2bl w:val="nil"/>
                  </w:tcBorders>
                  <w:vAlign w:val="center"/>
                </w:tcPr>
                <w:p>
                  <w:pPr>
                    <w:pStyle w:val="35"/>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b w:val="0"/>
                      <w:bCs w:val="0"/>
                      <w:color w:val="auto"/>
                      <w:sz w:val="21"/>
                      <w:szCs w:val="21"/>
                      <w:highlight w:val="none"/>
                      <w:lang w:val="en-US" w:eastAsia="zh-CN"/>
                    </w:rPr>
                  </w:pPr>
                  <w:r>
                    <w:rPr>
                      <w:rFonts w:hint="default" w:ascii="Times New Roman" w:hAnsi="Times New Roman" w:cs="Times New Roman" w:eastAsiaTheme="minorEastAsia"/>
                      <w:b w:val="0"/>
                      <w:bCs w:val="0"/>
                      <w:color w:val="auto"/>
                      <w:sz w:val="21"/>
                      <w:szCs w:val="21"/>
                      <w:highlight w:val="none"/>
                      <w:lang w:val="en-US" w:eastAsia="zh-CN"/>
                    </w:rPr>
                    <w:t>型号</w:t>
                  </w:r>
                </w:p>
              </w:tc>
              <w:tc>
                <w:tcPr>
                  <w:tcW w:w="266" w:type="pct"/>
                  <w:vMerge w:val="restart"/>
                  <w:tcBorders>
                    <w:tl2br w:val="nil"/>
                    <w:tr2bl w:val="nil"/>
                  </w:tcBorders>
                  <w:vAlign w:val="center"/>
                </w:tcPr>
                <w:p>
                  <w:pPr>
                    <w:pStyle w:val="35"/>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b w:val="0"/>
                      <w:bCs w:val="0"/>
                      <w:color w:val="auto"/>
                      <w:sz w:val="21"/>
                      <w:szCs w:val="21"/>
                      <w:highlight w:val="none"/>
                      <w:lang w:eastAsia="zh-CN"/>
                    </w:rPr>
                  </w:pPr>
                  <w:r>
                    <w:rPr>
                      <w:rFonts w:hint="default" w:ascii="Times New Roman" w:hAnsi="Times New Roman" w:cs="Times New Roman" w:eastAsiaTheme="minorEastAsia"/>
                      <w:b w:val="0"/>
                      <w:bCs w:val="0"/>
                      <w:color w:val="auto"/>
                      <w:sz w:val="21"/>
                      <w:szCs w:val="21"/>
                      <w:highlight w:val="none"/>
                      <w:lang w:eastAsia="zh-CN"/>
                    </w:rPr>
                    <w:t>声源源强</w:t>
                  </w:r>
                </w:p>
                <w:p>
                  <w:pPr>
                    <w:pStyle w:val="35"/>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b w:val="0"/>
                      <w:bCs w:val="0"/>
                      <w:color w:val="auto"/>
                      <w:sz w:val="21"/>
                      <w:szCs w:val="21"/>
                      <w:highlight w:val="none"/>
                    </w:rPr>
                  </w:pPr>
                  <w:r>
                    <w:rPr>
                      <w:rFonts w:hint="default" w:ascii="Times New Roman" w:hAnsi="Times New Roman" w:cs="Times New Roman" w:eastAsiaTheme="minorEastAsia"/>
                      <w:b w:val="0"/>
                      <w:bCs w:val="0"/>
                      <w:color w:val="auto"/>
                      <w:sz w:val="21"/>
                      <w:szCs w:val="21"/>
                      <w:highlight w:val="none"/>
                    </w:rPr>
                    <w:t>dB(A)</w:t>
                  </w:r>
                </w:p>
              </w:tc>
              <w:tc>
                <w:tcPr>
                  <w:tcW w:w="280" w:type="pct"/>
                  <w:gridSpan w:val="2"/>
                  <w:vMerge w:val="restart"/>
                  <w:tcBorders>
                    <w:tl2br w:val="nil"/>
                    <w:tr2bl w:val="nil"/>
                  </w:tcBorders>
                  <w:vAlign w:val="center"/>
                </w:tcPr>
                <w:p>
                  <w:pPr>
                    <w:pStyle w:val="35"/>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b w:val="0"/>
                      <w:bCs w:val="0"/>
                      <w:color w:val="auto"/>
                      <w:sz w:val="21"/>
                      <w:szCs w:val="21"/>
                      <w:highlight w:val="none"/>
                    </w:rPr>
                  </w:pPr>
                  <w:r>
                    <w:rPr>
                      <w:rFonts w:hint="default" w:ascii="Times New Roman" w:hAnsi="Times New Roman" w:cs="Times New Roman" w:eastAsiaTheme="minorEastAsia"/>
                      <w:b w:val="0"/>
                      <w:bCs w:val="0"/>
                      <w:color w:val="auto"/>
                      <w:sz w:val="21"/>
                      <w:szCs w:val="21"/>
                      <w:highlight w:val="none"/>
                    </w:rPr>
                    <w:t>声源控制措施</w:t>
                  </w:r>
                </w:p>
              </w:tc>
              <w:tc>
                <w:tcPr>
                  <w:tcW w:w="291" w:type="pct"/>
                  <w:vMerge w:val="restart"/>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32" w:beforeLines="10" w:after="32" w:afterLines="10" w:line="240" w:lineRule="auto"/>
                    <w:ind w:left="0" w:leftChars="0" w:right="0" w:rightChars="0" w:firstLine="0" w:firstLineChars="0"/>
                    <w:jc w:val="center"/>
                    <w:textAlignment w:val="auto"/>
                    <w:rPr>
                      <w:rFonts w:hint="eastAsia" w:ascii="Times New Roman" w:hAnsi="Times New Roman" w:cs="Times New Roman" w:eastAsiaTheme="minorEastAsia"/>
                      <w:b w:val="0"/>
                      <w:bCs w:val="0"/>
                      <w:color w:val="auto"/>
                      <w:sz w:val="21"/>
                      <w:szCs w:val="21"/>
                      <w:highlight w:val="none"/>
                      <w:lang w:val="en-US" w:eastAsia="zh-CN"/>
                    </w:rPr>
                  </w:pPr>
                  <w:r>
                    <w:rPr>
                      <w:rFonts w:hint="default"/>
                      <w:color w:val="auto"/>
                      <w:sz w:val="21"/>
                      <w:szCs w:val="21"/>
                      <w:highlight w:val="none"/>
                    </w:rPr>
                    <w:t>降噪效果dB（A）</w:t>
                  </w:r>
                </w:p>
              </w:tc>
              <w:tc>
                <w:tcPr>
                  <w:tcW w:w="593" w:type="pct"/>
                  <w:gridSpan w:val="4"/>
                  <w:tcBorders>
                    <w:tl2br w:val="nil"/>
                    <w:tr2bl w:val="nil"/>
                  </w:tcBorders>
                  <w:vAlign w:val="center"/>
                </w:tcPr>
                <w:p>
                  <w:pPr>
                    <w:pStyle w:val="35"/>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b w:val="0"/>
                      <w:bCs w:val="0"/>
                      <w:color w:val="auto"/>
                      <w:sz w:val="21"/>
                      <w:szCs w:val="21"/>
                      <w:highlight w:val="none"/>
                    </w:rPr>
                  </w:pPr>
                  <w:r>
                    <w:rPr>
                      <w:rFonts w:hint="default" w:ascii="Times New Roman" w:hAnsi="Times New Roman" w:cs="Times New Roman" w:eastAsiaTheme="minorEastAsia"/>
                      <w:b w:val="0"/>
                      <w:bCs w:val="0"/>
                      <w:color w:val="auto"/>
                      <w:sz w:val="21"/>
                      <w:szCs w:val="21"/>
                      <w:highlight w:val="none"/>
                    </w:rPr>
                    <w:t>空间相对位置/m</w:t>
                  </w:r>
                </w:p>
              </w:tc>
              <w:tc>
                <w:tcPr>
                  <w:tcW w:w="539" w:type="pct"/>
                  <w:gridSpan w:val="4"/>
                  <w:vMerge w:val="restart"/>
                  <w:tcBorders>
                    <w:tl2br w:val="nil"/>
                    <w:tr2bl w:val="nil"/>
                  </w:tcBorders>
                  <w:vAlign w:val="center"/>
                </w:tcPr>
                <w:p>
                  <w:pPr>
                    <w:pStyle w:val="35"/>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b w:val="0"/>
                      <w:bCs w:val="0"/>
                      <w:color w:val="auto"/>
                      <w:sz w:val="21"/>
                      <w:szCs w:val="21"/>
                      <w:highlight w:val="none"/>
                    </w:rPr>
                  </w:pPr>
                  <w:r>
                    <w:rPr>
                      <w:rFonts w:hint="default" w:ascii="Times New Roman" w:hAnsi="Times New Roman" w:cs="Times New Roman" w:eastAsiaTheme="minorEastAsia"/>
                      <w:b w:val="0"/>
                      <w:bCs w:val="0"/>
                      <w:color w:val="auto"/>
                      <w:sz w:val="21"/>
                      <w:szCs w:val="21"/>
                      <w:highlight w:val="none"/>
                    </w:rPr>
                    <w:t>距室内边界距离/m</w:t>
                  </w:r>
                </w:p>
              </w:tc>
              <w:tc>
                <w:tcPr>
                  <w:tcW w:w="358" w:type="pct"/>
                  <w:gridSpan w:val="2"/>
                  <w:vMerge w:val="restart"/>
                  <w:tcBorders>
                    <w:tl2br w:val="nil"/>
                    <w:tr2bl w:val="nil"/>
                  </w:tcBorders>
                  <w:vAlign w:val="center"/>
                </w:tcPr>
                <w:p>
                  <w:pPr>
                    <w:pStyle w:val="35"/>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b w:val="0"/>
                      <w:bCs w:val="0"/>
                      <w:color w:val="auto"/>
                      <w:sz w:val="21"/>
                      <w:szCs w:val="21"/>
                      <w:highlight w:val="none"/>
                    </w:rPr>
                  </w:pPr>
                  <w:r>
                    <w:rPr>
                      <w:rFonts w:hint="default" w:ascii="Times New Roman" w:hAnsi="Times New Roman" w:cs="Times New Roman" w:eastAsiaTheme="minorEastAsia"/>
                      <w:b w:val="0"/>
                      <w:bCs w:val="0"/>
                      <w:color w:val="auto"/>
                      <w:spacing w:val="-5"/>
                      <w:sz w:val="21"/>
                      <w:szCs w:val="21"/>
                      <w:highlight w:val="none"/>
                    </w:rPr>
                    <w:t>室内边界</w:t>
                  </w:r>
                  <w:r>
                    <w:rPr>
                      <w:rFonts w:hint="default" w:ascii="Times New Roman" w:hAnsi="Times New Roman" w:cs="Times New Roman" w:eastAsiaTheme="minorEastAsia"/>
                      <w:b w:val="0"/>
                      <w:bCs w:val="0"/>
                      <w:color w:val="auto"/>
                      <w:sz w:val="21"/>
                      <w:szCs w:val="21"/>
                      <w:highlight w:val="none"/>
                    </w:rPr>
                    <w:t>声级/dB(A)</w:t>
                  </w:r>
                </w:p>
              </w:tc>
              <w:tc>
                <w:tcPr>
                  <w:tcW w:w="394" w:type="pct"/>
                  <w:vMerge w:val="restart"/>
                  <w:tcBorders>
                    <w:tl2br w:val="nil"/>
                    <w:tr2bl w:val="nil"/>
                  </w:tcBorders>
                  <w:vAlign w:val="center"/>
                </w:tcPr>
                <w:p>
                  <w:pPr>
                    <w:pStyle w:val="35"/>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b w:val="0"/>
                      <w:bCs w:val="0"/>
                      <w:color w:val="auto"/>
                      <w:sz w:val="21"/>
                      <w:szCs w:val="21"/>
                      <w:highlight w:val="none"/>
                    </w:rPr>
                  </w:pPr>
                  <w:r>
                    <w:rPr>
                      <w:rFonts w:hint="default" w:ascii="Times New Roman" w:hAnsi="Times New Roman" w:cs="Times New Roman" w:eastAsiaTheme="minorEastAsia"/>
                      <w:b w:val="0"/>
                      <w:bCs w:val="0"/>
                      <w:color w:val="auto"/>
                      <w:sz w:val="21"/>
                      <w:szCs w:val="21"/>
                      <w:highlight w:val="none"/>
                    </w:rPr>
                    <w:t>运行时段</w:t>
                  </w:r>
                </w:p>
              </w:tc>
              <w:tc>
                <w:tcPr>
                  <w:tcW w:w="360" w:type="pct"/>
                  <w:vMerge w:val="restart"/>
                  <w:tcBorders>
                    <w:tl2br w:val="nil"/>
                    <w:tr2bl w:val="nil"/>
                  </w:tcBorders>
                  <w:vAlign w:val="center"/>
                </w:tcPr>
                <w:p>
                  <w:pPr>
                    <w:pStyle w:val="35"/>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b w:val="0"/>
                      <w:bCs w:val="0"/>
                      <w:color w:val="auto"/>
                      <w:sz w:val="21"/>
                      <w:szCs w:val="21"/>
                      <w:highlight w:val="none"/>
                    </w:rPr>
                  </w:pPr>
                  <w:r>
                    <w:rPr>
                      <w:rFonts w:hint="default" w:ascii="Times New Roman" w:hAnsi="Times New Roman" w:cs="Times New Roman" w:eastAsiaTheme="minorEastAsia"/>
                      <w:b w:val="0"/>
                      <w:bCs w:val="0"/>
                      <w:color w:val="auto"/>
                      <w:sz w:val="21"/>
                      <w:szCs w:val="21"/>
                      <w:highlight w:val="none"/>
                    </w:rPr>
                    <w:t>建筑物插入损失/ dB(A)</w:t>
                  </w:r>
                </w:p>
              </w:tc>
              <w:tc>
                <w:tcPr>
                  <w:tcW w:w="829" w:type="pct"/>
                  <w:gridSpan w:val="2"/>
                  <w:tcBorders>
                    <w:tl2br w:val="nil"/>
                    <w:tr2bl w:val="nil"/>
                  </w:tcBorders>
                  <w:vAlign w:val="center"/>
                </w:tcPr>
                <w:p>
                  <w:pPr>
                    <w:pStyle w:val="35"/>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b w:val="0"/>
                      <w:bCs w:val="0"/>
                      <w:color w:val="auto"/>
                      <w:sz w:val="21"/>
                      <w:szCs w:val="21"/>
                      <w:highlight w:val="none"/>
                    </w:rPr>
                  </w:pPr>
                  <w:r>
                    <w:rPr>
                      <w:rFonts w:hint="default" w:ascii="Times New Roman" w:hAnsi="Times New Roman" w:cs="Times New Roman" w:eastAsiaTheme="minorEastAsia"/>
                      <w:b w:val="0"/>
                      <w:bCs w:val="0"/>
                      <w:color w:val="auto"/>
                      <w:sz w:val="21"/>
                      <w:szCs w:val="21"/>
                      <w:highlight w:val="none"/>
                    </w:rPr>
                    <w:t>建筑物外噪声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44" w:hRule="atLeast"/>
                <w:jc w:val="center"/>
              </w:trPr>
              <w:tc>
                <w:tcPr>
                  <w:tcW w:w="136" w:type="pct"/>
                  <w:vMerge w:val="continue"/>
                  <w:tcBorders>
                    <w:tl2br w:val="nil"/>
                    <w:tr2bl w:val="nil"/>
                  </w:tcBorders>
                  <w:vAlign w:val="center"/>
                </w:tcPr>
                <w:p>
                  <w:pPr>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b w:val="0"/>
                      <w:bCs w:val="0"/>
                      <w:color w:val="auto"/>
                      <w:sz w:val="21"/>
                      <w:szCs w:val="21"/>
                      <w:highlight w:val="none"/>
                    </w:rPr>
                  </w:pPr>
                </w:p>
              </w:tc>
              <w:tc>
                <w:tcPr>
                  <w:tcW w:w="246" w:type="pct"/>
                  <w:gridSpan w:val="2"/>
                  <w:vMerge w:val="continue"/>
                  <w:tcBorders>
                    <w:tl2br w:val="nil"/>
                    <w:tr2bl w:val="nil"/>
                  </w:tcBorders>
                  <w:vAlign w:val="center"/>
                </w:tcPr>
                <w:p>
                  <w:pPr>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b w:val="0"/>
                      <w:bCs w:val="0"/>
                      <w:color w:val="auto"/>
                      <w:sz w:val="21"/>
                      <w:szCs w:val="21"/>
                      <w:highlight w:val="none"/>
                    </w:rPr>
                  </w:pPr>
                </w:p>
              </w:tc>
              <w:tc>
                <w:tcPr>
                  <w:tcW w:w="325" w:type="pct"/>
                  <w:vMerge w:val="continue"/>
                  <w:tcBorders>
                    <w:tl2br w:val="nil"/>
                    <w:tr2bl w:val="nil"/>
                  </w:tcBorders>
                  <w:vAlign w:val="center"/>
                </w:tcPr>
                <w:p>
                  <w:pPr>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b w:val="0"/>
                      <w:bCs w:val="0"/>
                      <w:color w:val="auto"/>
                      <w:sz w:val="21"/>
                      <w:szCs w:val="21"/>
                      <w:highlight w:val="none"/>
                    </w:rPr>
                  </w:pPr>
                </w:p>
              </w:tc>
              <w:tc>
                <w:tcPr>
                  <w:tcW w:w="378" w:type="pct"/>
                  <w:vMerge w:val="continue"/>
                  <w:tcBorders>
                    <w:tl2br w:val="nil"/>
                    <w:tr2bl w:val="nil"/>
                  </w:tcBorders>
                  <w:vAlign w:val="center"/>
                </w:tcPr>
                <w:p>
                  <w:pPr>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b w:val="0"/>
                      <w:bCs w:val="0"/>
                      <w:color w:val="auto"/>
                      <w:sz w:val="21"/>
                      <w:szCs w:val="21"/>
                      <w:highlight w:val="none"/>
                    </w:rPr>
                  </w:pPr>
                </w:p>
              </w:tc>
              <w:tc>
                <w:tcPr>
                  <w:tcW w:w="266" w:type="pct"/>
                  <w:vMerge w:val="continue"/>
                  <w:tcBorders>
                    <w:tl2br w:val="nil"/>
                    <w:tr2bl w:val="nil"/>
                  </w:tcBorders>
                  <w:vAlign w:val="center"/>
                </w:tcPr>
                <w:p>
                  <w:pPr>
                    <w:pStyle w:val="35"/>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b w:val="0"/>
                      <w:bCs w:val="0"/>
                      <w:color w:val="auto"/>
                      <w:sz w:val="21"/>
                      <w:szCs w:val="21"/>
                      <w:highlight w:val="none"/>
                    </w:rPr>
                  </w:pPr>
                </w:p>
              </w:tc>
              <w:tc>
                <w:tcPr>
                  <w:tcW w:w="280" w:type="pct"/>
                  <w:gridSpan w:val="2"/>
                  <w:vMerge w:val="continue"/>
                  <w:tcBorders>
                    <w:tl2br w:val="nil"/>
                    <w:tr2bl w:val="nil"/>
                  </w:tcBorders>
                  <w:vAlign w:val="center"/>
                </w:tcPr>
                <w:p>
                  <w:pPr>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b w:val="0"/>
                      <w:bCs w:val="0"/>
                      <w:color w:val="auto"/>
                      <w:sz w:val="21"/>
                      <w:szCs w:val="21"/>
                      <w:highlight w:val="none"/>
                    </w:rPr>
                  </w:pPr>
                </w:p>
              </w:tc>
              <w:tc>
                <w:tcPr>
                  <w:tcW w:w="291" w:type="pct"/>
                  <w:vMerge w:val="continue"/>
                  <w:tcBorders>
                    <w:tl2br w:val="nil"/>
                    <w:tr2bl w:val="nil"/>
                  </w:tcBorders>
                  <w:vAlign w:val="center"/>
                </w:tcPr>
                <w:p>
                  <w:pPr>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b w:val="0"/>
                      <w:bCs w:val="0"/>
                      <w:color w:val="auto"/>
                      <w:sz w:val="21"/>
                      <w:szCs w:val="21"/>
                      <w:highlight w:val="none"/>
                    </w:rPr>
                  </w:pPr>
                </w:p>
              </w:tc>
              <w:tc>
                <w:tcPr>
                  <w:tcW w:w="183" w:type="pct"/>
                  <w:tcBorders>
                    <w:tl2br w:val="nil"/>
                    <w:tr2bl w:val="nil"/>
                  </w:tcBorders>
                  <w:vAlign w:val="center"/>
                </w:tcPr>
                <w:p>
                  <w:pPr>
                    <w:pStyle w:val="35"/>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b w:val="0"/>
                      <w:bCs w:val="0"/>
                      <w:i w:val="0"/>
                      <w:iCs/>
                      <w:color w:val="auto"/>
                      <w:sz w:val="21"/>
                      <w:szCs w:val="21"/>
                      <w:highlight w:val="none"/>
                    </w:rPr>
                  </w:pPr>
                  <w:r>
                    <w:rPr>
                      <w:rFonts w:hint="default" w:ascii="Times New Roman" w:hAnsi="Times New Roman" w:cs="Times New Roman" w:eastAsiaTheme="minorEastAsia"/>
                      <w:b w:val="0"/>
                      <w:bCs w:val="0"/>
                      <w:i w:val="0"/>
                      <w:iCs/>
                      <w:color w:val="auto"/>
                      <w:sz w:val="21"/>
                      <w:szCs w:val="21"/>
                      <w:highlight w:val="none"/>
                    </w:rPr>
                    <w:t>X</w:t>
                  </w:r>
                </w:p>
              </w:tc>
              <w:tc>
                <w:tcPr>
                  <w:tcW w:w="189" w:type="pct"/>
                  <w:gridSpan w:val="2"/>
                  <w:tcBorders>
                    <w:tl2br w:val="nil"/>
                    <w:tr2bl w:val="nil"/>
                  </w:tcBorders>
                  <w:vAlign w:val="center"/>
                </w:tcPr>
                <w:p>
                  <w:pPr>
                    <w:pStyle w:val="35"/>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b w:val="0"/>
                      <w:bCs w:val="0"/>
                      <w:i w:val="0"/>
                      <w:iCs/>
                      <w:color w:val="auto"/>
                      <w:sz w:val="21"/>
                      <w:szCs w:val="21"/>
                      <w:highlight w:val="none"/>
                    </w:rPr>
                  </w:pPr>
                  <w:r>
                    <w:rPr>
                      <w:rFonts w:hint="default" w:ascii="Times New Roman" w:hAnsi="Times New Roman" w:cs="Times New Roman" w:eastAsiaTheme="minorEastAsia"/>
                      <w:b w:val="0"/>
                      <w:bCs w:val="0"/>
                      <w:i w:val="0"/>
                      <w:iCs/>
                      <w:color w:val="auto"/>
                      <w:sz w:val="21"/>
                      <w:szCs w:val="21"/>
                      <w:highlight w:val="none"/>
                    </w:rPr>
                    <w:t>Y</w:t>
                  </w:r>
                </w:p>
              </w:tc>
              <w:tc>
                <w:tcPr>
                  <w:tcW w:w="220" w:type="pct"/>
                  <w:tcBorders>
                    <w:tl2br w:val="nil"/>
                    <w:tr2bl w:val="nil"/>
                  </w:tcBorders>
                  <w:vAlign w:val="center"/>
                </w:tcPr>
                <w:p>
                  <w:pPr>
                    <w:pStyle w:val="35"/>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b w:val="0"/>
                      <w:bCs w:val="0"/>
                      <w:i w:val="0"/>
                      <w:iCs/>
                      <w:color w:val="auto"/>
                      <w:sz w:val="21"/>
                      <w:szCs w:val="21"/>
                      <w:highlight w:val="none"/>
                    </w:rPr>
                  </w:pPr>
                  <w:r>
                    <w:rPr>
                      <w:rFonts w:hint="default" w:ascii="Times New Roman" w:hAnsi="Times New Roman" w:cs="Times New Roman" w:eastAsiaTheme="minorEastAsia"/>
                      <w:b w:val="0"/>
                      <w:bCs w:val="0"/>
                      <w:i w:val="0"/>
                      <w:iCs/>
                      <w:color w:val="auto"/>
                      <w:sz w:val="21"/>
                      <w:szCs w:val="21"/>
                      <w:highlight w:val="none"/>
                    </w:rPr>
                    <w:t>Z</w:t>
                  </w:r>
                </w:p>
              </w:tc>
              <w:tc>
                <w:tcPr>
                  <w:tcW w:w="539" w:type="pct"/>
                  <w:gridSpan w:val="4"/>
                  <w:vMerge w:val="continue"/>
                  <w:tcBorders>
                    <w:tl2br w:val="nil"/>
                    <w:tr2bl w:val="nil"/>
                  </w:tcBorders>
                  <w:vAlign w:val="center"/>
                </w:tcPr>
                <w:p>
                  <w:pPr>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b w:val="0"/>
                      <w:bCs w:val="0"/>
                      <w:color w:val="auto"/>
                      <w:sz w:val="21"/>
                      <w:szCs w:val="21"/>
                      <w:highlight w:val="none"/>
                    </w:rPr>
                  </w:pPr>
                </w:p>
              </w:tc>
              <w:tc>
                <w:tcPr>
                  <w:tcW w:w="358" w:type="pct"/>
                  <w:gridSpan w:val="2"/>
                  <w:vMerge w:val="continue"/>
                  <w:tcBorders>
                    <w:tl2br w:val="nil"/>
                    <w:tr2bl w:val="nil"/>
                  </w:tcBorders>
                  <w:vAlign w:val="center"/>
                </w:tcPr>
                <w:p>
                  <w:pPr>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b w:val="0"/>
                      <w:bCs w:val="0"/>
                      <w:color w:val="auto"/>
                      <w:sz w:val="21"/>
                      <w:szCs w:val="21"/>
                      <w:highlight w:val="none"/>
                    </w:rPr>
                  </w:pPr>
                </w:p>
              </w:tc>
              <w:tc>
                <w:tcPr>
                  <w:tcW w:w="394" w:type="pct"/>
                  <w:vMerge w:val="continue"/>
                  <w:tcBorders>
                    <w:tl2br w:val="nil"/>
                    <w:tr2bl w:val="nil"/>
                  </w:tcBorders>
                  <w:vAlign w:val="center"/>
                </w:tcPr>
                <w:p>
                  <w:pPr>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b w:val="0"/>
                      <w:bCs w:val="0"/>
                      <w:color w:val="auto"/>
                      <w:sz w:val="21"/>
                      <w:szCs w:val="21"/>
                      <w:highlight w:val="none"/>
                    </w:rPr>
                  </w:pPr>
                </w:p>
              </w:tc>
              <w:tc>
                <w:tcPr>
                  <w:tcW w:w="360" w:type="pct"/>
                  <w:vMerge w:val="continue"/>
                  <w:tcBorders>
                    <w:tl2br w:val="nil"/>
                    <w:tr2bl w:val="nil"/>
                  </w:tcBorders>
                  <w:vAlign w:val="center"/>
                </w:tcPr>
                <w:p>
                  <w:pPr>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b w:val="0"/>
                      <w:bCs w:val="0"/>
                      <w:color w:val="auto"/>
                      <w:sz w:val="21"/>
                      <w:szCs w:val="21"/>
                      <w:highlight w:val="none"/>
                    </w:rPr>
                  </w:pPr>
                </w:p>
              </w:tc>
              <w:tc>
                <w:tcPr>
                  <w:tcW w:w="373" w:type="pct"/>
                  <w:tcBorders>
                    <w:tl2br w:val="nil"/>
                    <w:tr2bl w:val="nil"/>
                  </w:tcBorders>
                  <w:vAlign w:val="center"/>
                </w:tcPr>
                <w:p>
                  <w:pPr>
                    <w:pStyle w:val="35"/>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b w:val="0"/>
                      <w:bCs w:val="0"/>
                      <w:color w:val="auto"/>
                      <w:sz w:val="21"/>
                      <w:szCs w:val="21"/>
                      <w:highlight w:val="none"/>
                    </w:rPr>
                  </w:pPr>
                  <w:r>
                    <w:rPr>
                      <w:rFonts w:hint="default" w:ascii="Times New Roman" w:hAnsi="Times New Roman" w:cs="Times New Roman" w:eastAsiaTheme="minorEastAsia"/>
                      <w:b w:val="0"/>
                      <w:bCs w:val="0"/>
                      <w:color w:val="auto"/>
                      <w:sz w:val="21"/>
                      <w:szCs w:val="21"/>
                      <w:highlight w:val="none"/>
                    </w:rPr>
                    <w:t>声压级</w:t>
                  </w:r>
                </w:p>
                <w:p>
                  <w:pPr>
                    <w:pStyle w:val="35"/>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b w:val="0"/>
                      <w:bCs w:val="0"/>
                      <w:color w:val="auto"/>
                      <w:sz w:val="21"/>
                      <w:szCs w:val="21"/>
                      <w:highlight w:val="none"/>
                    </w:rPr>
                  </w:pPr>
                  <w:r>
                    <w:rPr>
                      <w:rFonts w:hint="default" w:ascii="Times New Roman" w:hAnsi="Times New Roman" w:cs="Times New Roman" w:eastAsiaTheme="minorEastAsia"/>
                      <w:b w:val="0"/>
                      <w:bCs w:val="0"/>
                      <w:color w:val="auto"/>
                      <w:sz w:val="21"/>
                      <w:szCs w:val="21"/>
                      <w:highlight w:val="none"/>
                    </w:rPr>
                    <w:t>/dB(A)</w:t>
                  </w:r>
                </w:p>
              </w:tc>
              <w:tc>
                <w:tcPr>
                  <w:tcW w:w="455" w:type="pct"/>
                  <w:tcBorders>
                    <w:tl2br w:val="nil"/>
                    <w:tr2bl w:val="nil"/>
                  </w:tcBorders>
                  <w:vAlign w:val="center"/>
                </w:tcPr>
                <w:p>
                  <w:pPr>
                    <w:pStyle w:val="35"/>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b w:val="0"/>
                      <w:bCs w:val="0"/>
                      <w:color w:val="auto"/>
                      <w:sz w:val="21"/>
                      <w:szCs w:val="21"/>
                      <w:highlight w:val="none"/>
                    </w:rPr>
                  </w:pPr>
                  <w:r>
                    <w:rPr>
                      <w:rFonts w:hint="default" w:ascii="Times New Roman" w:hAnsi="Times New Roman" w:cs="Times New Roman" w:eastAsiaTheme="minorEastAsia"/>
                      <w:b w:val="0"/>
                      <w:bCs w:val="0"/>
                      <w:color w:val="auto"/>
                      <w:sz w:val="21"/>
                      <w:szCs w:val="21"/>
                      <w:highlight w:val="none"/>
                    </w:rPr>
                    <w:t>建筑物外距离/m</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17" w:hRule="atLeast"/>
                <w:jc w:val="center"/>
              </w:trPr>
              <w:tc>
                <w:tcPr>
                  <w:tcW w:w="136" w:type="pct"/>
                  <w:vMerge w:val="restart"/>
                  <w:tcBorders>
                    <w:tl2br w:val="nil"/>
                    <w:tr2bl w:val="nil"/>
                  </w:tcBorders>
                  <w:vAlign w:val="center"/>
                </w:tcPr>
                <w:p>
                  <w:pPr>
                    <w:pStyle w:val="35"/>
                    <w:keepNext w:val="0"/>
                    <w:keepLines w:val="0"/>
                    <w:pageBreakBefore w:val="0"/>
                    <w:widowControl w:val="0"/>
                    <w:numPr>
                      <w:ilvl w:val="0"/>
                      <w:numId w:val="30"/>
                    </w:numPr>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46" w:type="pct"/>
                  <w:gridSpan w:val="2"/>
                  <w:vMerge w:val="restart"/>
                  <w:tcBorders>
                    <w:tl2br w:val="nil"/>
                    <w:tr2bl w:val="nil"/>
                  </w:tcBorders>
                  <w:vAlign w:val="center"/>
                </w:tcPr>
                <w:p>
                  <w:pPr>
                    <w:pStyle w:val="35"/>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生产车间</w:t>
                  </w:r>
                </w:p>
              </w:tc>
              <w:tc>
                <w:tcPr>
                  <w:tcW w:w="325" w:type="pct"/>
                  <w:vMerge w:val="restart"/>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eastAsia" w:ascii="Times New Roman" w:hAnsi="Times New Roman" w:cs="Times New Roman" w:eastAsiaTheme="minorEastAsia"/>
                      <w:color w:val="auto"/>
                      <w:sz w:val="21"/>
                      <w:szCs w:val="21"/>
                      <w:highlight w:val="none"/>
                      <w:lang w:val="en-US" w:eastAsia="zh-CN" w:bidi="ar-SA"/>
                    </w:rPr>
                  </w:pPr>
                  <w:r>
                    <w:rPr>
                      <w:rFonts w:hint="eastAsia"/>
                      <w:color w:val="auto"/>
                    </w:rPr>
                    <w:t>空压机</w:t>
                  </w:r>
                </w:p>
              </w:tc>
              <w:tc>
                <w:tcPr>
                  <w:tcW w:w="378" w:type="pct"/>
                  <w:vMerge w:val="restart"/>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default" w:ascii="Times New Roman" w:hAnsi="Times New Roman" w:cs="Times New Roman" w:eastAsiaTheme="minorEastAsia"/>
                      <w:color w:val="auto"/>
                      <w:sz w:val="21"/>
                      <w:szCs w:val="21"/>
                      <w:highlight w:val="none"/>
                      <w:lang w:val="en-US" w:eastAsia="en-US" w:bidi="ar-SA"/>
                    </w:rPr>
                  </w:pPr>
                  <w:r>
                    <w:rPr>
                      <w:rFonts w:hint="eastAsia"/>
                      <w:color w:val="auto"/>
                    </w:rPr>
                    <w:t>BD-10A</w:t>
                  </w:r>
                </w:p>
              </w:tc>
              <w:tc>
                <w:tcPr>
                  <w:tcW w:w="266" w:type="pct"/>
                  <w:vMerge w:val="restart"/>
                  <w:tcBorders>
                    <w:tl2br w:val="nil"/>
                    <w:tr2bl w:val="nil"/>
                  </w:tcBorders>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90</w:t>
                  </w:r>
                </w:p>
              </w:tc>
              <w:tc>
                <w:tcPr>
                  <w:tcW w:w="280" w:type="pct"/>
                  <w:gridSpan w:val="2"/>
                  <w:vMerge w:val="restart"/>
                  <w:tcBorders>
                    <w:tl2br w:val="nil"/>
                    <w:tr2bl w:val="nil"/>
                  </w:tcBorders>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选用低噪声设备，基础减振</w:t>
                  </w:r>
                </w:p>
              </w:tc>
              <w:tc>
                <w:tcPr>
                  <w:tcW w:w="291" w:type="pct"/>
                  <w:vMerge w:val="restart"/>
                  <w:tcBorders>
                    <w:tl2br w:val="nil"/>
                    <w:tr2bl w:val="nil"/>
                  </w:tcBorders>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5</w:t>
                  </w:r>
                </w:p>
              </w:tc>
              <w:tc>
                <w:tcPr>
                  <w:tcW w:w="183" w:type="pct"/>
                  <w:vMerge w:val="restart"/>
                  <w:tcBorders>
                    <w:tl2br w:val="nil"/>
                    <w:tr2bl w:val="nil"/>
                  </w:tcBorders>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w:t>
                  </w:r>
                </w:p>
              </w:tc>
              <w:tc>
                <w:tcPr>
                  <w:tcW w:w="189" w:type="pct"/>
                  <w:gridSpan w:val="2"/>
                  <w:vMerge w:val="restart"/>
                  <w:tcBorders>
                    <w:tl2br w:val="nil"/>
                    <w:tr2bl w:val="nil"/>
                  </w:tcBorders>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40</w:t>
                  </w:r>
                </w:p>
              </w:tc>
              <w:tc>
                <w:tcPr>
                  <w:tcW w:w="220" w:type="pct"/>
                  <w:vMerge w:val="restart"/>
                  <w:tcBorders>
                    <w:tl2br w:val="nil"/>
                    <w:tr2bl w:val="nil"/>
                  </w:tcBorders>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w:t>
                  </w:r>
                </w:p>
              </w:tc>
              <w:tc>
                <w:tcPr>
                  <w:tcW w:w="287" w:type="pct"/>
                  <w:gridSpan w:val="2"/>
                  <w:tcBorders>
                    <w:tl2br w:val="nil"/>
                    <w:tr2bl w:val="nil"/>
                  </w:tcBorders>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东边界</w:t>
                  </w:r>
                </w:p>
              </w:tc>
              <w:tc>
                <w:tcPr>
                  <w:tcW w:w="252" w:type="pct"/>
                  <w:gridSpan w:val="2"/>
                  <w:tcBorders>
                    <w:tl2br w:val="nil"/>
                    <w:tr2bl w:val="nil"/>
                  </w:tcBorders>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110</w:t>
                  </w:r>
                </w:p>
              </w:tc>
              <w:tc>
                <w:tcPr>
                  <w:tcW w:w="358" w:type="pct"/>
                  <w:gridSpan w:val="2"/>
                  <w:tcBorders>
                    <w:tl2br w:val="nil"/>
                    <w:tr2bl w:val="nil"/>
                  </w:tcBorders>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44.2 </w:t>
                  </w:r>
                </w:p>
              </w:tc>
              <w:tc>
                <w:tcPr>
                  <w:tcW w:w="394" w:type="pct"/>
                  <w:vMerge w:val="restart"/>
                  <w:tcBorders>
                    <w:tl2br w:val="nil"/>
                    <w:tr2bl w:val="nil"/>
                  </w:tcBorders>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00:00-24:00</w:t>
                  </w:r>
                </w:p>
              </w:tc>
              <w:tc>
                <w:tcPr>
                  <w:tcW w:w="360" w:type="pct"/>
                  <w:tcBorders>
                    <w:tl2br w:val="nil"/>
                    <w:tr2bl w:val="nil"/>
                  </w:tcBorders>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10</w:t>
                  </w:r>
                </w:p>
              </w:tc>
              <w:tc>
                <w:tcPr>
                  <w:tcW w:w="373" w:type="pct"/>
                  <w:tcBorders>
                    <w:tl2br w:val="nil"/>
                    <w:tr2bl w:val="nil"/>
                  </w:tcBorders>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28.2 </w:t>
                  </w:r>
                </w:p>
              </w:tc>
              <w:tc>
                <w:tcPr>
                  <w:tcW w:w="455" w:type="pct"/>
                  <w:tcBorders>
                    <w:tl2br w:val="nil"/>
                    <w:tr2bl w:val="nil"/>
                  </w:tcBorders>
                  <w:vAlign w:val="center"/>
                </w:tcPr>
                <w:p>
                  <w:pPr>
                    <w:keepNext w:val="0"/>
                    <w:keepLines w:val="0"/>
                    <w:pageBreakBefore w:val="0"/>
                    <w:widowControl/>
                    <w:suppressLineNumbers w:val="0"/>
                    <w:kinsoku/>
                    <w:wordWrap/>
                    <w:overflowPunct/>
                    <w:topLinePunct w:val="0"/>
                    <w:autoSpaceDE w:val="0"/>
                    <w:autoSpaceDN w:val="0"/>
                    <w:bidi w:val="0"/>
                    <w:adjustRightInd/>
                    <w:spacing w:before="20" w:beforeLines="6" w:after="20" w:afterLines="6" w:line="240" w:lineRule="auto"/>
                    <w:ind w:left="0" w:leftChars="0" w:right="0" w:rightChars="0" w:firstLine="0" w:firstLineChars="0"/>
                    <w:jc w:val="center"/>
                    <w:textAlignment w:val="bottom"/>
                    <w:rPr>
                      <w:rFonts w:hint="default" w:ascii="Times New Roman" w:hAnsi="Times New Roman" w:cs="Times New Roman" w:eastAsiaTheme="minorEastAsia"/>
                      <w:color w:val="auto"/>
                      <w:sz w:val="21"/>
                      <w:szCs w:val="21"/>
                      <w:highlight w:val="none"/>
                    </w:rPr>
                  </w:pPr>
                  <w:r>
                    <w:rPr>
                      <w:rFonts w:hint="eastAsia" w:cs="Times New Roman"/>
                      <w:i w:val="0"/>
                      <w:iCs w:val="0"/>
                      <w:color w:val="auto"/>
                      <w:kern w:val="0"/>
                      <w:sz w:val="22"/>
                      <w:szCs w:val="22"/>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87" w:hRule="atLeast"/>
                <w:jc w:val="center"/>
              </w:trPr>
              <w:tc>
                <w:tcPr>
                  <w:tcW w:w="136" w:type="pct"/>
                  <w:vMerge w:val="continue"/>
                  <w:tcBorders>
                    <w:tl2br w:val="nil"/>
                    <w:tr2bl w:val="nil"/>
                  </w:tcBorders>
                  <w:vAlign w:val="center"/>
                </w:tcPr>
                <w:p>
                  <w:pPr>
                    <w:pStyle w:val="35"/>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color w:val="auto"/>
                      <w:highlight w:val="none"/>
                    </w:rPr>
                  </w:pPr>
                </w:p>
              </w:tc>
              <w:tc>
                <w:tcPr>
                  <w:tcW w:w="246" w:type="pct"/>
                  <w:gridSpan w:val="2"/>
                  <w:vMerge w:val="continue"/>
                  <w:tcBorders>
                    <w:tl2br w:val="nil"/>
                    <w:tr2bl w:val="nil"/>
                  </w:tcBorders>
                  <w:vAlign w:val="center"/>
                </w:tcPr>
                <w:p>
                  <w:pPr>
                    <w:pStyle w:val="35"/>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color w:val="auto"/>
                      <w:highlight w:val="none"/>
                    </w:rPr>
                  </w:pPr>
                </w:p>
              </w:tc>
              <w:tc>
                <w:tcPr>
                  <w:tcW w:w="325" w:type="pct"/>
                  <w:vMerge w:val="continue"/>
                  <w:tcBorders>
                    <w:tl2br w:val="nil"/>
                    <w:tr2bl w:val="nil"/>
                  </w:tcBorders>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color w:val="auto"/>
                      <w:highlight w:val="none"/>
                    </w:rPr>
                  </w:pPr>
                </w:p>
              </w:tc>
              <w:tc>
                <w:tcPr>
                  <w:tcW w:w="378" w:type="pct"/>
                  <w:vMerge w:val="continue"/>
                  <w:tcBorders>
                    <w:tl2br w:val="nil"/>
                    <w:tr2bl w:val="nil"/>
                  </w:tcBorders>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color w:val="auto"/>
                      <w:highlight w:val="none"/>
                    </w:rPr>
                  </w:pPr>
                </w:p>
              </w:tc>
              <w:tc>
                <w:tcPr>
                  <w:tcW w:w="266" w:type="pct"/>
                  <w:vMerge w:val="continue"/>
                  <w:tcBorders>
                    <w:tl2br w:val="nil"/>
                    <w:tr2bl w:val="nil"/>
                  </w:tcBorders>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color w:val="auto"/>
                      <w:highlight w:val="none"/>
                    </w:rPr>
                  </w:pPr>
                </w:p>
              </w:tc>
              <w:tc>
                <w:tcPr>
                  <w:tcW w:w="280" w:type="pct"/>
                  <w:gridSpan w:val="2"/>
                  <w:vMerge w:val="continue"/>
                  <w:tcBorders>
                    <w:tl2br w:val="nil"/>
                    <w:tr2bl w:val="nil"/>
                  </w:tcBorders>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color w:val="auto"/>
                      <w:highlight w:val="none"/>
                    </w:rPr>
                  </w:pPr>
                </w:p>
              </w:tc>
              <w:tc>
                <w:tcPr>
                  <w:tcW w:w="291" w:type="pct"/>
                  <w:vMerge w:val="continue"/>
                  <w:tcBorders>
                    <w:tl2br w:val="nil"/>
                    <w:tr2bl w:val="nil"/>
                  </w:tcBorders>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color w:val="auto"/>
                      <w:highlight w:val="none"/>
                    </w:rPr>
                  </w:pPr>
                </w:p>
              </w:tc>
              <w:tc>
                <w:tcPr>
                  <w:tcW w:w="183" w:type="pct"/>
                  <w:vMerge w:val="continue"/>
                  <w:tcBorders>
                    <w:tl2br w:val="nil"/>
                    <w:tr2bl w:val="nil"/>
                  </w:tcBorders>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color w:val="auto"/>
                      <w:highlight w:val="none"/>
                    </w:rPr>
                  </w:pPr>
                </w:p>
              </w:tc>
              <w:tc>
                <w:tcPr>
                  <w:tcW w:w="189" w:type="pct"/>
                  <w:gridSpan w:val="2"/>
                  <w:vMerge w:val="continue"/>
                  <w:tcBorders>
                    <w:tl2br w:val="nil"/>
                    <w:tr2bl w:val="nil"/>
                  </w:tcBorders>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color w:val="auto"/>
                      <w:highlight w:val="none"/>
                    </w:rPr>
                  </w:pPr>
                </w:p>
              </w:tc>
              <w:tc>
                <w:tcPr>
                  <w:tcW w:w="220" w:type="pct"/>
                  <w:vMerge w:val="continue"/>
                  <w:tcBorders>
                    <w:tl2br w:val="nil"/>
                    <w:tr2bl w:val="nil"/>
                  </w:tcBorders>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color w:val="auto"/>
                      <w:highlight w:val="none"/>
                    </w:rPr>
                  </w:pPr>
                </w:p>
              </w:tc>
              <w:tc>
                <w:tcPr>
                  <w:tcW w:w="287" w:type="pct"/>
                  <w:gridSpan w:val="2"/>
                  <w:tcBorders>
                    <w:tl2br w:val="nil"/>
                    <w:tr2bl w:val="nil"/>
                  </w:tcBorders>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南边界</w:t>
                  </w:r>
                </w:p>
              </w:tc>
              <w:tc>
                <w:tcPr>
                  <w:tcW w:w="252" w:type="pct"/>
                  <w:gridSpan w:val="2"/>
                  <w:tcBorders>
                    <w:tl2br w:val="nil"/>
                    <w:tr2bl w:val="nil"/>
                  </w:tcBorders>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55</w:t>
                  </w:r>
                </w:p>
              </w:tc>
              <w:tc>
                <w:tcPr>
                  <w:tcW w:w="358" w:type="pct"/>
                  <w:gridSpan w:val="2"/>
                  <w:tcBorders>
                    <w:tl2br w:val="nil"/>
                    <w:tr2bl w:val="nil"/>
                  </w:tcBorders>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50.2 </w:t>
                  </w:r>
                </w:p>
              </w:tc>
              <w:tc>
                <w:tcPr>
                  <w:tcW w:w="394" w:type="pct"/>
                  <w:vMerge w:val="continue"/>
                  <w:tcBorders>
                    <w:tl2br w:val="nil"/>
                    <w:tr2bl w:val="nil"/>
                  </w:tcBorders>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360" w:type="pct"/>
                  <w:tcBorders>
                    <w:tl2br w:val="nil"/>
                    <w:tr2bl w:val="nil"/>
                  </w:tcBorders>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10</w:t>
                  </w:r>
                </w:p>
              </w:tc>
              <w:tc>
                <w:tcPr>
                  <w:tcW w:w="373" w:type="pct"/>
                  <w:tcBorders>
                    <w:tl2br w:val="nil"/>
                    <w:tr2bl w:val="nil"/>
                  </w:tcBorders>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34.2 </w:t>
                  </w:r>
                </w:p>
              </w:tc>
              <w:tc>
                <w:tcPr>
                  <w:tcW w:w="455" w:type="pct"/>
                  <w:tcBorders>
                    <w:tl2br w:val="nil"/>
                    <w:tr2bl w:val="nil"/>
                  </w:tcBorders>
                  <w:vAlign w:val="center"/>
                </w:tcPr>
                <w:p>
                  <w:pPr>
                    <w:keepNext w:val="0"/>
                    <w:keepLines w:val="0"/>
                    <w:pageBreakBefore w:val="0"/>
                    <w:widowControl/>
                    <w:suppressLineNumbers w:val="0"/>
                    <w:kinsoku/>
                    <w:wordWrap/>
                    <w:overflowPunct/>
                    <w:topLinePunct w:val="0"/>
                    <w:autoSpaceDE w:val="0"/>
                    <w:autoSpaceDN w:val="0"/>
                    <w:bidi w:val="0"/>
                    <w:adjustRightInd/>
                    <w:snapToGrid/>
                    <w:spacing w:before="20" w:beforeLines="6" w:after="20" w:afterLines="6" w:line="240" w:lineRule="auto"/>
                    <w:ind w:left="0" w:leftChars="0" w:right="0" w:rightChars="0" w:firstLine="0" w:firstLineChars="0"/>
                    <w:jc w:val="center"/>
                    <w:textAlignment w:val="bottom"/>
                    <w:rPr>
                      <w:rFonts w:hint="default" w:ascii="Times New Roman" w:hAnsi="Times New Roman" w:cs="Times New Roman" w:eastAsiaTheme="minorEastAsia"/>
                      <w:color w:val="auto"/>
                      <w:sz w:val="21"/>
                      <w:szCs w:val="21"/>
                      <w:highlight w:val="none"/>
                    </w:rPr>
                  </w:pPr>
                  <w:r>
                    <w:rPr>
                      <w:rFonts w:hint="eastAsia" w:cs="Times New Roman"/>
                      <w:i w:val="0"/>
                      <w:iCs w:val="0"/>
                      <w:color w:val="auto"/>
                      <w:kern w:val="0"/>
                      <w:sz w:val="22"/>
                      <w:szCs w:val="22"/>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136" w:type="pct"/>
                  <w:vMerge w:val="continue"/>
                  <w:tcBorders>
                    <w:tl2br w:val="nil"/>
                    <w:tr2bl w:val="nil"/>
                  </w:tcBorders>
                  <w:vAlign w:val="center"/>
                </w:tcPr>
                <w:p>
                  <w:pPr>
                    <w:pStyle w:val="35"/>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46" w:type="pct"/>
                  <w:gridSpan w:val="2"/>
                  <w:vMerge w:val="continue"/>
                  <w:tcBorders>
                    <w:tl2br w:val="nil"/>
                    <w:tr2bl w:val="nil"/>
                  </w:tcBorders>
                  <w:vAlign w:val="center"/>
                </w:tcPr>
                <w:p>
                  <w:pPr>
                    <w:pStyle w:val="35"/>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25" w:type="pct"/>
                  <w:vMerge w:val="continue"/>
                  <w:tcBorders>
                    <w:tl2br w:val="nil"/>
                    <w:tr2bl w:val="nil"/>
                  </w:tcBorders>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78" w:type="pct"/>
                  <w:vMerge w:val="continue"/>
                  <w:tcBorders>
                    <w:tl2br w:val="nil"/>
                    <w:tr2bl w:val="nil"/>
                  </w:tcBorders>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6" w:type="pct"/>
                  <w:vMerge w:val="continue"/>
                  <w:tcBorders>
                    <w:tl2br w:val="nil"/>
                    <w:tr2bl w:val="nil"/>
                  </w:tcBorders>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80" w:type="pct"/>
                  <w:gridSpan w:val="2"/>
                  <w:vMerge w:val="continue"/>
                  <w:tcBorders>
                    <w:tl2br w:val="nil"/>
                    <w:tr2bl w:val="nil"/>
                  </w:tcBorders>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1" w:type="pct"/>
                  <w:vMerge w:val="continue"/>
                  <w:tcBorders>
                    <w:tl2br w:val="nil"/>
                    <w:tr2bl w:val="nil"/>
                  </w:tcBorders>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3" w:type="pct"/>
                  <w:vMerge w:val="continue"/>
                  <w:tcBorders>
                    <w:tl2br w:val="nil"/>
                    <w:tr2bl w:val="nil"/>
                  </w:tcBorders>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9" w:type="pct"/>
                  <w:gridSpan w:val="2"/>
                  <w:vMerge w:val="continue"/>
                  <w:tcBorders>
                    <w:tl2br w:val="nil"/>
                    <w:tr2bl w:val="nil"/>
                  </w:tcBorders>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20" w:type="pct"/>
                  <w:vMerge w:val="continue"/>
                  <w:tcBorders>
                    <w:tl2br w:val="nil"/>
                    <w:tr2bl w:val="nil"/>
                  </w:tcBorders>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87" w:type="pct"/>
                  <w:gridSpan w:val="2"/>
                  <w:tcBorders>
                    <w:tl2br w:val="nil"/>
                    <w:tr2bl w:val="nil"/>
                  </w:tcBorders>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西边界</w:t>
                  </w:r>
                </w:p>
              </w:tc>
              <w:tc>
                <w:tcPr>
                  <w:tcW w:w="252" w:type="pct"/>
                  <w:gridSpan w:val="2"/>
                  <w:tcBorders>
                    <w:tl2br w:val="nil"/>
                    <w:tr2bl w:val="nil"/>
                  </w:tcBorders>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w:t>
                  </w:r>
                </w:p>
              </w:tc>
              <w:tc>
                <w:tcPr>
                  <w:tcW w:w="358" w:type="pct"/>
                  <w:gridSpan w:val="2"/>
                  <w:tcBorders>
                    <w:tl2br w:val="nil"/>
                    <w:tr2bl w:val="nil"/>
                  </w:tcBorders>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85.0 </w:t>
                  </w:r>
                </w:p>
              </w:tc>
              <w:tc>
                <w:tcPr>
                  <w:tcW w:w="394" w:type="pct"/>
                  <w:vMerge w:val="continue"/>
                  <w:tcBorders>
                    <w:tl2br w:val="nil"/>
                    <w:tr2bl w:val="nil"/>
                  </w:tcBorders>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360" w:type="pct"/>
                  <w:tcBorders>
                    <w:tl2br w:val="nil"/>
                    <w:tr2bl w:val="nil"/>
                  </w:tcBorders>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10</w:t>
                  </w:r>
                </w:p>
              </w:tc>
              <w:tc>
                <w:tcPr>
                  <w:tcW w:w="373" w:type="pct"/>
                  <w:tcBorders>
                    <w:tl2br w:val="nil"/>
                    <w:tr2bl w:val="nil"/>
                  </w:tcBorders>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69.0 </w:t>
                  </w:r>
                </w:p>
              </w:tc>
              <w:tc>
                <w:tcPr>
                  <w:tcW w:w="455" w:type="pct"/>
                  <w:tcBorders>
                    <w:tl2br w:val="nil"/>
                    <w:tr2bl w:val="nil"/>
                  </w:tcBorders>
                  <w:vAlign w:val="center"/>
                </w:tcPr>
                <w:p>
                  <w:pPr>
                    <w:keepNext w:val="0"/>
                    <w:keepLines w:val="0"/>
                    <w:pageBreakBefore w:val="0"/>
                    <w:widowControl/>
                    <w:suppressLineNumbers w:val="0"/>
                    <w:kinsoku/>
                    <w:wordWrap/>
                    <w:overflowPunct/>
                    <w:topLinePunct w:val="0"/>
                    <w:autoSpaceDE w:val="0"/>
                    <w:autoSpaceDN w:val="0"/>
                    <w:bidi w:val="0"/>
                    <w:adjustRightInd/>
                    <w:snapToGrid/>
                    <w:spacing w:before="20" w:beforeLines="6" w:after="20" w:afterLines="6" w:line="240" w:lineRule="auto"/>
                    <w:ind w:left="0" w:leftChars="0" w:right="0" w:rightChars="0" w:firstLine="0" w:firstLineChars="0"/>
                    <w:jc w:val="center"/>
                    <w:textAlignment w:val="bottom"/>
                    <w:rPr>
                      <w:rFonts w:hint="default" w:ascii="Times New Roman" w:hAnsi="Times New Roman" w:cs="Times New Roman" w:eastAsiaTheme="minorEastAsia"/>
                      <w:color w:val="auto"/>
                      <w:sz w:val="21"/>
                      <w:szCs w:val="21"/>
                      <w:highlight w:val="none"/>
                    </w:rPr>
                  </w:pPr>
                  <w:r>
                    <w:rPr>
                      <w:rFonts w:hint="eastAsia" w:cs="Times New Roman"/>
                      <w:i w:val="0"/>
                      <w:iCs w:val="0"/>
                      <w:color w:val="auto"/>
                      <w:kern w:val="0"/>
                      <w:sz w:val="22"/>
                      <w:szCs w:val="22"/>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36" w:type="pct"/>
                  <w:vMerge w:val="continue"/>
                  <w:tcBorders>
                    <w:tl2br w:val="nil"/>
                    <w:tr2bl w:val="nil"/>
                  </w:tcBorders>
                  <w:vAlign w:val="center"/>
                </w:tcPr>
                <w:p>
                  <w:pPr>
                    <w:pStyle w:val="35"/>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46" w:type="pct"/>
                  <w:gridSpan w:val="2"/>
                  <w:vMerge w:val="continue"/>
                  <w:tcBorders>
                    <w:tl2br w:val="nil"/>
                    <w:tr2bl w:val="nil"/>
                  </w:tcBorders>
                  <w:vAlign w:val="center"/>
                </w:tcPr>
                <w:p>
                  <w:pPr>
                    <w:pStyle w:val="35"/>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25" w:type="pct"/>
                  <w:vMerge w:val="continue"/>
                  <w:tcBorders>
                    <w:tl2br w:val="nil"/>
                    <w:tr2bl w:val="nil"/>
                  </w:tcBorders>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78" w:type="pct"/>
                  <w:vMerge w:val="continue"/>
                  <w:tcBorders>
                    <w:tl2br w:val="nil"/>
                    <w:tr2bl w:val="nil"/>
                  </w:tcBorders>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6" w:type="pct"/>
                  <w:vMerge w:val="continue"/>
                  <w:tcBorders>
                    <w:tl2br w:val="nil"/>
                    <w:tr2bl w:val="nil"/>
                  </w:tcBorders>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80" w:type="pct"/>
                  <w:gridSpan w:val="2"/>
                  <w:vMerge w:val="continue"/>
                  <w:tcBorders>
                    <w:tl2br w:val="nil"/>
                    <w:tr2bl w:val="nil"/>
                  </w:tcBorders>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1" w:type="pct"/>
                  <w:vMerge w:val="continue"/>
                  <w:tcBorders>
                    <w:tl2br w:val="nil"/>
                    <w:tr2bl w:val="nil"/>
                  </w:tcBorders>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3" w:type="pct"/>
                  <w:vMerge w:val="continue"/>
                  <w:tcBorders>
                    <w:tl2br w:val="nil"/>
                    <w:tr2bl w:val="nil"/>
                  </w:tcBorders>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9" w:type="pct"/>
                  <w:gridSpan w:val="2"/>
                  <w:vMerge w:val="continue"/>
                  <w:tcBorders>
                    <w:tl2br w:val="nil"/>
                    <w:tr2bl w:val="nil"/>
                  </w:tcBorders>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20" w:type="pct"/>
                  <w:vMerge w:val="continue"/>
                  <w:tcBorders>
                    <w:tl2br w:val="nil"/>
                    <w:tr2bl w:val="nil"/>
                  </w:tcBorders>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87" w:type="pct"/>
                  <w:gridSpan w:val="2"/>
                  <w:tcBorders>
                    <w:tl2br w:val="nil"/>
                    <w:tr2bl w:val="nil"/>
                  </w:tcBorders>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北边界</w:t>
                  </w:r>
                </w:p>
              </w:tc>
              <w:tc>
                <w:tcPr>
                  <w:tcW w:w="252" w:type="pct"/>
                  <w:gridSpan w:val="2"/>
                  <w:tcBorders>
                    <w:tl2br w:val="nil"/>
                    <w:tr2bl w:val="nil"/>
                  </w:tcBorders>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14</w:t>
                  </w:r>
                </w:p>
              </w:tc>
              <w:tc>
                <w:tcPr>
                  <w:tcW w:w="358" w:type="pct"/>
                  <w:gridSpan w:val="2"/>
                  <w:tcBorders>
                    <w:tl2br w:val="nil"/>
                    <w:tr2bl w:val="nil"/>
                  </w:tcBorders>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62.1 </w:t>
                  </w:r>
                </w:p>
              </w:tc>
              <w:tc>
                <w:tcPr>
                  <w:tcW w:w="394" w:type="pct"/>
                  <w:vMerge w:val="continue"/>
                  <w:tcBorders>
                    <w:tl2br w:val="nil"/>
                    <w:tr2bl w:val="nil"/>
                  </w:tcBorders>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360" w:type="pct"/>
                  <w:tcBorders>
                    <w:tl2br w:val="nil"/>
                    <w:tr2bl w:val="nil"/>
                  </w:tcBorders>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10</w:t>
                  </w:r>
                </w:p>
              </w:tc>
              <w:tc>
                <w:tcPr>
                  <w:tcW w:w="373" w:type="pct"/>
                  <w:tcBorders>
                    <w:tl2br w:val="nil"/>
                    <w:tr2bl w:val="nil"/>
                  </w:tcBorders>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46.1 </w:t>
                  </w:r>
                </w:p>
              </w:tc>
              <w:tc>
                <w:tcPr>
                  <w:tcW w:w="455" w:type="pct"/>
                  <w:tcBorders>
                    <w:tl2br w:val="nil"/>
                    <w:tr2bl w:val="nil"/>
                  </w:tcBorders>
                  <w:vAlign w:val="center"/>
                </w:tcPr>
                <w:p>
                  <w:pPr>
                    <w:keepNext w:val="0"/>
                    <w:keepLines w:val="0"/>
                    <w:pageBreakBefore w:val="0"/>
                    <w:widowControl/>
                    <w:suppressLineNumbers w:val="0"/>
                    <w:kinsoku/>
                    <w:wordWrap/>
                    <w:overflowPunct/>
                    <w:topLinePunct w:val="0"/>
                    <w:autoSpaceDE w:val="0"/>
                    <w:autoSpaceDN w:val="0"/>
                    <w:bidi w:val="0"/>
                    <w:adjustRightInd/>
                    <w:spacing w:before="20" w:beforeLines="6" w:after="20" w:afterLines="6" w:line="240" w:lineRule="auto"/>
                    <w:ind w:left="0" w:leftChars="0" w:right="0" w:rightChars="0" w:firstLine="0" w:firstLineChars="0"/>
                    <w:jc w:val="center"/>
                    <w:textAlignment w:val="bottom"/>
                    <w:rPr>
                      <w:rFonts w:hint="default" w:ascii="Times New Roman" w:hAnsi="Times New Roman" w:cs="Times New Roman" w:eastAsiaTheme="minorEastAsia"/>
                      <w:color w:val="auto"/>
                      <w:sz w:val="21"/>
                      <w:szCs w:val="21"/>
                      <w:highlight w:val="none"/>
                    </w:rPr>
                  </w:pPr>
                  <w:r>
                    <w:rPr>
                      <w:rFonts w:hint="eastAsia" w:cs="Times New Roman"/>
                      <w:i w:val="0"/>
                      <w:iCs w:val="0"/>
                      <w:color w:val="auto"/>
                      <w:kern w:val="0"/>
                      <w:sz w:val="22"/>
                      <w:szCs w:val="22"/>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36" w:type="pct"/>
                  <w:vMerge w:val="restart"/>
                  <w:tcBorders>
                    <w:tl2br w:val="nil"/>
                    <w:tr2bl w:val="nil"/>
                  </w:tcBorders>
                  <w:vAlign w:val="center"/>
                </w:tcPr>
                <w:p>
                  <w:pPr>
                    <w:pStyle w:val="35"/>
                    <w:keepNext w:val="0"/>
                    <w:keepLines w:val="0"/>
                    <w:pageBreakBefore w:val="0"/>
                    <w:widowControl w:val="0"/>
                    <w:numPr>
                      <w:ilvl w:val="0"/>
                      <w:numId w:val="30"/>
                    </w:numPr>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kern w:val="0"/>
                      <w:sz w:val="21"/>
                      <w:szCs w:val="21"/>
                      <w:highlight w:val="none"/>
                      <w:lang w:val="en-US" w:eastAsia="zh-CN" w:bidi="ar-SA"/>
                    </w:rPr>
                  </w:pPr>
                </w:p>
              </w:tc>
              <w:tc>
                <w:tcPr>
                  <w:tcW w:w="246" w:type="pct"/>
                  <w:gridSpan w:val="2"/>
                  <w:vMerge w:val="continue"/>
                  <w:tcBorders>
                    <w:tl2br w:val="nil"/>
                    <w:tr2bl w:val="nil"/>
                  </w:tcBorders>
                  <w:vAlign w:val="center"/>
                </w:tcPr>
                <w:p>
                  <w:pPr>
                    <w:pStyle w:val="35"/>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kern w:val="0"/>
                      <w:sz w:val="21"/>
                      <w:szCs w:val="21"/>
                      <w:highlight w:val="none"/>
                      <w:lang w:val="en-US" w:eastAsia="zh-CN" w:bidi="ar-SA"/>
                    </w:rPr>
                  </w:pPr>
                </w:p>
              </w:tc>
              <w:tc>
                <w:tcPr>
                  <w:tcW w:w="325" w:type="pct"/>
                  <w:vMerge w:val="restart"/>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eastAsia" w:ascii="Times New Roman" w:hAnsi="Times New Roman" w:cs="Times New Roman" w:eastAsiaTheme="minorEastAsia"/>
                      <w:color w:val="auto"/>
                      <w:kern w:val="2"/>
                      <w:sz w:val="21"/>
                      <w:szCs w:val="21"/>
                      <w:highlight w:val="none"/>
                      <w:lang w:val="en-US" w:eastAsia="zh-CN" w:bidi="ar-SA"/>
                    </w:rPr>
                  </w:pPr>
                  <w:r>
                    <w:rPr>
                      <w:rFonts w:hint="eastAsia"/>
                      <w:color w:val="auto"/>
                    </w:rPr>
                    <w:t>丝印机</w:t>
                  </w:r>
                </w:p>
              </w:tc>
              <w:tc>
                <w:tcPr>
                  <w:tcW w:w="378" w:type="pct"/>
                  <w:vMerge w:val="restart"/>
                  <w:tcBorders>
                    <w:tl2br w:val="nil"/>
                    <w:tr2bl w:val="nil"/>
                  </w:tcBorders>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default" w:ascii="Times New Roman" w:hAnsi="Times New Roman" w:cs="Times New Roman" w:eastAsiaTheme="minorEastAsia"/>
                      <w:color w:val="auto"/>
                      <w:kern w:val="2"/>
                      <w:sz w:val="21"/>
                      <w:szCs w:val="21"/>
                      <w:highlight w:val="none"/>
                      <w:lang w:val="en-US" w:eastAsia="en-US" w:bidi="ar-SA"/>
                    </w:rPr>
                  </w:pPr>
                  <w:r>
                    <w:rPr>
                      <w:rFonts w:hint="eastAsia"/>
                      <w:color w:val="auto"/>
                    </w:rPr>
                    <w:t>非标定制</w:t>
                  </w:r>
                </w:p>
              </w:tc>
              <w:tc>
                <w:tcPr>
                  <w:tcW w:w="266" w:type="pct"/>
                  <w:vMerge w:val="restart"/>
                  <w:tcBorders>
                    <w:tl2br w:val="nil"/>
                    <w:tr2bl w:val="nil"/>
                  </w:tcBorders>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kern w:val="0"/>
                      <w:sz w:val="21"/>
                      <w:szCs w:val="21"/>
                      <w:highlight w:val="none"/>
                      <w:lang w:val="en-US" w:eastAsia="zh-CN" w:bidi="ar-SA"/>
                    </w:rPr>
                  </w:pPr>
                  <w:r>
                    <w:rPr>
                      <w:rFonts w:hint="eastAsia" w:cs="Times New Roman" w:eastAsiaTheme="minorEastAsia"/>
                      <w:color w:val="auto"/>
                      <w:kern w:val="0"/>
                      <w:sz w:val="21"/>
                      <w:szCs w:val="21"/>
                      <w:highlight w:val="none"/>
                      <w:lang w:val="en-US" w:eastAsia="zh-CN" w:bidi="ar-SA"/>
                    </w:rPr>
                    <w:t>70</w:t>
                  </w:r>
                </w:p>
              </w:tc>
              <w:tc>
                <w:tcPr>
                  <w:tcW w:w="280" w:type="pct"/>
                  <w:gridSpan w:val="2"/>
                  <w:vMerge w:val="restart"/>
                  <w:tcBorders>
                    <w:tl2br w:val="nil"/>
                    <w:tr2bl w:val="nil"/>
                  </w:tcBorders>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kern w:val="0"/>
                      <w:sz w:val="21"/>
                      <w:szCs w:val="21"/>
                      <w:highlight w:val="none"/>
                      <w:lang w:val="en-US" w:eastAsia="zh-CN" w:bidi="ar-SA"/>
                    </w:rPr>
                  </w:pPr>
                  <w:r>
                    <w:rPr>
                      <w:rFonts w:hint="eastAsia" w:ascii="Times New Roman" w:hAnsi="Times New Roman" w:cs="Times New Roman" w:eastAsiaTheme="minorEastAsia"/>
                      <w:color w:val="auto"/>
                      <w:sz w:val="21"/>
                      <w:szCs w:val="21"/>
                      <w:highlight w:val="none"/>
                      <w:lang w:val="en-US" w:eastAsia="zh-CN"/>
                    </w:rPr>
                    <w:t>选用低噪声设备，基础减振</w:t>
                  </w:r>
                </w:p>
              </w:tc>
              <w:tc>
                <w:tcPr>
                  <w:tcW w:w="291" w:type="pct"/>
                  <w:vMerge w:val="restart"/>
                  <w:tcBorders>
                    <w:tl2br w:val="nil"/>
                    <w:tr2bl w:val="nil"/>
                  </w:tcBorders>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kern w:val="0"/>
                      <w:sz w:val="21"/>
                      <w:szCs w:val="21"/>
                      <w:highlight w:val="none"/>
                      <w:lang w:val="en-US" w:eastAsia="zh-CN" w:bidi="ar-SA"/>
                    </w:rPr>
                  </w:pPr>
                  <w:r>
                    <w:rPr>
                      <w:rFonts w:hint="eastAsia" w:cs="Times New Roman" w:eastAsiaTheme="minorEastAsia"/>
                      <w:color w:val="auto"/>
                      <w:sz w:val="21"/>
                      <w:szCs w:val="21"/>
                      <w:highlight w:val="none"/>
                      <w:lang w:val="en-US" w:eastAsia="zh-CN"/>
                    </w:rPr>
                    <w:t>5</w:t>
                  </w:r>
                </w:p>
              </w:tc>
              <w:tc>
                <w:tcPr>
                  <w:tcW w:w="183" w:type="pct"/>
                  <w:vMerge w:val="restart"/>
                  <w:tcBorders>
                    <w:tl2br w:val="nil"/>
                    <w:tr2bl w:val="nil"/>
                  </w:tcBorders>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kern w:val="0"/>
                      <w:sz w:val="21"/>
                      <w:szCs w:val="21"/>
                      <w:highlight w:val="none"/>
                      <w:lang w:val="en-US" w:eastAsia="zh-CN" w:bidi="ar-SA"/>
                    </w:rPr>
                  </w:pPr>
                  <w:r>
                    <w:rPr>
                      <w:rFonts w:hint="eastAsia" w:ascii="Times New Roman" w:hAnsi="Times New Roman" w:cs="Times New Roman" w:eastAsiaTheme="minorEastAsia"/>
                      <w:color w:val="auto"/>
                      <w:kern w:val="0"/>
                      <w:sz w:val="21"/>
                      <w:szCs w:val="21"/>
                      <w:highlight w:val="none"/>
                      <w:lang w:val="en-US" w:eastAsia="zh-CN" w:bidi="ar-SA"/>
                    </w:rPr>
                    <w:t>14</w:t>
                  </w:r>
                </w:p>
              </w:tc>
              <w:tc>
                <w:tcPr>
                  <w:tcW w:w="189" w:type="pct"/>
                  <w:gridSpan w:val="2"/>
                  <w:vMerge w:val="restart"/>
                  <w:tcBorders>
                    <w:tl2br w:val="nil"/>
                    <w:tr2bl w:val="nil"/>
                  </w:tcBorders>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kern w:val="0"/>
                      <w:sz w:val="21"/>
                      <w:szCs w:val="21"/>
                      <w:highlight w:val="none"/>
                      <w:lang w:val="en-US" w:eastAsia="zh-CN" w:bidi="ar-SA"/>
                    </w:rPr>
                  </w:pPr>
                  <w:r>
                    <w:rPr>
                      <w:rFonts w:hint="eastAsia" w:ascii="Times New Roman" w:hAnsi="Times New Roman" w:cs="Times New Roman" w:eastAsiaTheme="minorEastAsia"/>
                      <w:color w:val="auto"/>
                      <w:kern w:val="0"/>
                      <w:sz w:val="21"/>
                      <w:szCs w:val="21"/>
                      <w:highlight w:val="none"/>
                      <w:lang w:val="en-US" w:eastAsia="zh-CN" w:bidi="ar-SA"/>
                    </w:rPr>
                    <w:t>35</w:t>
                  </w:r>
                </w:p>
              </w:tc>
              <w:tc>
                <w:tcPr>
                  <w:tcW w:w="220" w:type="pct"/>
                  <w:vMerge w:val="restart"/>
                  <w:tcBorders>
                    <w:tl2br w:val="nil"/>
                    <w:tr2bl w:val="nil"/>
                  </w:tcBorders>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kern w:val="0"/>
                      <w:sz w:val="21"/>
                      <w:szCs w:val="21"/>
                      <w:highlight w:val="none"/>
                      <w:lang w:val="en-US" w:eastAsia="zh-CN" w:bidi="ar-SA"/>
                    </w:rPr>
                  </w:pPr>
                  <w:r>
                    <w:rPr>
                      <w:rFonts w:hint="eastAsia" w:cs="Times New Roman" w:eastAsiaTheme="minorEastAsia"/>
                      <w:color w:val="auto"/>
                      <w:kern w:val="0"/>
                      <w:sz w:val="21"/>
                      <w:szCs w:val="21"/>
                      <w:highlight w:val="none"/>
                      <w:lang w:val="en-US" w:eastAsia="zh-CN" w:bidi="ar-SA"/>
                    </w:rPr>
                    <w:t>1</w:t>
                  </w:r>
                </w:p>
              </w:tc>
              <w:tc>
                <w:tcPr>
                  <w:tcW w:w="287" w:type="pct"/>
                  <w:gridSpan w:val="2"/>
                  <w:tcBorders>
                    <w:tl2br w:val="nil"/>
                    <w:tr2bl w:val="nil"/>
                  </w:tcBorders>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eastAsia" w:ascii="Times New Roman" w:hAnsi="Times New Roman" w:cs="Times New Roman" w:eastAsiaTheme="minorEastAsia"/>
                      <w:color w:val="auto"/>
                      <w:kern w:val="0"/>
                      <w:sz w:val="21"/>
                      <w:szCs w:val="21"/>
                      <w:highlight w:val="none"/>
                      <w:lang w:val="en-US" w:eastAsia="zh-CN" w:bidi="ar-SA"/>
                    </w:rPr>
                  </w:pPr>
                  <w:r>
                    <w:rPr>
                      <w:rFonts w:hint="eastAsia" w:ascii="Times New Roman" w:hAnsi="Times New Roman" w:cs="Times New Roman" w:eastAsiaTheme="minorEastAsia"/>
                      <w:color w:val="auto"/>
                      <w:sz w:val="21"/>
                      <w:szCs w:val="21"/>
                      <w:highlight w:val="none"/>
                      <w:lang w:val="en-US" w:eastAsia="zh-CN"/>
                    </w:rPr>
                    <w:t>东边界</w:t>
                  </w:r>
                </w:p>
              </w:tc>
              <w:tc>
                <w:tcPr>
                  <w:tcW w:w="252" w:type="pct"/>
                  <w:gridSpan w:val="2"/>
                  <w:tcBorders>
                    <w:tl2br w:val="nil"/>
                    <w:tr2bl w:val="nil"/>
                  </w:tcBorders>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kern w:val="0"/>
                      <w:sz w:val="21"/>
                      <w:szCs w:val="21"/>
                      <w:highlight w:val="none"/>
                      <w:lang w:val="en-US" w:eastAsia="zh-CN" w:bidi="ar-SA"/>
                    </w:rPr>
                  </w:pPr>
                  <w:r>
                    <w:rPr>
                      <w:rFonts w:hint="eastAsia" w:ascii="Times New Roman" w:hAnsi="Times New Roman" w:cs="Times New Roman" w:eastAsiaTheme="minorEastAsia"/>
                      <w:color w:val="auto"/>
                      <w:kern w:val="0"/>
                      <w:sz w:val="21"/>
                      <w:szCs w:val="21"/>
                      <w:highlight w:val="none"/>
                      <w:lang w:val="en-US" w:eastAsia="zh-CN" w:bidi="ar-SA"/>
                    </w:rPr>
                    <w:t>96</w:t>
                  </w:r>
                </w:p>
              </w:tc>
              <w:tc>
                <w:tcPr>
                  <w:tcW w:w="358" w:type="pct"/>
                  <w:gridSpan w:val="2"/>
                  <w:tcBorders>
                    <w:tl2br w:val="nil"/>
                    <w:tr2bl w:val="nil"/>
                  </w:tcBorders>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25.4 </w:t>
                  </w:r>
                </w:p>
              </w:tc>
              <w:tc>
                <w:tcPr>
                  <w:tcW w:w="394" w:type="pct"/>
                  <w:vMerge w:val="restart"/>
                  <w:tcBorders>
                    <w:tl2br w:val="nil"/>
                    <w:tr2bl w:val="nil"/>
                  </w:tcBorders>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00:00-24:00</w:t>
                  </w:r>
                </w:p>
              </w:tc>
              <w:tc>
                <w:tcPr>
                  <w:tcW w:w="360" w:type="pct"/>
                  <w:tcBorders>
                    <w:tl2br w:val="nil"/>
                    <w:tr2bl w:val="nil"/>
                  </w:tcBorders>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10</w:t>
                  </w:r>
                </w:p>
              </w:tc>
              <w:tc>
                <w:tcPr>
                  <w:tcW w:w="373" w:type="pct"/>
                  <w:tcBorders>
                    <w:tl2br w:val="nil"/>
                    <w:tr2bl w:val="nil"/>
                  </w:tcBorders>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9.4 </w:t>
                  </w:r>
                </w:p>
              </w:tc>
              <w:tc>
                <w:tcPr>
                  <w:tcW w:w="455" w:type="pct"/>
                  <w:tcBorders>
                    <w:tl2br w:val="nil"/>
                    <w:tr2bl w:val="nil"/>
                  </w:tcBorders>
                  <w:vAlign w:val="center"/>
                </w:tcPr>
                <w:p>
                  <w:pPr>
                    <w:keepNext w:val="0"/>
                    <w:keepLines w:val="0"/>
                    <w:pageBreakBefore w:val="0"/>
                    <w:widowControl/>
                    <w:suppressLineNumbers w:val="0"/>
                    <w:kinsoku/>
                    <w:wordWrap/>
                    <w:overflowPunct/>
                    <w:topLinePunct w:val="0"/>
                    <w:autoSpaceDE w:val="0"/>
                    <w:autoSpaceDN w:val="0"/>
                    <w:bidi w:val="0"/>
                    <w:adjustRightInd/>
                    <w:spacing w:before="20" w:beforeLines="6" w:after="20" w:afterLines="6" w:line="240" w:lineRule="auto"/>
                    <w:ind w:left="0" w:leftChars="0" w:right="0" w:rightChars="0" w:firstLine="0" w:firstLineChars="0"/>
                    <w:jc w:val="center"/>
                    <w:textAlignment w:val="bottom"/>
                    <w:rPr>
                      <w:rFonts w:hint="eastAsia" w:ascii="Times New Roman" w:hAnsi="Times New Roman" w:cs="Times New Roman" w:eastAsiaTheme="minorEastAsia"/>
                      <w:color w:val="auto"/>
                      <w:kern w:val="2"/>
                      <w:sz w:val="21"/>
                      <w:szCs w:val="21"/>
                      <w:highlight w:val="none"/>
                      <w:lang w:val="en-US" w:eastAsia="zh-CN" w:bidi="ar-SA"/>
                    </w:rPr>
                  </w:pPr>
                  <w:r>
                    <w:rPr>
                      <w:rFonts w:hint="eastAsia" w:cs="Times New Roman"/>
                      <w:i w:val="0"/>
                      <w:iCs w:val="0"/>
                      <w:color w:val="auto"/>
                      <w:kern w:val="0"/>
                      <w:sz w:val="22"/>
                      <w:szCs w:val="22"/>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36"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46"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25"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78"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6"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80"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1"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3"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9"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20"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87"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eastAsia" w:ascii="Times New Roman" w:hAnsi="Times New Roman" w:cs="Times New Roman" w:eastAsiaTheme="minorEastAsia"/>
                      <w:color w:val="auto"/>
                      <w:kern w:val="0"/>
                      <w:sz w:val="21"/>
                      <w:szCs w:val="21"/>
                      <w:highlight w:val="none"/>
                      <w:lang w:val="en-US" w:eastAsia="zh-CN" w:bidi="ar-SA"/>
                    </w:rPr>
                  </w:pPr>
                  <w:r>
                    <w:rPr>
                      <w:rFonts w:hint="eastAsia" w:ascii="Times New Roman" w:hAnsi="Times New Roman" w:cs="Times New Roman" w:eastAsiaTheme="minorEastAsia"/>
                      <w:color w:val="auto"/>
                      <w:sz w:val="21"/>
                      <w:szCs w:val="21"/>
                      <w:highlight w:val="none"/>
                      <w:lang w:val="en-US" w:eastAsia="zh-CN"/>
                    </w:rPr>
                    <w:t>南边界</w:t>
                  </w:r>
                </w:p>
              </w:tc>
              <w:tc>
                <w:tcPr>
                  <w:tcW w:w="252"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kern w:val="0"/>
                      <w:sz w:val="21"/>
                      <w:szCs w:val="21"/>
                      <w:highlight w:val="none"/>
                      <w:lang w:val="en-US" w:eastAsia="zh-CN" w:bidi="ar-SA"/>
                    </w:rPr>
                  </w:pPr>
                  <w:r>
                    <w:rPr>
                      <w:rFonts w:hint="eastAsia" w:ascii="Times New Roman" w:hAnsi="Times New Roman" w:cs="Times New Roman" w:eastAsiaTheme="minorEastAsia"/>
                      <w:color w:val="auto"/>
                      <w:kern w:val="0"/>
                      <w:sz w:val="21"/>
                      <w:szCs w:val="21"/>
                      <w:highlight w:val="none"/>
                      <w:lang w:val="en-US" w:eastAsia="zh-CN" w:bidi="ar-SA"/>
                    </w:rPr>
                    <w:t>50</w:t>
                  </w:r>
                </w:p>
              </w:tc>
              <w:tc>
                <w:tcPr>
                  <w:tcW w:w="358"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31.0 </w:t>
                  </w:r>
                </w:p>
              </w:tc>
              <w:tc>
                <w:tcPr>
                  <w:tcW w:w="394"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360"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10</w:t>
                  </w:r>
                </w:p>
              </w:tc>
              <w:tc>
                <w:tcPr>
                  <w:tcW w:w="373"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15.0 </w:t>
                  </w:r>
                </w:p>
              </w:tc>
              <w:tc>
                <w:tcPr>
                  <w:tcW w:w="455" w:type="pct"/>
                  <w:vAlign w:val="center"/>
                </w:tcPr>
                <w:p>
                  <w:pPr>
                    <w:keepNext w:val="0"/>
                    <w:keepLines w:val="0"/>
                    <w:pageBreakBefore w:val="0"/>
                    <w:widowControl/>
                    <w:suppressLineNumbers w:val="0"/>
                    <w:kinsoku/>
                    <w:wordWrap/>
                    <w:overflowPunct/>
                    <w:topLinePunct w:val="0"/>
                    <w:autoSpaceDE w:val="0"/>
                    <w:autoSpaceDN w:val="0"/>
                    <w:bidi w:val="0"/>
                    <w:adjustRightInd/>
                    <w:snapToGrid/>
                    <w:spacing w:before="20" w:beforeLines="6" w:after="20" w:afterLines="6" w:line="240" w:lineRule="auto"/>
                    <w:ind w:left="0" w:leftChars="0" w:right="0" w:rightChars="0" w:firstLine="0" w:firstLineChars="0"/>
                    <w:jc w:val="center"/>
                    <w:textAlignment w:val="bottom"/>
                    <w:rPr>
                      <w:rFonts w:hint="eastAsia" w:ascii="Times New Roman" w:hAnsi="Times New Roman" w:cs="Times New Roman" w:eastAsiaTheme="minorEastAsia"/>
                      <w:color w:val="auto"/>
                      <w:kern w:val="2"/>
                      <w:sz w:val="21"/>
                      <w:szCs w:val="21"/>
                      <w:highlight w:val="none"/>
                      <w:lang w:val="en-US" w:eastAsia="zh-CN" w:bidi="ar-SA"/>
                    </w:rPr>
                  </w:pPr>
                  <w:r>
                    <w:rPr>
                      <w:rFonts w:hint="eastAsia" w:cs="Times New Roman"/>
                      <w:i w:val="0"/>
                      <w:iCs w:val="0"/>
                      <w:color w:val="auto"/>
                      <w:kern w:val="0"/>
                      <w:sz w:val="22"/>
                      <w:szCs w:val="22"/>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36"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46"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25"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78"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6"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80"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1"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3"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9"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20"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87"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eastAsia" w:ascii="Times New Roman" w:hAnsi="Times New Roman" w:cs="Times New Roman" w:eastAsiaTheme="minorEastAsia"/>
                      <w:color w:val="auto"/>
                      <w:kern w:val="0"/>
                      <w:sz w:val="21"/>
                      <w:szCs w:val="21"/>
                      <w:highlight w:val="none"/>
                      <w:lang w:val="en-US" w:eastAsia="zh-CN" w:bidi="ar-SA"/>
                    </w:rPr>
                  </w:pPr>
                  <w:r>
                    <w:rPr>
                      <w:rFonts w:hint="eastAsia" w:ascii="Times New Roman" w:hAnsi="Times New Roman" w:cs="Times New Roman" w:eastAsiaTheme="minorEastAsia"/>
                      <w:color w:val="auto"/>
                      <w:sz w:val="21"/>
                      <w:szCs w:val="21"/>
                      <w:highlight w:val="none"/>
                      <w:lang w:val="en-US" w:eastAsia="zh-CN"/>
                    </w:rPr>
                    <w:t>西边界</w:t>
                  </w:r>
                </w:p>
              </w:tc>
              <w:tc>
                <w:tcPr>
                  <w:tcW w:w="252"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kern w:val="0"/>
                      <w:sz w:val="21"/>
                      <w:szCs w:val="21"/>
                      <w:highlight w:val="none"/>
                      <w:lang w:val="en-US" w:eastAsia="zh-CN" w:bidi="ar-SA"/>
                    </w:rPr>
                  </w:pPr>
                  <w:r>
                    <w:rPr>
                      <w:rFonts w:hint="eastAsia" w:ascii="Times New Roman" w:hAnsi="Times New Roman" w:cs="Times New Roman" w:eastAsiaTheme="minorEastAsia"/>
                      <w:color w:val="auto"/>
                      <w:kern w:val="0"/>
                      <w:sz w:val="21"/>
                      <w:szCs w:val="21"/>
                      <w:highlight w:val="none"/>
                      <w:lang w:val="en-US" w:eastAsia="zh-CN" w:bidi="ar-SA"/>
                    </w:rPr>
                    <w:t>14</w:t>
                  </w:r>
                </w:p>
              </w:tc>
              <w:tc>
                <w:tcPr>
                  <w:tcW w:w="358"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42.1 </w:t>
                  </w:r>
                </w:p>
              </w:tc>
              <w:tc>
                <w:tcPr>
                  <w:tcW w:w="394"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360"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10</w:t>
                  </w:r>
                </w:p>
              </w:tc>
              <w:tc>
                <w:tcPr>
                  <w:tcW w:w="373"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26.1 </w:t>
                  </w:r>
                </w:p>
              </w:tc>
              <w:tc>
                <w:tcPr>
                  <w:tcW w:w="455" w:type="pct"/>
                  <w:vAlign w:val="center"/>
                </w:tcPr>
                <w:p>
                  <w:pPr>
                    <w:keepNext w:val="0"/>
                    <w:keepLines w:val="0"/>
                    <w:pageBreakBefore w:val="0"/>
                    <w:widowControl/>
                    <w:suppressLineNumbers w:val="0"/>
                    <w:kinsoku/>
                    <w:wordWrap/>
                    <w:overflowPunct/>
                    <w:topLinePunct w:val="0"/>
                    <w:autoSpaceDE w:val="0"/>
                    <w:autoSpaceDN w:val="0"/>
                    <w:bidi w:val="0"/>
                    <w:adjustRightInd/>
                    <w:snapToGrid/>
                    <w:spacing w:before="20" w:beforeLines="6" w:after="20" w:afterLines="6" w:line="240" w:lineRule="auto"/>
                    <w:ind w:left="0" w:leftChars="0" w:right="0" w:rightChars="0" w:firstLine="0" w:firstLineChars="0"/>
                    <w:jc w:val="center"/>
                    <w:textAlignment w:val="bottom"/>
                    <w:rPr>
                      <w:rFonts w:hint="eastAsia" w:ascii="Times New Roman" w:hAnsi="Times New Roman" w:cs="Times New Roman" w:eastAsiaTheme="minorEastAsia"/>
                      <w:color w:val="auto"/>
                      <w:kern w:val="2"/>
                      <w:sz w:val="21"/>
                      <w:szCs w:val="21"/>
                      <w:highlight w:val="none"/>
                      <w:lang w:val="en-US" w:eastAsia="zh-CN" w:bidi="ar-SA"/>
                    </w:rPr>
                  </w:pPr>
                  <w:r>
                    <w:rPr>
                      <w:rFonts w:hint="eastAsia" w:cs="Times New Roman"/>
                      <w:i w:val="0"/>
                      <w:iCs w:val="0"/>
                      <w:color w:val="auto"/>
                      <w:kern w:val="0"/>
                      <w:sz w:val="22"/>
                      <w:szCs w:val="22"/>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36"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46"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25"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78"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6"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80"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1"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3"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9"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20"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87"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eastAsia" w:ascii="Times New Roman" w:hAnsi="Times New Roman" w:cs="Times New Roman" w:eastAsiaTheme="minorEastAsia"/>
                      <w:color w:val="auto"/>
                      <w:kern w:val="0"/>
                      <w:sz w:val="21"/>
                      <w:szCs w:val="21"/>
                      <w:highlight w:val="none"/>
                      <w:lang w:val="en-US" w:eastAsia="zh-CN" w:bidi="ar-SA"/>
                    </w:rPr>
                  </w:pPr>
                  <w:r>
                    <w:rPr>
                      <w:rFonts w:hint="eastAsia" w:ascii="Times New Roman" w:hAnsi="Times New Roman" w:cs="Times New Roman" w:eastAsiaTheme="minorEastAsia"/>
                      <w:color w:val="auto"/>
                      <w:sz w:val="21"/>
                      <w:szCs w:val="21"/>
                      <w:highlight w:val="none"/>
                      <w:lang w:val="en-US" w:eastAsia="zh-CN"/>
                    </w:rPr>
                    <w:t>北边界</w:t>
                  </w:r>
                </w:p>
              </w:tc>
              <w:tc>
                <w:tcPr>
                  <w:tcW w:w="252"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kern w:val="0"/>
                      <w:sz w:val="21"/>
                      <w:szCs w:val="21"/>
                      <w:highlight w:val="none"/>
                      <w:lang w:val="en-US" w:eastAsia="zh-CN" w:bidi="ar-SA"/>
                    </w:rPr>
                  </w:pPr>
                  <w:r>
                    <w:rPr>
                      <w:rFonts w:hint="eastAsia" w:ascii="Times New Roman" w:hAnsi="Times New Roman" w:cs="Times New Roman" w:eastAsiaTheme="minorEastAsia"/>
                      <w:color w:val="auto"/>
                      <w:kern w:val="0"/>
                      <w:sz w:val="21"/>
                      <w:szCs w:val="21"/>
                      <w:highlight w:val="none"/>
                      <w:lang w:val="en-US" w:eastAsia="zh-CN" w:bidi="ar-SA"/>
                    </w:rPr>
                    <w:t>20</w:t>
                  </w:r>
                </w:p>
              </w:tc>
              <w:tc>
                <w:tcPr>
                  <w:tcW w:w="358"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39.0 </w:t>
                  </w:r>
                </w:p>
              </w:tc>
              <w:tc>
                <w:tcPr>
                  <w:tcW w:w="394"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360"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10</w:t>
                  </w:r>
                </w:p>
              </w:tc>
              <w:tc>
                <w:tcPr>
                  <w:tcW w:w="373"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23.0 </w:t>
                  </w:r>
                </w:p>
              </w:tc>
              <w:tc>
                <w:tcPr>
                  <w:tcW w:w="455" w:type="pct"/>
                  <w:vAlign w:val="center"/>
                </w:tcPr>
                <w:p>
                  <w:pPr>
                    <w:keepNext w:val="0"/>
                    <w:keepLines w:val="0"/>
                    <w:pageBreakBefore w:val="0"/>
                    <w:widowControl/>
                    <w:suppressLineNumbers w:val="0"/>
                    <w:kinsoku/>
                    <w:wordWrap/>
                    <w:overflowPunct/>
                    <w:topLinePunct w:val="0"/>
                    <w:autoSpaceDE w:val="0"/>
                    <w:autoSpaceDN w:val="0"/>
                    <w:bidi w:val="0"/>
                    <w:adjustRightInd/>
                    <w:spacing w:before="20" w:beforeLines="6" w:after="20" w:afterLines="6" w:line="240" w:lineRule="auto"/>
                    <w:ind w:left="0" w:leftChars="0" w:right="0" w:rightChars="0" w:firstLine="0" w:firstLineChars="0"/>
                    <w:jc w:val="center"/>
                    <w:textAlignment w:val="bottom"/>
                    <w:rPr>
                      <w:rFonts w:hint="eastAsia" w:ascii="Times New Roman" w:hAnsi="Times New Roman" w:cs="Times New Roman" w:eastAsiaTheme="minorEastAsia"/>
                      <w:color w:val="auto"/>
                      <w:kern w:val="2"/>
                      <w:sz w:val="21"/>
                      <w:szCs w:val="21"/>
                      <w:highlight w:val="none"/>
                      <w:lang w:val="en-US" w:eastAsia="zh-CN" w:bidi="ar-SA"/>
                    </w:rPr>
                  </w:pPr>
                  <w:r>
                    <w:rPr>
                      <w:rFonts w:hint="eastAsia" w:cs="Times New Roman"/>
                      <w:i w:val="0"/>
                      <w:iCs w:val="0"/>
                      <w:color w:val="auto"/>
                      <w:kern w:val="0"/>
                      <w:sz w:val="22"/>
                      <w:szCs w:val="22"/>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85" w:hRule="atLeast"/>
                <w:jc w:val="center"/>
              </w:trPr>
              <w:tc>
                <w:tcPr>
                  <w:tcW w:w="136" w:type="pct"/>
                  <w:vMerge w:val="restart"/>
                  <w:vAlign w:val="center"/>
                </w:tcPr>
                <w:p>
                  <w:pPr>
                    <w:pStyle w:val="35"/>
                    <w:keepNext w:val="0"/>
                    <w:keepLines w:val="0"/>
                    <w:pageBreakBefore w:val="0"/>
                    <w:widowControl w:val="0"/>
                    <w:numPr>
                      <w:ilvl w:val="0"/>
                      <w:numId w:val="30"/>
                    </w:numPr>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kern w:val="0"/>
                      <w:sz w:val="21"/>
                      <w:szCs w:val="21"/>
                      <w:highlight w:val="none"/>
                      <w:lang w:val="en-US" w:eastAsia="zh-CN" w:bidi="ar-SA"/>
                    </w:rPr>
                  </w:pPr>
                </w:p>
              </w:tc>
              <w:tc>
                <w:tcPr>
                  <w:tcW w:w="246"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kern w:val="0"/>
                      <w:sz w:val="21"/>
                      <w:szCs w:val="21"/>
                      <w:highlight w:val="none"/>
                      <w:lang w:val="en-US" w:eastAsia="zh-CN" w:bidi="ar-SA"/>
                    </w:rPr>
                  </w:pPr>
                </w:p>
              </w:tc>
              <w:tc>
                <w:tcPr>
                  <w:tcW w:w="325" w:type="pct"/>
                  <w:vMerge w:val="restart"/>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eastAsia" w:ascii="Times New Roman" w:hAnsi="Times New Roman" w:cs="Times New Roman" w:eastAsiaTheme="minorEastAsia"/>
                      <w:color w:val="auto"/>
                      <w:kern w:val="2"/>
                      <w:sz w:val="21"/>
                      <w:szCs w:val="21"/>
                      <w:highlight w:val="none"/>
                      <w:lang w:val="en-US" w:eastAsia="zh-CN" w:bidi="ar-SA"/>
                    </w:rPr>
                  </w:pPr>
                  <w:r>
                    <w:rPr>
                      <w:rFonts w:hint="eastAsia"/>
                      <w:color w:val="auto"/>
                    </w:rPr>
                    <w:t>丝印机</w:t>
                  </w:r>
                </w:p>
              </w:tc>
              <w:tc>
                <w:tcPr>
                  <w:tcW w:w="378" w:type="pct"/>
                  <w:vMerge w:val="restart"/>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default" w:ascii="Times New Roman" w:hAnsi="Times New Roman" w:cs="Times New Roman" w:eastAsiaTheme="minorEastAsia"/>
                      <w:color w:val="auto"/>
                      <w:kern w:val="2"/>
                      <w:sz w:val="21"/>
                      <w:szCs w:val="21"/>
                      <w:highlight w:val="none"/>
                      <w:lang w:val="en-US" w:eastAsia="en-US" w:bidi="ar-SA"/>
                    </w:rPr>
                  </w:pPr>
                  <w:r>
                    <w:rPr>
                      <w:rFonts w:hint="eastAsia"/>
                      <w:color w:val="auto"/>
                    </w:rPr>
                    <w:t>非标定制</w:t>
                  </w:r>
                </w:p>
              </w:tc>
              <w:tc>
                <w:tcPr>
                  <w:tcW w:w="266" w:type="pct"/>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kern w:val="0"/>
                      <w:sz w:val="21"/>
                      <w:szCs w:val="21"/>
                      <w:highlight w:val="none"/>
                      <w:lang w:val="en-US" w:eastAsia="zh-CN" w:bidi="ar-SA"/>
                    </w:rPr>
                  </w:pPr>
                  <w:r>
                    <w:rPr>
                      <w:rFonts w:hint="eastAsia" w:cs="Times New Roman" w:eastAsiaTheme="minorEastAsia"/>
                      <w:color w:val="auto"/>
                      <w:kern w:val="0"/>
                      <w:sz w:val="21"/>
                      <w:szCs w:val="21"/>
                      <w:highlight w:val="none"/>
                      <w:lang w:val="en-US" w:eastAsia="zh-CN" w:bidi="ar-SA"/>
                    </w:rPr>
                    <w:t>70</w:t>
                  </w:r>
                </w:p>
              </w:tc>
              <w:tc>
                <w:tcPr>
                  <w:tcW w:w="280" w:type="pct"/>
                  <w:gridSpan w:val="2"/>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kern w:val="0"/>
                      <w:sz w:val="21"/>
                      <w:szCs w:val="21"/>
                      <w:highlight w:val="none"/>
                      <w:lang w:val="en-US" w:eastAsia="zh-CN" w:bidi="ar-SA"/>
                    </w:rPr>
                  </w:pPr>
                  <w:r>
                    <w:rPr>
                      <w:rFonts w:hint="eastAsia" w:ascii="Times New Roman" w:hAnsi="Times New Roman" w:cs="Times New Roman" w:eastAsiaTheme="minorEastAsia"/>
                      <w:color w:val="auto"/>
                      <w:sz w:val="21"/>
                      <w:szCs w:val="21"/>
                      <w:highlight w:val="none"/>
                      <w:lang w:val="en-US" w:eastAsia="zh-CN"/>
                    </w:rPr>
                    <w:t>选用低噪声设备，基础减振</w:t>
                  </w:r>
                </w:p>
              </w:tc>
              <w:tc>
                <w:tcPr>
                  <w:tcW w:w="291" w:type="pct"/>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kern w:val="0"/>
                      <w:sz w:val="21"/>
                      <w:szCs w:val="21"/>
                      <w:highlight w:val="none"/>
                      <w:lang w:val="en-US" w:eastAsia="zh-CN" w:bidi="ar-SA"/>
                    </w:rPr>
                  </w:pPr>
                  <w:r>
                    <w:rPr>
                      <w:rFonts w:hint="eastAsia" w:cs="Times New Roman" w:eastAsiaTheme="minorEastAsia"/>
                      <w:color w:val="auto"/>
                      <w:sz w:val="21"/>
                      <w:szCs w:val="21"/>
                      <w:highlight w:val="none"/>
                      <w:lang w:val="en-US" w:eastAsia="zh-CN"/>
                    </w:rPr>
                    <w:t>5</w:t>
                  </w:r>
                </w:p>
              </w:tc>
              <w:tc>
                <w:tcPr>
                  <w:tcW w:w="183" w:type="pct"/>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kern w:val="0"/>
                      <w:sz w:val="21"/>
                      <w:szCs w:val="21"/>
                      <w:highlight w:val="none"/>
                      <w:lang w:val="en-US" w:eastAsia="zh-CN" w:bidi="ar-SA"/>
                    </w:rPr>
                  </w:pPr>
                  <w:r>
                    <w:rPr>
                      <w:rFonts w:hint="eastAsia" w:ascii="Times New Roman" w:hAnsi="Times New Roman" w:cs="Times New Roman" w:eastAsiaTheme="minorEastAsia"/>
                      <w:color w:val="auto"/>
                      <w:kern w:val="0"/>
                      <w:sz w:val="21"/>
                      <w:szCs w:val="21"/>
                      <w:highlight w:val="none"/>
                      <w:lang w:val="en-US" w:eastAsia="zh-CN" w:bidi="ar-SA"/>
                    </w:rPr>
                    <w:t>14</w:t>
                  </w:r>
                </w:p>
              </w:tc>
              <w:tc>
                <w:tcPr>
                  <w:tcW w:w="189" w:type="pct"/>
                  <w:gridSpan w:val="2"/>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kern w:val="0"/>
                      <w:sz w:val="21"/>
                      <w:szCs w:val="21"/>
                      <w:highlight w:val="none"/>
                      <w:lang w:val="en-US" w:eastAsia="zh-CN" w:bidi="ar-SA"/>
                    </w:rPr>
                  </w:pPr>
                  <w:r>
                    <w:rPr>
                      <w:rFonts w:hint="eastAsia" w:ascii="Times New Roman" w:hAnsi="Times New Roman" w:cs="Times New Roman" w:eastAsiaTheme="minorEastAsia"/>
                      <w:color w:val="auto"/>
                      <w:kern w:val="0"/>
                      <w:sz w:val="21"/>
                      <w:szCs w:val="21"/>
                      <w:highlight w:val="none"/>
                      <w:lang w:val="en-US" w:eastAsia="zh-CN" w:bidi="ar-SA"/>
                    </w:rPr>
                    <w:t>33</w:t>
                  </w:r>
                </w:p>
              </w:tc>
              <w:tc>
                <w:tcPr>
                  <w:tcW w:w="220" w:type="pct"/>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kern w:val="0"/>
                      <w:sz w:val="21"/>
                      <w:szCs w:val="21"/>
                      <w:highlight w:val="none"/>
                      <w:lang w:val="en-US" w:eastAsia="zh-CN" w:bidi="ar-SA"/>
                    </w:rPr>
                  </w:pPr>
                  <w:r>
                    <w:rPr>
                      <w:rFonts w:hint="eastAsia" w:cs="Times New Roman" w:eastAsiaTheme="minorEastAsia"/>
                      <w:color w:val="auto"/>
                      <w:kern w:val="0"/>
                      <w:sz w:val="21"/>
                      <w:szCs w:val="21"/>
                      <w:highlight w:val="none"/>
                      <w:lang w:val="en-US" w:eastAsia="zh-CN" w:bidi="ar-SA"/>
                    </w:rPr>
                    <w:t>1</w:t>
                  </w:r>
                </w:p>
              </w:tc>
              <w:tc>
                <w:tcPr>
                  <w:tcW w:w="287"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eastAsia" w:ascii="Times New Roman" w:hAnsi="Times New Roman" w:cs="Times New Roman" w:eastAsiaTheme="minorEastAsia"/>
                      <w:color w:val="auto"/>
                      <w:kern w:val="0"/>
                      <w:sz w:val="21"/>
                      <w:szCs w:val="21"/>
                      <w:highlight w:val="none"/>
                      <w:lang w:val="en-US" w:eastAsia="zh-CN" w:bidi="ar-SA"/>
                    </w:rPr>
                  </w:pPr>
                  <w:r>
                    <w:rPr>
                      <w:rFonts w:hint="eastAsia" w:ascii="Times New Roman" w:hAnsi="Times New Roman" w:cs="Times New Roman" w:eastAsiaTheme="minorEastAsia"/>
                      <w:color w:val="auto"/>
                      <w:sz w:val="21"/>
                      <w:szCs w:val="21"/>
                      <w:highlight w:val="none"/>
                      <w:lang w:val="en-US" w:eastAsia="zh-CN"/>
                    </w:rPr>
                    <w:t>东边界</w:t>
                  </w:r>
                </w:p>
              </w:tc>
              <w:tc>
                <w:tcPr>
                  <w:tcW w:w="252"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kern w:val="0"/>
                      <w:sz w:val="21"/>
                      <w:szCs w:val="21"/>
                      <w:highlight w:val="none"/>
                      <w:lang w:val="en-US" w:eastAsia="zh-CN" w:bidi="ar-SA"/>
                    </w:rPr>
                  </w:pPr>
                  <w:r>
                    <w:rPr>
                      <w:rFonts w:hint="eastAsia" w:ascii="Times New Roman" w:hAnsi="Times New Roman" w:cs="Times New Roman" w:eastAsiaTheme="minorEastAsia"/>
                      <w:color w:val="auto"/>
                      <w:kern w:val="0"/>
                      <w:sz w:val="21"/>
                      <w:szCs w:val="21"/>
                      <w:highlight w:val="none"/>
                      <w:lang w:val="en-US" w:eastAsia="zh-CN" w:bidi="ar-SA"/>
                    </w:rPr>
                    <w:t>96</w:t>
                  </w:r>
                </w:p>
              </w:tc>
              <w:tc>
                <w:tcPr>
                  <w:tcW w:w="358"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25.4 </w:t>
                  </w:r>
                </w:p>
              </w:tc>
              <w:tc>
                <w:tcPr>
                  <w:tcW w:w="394" w:type="pct"/>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00:00-24:00</w:t>
                  </w:r>
                </w:p>
              </w:tc>
              <w:tc>
                <w:tcPr>
                  <w:tcW w:w="360"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10</w:t>
                  </w:r>
                </w:p>
              </w:tc>
              <w:tc>
                <w:tcPr>
                  <w:tcW w:w="373"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9.4 </w:t>
                  </w:r>
                </w:p>
              </w:tc>
              <w:tc>
                <w:tcPr>
                  <w:tcW w:w="455" w:type="pct"/>
                  <w:vAlign w:val="center"/>
                </w:tcPr>
                <w:p>
                  <w:pPr>
                    <w:keepNext w:val="0"/>
                    <w:keepLines w:val="0"/>
                    <w:pageBreakBefore w:val="0"/>
                    <w:widowControl/>
                    <w:suppressLineNumbers w:val="0"/>
                    <w:kinsoku/>
                    <w:wordWrap/>
                    <w:overflowPunct/>
                    <w:topLinePunct w:val="0"/>
                    <w:autoSpaceDE w:val="0"/>
                    <w:autoSpaceDN w:val="0"/>
                    <w:bidi w:val="0"/>
                    <w:adjustRightInd/>
                    <w:spacing w:before="20" w:beforeLines="6" w:after="20" w:afterLines="6" w:line="240" w:lineRule="auto"/>
                    <w:ind w:left="0" w:leftChars="0" w:right="0" w:rightChars="0" w:firstLine="0" w:firstLineChars="0"/>
                    <w:jc w:val="center"/>
                    <w:textAlignment w:val="bottom"/>
                    <w:rPr>
                      <w:rFonts w:hint="eastAsia" w:ascii="Times New Roman" w:hAnsi="Times New Roman" w:cs="Times New Roman" w:eastAsiaTheme="minorEastAsia"/>
                      <w:color w:val="auto"/>
                      <w:kern w:val="2"/>
                      <w:sz w:val="21"/>
                      <w:szCs w:val="21"/>
                      <w:highlight w:val="none"/>
                      <w:lang w:val="en-US" w:eastAsia="zh-CN" w:bidi="ar-SA"/>
                    </w:rPr>
                  </w:pPr>
                  <w:r>
                    <w:rPr>
                      <w:rFonts w:hint="eastAsia" w:cs="Times New Roman"/>
                      <w:i w:val="0"/>
                      <w:iCs w:val="0"/>
                      <w:color w:val="auto"/>
                      <w:kern w:val="0"/>
                      <w:sz w:val="22"/>
                      <w:szCs w:val="22"/>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36"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46"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25"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78"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6"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80"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1"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3"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9"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20"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87"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eastAsia" w:ascii="Times New Roman" w:hAnsi="Times New Roman" w:cs="Times New Roman" w:eastAsiaTheme="minorEastAsia"/>
                      <w:color w:val="auto"/>
                      <w:kern w:val="0"/>
                      <w:sz w:val="21"/>
                      <w:szCs w:val="21"/>
                      <w:highlight w:val="none"/>
                      <w:lang w:val="en-US" w:eastAsia="zh-CN" w:bidi="ar-SA"/>
                    </w:rPr>
                  </w:pPr>
                  <w:r>
                    <w:rPr>
                      <w:rFonts w:hint="eastAsia" w:ascii="Times New Roman" w:hAnsi="Times New Roman" w:cs="Times New Roman" w:eastAsiaTheme="minorEastAsia"/>
                      <w:color w:val="auto"/>
                      <w:sz w:val="21"/>
                      <w:szCs w:val="21"/>
                      <w:highlight w:val="none"/>
                      <w:lang w:val="en-US" w:eastAsia="zh-CN"/>
                    </w:rPr>
                    <w:t>南边界</w:t>
                  </w:r>
                </w:p>
              </w:tc>
              <w:tc>
                <w:tcPr>
                  <w:tcW w:w="252"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kern w:val="0"/>
                      <w:sz w:val="21"/>
                      <w:szCs w:val="21"/>
                      <w:highlight w:val="none"/>
                      <w:lang w:val="en-US" w:eastAsia="zh-CN" w:bidi="ar-SA"/>
                    </w:rPr>
                  </w:pPr>
                  <w:r>
                    <w:rPr>
                      <w:rFonts w:hint="eastAsia" w:ascii="Times New Roman" w:hAnsi="Times New Roman" w:cs="Times New Roman" w:eastAsiaTheme="minorEastAsia"/>
                      <w:color w:val="auto"/>
                      <w:kern w:val="0"/>
                      <w:sz w:val="21"/>
                      <w:szCs w:val="21"/>
                      <w:highlight w:val="none"/>
                      <w:lang w:val="en-US" w:eastAsia="zh-CN" w:bidi="ar-SA"/>
                    </w:rPr>
                    <w:t>48</w:t>
                  </w:r>
                </w:p>
              </w:tc>
              <w:tc>
                <w:tcPr>
                  <w:tcW w:w="358"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31.4 </w:t>
                  </w:r>
                </w:p>
              </w:tc>
              <w:tc>
                <w:tcPr>
                  <w:tcW w:w="394"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360"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10</w:t>
                  </w:r>
                </w:p>
              </w:tc>
              <w:tc>
                <w:tcPr>
                  <w:tcW w:w="373"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15.4 </w:t>
                  </w:r>
                </w:p>
              </w:tc>
              <w:tc>
                <w:tcPr>
                  <w:tcW w:w="455" w:type="pct"/>
                  <w:vAlign w:val="center"/>
                </w:tcPr>
                <w:p>
                  <w:pPr>
                    <w:keepNext w:val="0"/>
                    <w:keepLines w:val="0"/>
                    <w:pageBreakBefore w:val="0"/>
                    <w:widowControl/>
                    <w:suppressLineNumbers w:val="0"/>
                    <w:kinsoku/>
                    <w:wordWrap/>
                    <w:overflowPunct/>
                    <w:topLinePunct w:val="0"/>
                    <w:autoSpaceDE w:val="0"/>
                    <w:autoSpaceDN w:val="0"/>
                    <w:bidi w:val="0"/>
                    <w:adjustRightInd/>
                    <w:snapToGrid/>
                    <w:spacing w:before="20" w:beforeLines="6" w:after="20" w:afterLines="6" w:line="240" w:lineRule="auto"/>
                    <w:ind w:left="0" w:leftChars="0" w:right="0" w:rightChars="0" w:firstLine="0" w:firstLineChars="0"/>
                    <w:jc w:val="center"/>
                    <w:textAlignment w:val="bottom"/>
                    <w:rPr>
                      <w:rFonts w:hint="eastAsia" w:ascii="Times New Roman" w:hAnsi="Times New Roman" w:cs="Times New Roman" w:eastAsiaTheme="minorEastAsia"/>
                      <w:color w:val="auto"/>
                      <w:kern w:val="2"/>
                      <w:sz w:val="21"/>
                      <w:szCs w:val="21"/>
                      <w:highlight w:val="none"/>
                      <w:lang w:val="en-US" w:eastAsia="zh-CN" w:bidi="ar-SA"/>
                    </w:rPr>
                  </w:pPr>
                  <w:r>
                    <w:rPr>
                      <w:rFonts w:hint="eastAsia" w:cs="Times New Roman"/>
                      <w:i w:val="0"/>
                      <w:iCs w:val="0"/>
                      <w:color w:val="auto"/>
                      <w:kern w:val="0"/>
                      <w:sz w:val="22"/>
                      <w:szCs w:val="22"/>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36"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46"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25"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78"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6"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80"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1"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3"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9"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20"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87"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eastAsia" w:ascii="Times New Roman" w:hAnsi="Times New Roman" w:cs="Times New Roman" w:eastAsiaTheme="minorEastAsia"/>
                      <w:color w:val="auto"/>
                      <w:kern w:val="0"/>
                      <w:sz w:val="21"/>
                      <w:szCs w:val="21"/>
                      <w:highlight w:val="none"/>
                      <w:lang w:val="en-US" w:eastAsia="zh-CN" w:bidi="ar-SA"/>
                    </w:rPr>
                  </w:pPr>
                  <w:r>
                    <w:rPr>
                      <w:rFonts w:hint="eastAsia" w:ascii="Times New Roman" w:hAnsi="Times New Roman" w:cs="Times New Roman" w:eastAsiaTheme="minorEastAsia"/>
                      <w:color w:val="auto"/>
                      <w:sz w:val="21"/>
                      <w:szCs w:val="21"/>
                      <w:highlight w:val="none"/>
                      <w:lang w:val="en-US" w:eastAsia="zh-CN"/>
                    </w:rPr>
                    <w:t>西边界</w:t>
                  </w:r>
                </w:p>
              </w:tc>
              <w:tc>
                <w:tcPr>
                  <w:tcW w:w="252"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kern w:val="0"/>
                      <w:sz w:val="21"/>
                      <w:szCs w:val="21"/>
                      <w:highlight w:val="none"/>
                      <w:lang w:val="en-US" w:eastAsia="zh-CN" w:bidi="ar-SA"/>
                    </w:rPr>
                  </w:pPr>
                  <w:r>
                    <w:rPr>
                      <w:rFonts w:hint="eastAsia" w:ascii="Times New Roman" w:hAnsi="Times New Roman" w:cs="Times New Roman" w:eastAsiaTheme="minorEastAsia"/>
                      <w:color w:val="auto"/>
                      <w:kern w:val="0"/>
                      <w:sz w:val="21"/>
                      <w:szCs w:val="21"/>
                      <w:highlight w:val="none"/>
                      <w:lang w:val="en-US" w:eastAsia="zh-CN" w:bidi="ar-SA"/>
                    </w:rPr>
                    <w:t>14</w:t>
                  </w:r>
                </w:p>
              </w:tc>
              <w:tc>
                <w:tcPr>
                  <w:tcW w:w="358"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42.1 </w:t>
                  </w:r>
                </w:p>
              </w:tc>
              <w:tc>
                <w:tcPr>
                  <w:tcW w:w="394"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360"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10</w:t>
                  </w:r>
                </w:p>
              </w:tc>
              <w:tc>
                <w:tcPr>
                  <w:tcW w:w="373"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26.1 </w:t>
                  </w:r>
                </w:p>
              </w:tc>
              <w:tc>
                <w:tcPr>
                  <w:tcW w:w="455" w:type="pct"/>
                  <w:vAlign w:val="center"/>
                </w:tcPr>
                <w:p>
                  <w:pPr>
                    <w:keepNext w:val="0"/>
                    <w:keepLines w:val="0"/>
                    <w:pageBreakBefore w:val="0"/>
                    <w:widowControl/>
                    <w:suppressLineNumbers w:val="0"/>
                    <w:kinsoku/>
                    <w:wordWrap/>
                    <w:overflowPunct/>
                    <w:topLinePunct w:val="0"/>
                    <w:autoSpaceDE w:val="0"/>
                    <w:autoSpaceDN w:val="0"/>
                    <w:bidi w:val="0"/>
                    <w:adjustRightInd/>
                    <w:snapToGrid/>
                    <w:spacing w:before="20" w:beforeLines="6" w:after="20" w:afterLines="6" w:line="240" w:lineRule="auto"/>
                    <w:ind w:left="0" w:leftChars="0" w:right="0" w:rightChars="0" w:firstLine="0" w:firstLineChars="0"/>
                    <w:jc w:val="center"/>
                    <w:textAlignment w:val="bottom"/>
                    <w:rPr>
                      <w:rFonts w:hint="eastAsia" w:ascii="Times New Roman" w:hAnsi="Times New Roman" w:cs="Times New Roman" w:eastAsiaTheme="minorEastAsia"/>
                      <w:color w:val="auto"/>
                      <w:kern w:val="2"/>
                      <w:sz w:val="21"/>
                      <w:szCs w:val="21"/>
                      <w:highlight w:val="none"/>
                      <w:lang w:val="en-US" w:eastAsia="zh-CN" w:bidi="ar-SA"/>
                    </w:rPr>
                  </w:pPr>
                  <w:r>
                    <w:rPr>
                      <w:rFonts w:hint="eastAsia" w:cs="Times New Roman"/>
                      <w:i w:val="0"/>
                      <w:iCs w:val="0"/>
                      <w:color w:val="auto"/>
                      <w:kern w:val="0"/>
                      <w:sz w:val="22"/>
                      <w:szCs w:val="22"/>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8" w:hRule="atLeast"/>
                <w:jc w:val="center"/>
              </w:trPr>
              <w:tc>
                <w:tcPr>
                  <w:tcW w:w="136"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46"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25"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78"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6"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80"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1"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3"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9"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20"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87"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eastAsia" w:ascii="Times New Roman" w:hAnsi="Times New Roman" w:cs="Times New Roman" w:eastAsiaTheme="minorEastAsia"/>
                      <w:color w:val="auto"/>
                      <w:kern w:val="0"/>
                      <w:sz w:val="21"/>
                      <w:szCs w:val="21"/>
                      <w:highlight w:val="none"/>
                      <w:lang w:val="en-US" w:eastAsia="zh-CN" w:bidi="ar-SA"/>
                    </w:rPr>
                  </w:pPr>
                  <w:r>
                    <w:rPr>
                      <w:rFonts w:hint="eastAsia" w:ascii="Times New Roman" w:hAnsi="Times New Roman" w:cs="Times New Roman" w:eastAsiaTheme="minorEastAsia"/>
                      <w:color w:val="auto"/>
                      <w:sz w:val="21"/>
                      <w:szCs w:val="21"/>
                      <w:highlight w:val="none"/>
                      <w:lang w:val="en-US" w:eastAsia="zh-CN"/>
                    </w:rPr>
                    <w:t>北边界</w:t>
                  </w:r>
                </w:p>
              </w:tc>
              <w:tc>
                <w:tcPr>
                  <w:tcW w:w="252"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kern w:val="0"/>
                      <w:sz w:val="21"/>
                      <w:szCs w:val="21"/>
                      <w:highlight w:val="none"/>
                      <w:lang w:val="en-US" w:eastAsia="zh-CN" w:bidi="ar-SA"/>
                    </w:rPr>
                  </w:pPr>
                  <w:r>
                    <w:rPr>
                      <w:rFonts w:hint="eastAsia" w:ascii="Times New Roman" w:hAnsi="Times New Roman" w:cs="Times New Roman" w:eastAsiaTheme="minorEastAsia"/>
                      <w:color w:val="auto"/>
                      <w:kern w:val="0"/>
                      <w:sz w:val="21"/>
                      <w:szCs w:val="21"/>
                      <w:highlight w:val="none"/>
                      <w:lang w:val="en-US" w:eastAsia="zh-CN" w:bidi="ar-SA"/>
                    </w:rPr>
                    <w:t>20</w:t>
                  </w:r>
                </w:p>
              </w:tc>
              <w:tc>
                <w:tcPr>
                  <w:tcW w:w="358"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39.0 </w:t>
                  </w:r>
                </w:p>
              </w:tc>
              <w:tc>
                <w:tcPr>
                  <w:tcW w:w="394"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360"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10</w:t>
                  </w:r>
                </w:p>
              </w:tc>
              <w:tc>
                <w:tcPr>
                  <w:tcW w:w="373"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23.0 </w:t>
                  </w:r>
                </w:p>
              </w:tc>
              <w:tc>
                <w:tcPr>
                  <w:tcW w:w="455" w:type="pct"/>
                  <w:vAlign w:val="center"/>
                </w:tcPr>
                <w:p>
                  <w:pPr>
                    <w:keepNext w:val="0"/>
                    <w:keepLines w:val="0"/>
                    <w:pageBreakBefore w:val="0"/>
                    <w:widowControl/>
                    <w:suppressLineNumbers w:val="0"/>
                    <w:kinsoku/>
                    <w:wordWrap/>
                    <w:overflowPunct/>
                    <w:topLinePunct w:val="0"/>
                    <w:autoSpaceDE w:val="0"/>
                    <w:autoSpaceDN w:val="0"/>
                    <w:bidi w:val="0"/>
                    <w:adjustRightInd/>
                    <w:spacing w:before="20" w:beforeLines="6" w:after="20" w:afterLines="6" w:line="240" w:lineRule="auto"/>
                    <w:ind w:left="0" w:leftChars="0" w:right="0" w:rightChars="0" w:firstLine="0" w:firstLineChars="0"/>
                    <w:jc w:val="center"/>
                    <w:textAlignment w:val="bottom"/>
                    <w:rPr>
                      <w:rFonts w:hint="eastAsia" w:ascii="Times New Roman" w:hAnsi="Times New Roman" w:cs="Times New Roman" w:eastAsiaTheme="minorEastAsia"/>
                      <w:color w:val="auto"/>
                      <w:kern w:val="2"/>
                      <w:sz w:val="21"/>
                      <w:szCs w:val="21"/>
                      <w:highlight w:val="none"/>
                      <w:lang w:val="en-US" w:eastAsia="zh-CN" w:bidi="ar-SA"/>
                    </w:rPr>
                  </w:pPr>
                  <w:r>
                    <w:rPr>
                      <w:rFonts w:hint="eastAsia" w:cs="Times New Roman"/>
                      <w:i w:val="0"/>
                      <w:iCs w:val="0"/>
                      <w:color w:val="auto"/>
                      <w:kern w:val="0"/>
                      <w:sz w:val="22"/>
                      <w:szCs w:val="22"/>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36" w:type="pct"/>
                  <w:vMerge w:val="restart"/>
                  <w:vAlign w:val="center"/>
                </w:tcPr>
                <w:p>
                  <w:pPr>
                    <w:pStyle w:val="35"/>
                    <w:keepNext w:val="0"/>
                    <w:keepLines w:val="0"/>
                    <w:pageBreakBefore w:val="0"/>
                    <w:widowControl w:val="0"/>
                    <w:numPr>
                      <w:ilvl w:val="0"/>
                      <w:numId w:val="30"/>
                    </w:numPr>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kern w:val="0"/>
                      <w:sz w:val="21"/>
                      <w:szCs w:val="21"/>
                      <w:highlight w:val="none"/>
                      <w:lang w:val="en-US" w:eastAsia="zh-CN" w:bidi="ar-SA"/>
                    </w:rPr>
                  </w:pPr>
                </w:p>
              </w:tc>
              <w:tc>
                <w:tcPr>
                  <w:tcW w:w="246"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kern w:val="0"/>
                      <w:sz w:val="21"/>
                      <w:szCs w:val="21"/>
                      <w:highlight w:val="none"/>
                      <w:lang w:val="en-US" w:eastAsia="zh-CN" w:bidi="ar-SA"/>
                    </w:rPr>
                  </w:pPr>
                </w:p>
              </w:tc>
              <w:tc>
                <w:tcPr>
                  <w:tcW w:w="325" w:type="pct"/>
                  <w:vMerge w:val="restart"/>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eastAsia"/>
                      <w:color w:val="auto"/>
                    </w:rPr>
                    <w:t>研磨机</w:t>
                  </w:r>
                </w:p>
              </w:tc>
              <w:tc>
                <w:tcPr>
                  <w:tcW w:w="378" w:type="pct"/>
                  <w:vMerge w:val="restart"/>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default" w:ascii="Times New Roman" w:hAnsi="Times New Roman" w:cs="Times New Roman" w:eastAsiaTheme="minorEastAsia"/>
                      <w:color w:val="auto"/>
                      <w:kern w:val="2"/>
                      <w:sz w:val="21"/>
                      <w:szCs w:val="21"/>
                      <w:highlight w:val="none"/>
                      <w:lang w:val="en-US" w:eastAsia="en-US" w:bidi="ar-SA"/>
                    </w:rPr>
                  </w:pPr>
                  <w:r>
                    <w:rPr>
                      <w:rFonts w:hint="eastAsia"/>
                      <w:color w:val="auto"/>
                    </w:rPr>
                    <w:t>LSN05</w:t>
                  </w:r>
                </w:p>
              </w:tc>
              <w:tc>
                <w:tcPr>
                  <w:tcW w:w="266" w:type="pct"/>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kern w:val="0"/>
                      <w:sz w:val="21"/>
                      <w:szCs w:val="21"/>
                      <w:highlight w:val="none"/>
                      <w:lang w:val="en-US" w:eastAsia="zh-CN" w:bidi="ar-SA"/>
                    </w:rPr>
                  </w:pPr>
                  <w:r>
                    <w:rPr>
                      <w:rFonts w:hint="eastAsia" w:cs="Times New Roman" w:eastAsiaTheme="minorEastAsia"/>
                      <w:color w:val="auto"/>
                      <w:kern w:val="0"/>
                      <w:sz w:val="21"/>
                      <w:szCs w:val="21"/>
                      <w:highlight w:val="none"/>
                      <w:lang w:val="en-US" w:eastAsia="zh-CN" w:bidi="ar-SA"/>
                    </w:rPr>
                    <w:t>75</w:t>
                  </w:r>
                </w:p>
              </w:tc>
              <w:tc>
                <w:tcPr>
                  <w:tcW w:w="280" w:type="pct"/>
                  <w:gridSpan w:val="2"/>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kern w:val="0"/>
                      <w:sz w:val="21"/>
                      <w:szCs w:val="21"/>
                      <w:highlight w:val="none"/>
                      <w:lang w:val="en-US" w:eastAsia="zh-CN" w:bidi="ar-SA"/>
                    </w:rPr>
                  </w:pPr>
                  <w:r>
                    <w:rPr>
                      <w:rFonts w:hint="eastAsia" w:ascii="Times New Roman" w:hAnsi="Times New Roman" w:cs="Times New Roman" w:eastAsiaTheme="minorEastAsia"/>
                      <w:color w:val="auto"/>
                      <w:sz w:val="21"/>
                      <w:szCs w:val="21"/>
                      <w:highlight w:val="none"/>
                      <w:lang w:val="en-US" w:eastAsia="zh-CN"/>
                    </w:rPr>
                    <w:t>选用低噪声设备，基础减振</w:t>
                  </w:r>
                </w:p>
              </w:tc>
              <w:tc>
                <w:tcPr>
                  <w:tcW w:w="291" w:type="pct"/>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kern w:val="0"/>
                      <w:sz w:val="21"/>
                      <w:szCs w:val="21"/>
                      <w:highlight w:val="none"/>
                      <w:lang w:val="en-US" w:eastAsia="zh-CN" w:bidi="ar-SA"/>
                    </w:rPr>
                  </w:pPr>
                  <w:r>
                    <w:rPr>
                      <w:rFonts w:hint="eastAsia" w:cs="Times New Roman" w:eastAsiaTheme="minorEastAsia"/>
                      <w:color w:val="auto"/>
                      <w:sz w:val="21"/>
                      <w:szCs w:val="21"/>
                      <w:highlight w:val="none"/>
                      <w:lang w:val="en-US" w:eastAsia="zh-CN"/>
                    </w:rPr>
                    <w:t>5</w:t>
                  </w:r>
                </w:p>
              </w:tc>
              <w:tc>
                <w:tcPr>
                  <w:tcW w:w="183" w:type="pct"/>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kern w:val="0"/>
                      <w:sz w:val="21"/>
                      <w:szCs w:val="21"/>
                      <w:highlight w:val="none"/>
                      <w:lang w:val="en-US" w:eastAsia="zh-CN" w:bidi="ar-SA"/>
                    </w:rPr>
                  </w:pPr>
                  <w:r>
                    <w:rPr>
                      <w:rFonts w:hint="eastAsia" w:ascii="Times New Roman" w:hAnsi="Times New Roman" w:cs="Times New Roman" w:eastAsiaTheme="minorEastAsia"/>
                      <w:color w:val="auto"/>
                      <w:kern w:val="0"/>
                      <w:sz w:val="21"/>
                      <w:szCs w:val="21"/>
                      <w:highlight w:val="none"/>
                      <w:lang w:val="en-US" w:eastAsia="zh-CN" w:bidi="ar-SA"/>
                    </w:rPr>
                    <w:t>26</w:t>
                  </w:r>
                </w:p>
              </w:tc>
              <w:tc>
                <w:tcPr>
                  <w:tcW w:w="189" w:type="pct"/>
                  <w:gridSpan w:val="2"/>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kern w:val="0"/>
                      <w:sz w:val="21"/>
                      <w:szCs w:val="21"/>
                      <w:highlight w:val="none"/>
                      <w:lang w:val="en-US" w:eastAsia="zh-CN" w:bidi="ar-SA"/>
                    </w:rPr>
                  </w:pPr>
                  <w:r>
                    <w:rPr>
                      <w:rFonts w:hint="eastAsia" w:ascii="Times New Roman" w:hAnsi="Times New Roman" w:cs="Times New Roman" w:eastAsiaTheme="minorEastAsia"/>
                      <w:color w:val="auto"/>
                      <w:kern w:val="0"/>
                      <w:sz w:val="21"/>
                      <w:szCs w:val="21"/>
                      <w:highlight w:val="none"/>
                      <w:lang w:val="en-US" w:eastAsia="zh-CN" w:bidi="ar-SA"/>
                    </w:rPr>
                    <w:t>6</w:t>
                  </w:r>
                </w:p>
              </w:tc>
              <w:tc>
                <w:tcPr>
                  <w:tcW w:w="220" w:type="pct"/>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kern w:val="0"/>
                      <w:sz w:val="21"/>
                      <w:szCs w:val="21"/>
                      <w:highlight w:val="none"/>
                      <w:lang w:val="en-US" w:eastAsia="zh-CN" w:bidi="ar-SA"/>
                    </w:rPr>
                  </w:pPr>
                  <w:r>
                    <w:rPr>
                      <w:rFonts w:hint="eastAsia" w:cs="Times New Roman" w:eastAsiaTheme="minorEastAsia"/>
                      <w:color w:val="auto"/>
                      <w:kern w:val="0"/>
                      <w:sz w:val="21"/>
                      <w:szCs w:val="21"/>
                      <w:highlight w:val="none"/>
                      <w:lang w:val="en-US" w:eastAsia="zh-CN" w:bidi="ar-SA"/>
                    </w:rPr>
                    <w:t>1</w:t>
                  </w:r>
                </w:p>
              </w:tc>
              <w:tc>
                <w:tcPr>
                  <w:tcW w:w="287"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eastAsia" w:ascii="Times New Roman" w:hAnsi="Times New Roman" w:cs="Times New Roman" w:eastAsiaTheme="minorEastAsia"/>
                      <w:color w:val="auto"/>
                      <w:kern w:val="0"/>
                      <w:sz w:val="21"/>
                      <w:szCs w:val="21"/>
                      <w:highlight w:val="none"/>
                      <w:lang w:val="en-US" w:eastAsia="zh-CN" w:bidi="ar-SA"/>
                    </w:rPr>
                  </w:pPr>
                  <w:r>
                    <w:rPr>
                      <w:rFonts w:hint="eastAsia" w:ascii="Times New Roman" w:hAnsi="Times New Roman" w:cs="Times New Roman" w:eastAsiaTheme="minorEastAsia"/>
                      <w:color w:val="auto"/>
                      <w:sz w:val="21"/>
                      <w:szCs w:val="21"/>
                      <w:highlight w:val="none"/>
                      <w:lang w:val="en-US" w:eastAsia="zh-CN"/>
                    </w:rPr>
                    <w:t>东边界</w:t>
                  </w:r>
                </w:p>
              </w:tc>
              <w:tc>
                <w:tcPr>
                  <w:tcW w:w="252"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kern w:val="0"/>
                      <w:sz w:val="21"/>
                      <w:szCs w:val="21"/>
                      <w:highlight w:val="none"/>
                      <w:lang w:val="en-US" w:eastAsia="zh-CN" w:bidi="ar-SA"/>
                    </w:rPr>
                  </w:pPr>
                  <w:r>
                    <w:rPr>
                      <w:rFonts w:hint="eastAsia" w:ascii="Times New Roman" w:hAnsi="Times New Roman" w:cs="Times New Roman" w:eastAsiaTheme="minorEastAsia"/>
                      <w:color w:val="auto"/>
                      <w:kern w:val="0"/>
                      <w:sz w:val="21"/>
                      <w:szCs w:val="21"/>
                      <w:highlight w:val="none"/>
                      <w:lang w:val="en-US" w:eastAsia="zh-CN" w:bidi="ar-SA"/>
                    </w:rPr>
                    <w:t>83</w:t>
                  </w:r>
                </w:p>
              </w:tc>
              <w:tc>
                <w:tcPr>
                  <w:tcW w:w="358"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31.6 </w:t>
                  </w:r>
                </w:p>
              </w:tc>
              <w:tc>
                <w:tcPr>
                  <w:tcW w:w="394" w:type="pct"/>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00:00-24:00</w:t>
                  </w:r>
                </w:p>
              </w:tc>
              <w:tc>
                <w:tcPr>
                  <w:tcW w:w="360"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10</w:t>
                  </w:r>
                </w:p>
              </w:tc>
              <w:tc>
                <w:tcPr>
                  <w:tcW w:w="373"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15.6 </w:t>
                  </w:r>
                </w:p>
              </w:tc>
              <w:tc>
                <w:tcPr>
                  <w:tcW w:w="455" w:type="pct"/>
                  <w:vAlign w:val="center"/>
                </w:tcPr>
                <w:p>
                  <w:pPr>
                    <w:keepNext w:val="0"/>
                    <w:keepLines w:val="0"/>
                    <w:pageBreakBefore w:val="0"/>
                    <w:widowControl/>
                    <w:suppressLineNumbers w:val="0"/>
                    <w:kinsoku/>
                    <w:wordWrap/>
                    <w:overflowPunct/>
                    <w:topLinePunct w:val="0"/>
                    <w:autoSpaceDE w:val="0"/>
                    <w:autoSpaceDN w:val="0"/>
                    <w:bidi w:val="0"/>
                    <w:adjustRightInd/>
                    <w:spacing w:before="20" w:beforeLines="6" w:after="20" w:afterLines="6" w:line="240" w:lineRule="auto"/>
                    <w:ind w:left="0" w:leftChars="0" w:right="0" w:rightChars="0" w:firstLine="0" w:firstLineChars="0"/>
                    <w:jc w:val="center"/>
                    <w:textAlignment w:val="bottom"/>
                    <w:rPr>
                      <w:rFonts w:hint="eastAsia" w:ascii="Times New Roman" w:hAnsi="Times New Roman" w:cs="Times New Roman" w:eastAsiaTheme="minorEastAsia"/>
                      <w:color w:val="auto"/>
                      <w:kern w:val="2"/>
                      <w:sz w:val="21"/>
                      <w:szCs w:val="21"/>
                      <w:highlight w:val="none"/>
                      <w:lang w:val="en-US" w:eastAsia="zh-CN" w:bidi="ar-SA"/>
                    </w:rPr>
                  </w:pPr>
                  <w:r>
                    <w:rPr>
                      <w:rFonts w:hint="eastAsia" w:cs="Times New Roman"/>
                      <w:i w:val="0"/>
                      <w:iCs w:val="0"/>
                      <w:color w:val="auto"/>
                      <w:kern w:val="0"/>
                      <w:sz w:val="22"/>
                      <w:szCs w:val="22"/>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36"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46"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25"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78"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6"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80"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1"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3"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9"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20"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87"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eastAsia" w:ascii="Times New Roman" w:hAnsi="Times New Roman" w:cs="Times New Roman" w:eastAsiaTheme="minorEastAsia"/>
                      <w:color w:val="auto"/>
                      <w:kern w:val="0"/>
                      <w:sz w:val="21"/>
                      <w:szCs w:val="21"/>
                      <w:highlight w:val="none"/>
                      <w:lang w:val="en-US" w:eastAsia="zh-CN" w:bidi="ar-SA"/>
                    </w:rPr>
                  </w:pPr>
                  <w:r>
                    <w:rPr>
                      <w:rFonts w:hint="eastAsia" w:ascii="Times New Roman" w:hAnsi="Times New Roman" w:cs="Times New Roman" w:eastAsiaTheme="minorEastAsia"/>
                      <w:color w:val="auto"/>
                      <w:sz w:val="21"/>
                      <w:szCs w:val="21"/>
                      <w:highlight w:val="none"/>
                      <w:lang w:val="en-US" w:eastAsia="zh-CN"/>
                    </w:rPr>
                    <w:t>南边界</w:t>
                  </w:r>
                </w:p>
              </w:tc>
              <w:tc>
                <w:tcPr>
                  <w:tcW w:w="252"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kern w:val="0"/>
                      <w:sz w:val="21"/>
                      <w:szCs w:val="21"/>
                      <w:highlight w:val="none"/>
                      <w:lang w:val="en-US" w:eastAsia="zh-CN" w:bidi="ar-SA"/>
                    </w:rPr>
                  </w:pPr>
                  <w:r>
                    <w:rPr>
                      <w:rFonts w:hint="eastAsia" w:ascii="Times New Roman" w:hAnsi="Times New Roman" w:cs="Times New Roman" w:eastAsiaTheme="minorEastAsia"/>
                      <w:color w:val="auto"/>
                      <w:kern w:val="0"/>
                      <w:sz w:val="21"/>
                      <w:szCs w:val="21"/>
                      <w:highlight w:val="none"/>
                      <w:lang w:val="en-US" w:eastAsia="zh-CN" w:bidi="ar-SA"/>
                    </w:rPr>
                    <w:t>21</w:t>
                  </w:r>
                </w:p>
              </w:tc>
              <w:tc>
                <w:tcPr>
                  <w:tcW w:w="358"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43.6 </w:t>
                  </w:r>
                </w:p>
              </w:tc>
              <w:tc>
                <w:tcPr>
                  <w:tcW w:w="394"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360"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10</w:t>
                  </w:r>
                </w:p>
              </w:tc>
              <w:tc>
                <w:tcPr>
                  <w:tcW w:w="373"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27.6 </w:t>
                  </w:r>
                </w:p>
              </w:tc>
              <w:tc>
                <w:tcPr>
                  <w:tcW w:w="455" w:type="pct"/>
                  <w:vAlign w:val="center"/>
                </w:tcPr>
                <w:p>
                  <w:pPr>
                    <w:keepNext w:val="0"/>
                    <w:keepLines w:val="0"/>
                    <w:pageBreakBefore w:val="0"/>
                    <w:widowControl/>
                    <w:suppressLineNumbers w:val="0"/>
                    <w:kinsoku/>
                    <w:wordWrap/>
                    <w:overflowPunct/>
                    <w:topLinePunct w:val="0"/>
                    <w:autoSpaceDE w:val="0"/>
                    <w:autoSpaceDN w:val="0"/>
                    <w:bidi w:val="0"/>
                    <w:adjustRightInd/>
                    <w:snapToGrid/>
                    <w:spacing w:before="20" w:beforeLines="6" w:after="20" w:afterLines="6" w:line="240" w:lineRule="auto"/>
                    <w:ind w:left="0" w:leftChars="0" w:right="0" w:rightChars="0" w:firstLine="0" w:firstLineChars="0"/>
                    <w:jc w:val="center"/>
                    <w:textAlignment w:val="bottom"/>
                    <w:rPr>
                      <w:rFonts w:hint="eastAsia" w:ascii="Times New Roman" w:hAnsi="Times New Roman" w:cs="Times New Roman" w:eastAsiaTheme="minorEastAsia"/>
                      <w:color w:val="auto"/>
                      <w:kern w:val="2"/>
                      <w:sz w:val="21"/>
                      <w:szCs w:val="21"/>
                      <w:highlight w:val="none"/>
                      <w:lang w:val="en-US" w:eastAsia="zh-CN" w:bidi="ar-SA"/>
                    </w:rPr>
                  </w:pPr>
                  <w:r>
                    <w:rPr>
                      <w:rFonts w:hint="eastAsia" w:cs="Times New Roman"/>
                      <w:i w:val="0"/>
                      <w:iCs w:val="0"/>
                      <w:color w:val="auto"/>
                      <w:kern w:val="0"/>
                      <w:sz w:val="22"/>
                      <w:szCs w:val="22"/>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36"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46"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25"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78"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6"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80"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1"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3"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9"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20"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87"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eastAsia" w:ascii="Times New Roman" w:hAnsi="Times New Roman" w:cs="Times New Roman" w:eastAsiaTheme="minorEastAsia"/>
                      <w:color w:val="auto"/>
                      <w:kern w:val="0"/>
                      <w:sz w:val="21"/>
                      <w:szCs w:val="21"/>
                      <w:highlight w:val="none"/>
                      <w:lang w:val="en-US" w:eastAsia="zh-CN" w:bidi="ar-SA"/>
                    </w:rPr>
                  </w:pPr>
                  <w:r>
                    <w:rPr>
                      <w:rFonts w:hint="eastAsia" w:ascii="Times New Roman" w:hAnsi="Times New Roman" w:cs="Times New Roman" w:eastAsiaTheme="minorEastAsia"/>
                      <w:color w:val="auto"/>
                      <w:sz w:val="21"/>
                      <w:szCs w:val="21"/>
                      <w:highlight w:val="none"/>
                      <w:lang w:val="en-US" w:eastAsia="zh-CN"/>
                    </w:rPr>
                    <w:t>西边界</w:t>
                  </w:r>
                </w:p>
              </w:tc>
              <w:tc>
                <w:tcPr>
                  <w:tcW w:w="252"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kern w:val="0"/>
                      <w:sz w:val="21"/>
                      <w:szCs w:val="21"/>
                      <w:highlight w:val="none"/>
                      <w:lang w:val="en-US" w:eastAsia="zh-CN" w:bidi="ar-SA"/>
                    </w:rPr>
                  </w:pPr>
                  <w:r>
                    <w:rPr>
                      <w:rFonts w:hint="eastAsia" w:ascii="Times New Roman" w:hAnsi="Times New Roman" w:cs="Times New Roman" w:eastAsiaTheme="minorEastAsia"/>
                      <w:color w:val="auto"/>
                      <w:kern w:val="0"/>
                      <w:sz w:val="21"/>
                      <w:szCs w:val="21"/>
                      <w:highlight w:val="none"/>
                      <w:lang w:val="en-US" w:eastAsia="zh-CN" w:bidi="ar-SA"/>
                    </w:rPr>
                    <w:t>26</w:t>
                  </w:r>
                </w:p>
              </w:tc>
              <w:tc>
                <w:tcPr>
                  <w:tcW w:w="358"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41.7 </w:t>
                  </w:r>
                </w:p>
              </w:tc>
              <w:tc>
                <w:tcPr>
                  <w:tcW w:w="394"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360"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10</w:t>
                  </w:r>
                </w:p>
              </w:tc>
              <w:tc>
                <w:tcPr>
                  <w:tcW w:w="373"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25.7 </w:t>
                  </w:r>
                </w:p>
              </w:tc>
              <w:tc>
                <w:tcPr>
                  <w:tcW w:w="455" w:type="pct"/>
                  <w:vAlign w:val="center"/>
                </w:tcPr>
                <w:p>
                  <w:pPr>
                    <w:keepNext w:val="0"/>
                    <w:keepLines w:val="0"/>
                    <w:pageBreakBefore w:val="0"/>
                    <w:widowControl/>
                    <w:suppressLineNumbers w:val="0"/>
                    <w:kinsoku/>
                    <w:wordWrap/>
                    <w:overflowPunct/>
                    <w:topLinePunct w:val="0"/>
                    <w:autoSpaceDE w:val="0"/>
                    <w:autoSpaceDN w:val="0"/>
                    <w:bidi w:val="0"/>
                    <w:adjustRightInd/>
                    <w:snapToGrid/>
                    <w:spacing w:before="20" w:beforeLines="6" w:after="20" w:afterLines="6" w:line="240" w:lineRule="auto"/>
                    <w:ind w:left="0" w:leftChars="0" w:right="0" w:rightChars="0" w:firstLine="0" w:firstLineChars="0"/>
                    <w:jc w:val="center"/>
                    <w:textAlignment w:val="bottom"/>
                    <w:rPr>
                      <w:rFonts w:hint="eastAsia" w:ascii="Times New Roman" w:hAnsi="Times New Roman" w:cs="Times New Roman" w:eastAsiaTheme="minorEastAsia"/>
                      <w:color w:val="auto"/>
                      <w:kern w:val="2"/>
                      <w:sz w:val="21"/>
                      <w:szCs w:val="21"/>
                      <w:highlight w:val="none"/>
                      <w:lang w:val="en-US" w:eastAsia="zh-CN" w:bidi="ar-SA"/>
                    </w:rPr>
                  </w:pPr>
                  <w:r>
                    <w:rPr>
                      <w:rFonts w:hint="eastAsia" w:cs="Times New Roman"/>
                      <w:i w:val="0"/>
                      <w:iCs w:val="0"/>
                      <w:color w:val="auto"/>
                      <w:kern w:val="0"/>
                      <w:sz w:val="22"/>
                      <w:szCs w:val="22"/>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36"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46"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25"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78"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6"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80"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1"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3"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9"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20"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87"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eastAsia" w:ascii="Times New Roman" w:hAnsi="Times New Roman" w:cs="Times New Roman" w:eastAsiaTheme="minorEastAsia"/>
                      <w:color w:val="auto"/>
                      <w:kern w:val="0"/>
                      <w:sz w:val="21"/>
                      <w:szCs w:val="21"/>
                      <w:highlight w:val="none"/>
                      <w:lang w:val="en-US" w:eastAsia="zh-CN" w:bidi="ar-SA"/>
                    </w:rPr>
                  </w:pPr>
                  <w:r>
                    <w:rPr>
                      <w:rFonts w:hint="eastAsia" w:ascii="Times New Roman" w:hAnsi="Times New Roman" w:cs="Times New Roman" w:eastAsiaTheme="minorEastAsia"/>
                      <w:color w:val="auto"/>
                      <w:sz w:val="21"/>
                      <w:szCs w:val="21"/>
                      <w:highlight w:val="none"/>
                      <w:lang w:val="en-US" w:eastAsia="zh-CN"/>
                    </w:rPr>
                    <w:t>北边界</w:t>
                  </w:r>
                </w:p>
              </w:tc>
              <w:tc>
                <w:tcPr>
                  <w:tcW w:w="252"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kern w:val="0"/>
                      <w:sz w:val="21"/>
                      <w:szCs w:val="21"/>
                      <w:highlight w:val="none"/>
                      <w:lang w:val="en-US" w:eastAsia="zh-CN" w:bidi="ar-SA"/>
                    </w:rPr>
                  </w:pPr>
                  <w:r>
                    <w:rPr>
                      <w:rFonts w:hint="eastAsia" w:ascii="Times New Roman" w:hAnsi="Times New Roman" w:cs="Times New Roman" w:eastAsiaTheme="minorEastAsia"/>
                      <w:color w:val="auto"/>
                      <w:kern w:val="0"/>
                      <w:sz w:val="21"/>
                      <w:szCs w:val="21"/>
                      <w:highlight w:val="none"/>
                      <w:lang w:val="en-US" w:eastAsia="zh-CN" w:bidi="ar-SA"/>
                    </w:rPr>
                    <w:t>49</w:t>
                  </w:r>
                </w:p>
              </w:tc>
              <w:tc>
                <w:tcPr>
                  <w:tcW w:w="358"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36.2 </w:t>
                  </w:r>
                </w:p>
              </w:tc>
              <w:tc>
                <w:tcPr>
                  <w:tcW w:w="394"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360"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10</w:t>
                  </w:r>
                </w:p>
              </w:tc>
              <w:tc>
                <w:tcPr>
                  <w:tcW w:w="373"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20.2 </w:t>
                  </w:r>
                </w:p>
              </w:tc>
              <w:tc>
                <w:tcPr>
                  <w:tcW w:w="455" w:type="pct"/>
                  <w:vAlign w:val="center"/>
                </w:tcPr>
                <w:p>
                  <w:pPr>
                    <w:keepNext w:val="0"/>
                    <w:keepLines w:val="0"/>
                    <w:pageBreakBefore w:val="0"/>
                    <w:widowControl/>
                    <w:suppressLineNumbers w:val="0"/>
                    <w:kinsoku/>
                    <w:wordWrap/>
                    <w:overflowPunct/>
                    <w:topLinePunct w:val="0"/>
                    <w:autoSpaceDE w:val="0"/>
                    <w:autoSpaceDN w:val="0"/>
                    <w:bidi w:val="0"/>
                    <w:adjustRightInd/>
                    <w:spacing w:before="20" w:beforeLines="6" w:after="20" w:afterLines="6" w:line="240" w:lineRule="auto"/>
                    <w:ind w:left="0" w:leftChars="0" w:right="0" w:rightChars="0" w:firstLine="0" w:firstLineChars="0"/>
                    <w:jc w:val="center"/>
                    <w:textAlignment w:val="bottom"/>
                    <w:rPr>
                      <w:rFonts w:hint="eastAsia" w:ascii="Times New Roman" w:hAnsi="Times New Roman" w:cs="Times New Roman" w:eastAsiaTheme="minorEastAsia"/>
                      <w:color w:val="auto"/>
                      <w:kern w:val="2"/>
                      <w:sz w:val="21"/>
                      <w:szCs w:val="21"/>
                      <w:highlight w:val="none"/>
                      <w:lang w:val="en-US" w:eastAsia="zh-CN" w:bidi="ar-SA"/>
                    </w:rPr>
                  </w:pPr>
                  <w:r>
                    <w:rPr>
                      <w:rFonts w:hint="eastAsia" w:cs="Times New Roman"/>
                      <w:i w:val="0"/>
                      <w:iCs w:val="0"/>
                      <w:color w:val="auto"/>
                      <w:kern w:val="0"/>
                      <w:sz w:val="22"/>
                      <w:szCs w:val="22"/>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5" w:hRule="atLeast"/>
                <w:jc w:val="center"/>
              </w:trPr>
              <w:tc>
                <w:tcPr>
                  <w:tcW w:w="136" w:type="pct"/>
                  <w:vMerge w:val="restart"/>
                  <w:vAlign w:val="center"/>
                </w:tcPr>
                <w:p>
                  <w:pPr>
                    <w:pStyle w:val="35"/>
                    <w:keepNext w:val="0"/>
                    <w:keepLines w:val="0"/>
                    <w:pageBreakBefore w:val="0"/>
                    <w:widowControl w:val="0"/>
                    <w:numPr>
                      <w:ilvl w:val="0"/>
                      <w:numId w:val="30"/>
                    </w:numPr>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46"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25" w:type="pct"/>
                  <w:vMerge w:val="restart"/>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default" w:ascii="Times New Roman" w:hAnsi="Times New Roman" w:cs="Times New Roman" w:eastAsiaTheme="minorEastAsia"/>
                      <w:color w:val="auto"/>
                      <w:sz w:val="21"/>
                      <w:szCs w:val="21"/>
                      <w:highlight w:val="none"/>
                    </w:rPr>
                  </w:pPr>
                  <w:r>
                    <w:rPr>
                      <w:rFonts w:hint="eastAsia"/>
                      <w:color w:val="auto"/>
                    </w:rPr>
                    <w:t>研磨机</w:t>
                  </w:r>
                </w:p>
              </w:tc>
              <w:tc>
                <w:tcPr>
                  <w:tcW w:w="378" w:type="pct"/>
                  <w:vMerge w:val="restart"/>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default" w:ascii="Times New Roman" w:hAnsi="Times New Roman" w:cs="Times New Roman" w:eastAsiaTheme="minorEastAsia"/>
                      <w:color w:val="auto"/>
                      <w:sz w:val="21"/>
                      <w:szCs w:val="21"/>
                      <w:highlight w:val="none"/>
                    </w:rPr>
                  </w:pPr>
                  <w:r>
                    <w:rPr>
                      <w:rFonts w:hint="eastAsia"/>
                      <w:color w:val="auto"/>
                    </w:rPr>
                    <w:t>LSN05</w:t>
                  </w:r>
                </w:p>
              </w:tc>
              <w:tc>
                <w:tcPr>
                  <w:tcW w:w="266" w:type="pct"/>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75</w:t>
                  </w:r>
                </w:p>
              </w:tc>
              <w:tc>
                <w:tcPr>
                  <w:tcW w:w="280" w:type="pct"/>
                  <w:gridSpan w:val="2"/>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选用低噪声设备，基础减振</w:t>
                  </w:r>
                </w:p>
              </w:tc>
              <w:tc>
                <w:tcPr>
                  <w:tcW w:w="291" w:type="pct"/>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r>
                    <w:rPr>
                      <w:rFonts w:hint="eastAsia" w:cs="Times New Roman" w:eastAsiaTheme="minorEastAsia"/>
                      <w:color w:val="auto"/>
                      <w:sz w:val="21"/>
                      <w:szCs w:val="21"/>
                      <w:highlight w:val="none"/>
                      <w:lang w:val="en-US" w:eastAsia="zh-CN"/>
                    </w:rPr>
                    <w:t>5</w:t>
                  </w:r>
                </w:p>
              </w:tc>
              <w:tc>
                <w:tcPr>
                  <w:tcW w:w="183" w:type="pct"/>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27</w:t>
                  </w:r>
                </w:p>
              </w:tc>
              <w:tc>
                <w:tcPr>
                  <w:tcW w:w="189" w:type="pct"/>
                  <w:gridSpan w:val="2"/>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5</w:t>
                  </w:r>
                </w:p>
              </w:tc>
              <w:tc>
                <w:tcPr>
                  <w:tcW w:w="220" w:type="pct"/>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w:t>
                  </w:r>
                </w:p>
              </w:tc>
              <w:tc>
                <w:tcPr>
                  <w:tcW w:w="287"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东边界</w:t>
                  </w:r>
                </w:p>
              </w:tc>
              <w:tc>
                <w:tcPr>
                  <w:tcW w:w="252"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81</w:t>
                  </w:r>
                </w:p>
              </w:tc>
              <w:tc>
                <w:tcPr>
                  <w:tcW w:w="358"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31.8 </w:t>
                  </w:r>
                </w:p>
              </w:tc>
              <w:tc>
                <w:tcPr>
                  <w:tcW w:w="394" w:type="pct"/>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00:00-24:00</w:t>
                  </w:r>
                </w:p>
              </w:tc>
              <w:tc>
                <w:tcPr>
                  <w:tcW w:w="360"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10</w:t>
                  </w:r>
                </w:p>
              </w:tc>
              <w:tc>
                <w:tcPr>
                  <w:tcW w:w="373"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15.8 </w:t>
                  </w:r>
                </w:p>
              </w:tc>
              <w:tc>
                <w:tcPr>
                  <w:tcW w:w="455" w:type="pct"/>
                  <w:vAlign w:val="center"/>
                </w:tcPr>
                <w:p>
                  <w:pPr>
                    <w:keepNext w:val="0"/>
                    <w:keepLines w:val="0"/>
                    <w:pageBreakBefore w:val="0"/>
                    <w:widowControl/>
                    <w:suppressLineNumbers w:val="0"/>
                    <w:kinsoku/>
                    <w:wordWrap/>
                    <w:overflowPunct/>
                    <w:topLinePunct w:val="0"/>
                    <w:autoSpaceDE w:val="0"/>
                    <w:autoSpaceDN w:val="0"/>
                    <w:bidi w:val="0"/>
                    <w:adjustRightInd/>
                    <w:spacing w:before="20" w:beforeLines="6" w:after="20" w:afterLines="6" w:line="240" w:lineRule="auto"/>
                    <w:ind w:left="0" w:leftChars="0" w:right="0" w:rightChars="0" w:firstLine="0" w:firstLineChars="0"/>
                    <w:jc w:val="center"/>
                    <w:textAlignment w:val="bottom"/>
                    <w:rPr>
                      <w:rFonts w:hint="eastAsia"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36"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46"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25"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78"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6"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80"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1"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3"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9"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20"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87"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南边界</w:t>
                  </w:r>
                </w:p>
              </w:tc>
              <w:tc>
                <w:tcPr>
                  <w:tcW w:w="252"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20</w:t>
                  </w:r>
                </w:p>
              </w:tc>
              <w:tc>
                <w:tcPr>
                  <w:tcW w:w="358"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44.0 </w:t>
                  </w:r>
                </w:p>
              </w:tc>
              <w:tc>
                <w:tcPr>
                  <w:tcW w:w="394"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360"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10</w:t>
                  </w:r>
                </w:p>
              </w:tc>
              <w:tc>
                <w:tcPr>
                  <w:tcW w:w="373"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28.0 </w:t>
                  </w:r>
                </w:p>
              </w:tc>
              <w:tc>
                <w:tcPr>
                  <w:tcW w:w="455" w:type="pct"/>
                  <w:vAlign w:val="center"/>
                </w:tcPr>
                <w:p>
                  <w:pPr>
                    <w:keepNext w:val="0"/>
                    <w:keepLines w:val="0"/>
                    <w:pageBreakBefore w:val="0"/>
                    <w:widowControl/>
                    <w:suppressLineNumbers w:val="0"/>
                    <w:kinsoku/>
                    <w:wordWrap/>
                    <w:overflowPunct/>
                    <w:topLinePunct w:val="0"/>
                    <w:autoSpaceDE w:val="0"/>
                    <w:autoSpaceDN w:val="0"/>
                    <w:bidi w:val="0"/>
                    <w:adjustRightInd/>
                    <w:snapToGrid/>
                    <w:spacing w:before="20" w:beforeLines="6" w:after="20" w:afterLines="6" w:line="240" w:lineRule="auto"/>
                    <w:ind w:left="0" w:leftChars="0" w:right="0" w:rightChars="0" w:firstLine="0" w:firstLineChars="0"/>
                    <w:jc w:val="center"/>
                    <w:textAlignment w:val="bottom"/>
                    <w:rPr>
                      <w:rFonts w:hint="eastAsia"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36"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46"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25"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78"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6"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80"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1"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3"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9"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20"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87"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西边界</w:t>
                  </w:r>
                </w:p>
              </w:tc>
              <w:tc>
                <w:tcPr>
                  <w:tcW w:w="252"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27</w:t>
                  </w:r>
                </w:p>
              </w:tc>
              <w:tc>
                <w:tcPr>
                  <w:tcW w:w="358"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41.4 </w:t>
                  </w:r>
                </w:p>
              </w:tc>
              <w:tc>
                <w:tcPr>
                  <w:tcW w:w="394"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360"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10</w:t>
                  </w:r>
                </w:p>
              </w:tc>
              <w:tc>
                <w:tcPr>
                  <w:tcW w:w="373"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25.4 </w:t>
                  </w:r>
                </w:p>
              </w:tc>
              <w:tc>
                <w:tcPr>
                  <w:tcW w:w="455" w:type="pct"/>
                  <w:vAlign w:val="center"/>
                </w:tcPr>
                <w:p>
                  <w:pPr>
                    <w:keepNext w:val="0"/>
                    <w:keepLines w:val="0"/>
                    <w:pageBreakBefore w:val="0"/>
                    <w:widowControl/>
                    <w:suppressLineNumbers w:val="0"/>
                    <w:kinsoku/>
                    <w:wordWrap/>
                    <w:overflowPunct/>
                    <w:topLinePunct w:val="0"/>
                    <w:autoSpaceDE w:val="0"/>
                    <w:autoSpaceDN w:val="0"/>
                    <w:bidi w:val="0"/>
                    <w:adjustRightInd/>
                    <w:snapToGrid/>
                    <w:spacing w:before="20" w:beforeLines="6" w:after="20" w:afterLines="6" w:line="240" w:lineRule="auto"/>
                    <w:ind w:left="0" w:leftChars="0" w:right="0" w:rightChars="0" w:firstLine="0" w:firstLineChars="0"/>
                    <w:jc w:val="center"/>
                    <w:textAlignment w:val="bottom"/>
                    <w:rPr>
                      <w:rFonts w:hint="eastAsia"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36"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46"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25"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78"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6"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80"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1"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3"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9"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20"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87"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北边界</w:t>
                  </w:r>
                </w:p>
              </w:tc>
              <w:tc>
                <w:tcPr>
                  <w:tcW w:w="252"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51</w:t>
                  </w:r>
                </w:p>
              </w:tc>
              <w:tc>
                <w:tcPr>
                  <w:tcW w:w="358"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35.8 </w:t>
                  </w:r>
                </w:p>
              </w:tc>
              <w:tc>
                <w:tcPr>
                  <w:tcW w:w="394"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360"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10</w:t>
                  </w:r>
                </w:p>
              </w:tc>
              <w:tc>
                <w:tcPr>
                  <w:tcW w:w="373"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19.8 </w:t>
                  </w:r>
                </w:p>
              </w:tc>
              <w:tc>
                <w:tcPr>
                  <w:tcW w:w="455" w:type="pct"/>
                  <w:vAlign w:val="center"/>
                </w:tcPr>
                <w:p>
                  <w:pPr>
                    <w:keepNext w:val="0"/>
                    <w:keepLines w:val="0"/>
                    <w:pageBreakBefore w:val="0"/>
                    <w:widowControl/>
                    <w:suppressLineNumbers w:val="0"/>
                    <w:kinsoku/>
                    <w:wordWrap/>
                    <w:overflowPunct/>
                    <w:topLinePunct w:val="0"/>
                    <w:autoSpaceDE w:val="0"/>
                    <w:autoSpaceDN w:val="0"/>
                    <w:bidi w:val="0"/>
                    <w:adjustRightInd/>
                    <w:spacing w:before="20" w:beforeLines="6" w:after="20" w:afterLines="6" w:line="240" w:lineRule="auto"/>
                    <w:ind w:left="0" w:leftChars="0" w:right="0" w:rightChars="0" w:firstLine="0" w:firstLineChars="0"/>
                    <w:jc w:val="center"/>
                    <w:textAlignment w:val="bottom"/>
                    <w:rPr>
                      <w:rFonts w:hint="eastAsia"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73" w:hRule="atLeast"/>
                <w:jc w:val="center"/>
              </w:trPr>
              <w:tc>
                <w:tcPr>
                  <w:tcW w:w="137" w:type="pct"/>
                  <w:gridSpan w:val="2"/>
                  <w:vMerge w:val="restart"/>
                  <w:vAlign w:val="center"/>
                </w:tcPr>
                <w:p>
                  <w:pPr>
                    <w:pStyle w:val="35"/>
                    <w:keepNext w:val="0"/>
                    <w:keepLines w:val="0"/>
                    <w:pageBreakBefore w:val="0"/>
                    <w:widowControl w:val="0"/>
                    <w:numPr>
                      <w:ilvl w:val="0"/>
                      <w:numId w:val="30"/>
                    </w:numPr>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45" w:type="pct"/>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25" w:type="pct"/>
                  <w:vMerge w:val="restart"/>
                  <w:vAlign w:val="center"/>
                </w:tcPr>
                <w:p>
                  <w:pPr>
                    <w:pStyle w:val="40"/>
                    <w:keepNext w:val="0"/>
                    <w:keepLines w:val="0"/>
                    <w:pageBreakBefore w:val="0"/>
                    <w:widowControl w:val="0"/>
                    <w:kinsoku/>
                    <w:wordWrap/>
                    <w:overflowPunct/>
                    <w:topLinePunct w:val="0"/>
                    <w:autoSpaceDE/>
                    <w:autoSpaceDN/>
                    <w:bidi w:val="0"/>
                    <w:adjustRightInd/>
                    <w:snapToGrid/>
                    <w:spacing w:before="23" w:beforeLines="7" w:after="23" w:afterLines="7" w:line="240" w:lineRule="auto"/>
                    <w:ind w:left="-48" w:leftChars="-20" w:right="-48" w:rightChars="-2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覆膜印刷机</w:t>
                  </w:r>
                </w:p>
              </w:tc>
              <w:tc>
                <w:tcPr>
                  <w:tcW w:w="378" w:type="pct"/>
                  <w:vMerge w:val="restart"/>
                  <w:vAlign w:val="center"/>
                </w:tcPr>
                <w:p>
                  <w:pPr>
                    <w:pStyle w:val="40"/>
                    <w:keepNext w:val="0"/>
                    <w:keepLines w:val="0"/>
                    <w:pageBreakBefore w:val="0"/>
                    <w:widowControl w:val="0"/>
                    <w:kinsoku/>
                    <w:wordWrap/>
                    <w:overflowPunct/>
                    <w:topLinePunct w:val="0"/>
                    <w:autoSpaceDE/>
                    <w:autoSpaceDN/>
                    <w:bidi w:val="0"/>
                    <w:adjustRightInd/>
                    <w:snapToGrid/>
                    <w:spacing w:before="23" w:beforeLines="7" w:after="23" w:afterLines="7" w:line="240" w:lineRule="auto"/>
                    <w:ind w:left="-48" w:leftChars="-20" w:right="-48" w:rightChars="-20" w:firstLine="0" w:firstLineChars="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eastAsia="宋体" w:cs="Times New Roman"/>
                      <w:color w:val="auto"/>
                      <w:sz w:val="21"/>
                      <w:szCs w:val="21"/>
                    </w:rPr>
                    <w:t>LP1700-R1</w:t>
                  </w:r>
                </w:p>
              </w:tc>
              <w:tc>
                <w:tcPr>
                  <w:tcW w:w="266" w:type="pct"/>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70</w:t>
                  </w:r>
                </w:p>
              </w:tc>
              <w:tc>
                <w:tcPr>
                  <w:tcW w:w="280" w:type="pct"/>
                  <w:gridSpan w:val="2"/>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选用低噪声设备，基础减振</w:t>
                  </w:r>
                </w:p>
              </w:tc>
              <w:tc>
                <w:tcPr>
                  <w:tcW w:w="291" w:type="pct"/>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r>
                    <w:rPr>
                      <w:rFonts w:hint="eastAsia" w:cs="Times New Roman" w:eastAsiaTheme="minorEastAsia"/>
                      <w:color w:val="auto"/>
                      <w:sz w:val="21"/>
                      <w:szCs w:val="21"/>
                      <w:highlight w:val="none"/>
                      <w:lang w:val="en-US" w:eastAsia="zh-CN"/>
                    </w:rPr>
                    <w:t>5</w:t>
                  </w:r>
                </w:p>
              </w:tc>
              <w:tc>
                <w:tcPr>
                  <w:tcW w:w="183" w:type="pct"/>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2</w:t>
                  </w:r>
                </w:p>
              </w:tc>
              <w:tc>
                <w:tcPr>
                  <w:tcW w:w="189" w:type="pct"/>
                  <w:gridSpan w:val="2"/>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20</w:t>
                  </w:r>
                </w:p>
              </w:tc>
              <w:tc>
                <w:tcPr>
                  <w:tcW w:w="221" w:type="pct"/>
                  <w:gridSpan w:val="2"/>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w:t>
                  </w:r>
                </w:p>
              </w:tc>
              <w:tc>
                <w:tcPr>
                  <w:tcW w:w="287"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东边界</w:t>
                  </w:r>
                </w:p>
              </w:tc>
              <w:tc>
                <w:tcPr>
                  <w:tcW w:w="252"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108</w:t>
                  </w:r>
                </w:p>
              </w:tc>
              <w:tc>
                <w:tcPr>
                  <w:tcW w:w="357"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24.3 </w:t>
                  </w:r>
                </w:p>
              </w:tc>
              <w:tc>
                <w:tcPr>
                  <w:tcW w:w="394" w:type="pct"/>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00:00-24:00</w:t>
                  </w:r>
                </w:p>
              </w:tc>
              <w:tc>
                <w:tcPr>
                  <w:tcW w:w="360"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10</w:t>
                  </w:r>
                </w:p>
              </w:tc>
              <w:tc>
                <w:tcPr>
                  <w:tcW w:w="373"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8.3 </w:t>
                  </w:r>
                </w:p>
              </w:tc>
              <w:tc>
                <w:tcPr>
                  <w:tcW w:w="455" w:type="pct"/>
                  <w:vAlign w:val="center"/>
                </w:tcPr>
                <w:p>
                  <w:pPr>
                    <w:keepNext w:val="0"/>
                    <w:keepLines w:val="0"/>
                    <w:pageBreakBefore w:val="0"/>
                    <w:widowControl/>
                    <w:suppressLineNumbers w:val="0"/>
                    <w:kinsoku/>
                    <w:wordWrap/>
                    <w:overflowPunct/>
                    <w:topLinePunct w:val="0"/>
                    <w:autoSpaceDE w:val="0"/>
                    <w:autoSpaceDN w:val="0"/>
                    <w:bidi w:val="0"/>
                    <w:adjustRightInd/>
                    <w:spacing w:before="23" w:beforeLines="7" w:after="23" w:afterLines="7" w:line="240" w:lineRule="auto"/>
                    <w:ind w:left="0" w:leftChars="0" w:right="0" w:rightChars="0" w:firstLine="0" w:firstLineChars="0"/>
                    <w:jc w:val="center"/>
                    <w:textAlignment w:val="bottom"/>
                    <w:rPr>
                      <w:rFonts w:hint="eastAsia"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37"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45"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25"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78"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6"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80"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1"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3"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9"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21"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87"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南边界</w:t>
                  </w:r>
                </w:p>
              </w:tc>
              <w:tc>
                <w:tcPr>
                  <w:tcW w:w="252"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20</w:t>
                  </w:r>
                </w:p>
              </w:tc>
              <w:tc>
                <w:tcPr>
                  <w:tcW w:w="357"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39.0 </w:t>
                  </w:r>
                </w:p>
              </w:tc>
              <w:tc>
                <w:tcPr>
                  <w:tcW w:w="394"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360"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10</w:t>
                  </w:r>
                </w:p>
              </w:tc>
              <w:tc>
                <w:tcPr>
                  <w:tcW w:w="373"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23.0 </w:t>
                  </w:r>
                </w:p>
              </w:tc>
              <w:tc>
                <w:tcPr>
                  <w:tcW w:w="455" w:type="pct"/>
                  <w:vAlign w:val="center"/>
                </w:tcPr>
                <w:p>
                  <w:pPr>
                    <w:keepNext w:val="0"/>
                    <w:keepLines w:val="0"/>
                    <w:pageBreakBefore w:val="0"/>
                    <w:widowControl/>
                    <w:suppressLineNumbers w:val="0"/>
                    <w:kinsoku/>
                    <w:wordWrap/>
                    <w:overflowPunct/>
                    <w:topLinePunct w:val="0"/>
                    <w:autoSpaceDE w:val="0"/>
                    <w:autoSpaceDN w:val="0"/>
                    <w:bidi w:val="0"/>
                    <w:adjustRightInd/>
                    <w:snapToGrid/>
                    <w:spacing w:before="23" w:beforeLines="7" w:after="23" w:afterLines="7" w:line="240" w:lineRule="auto"/>
                    <w:ind w:left="0" w:leftChars="0" w:right="0" w:rightChars="0" w:firstLine="0" w:firstLineChars="0"/>
                    <w:jc w:val="center"/>
                    <w:textAlignment w:val="bottom"/>
                    <w:rPr>
                      <w:rFonts w:hint="eastAsia"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37"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45"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25"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78"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6"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80"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1"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3"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9"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21"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87"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西边界</w:t>
                  </w:r>
                </w:p>
              </w:tc>
              <w:tc>
                <w:tcPr>
                  <w:tcW w:w="252"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w:t>
                  </w:r>
                </w:p>
              </w:tc>
              <w:tc>
                <w:tcPr>
                  <w:tcW w:w="357"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59.0 </w:t>
                  </w:r>
                </w:p>
              </w:tc>
              <w:tc>
                <w:tcPr>
                  <w:tcW w:w="394"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360"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10</w:t>
                  </w:r>
                </w:p>
              </w:tc>
              <w:tc>
                <w:tcPr>
                  <w:tcW w:w="373"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43.0 </w:t>
                  </w:r>
                </w:p>
              </w:tc>
              <w:tc>
                <w:tcPr>
                  <w:tcW w:w="455" w:type="pct"/>
                  <w:vAlign w:val="center"/>
                </w:tcPr>
                <w:p>
                  <w:pPr>
                    <w:keepNext w:val="0"/>
                    <w:keepLines w:val="0"/>
                    <w:pageBreakBefore w:val="0"/>
                    <w:widowControl/>
                    <w:suppressLineNumbers w:val="0"/>
                    <w:kinsoku/>
                    <w:wordWrap/>
                    <w:overflowPunct/>
                    <w:topLinePunct w:val="0"/>
                    <w:autoSpaceDE w:val="0"/>
                    <w:autoSpaceDN w:val="0"/>
                    <w:bidi w:val="0"/>
                    <w:adjustRightInd/>
                    <w:snapToGrid/>
                    <w:spacing w:before="23" w:beforeLines="7" w:after="23" w:afterLines="7" w:line="240" w:lineRule="auto"/>
                    <w:ind w:left="0" w:leftChars="0" w:right="0" w:rightChars="0" w:firstLine="0" w:firstLineChars="0"/>
                    <w:jc w:val="center"/>
                    <w:textAlignment w:val="bottom"/>
                    <w:rPr>
                      <w:rFonts w:hint="eastAsia"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55" w:hRule="atLeast"/>
                <w:jc w:val="center"/>
              </w:trPr>
              <w:tc>
                <w:tcPr>
                  <w:tcW w:w="137"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45"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25"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78"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6"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80"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1"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3"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9"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21"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87"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北边界</w:t>
                  </w:r>
                </w:p>
              </w:tc>
              <w:tc>
                <w:tcPr>
                  <w:tcW w:w="252"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50</w:t>
                  </w:r>
                </w:p>
              </w:tc>
              <w:tc>
                <w:tcPr>
                  <w:tcW w:w="357"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31.0 </w:t>
                  </w:r>
                </w:p>
              </w:tc>
              <w:tc>
                <w:tcPr>
                  <w:tcW w:w="394"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360"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10</w:t>
                  </w:r>
                </w:p>
              </w:tc>
              <w:tc>
                <w:tcPr>
                  <w:tcW w:w="373"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15.0 </w:t>
                  </w:r>
                </w:p>
              </w:tc>
              <w:tc>
                <w:tcPr>
                  <w:tcW w:w="455" w:type="pct"/>
                  <w:vAlign w:val="center"/>
                </w:tcPr>
                <w:p>
                  <w:pPr>
                    <w:keepNext w:val="0"/>
                    <w:keepLines w:val="0"/>
                    <w:pageBreakBefore w:val="0"/>
                    <w:widowControl/>
                    <w:suppressLineNumbers w:val="0"/>
                    <w:kinsoku/>
                    <w:wordWrap/>
                    <w:overflowPunct/>
                    <w:topLinePunct w:val="0"/>
                    <w:autoSpaceDE w:val="0"/>
                    <w:autoSpaceDN w:val="0"/>
                    <w:bidi w:val="0"/>
                    <w:adjustRightInd/>
                    <w:spacing w:before="23" w:beforeLines="7" w:after="23" w:afterLines="7" w:line="240" w:lineRule="auto"/>
                    <w:ind w:left="0" w:leftChars="0" w:right="0" w:rightChars="0" w:firstLine="0" w:firstLineChars="0"/>
                    <w:jc w:val="center"/>
                    <w:textAlignment w:val="bottom"/>
                    <w:rPr>
                      <w:rFonts w:hint="eastAsia"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73" w:hRule="atLeast"/>
                <w:jc w:val="center"/>
              </w:trPr>
              <w:tc>
                <w:tcPr>
                  <w:tcW w:w="137" w:type="pct"/>
                  <w:gridSpan w:val="2"/>
                  <w:vMerge w:val="restart"/>
                  <w:vAlign w:val="center"/>
                </w:tcPr>
                <w:p>
                  <w:pPr>
                    <w:pStyle w:val="35"/>
                    <w:keepNext w:val="0"/>
                    <w:keepLines w:val="0"/>
                    <w:pageBreakBefore w:val="0"/>
                    <w:widowControl w:val="0"/>
                    <w:numPr>
                      <w:ilvl w:val="0"/>
                      <w:numId w:val="30"/>
                    </w:numPr>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45"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25" w:type="pct"/>
                  <w:vMerge w:val="restart"/>
                  <w:vAlign w:val="center"/>
                </w:tcPr>
                <w:p>
                  <w:pPr>
                    <w:pStyle w:val="40"/>
                    <w:keepNext w:val="0"/>
                    <w:keepLines w:val="0"/>
                    <w:pageBreakBefore w:val="0"/>
                    <w:widowControl w:val="0"/>
                    <w:kinsoku/>
                    <w:wordWrap/>
                    <w:overflowPunct/>
                    <w:topLinePunct w:val="0"/>
                    <w:autoSpaceDE/>
                    <w:autoSpaceDN/>
                    <w:bidi w:val="0"/>
                    <w:adjustRightInd/>
                    <w:snapToGrid/>
                    <w:spacing w:before="23" w:beforeLines="7" w:after="23" w:afterLines="7" w:line="240" w:lineRule="auto"/>
                    <w:ind w:left="-48" w:leftChars="-20" w:right="-48" w:rightChars="-2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eastAsia" w:ascii="宋体" w:hAnsi="宋体" w:eastAsia="宋体" w:cs="宋体"/>
                      <w:color w:val="auto"/>
                      <w:sz w:val="21"/>
                      <w:szCs w:val="21"/>
                      <w:lang w:val="en-US" w:eastAsia="zh-CN"/>
                    </w:rPr>
                    <w:t>覆膜烘干机</w:t>
                  </w:r>
                </w:p>
              </w:tc>
              <w:tc>
                <w:tcPr>
                  <w:tcW w:w="378" w:type="pct"/>
                  <w:vMerge w:val="restart"/>
                  <w:vAlign w:val="center"/>
                </w:tcPr>
                <w:p>
                  <w:pPr>
                    <w:pStyle w:val="40"/>
                    <w:keepNext w:val="0"/>
                    <w:keepLines w:val="0"/>
                    <w:pageBreakBefore w:val="0"/>
                    <w:widowControl w:val="0"/>
                    <w:kinsoku/>
                    <w:wordWrap/>
                    <w:overflowPunct/>
                    <w:topLinePunct w:val="0"/>
                    <w:autoSpaceDE/>
                    <w:autoSpaceDN/>
                    <w:bidi w:val="0"/>
                    <w:adjustRightInd/>
                    <w:snapToGrid/>
                    <w:spacing w:before="23" w:beforeLines="7" w:after="23" w:afterLines="7" w:line="240" w:lineRule="auto"/>
                    <w:ind w:left="-48" w:leftChars="-20" w:right="-48" w:rightChars="-20" w:firstLine="0" w:firstLineChars="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eastAsia="宋体" w:cs="Times New Roman"/>
                      <w:color w:val="auto"/>
                      <w:sz w:val="21"/>
                      <w:szCs w:val="21"/>
                      <w:lang w:val="en-US" w:eastAsia="zh-CN"/>
                    </w:rPr>
                    <w:t>LSN05</w:t>
                  </w:r>
                </w:p>
              </w:tc>
              <w:tc>
                <w:tcPr>
                  <w:tcW w:w="266" w:type="pct"/>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70</w:t>
                  </w:r>
                </w:p>
              </w:tc>
              <w:tc>
                <w:tcPr>
                  <w:tcW w:w="279" w:type="pct"/>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选用低噪声设备，基础减振</w:t>
                  </w:r>
                </w:p>
              </w:tc>
              <w:tc>
                <w:tcPr>
                  <w:tcW w:w="292" w:type="pct"/>
                  <w:gridSpan w:val="2"/>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r>
                    <w:rPr>
                      <w:rFonts w:hint="eastAsia" w:cs="Times New Roman" w:eastAsiaTheme="minorEastAsia"/>
                      <w:color w:val="auto"/>
                      <w:sz w:val="21"/>
                      <w:szCs w:val="21"/>
                      <w:highlight w:val="none"/>
                      <w:lang w:val="en-US" w:eastAsia="zh-CN"/>
                    </w:rPr>
                    <w:t>5</w:t>
                  </w:r>
                </w:p>
              </w:tc>
              <w:tc>
                <w:tcPr>
                  <w:tcW w:w="183" w:type="pct"/>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2</w:t>
                  </w:r>
                </w:p>
              </w:tc>
              <w:tc>
                <w:tcPr>
                  <w:tcW w:w="188" w:type="pct"/>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24</w:t>
                  </w:r>
                </w:p>
              </w:tc>
              <w:tc>
                <w:tcPr>
                  <w:tcW w:w="221" w:type="pct"/>
                  <w:gridSpan w:val="2"/>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w:t>
                  </w:r>
                </w:p>
              </w:tc>
              <w:tc>
                <w:tcPr>
                  <w:tcW w:w="287"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东边界</w:t>
                  </w:r>
                </w:p>
              </w:tc>
              <w:tc>
                <w:tcPr>
                  <w:tcW w:w="252"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108</w:t>
                  </w:r>
                </w:p>
              </w:tc>
              <w:tc>
                <w:tcPr>
                  <w:tcW w:w="358"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24.3 </w:t>
                  </w:r>
                </w:p>
              </w:tc>
              <w:tc>
                <w:tcPr>
                  <w:tcW w:w="394" w:type="pct"/>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00:00-24:00</w:t>
                  </w:r>
                </w:p>
              </w:tc>
              <w:tc>
                <w:tcPr>
                  <w:tcW w:w="360"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10</w:t>
                  </w:r>
                </w:p>
              </w:tc>
              <w:tc>
                <w:tcPr>
                  <w:tcW w:w="373"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8.3 </w:t>
                  </w:r>
                </w:p>
              </w:tc>
              <w:tc>
                <w:tcPr>
                  <w:tcW w:w="455" w:type="pct"/>
                  <w:vAlign w:val="center"/>
                </w:tcPr>
                <w:p>
                  <w:pPr>
                    <w:keepNext w:val="0"/>
                    <w:keepLines w:val="0"/>
                    <w:pageBreakBefore w:val="0"/>
                    <w:widowControl/>
                    <w:suppressLineNumbers w:val="0"/>
                    <w:kinsoku/>
                    <w:wordWrap/>
                    <w:overflowPunct/>
                    <w:topLinePunct w:val="0"/>
                    <w:autoSpaceDE w:val="0"/>
                    <w:autoSpaceDN w:val="0"/>
                    <w:bidi w:val="0"/>
                    <w:adjustRightInd/>
                    <w:spacing w:before="23" w:beforeLines="7" w:after="23" w:afterLines="7" w:line="240" w:lineRule="auto"/>
                    <w:ind w:left="0" w:leftChars="0" w:right="0" w:rightChars="0" w:firstLine="0" w:firstLineChars="0"/>
                    <w:jc w:val="center"/>
                    <w:textAlignment w:val="bottom"/>
                    <w:rPr>
                      <w:rFonts w:hint="eastAsia"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37"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45"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25"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78"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6"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79"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2"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3"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8"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21"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87"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南边界</w:t>
                  </w:r>
                </w:p>
              </w:tc>
              <w:tc>
                <w:tcPr>
                  <w:tcW w:w="252"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24</w:t>
                  </w:r>
                </w:p>
              </w:tc>
              <w:tc>
                <w:tcPr>
                  <w:tcW w:w="358"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37.4 </w:t>
                  </w:r>
                </w:p>
              </w:tc>
              <w:tc>
                <w:tcPr>
                  <w:tcW w:w="394"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360"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10</w:t>
                  </w:r>
                </w:p>
              </w:tc>
              <w:tc>
                <w:tcPr>
                  <w:tcW w:w="373"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21.4 </w:t>
                  </w:r>
                </w:p>
              </w:tc>
              <w:tc>
                <w:tcPr>
                  <w:tcW w:w="455" w:type="pct"/>
                  <w:vAlign w:val="center"/>
                </w:tcPr>
                <w:p>
                  <w:pPr>
                    <w:keepNext w:val="0"/>
                    <w:keepLines w:val="0"/>
                    <w:pageBreakBefore w:val="0"/>
                    <w:widowControl/>
                    <w:suppressLineNumbers w:val="0"/>
                    <w:kinsoku/>
                    <w:wordWrap/>
                    <w:overflowPunct/>
                    <w:topLinePunct w:val="0"/>
                    <w:autoSpaceDE w:val="0"/>
                    <w:autoSpaceDN w:val="0"/>
                    <w:bidi w:val="0"/>
                    <w:adjustRightInd/>
                    <w:snapToGrid/>
                    <w:spacing w:before="23" w:beforeLines="7" w:after="23" w:afterLines="7" w:line="240" w:lineRule="auto"/>
                    <w:ind w:left="0" w:leftChars="0" w:right="0" w:rightChars="0" w:firstLine="0" w:firstLineChars="0"/>
                    <w:jc w:val="center"/>
                    <w:textAlignment w:val="bottom"/>
                    <w:rPr>
                      <w:rFonts w:hint="eastAsia"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37"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45"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25"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78"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6"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79"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2"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3"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8"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21"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87"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西边界</w:t>
                  </w:r>
                </w:p>
              </w:tc>
              <w:tc>
                <w:tcPr>
                  <w:tcW w:w="252"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w:t>
                  </w:r>
                </w:p>
              </w:tc>
              <w:tc>
                <w:tcPr>
                  <w:tcW w:w="358"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59.0 </w:t>
                  </w:r>
                </w:p>
              </w:tc>
              <w:tc>
                <w:tcPr>
                  <w:tcW w:w="394"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360"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10</w:t>
                  </w:r>
                </w:p>
              </w:tc>
              <w:tc>
                <w:tcPr>
                  <w:tcW w:w="373"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43.0 </w:t>
                  </w:r>
                </w:p>
              </w:tc>
              <w:tc>
                <w:tcPr>
                  <w:tcW w:w="455" w:type="pct"/>
                  <w:vAlign w:val="center"/>
                </w:tcPr>
                <w:p>
                  <w:pPr>
                    <w:keepNext w:val="0"/>
                    <w:keepLines w:val="0"/>
                    <w:pageBreakBefore w:val="0"/>
                    <w:widowControl/>
                    <w:suppressLineNumbers w:val="0"/>
                    <w:kinsoku/>
                    <w:wordWrap/>
                    <w:overflowPunct/>
                    <w:topLinePunct w:val="0"/>
                    <w:autoSpaceDE w:val="0"/>
                    <w:autoSpaceDN w:val="0"/>
                    <w:bidi w:val="0"/>
                    <w:adjustRightInd/>
                    <w:snapToGrid/>
                    <w:spacing w:before="23" w:beforeLines="7" w:after="23" w:afterLines="7" w:line="240" w:lineRule="auto"/>
                    <w:ind w:left="0" w:leftChars="0" w:right="0" w:rightChars="0" w:firstLine="0" w:firstLineChars="0"/>
                    <w:jc w:val="center"/>
                    <w:textAlignment w:val="bottom"/>
                    <w:rPr>
                      <w:rFonts w:hint="eastAsia"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55" w:hRule="atLeast"/>
                <w:jc w:val="center"/>
              </w:trPr>
              <w:tc>
                <w:tcPr>
                  <w:tcW w:w="137"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45"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25"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78"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6"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79"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2"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3"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8"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21"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87"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北边界</w:t>
                  </w:r>
                </w:p>
              </w:tc>
              <w:tc>
                <w:tcPr>
                  <w:tcW w:w="252"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46</w:t>
                  </w:r>
                </w:p>
              </w:tc>
              <w:tc>
                <w:tcPr>
                  <w:tcW w:w="358"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31.7 </w:t>
                  </w:r>
                </w:p>
              </w:tc>
              <w:tc>
                <w:tcPr>
                  <w:tcW w:w="394"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360"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10</w:t>
                  </w:r>
                </w:p>
              </w:tc>
              <w:tc>
                <w:tcPr>
                  <w:tcW w:w="373"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15.7 </w:t>
                  </w:r>
                </w:p>
              </w:tc>
              <w:tc>
                <w:tcPr>
                  <w:tcW w:w="455" w:type="pct"/>
                  <w:vAlign w:val="center"/>
                </w:tcPr>
                <w:p>
                  <w:pPr>
                    <w:keepNext w:val="0"/>
                    <w:keepLines w:val="0"/>
                    <w:pageBreakBefore w:val="0"/>
                    <w:widowControl/>
                    <w:suppressLineNumbers w:val="0"/>
                    <w:kinsoku/>
                    <w:wordWrap/>
                    <w:overflowPunct/>
                    <w:topLinePunct w:val="0"/>
                    <w:autoSpaceDE w:val="0"/>
                    <w:autoSpaceDN w:val="0"/>
                    <w:bidi w:val="0"/>
                    <w:adjustRightInd/>
                    <w:spacing w:before="23" w:beforeLines="7" w:after="23" w:afterLines="7" w:line="240" w:lineRule="auto"/>
                    <w:ind w:left="0" w:leftChars="0" w:right="0" w:rightChars="0" w:firstLine="0" w:firstLineChars="0"/>
                    <w:jc w:val="center"/>
                    <w:textAlignment w:val="bottom"/>
                    <w:rPr>
                      <w:rFonts w:hint="eastAsia"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73" w:hRule="atLeast"/>
                <w:jc w:val="center"/>
              </w:trPr>
              <w:tc>
                <w:tcPr>
                  <w:tcW w:w="136" w:type="pct"/>
                  <w:vMerge w:val="restart"/>
                  <w:vAlign w:val="center"/>
                </w:tcPr>
                <w:p>
                  <w:pPr>
                    <w:pStyle w:val="35"/>
                    <w:keepNext w:val="0"/>
                    <w:keepLines w:val="0"/>
                    <w:pageBreakBefore w:val="0"/>
                    <w:widowControl w:val="0"/>
                    <w:numPr>
                      <w:ilvl w:val="0"/>
                      <w:numId w:val="30"/>
                    </w:numPr>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46" w:type="pct"/>
                  <w:gridSpan w:val="2"/>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25" w:type="pct"/>
                  <w:vMerge w:val="restart"/>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两级活性炭吸附装置</w:t>
                  </w:r>
                </w:p>
              </w:tc>
              <w:tc>
                <w:tcPr>
                  <w:tcW w:w="378" w:type="pct"/>
                  <w:vMerge w:val="restart"/>
                  <w:vAlign w:val="center"/>
                </w:tcPr>
                <w:p>
                  <w:pPr>
                    <w:pStyle w:val="32"/>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default" w:ascii="Times New Roman" w:hAnsi="Times New Roman" w:cs="Times New Roman" w:eastAsiaTheme="minorEastAsia"/>
                      <w:color w:val="auto"/>
                      <w:sz w:val="21"/>
                      <w:szCs w:val="21"/>
                      <w:highlight w:val="none"/>
                    </w:rPr>
                  </w:pPr>
                  <w:r>
                    <w:rPr>
                      <w:rFonts w:hint="eastAsia"/>
                      <w:color w:val="auto"/>
                      <w:lang w:val="en-US" w:eastAsia="zh-CN"/>
                    </w:rPr>
                    <w:t>风机风量</w:t>
                  </w:r>
                  <w:r>
                    <w:rPr>
                      <w:rFonts w:hint="eastAsia"/>
                      <w:color w:val="auto"/>
                      <w:highlight w:val="none"/>
                      <w:lang w:val="en-US" w:eastAsia="zh-CN"/>
                    </w:rPr>
                    <w:t>15</w:t>
                  </w:r>
                  <w:r>
                    <w:rPr>
                      <w:rFonts w:hint="eastAsia"/>
                      <w:color w:val="auto"/>
                      <w:highlight w:val="none"/>
                    </w:rPr>
                    <w:t>0</w:t>
                  </w:r>
                  <w:r>
                    <w:rPr>
                      <w:rFonts w:hint="eastAsia"/>
                      <w:color w:val="auto"/>
                      <w:highlight w:val="none"/>
                      <w:lang w:val="en-US" w:eastAsia="zh-CN"/>
                    </w:rPr>
                    <w:t>0</w:t>
                  </w:r>
                  <w:r>
                    <w:rPr>
                      <w:rFonts w:hint="eastAsia"/>
                      <w:color w:val="auto"/>
                      <w:highlight w:val="none"/>
                    </w:rPr>
                    <w:t>0</w:t>
                  </w:r>
                  <w:r>
                    <w:rPr>
                      <w:color w:val="auto"/>
                      <w:highlight w:val="none"/>
                    </w:rPr>
                    <w:t>m</w:t>
                  </w:r>
                  <w:r>
                    <w:rPr>
                      <w:color w:val="auto"/>
                      <w:highlight w:val="none"/>
                      <w:vertAlign w:val="superscript"/>
                    </w:rPr>
                    <w:t>3</w:t>
                  </w:r>
                  <w:r>
                    <w:rPr>
                      <w:color w:val="auto"/>
                      <w:highlight w:val="none"/>
                    </w:rPr>
                    <w:t>/h</w:t>
                  </w:r>
                </w:p>
              </w:tc>
              <w:tc>
                <w:tcPr>
                  <w:tcW w:w="266" w:type="pct"/>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90</w:t>
                  </w:r>
                </w:p>
              </w:tc>
              <w:tc>
                <w:tcPr>
                  <w:tcW w:w="280" w:type="pct"/>
                  <w:gridSpan w:val="2"/>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选用低噪声设备，基础减振</w:t>
                  </w:r>
                </w:p>
              </w:tc>
              <w:tc>
                <w:tcPr>
                  <w:tcW w:w="291" w:type="pct"/>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r>
                    <w:rPr>
                      <w:rFonts w:hint="eastAsia" w:cs="Times New Roman" w:eastAsiaTheme="minorEastAsia"/>
                      <w:color w:val="auto"/>
                      <w:sz w:val="21"/>
                      <w:szCs w:val="21"/>
                      <w:highlight w:val="none"/>
                      <w:lang w:val="en-US" w:eastAsia="zh-CN"/>
                    </w:rPr>
                    <w:t>5</w:t>
                  </w:r>
                </w:p>
              </w:tc>
              <w:tc>
                <w:tcPr>
                  <w:tcW w:w="183" w:type="pct"/>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6</w:t>
                  </w:r>
                </w:p>
              </w:tc>
              <w:tc>
                <w:tcPr>
                  <w:tcW w:w="189" w:type="pct"/>
                  <w:gridSpan w:val="2"/>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62</w:t>
                  </w:r>
                </w:p>
              </w:tc>
              <w:tc>
                <w:tcPr>
                  <w:tcW w:w="220" w:type="pct"/>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w:t>
                  </w:r>
                </w:p>
              </w:tc>
              <w:tc>
                <w:tcPr>
                  <w:tcW w:w="287"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东边界</w:t>
                  </w:r>
                </w:p>
              </w:tc>
              <w:tc>
                <w:tcPr>
                  <w:tcW w:w="252"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102</w:t>
                  </w:r>
                </w:p>
              </w:tc>
              <w:tc>
                <w:tcPr>
                  <w:tcW w:w="358"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44.8 </w:t>
                  </w:r>
                </w:p>
              </w:tc>
              <w:tc>
                <w:tcPr>
                  <w:tcW w:w="394" w:type="pct"/>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00:00-24:00</w:t>
                  </w:r>
                </w:p>
              </w:tc>
              <w:tc>
                <w:tcPr>
                  <w:tcW w:w="360"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10</w:t>
                  </w:r>
                </w:p>
              </w:tc>
              <w:tc>
                <w:tcPr>
                  <w:tcW w:w="373"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28.8 </w:t>
                  </w:r>
                </w:p>
              </w:tc>
              <w:tc>
                <w:tcPr>
                  <w:tcW w:w="455" w:type="pct"/>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36"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46"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25"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78"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6"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80"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1"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3"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9"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20"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87"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南边界</w:t>
                  </w:r>
                </w:p>
              </w:tc>
              <w:tc>
                <w:tcPr>
                  <w:tcW w:w="252"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62</w:t>
                  </w:r>
                </w:p>
              </w:tc>
              <w:tc>
                <w:tcPr>
                  <w:tcW w:w="358"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49.2 </w:t>
                  </w:r>
                </w:p>
              </w:tc>
              <w:tc>
                <w:tcPr>
                  <w:tcW w:w="394"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360"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10</w:t>
                  </w:r>
                </w:p>
              </w:tc>
              <w:tc>
                <w:tcPr>
                  <w:tcW w:w="373"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33.2 </w:t>
                  </w:r>
                </w:p>
              </w:tc>
              <w:tc>
                <w:tcPr>
                  <w:tcW w:w="455" w:type="pct"/>
                  <w:vAlign w:val="center"/>
                </w:tcPr>
                <w:p>
                  <w:pPr>
                    <w:keepNext w:val="0"/>
                    <w:keepLines w:val="0"/>
                    <w:pageBreakBefore w:val="0"/>
                    <w:widowControl/>
                    <w:suppressLineNumbers w:val="0"/>
                    <w:kinsoku/>
                    <w:wordWrap/>
                    <w:overflowPunct/>
                    <w:topLinePunct w:val="0"/>
                    <w:autoSpaceDE w:val="0"/>
                    <w:autoSpaceDN w:val="0"/>
                    <w:bidi w:val="0"/>
                    <w:adjustRightInd/>
                    <w:snapToGrid/>
                    <w:spacing w:line="240" w:lineRule="auto"/>
                    <w:ind w:left="0" w:leftChars="0" w:right="0" w:rightChars="0" w:firstLine="0" w:firstLineChars="0"/>
                    <w:jc w:val="center"/>
                    <w:textAlignment w:val="bottom"/>
                    <w:rPr>
                      <w:rFonts w:hint="eastAsia"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36"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46"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25"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78"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6"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80"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1"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3"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9"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20"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87"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西边界</w:t>
                  </w:r>
                </w:p>
              </w:tc>
              <w:tc>
                <w:tcPr>
                  <w:tcW w:w="252"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6</w:t>
                  </w:r>
                </w:p>
              </w:tc>
              <w:tc>
                <w:tcPr>
                  <w:tcW w:w="358"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69.4 </w:t>
                  </w:r>
                </w:p>
              </w:tc>
              <w:tc>
                <w:tcPr>
                  <w:tcW w:w="394"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360"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10</w:t>
                  </w:r>
                </w:p>
              </w:tc>
              <w:tc>
                <w:tcPr>
                  <w:tcW w:w="373"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53.4 </w:t>
                  </w:r>
                </w:p>
              </w:tc>
              <w:tc>
                <w:tcPr>
                  <w:tcW w:w="455" w:type="pct"/>
                  <w:vAlign w:val="center"/>
                </w:tcPr>
                <w:p>
                  <w:pPr>
                    <w:keepNext w:val="0"/>
                    <w:keepLines w:val="0"/>
                    <w:pageBreakBefore w:val="0"/>
                    <w:widowControl/>
                    <w:suppressLineNumbers w:val="0"/>
                    <w:kinsoku/>
                    <w:wordWrap/>
                    <w:overflowPunct/>
                    <w:topLinePunct w:val="0"/>
                    <w:autoSpaceDE w:val="0"/>
                    <w:autoSpaceDN w:val="0"/>
                    <w:bidi w:val="0"/>
                    <w:adjustRightInd/>
                    <w:snapToGrid/>
                    <w:spacing w:line="240" w:lineRule="auto"/>
                    <w:ind w:left="0" w:leftChars="0" w:right="0" w:rightChars="0" w:firstLine="0" w:firstLineChars="0"/>
                    <w:jc w:val="center"/>
                    <w:textAlignment w:val="bottom"/>
                    <w:rPr>
                      <w:rFonts w:hint="eastAsia"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55" w:hRule="atLeast"/>
                <w:jc w:val="center"/>
              </w:trPr>
              <w:tc>
                <w:tcPr>
                  <w:tcW w:w="136"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46"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25"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78"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6"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80"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1"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3"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9"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20"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87"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北边界</w:t>
                  </w:r>
                </w:p>
              </w:tc>
              <w:tc>
                <w:tcPr>
                  <w:tcW w:w="252"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7</w:t>
                  </w:r>
                </w:p>
              </w:tc>
              <w:tc>
                <w:tcPr>
                  <w:tcW w:w="358"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68.1 </w:t>
                  </w:r>
                </w:p>
              </w:tc>
              <w:tc>
                <w:tcPr>
                  <w:tcW w:w="394"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360"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10</w:t>
                  </w:r>
                </w:p>
              </w:tc>
              <w:tc>
                <w:tcPr>
                  <w:tcW w:w="373"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52.1 </w:t>
                  </w:r>
                </w:p>
              </w:tc>
              <w:tc>
                <w:tcPr>
                  <w:tcW w:w="455" w:type="pct"/>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73" w:hRule="atLeast"/>
                <w:jc w:val="center"/>
              </w:trPr>
              <w:tc>
                <w:tcPr>
                  <w:tcW w:w="136" w:type="pct"/>
                  <w:vMerge w:val="restart"/>
                  <w:vAlign w:val="center"/>
                </w:tcPr>
                <w:p>
                  <w:pPr>
                    <w:pStyle w:val="35"/>
                    <w:keepNext w:val="0"/>
                    <w:keepLines w:val="0"/>
                    <w:pageBreakBefore w:val="0"/>
                    <w:widowControl w:val="0"/>
                    <w:numPr>
                      <w:ilvl w:val="0"/>
                      <w:numId w:val="30"/>
                    </w:numPr>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46" w:type="pct"/>
                  <w:gridSpan w:val="2"/>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25" w:type="pct"/>
                  <w:vMerge w:val="restart"/>
                  <w:vAlign w:val="center"/>
                </w:tcPr>
                <w:p>
                  <w:pPr>
                    <w:pStyle w:val="40"/>
                    <w:keepNext w:val="0"/>
                    <w:keepLines w:val="0"/>
                    <w:pageBreakBefore w:val="0"/>
                    <w:widowControl w:val="0"/>
                    <w:kinsoku/>
                    <w:wordWrap/>
                    <w:overflowPunct/>
                    <w:topLinePunct w:val="0"/>
                    <w:autoSpaceDE/>
                    <w:autoSpaceDN/>
                    <w:bidi w:val="0"/>
                    <w:adjustRightInd/>
                    <w:snapToGrid/>
                    <w:spacing w:before="23" w:beforeLines="7" w:after="23" w:afterLines="7" w:line="240" w:lineRule="auto"/>
                    <w:ind w:left="-48" w:leftChars="-20" w:right="-48" w:rightChars="-2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3级喷淋塔风机</w:t>
                  </w:r>
                </w:p>
              </w:tc>
              <w:tc>
                <w:tcPr>
                  <w:tcW w:w="378" w:type="pct"/>
                  <w:vMerge w:val="restart"/>
                  <w:vAlign w:val="center"/>
                </w:tcPr>
                <w:p>
                  <w:pPr>
                    <w:pStyle w:val="32"/>
                    <w:keepNext w:val="0"/>
                    <w:keepLines w:val="0"/>
                    <w:pageBreakBefore w:val="0"/>
                    <w:widowControl w:val="0"/>
                    <w:kinsoku/>
                    <w:wordWrap/>
                    <w:overflowPunct/>
                    <w:topLinePunct w:val="0"/>
                    <w:autoSpaceDE/>
                    <w:autoSpaceDN/>
                    <w:bidi w:val="0"/>
                    <w:adjustRightInd/>
                    <w:snapToGrid/>
                    <w:spacing w:before="23" w:beforeLines="7" w:after="23" w:afterLines="7"/>
                    <w:ind w:firstLine="0" w:firstLineChars="0"/>
                    <w:textAlignment w:val="auto"/>
                    <w:rPr>
                      <w:rFonts w:hint="default" w:ascii="Times New Roman" w:hAnsi="Times New Roman" w:cs="Times New Roman" w:eastAsiaTheme="minorEastAsia"/>
                      <w:color w:val="auto"/>
                      <w:sz w:val="21"/>
                      <w:szCs w:val="21"/>
                      <w:highlight w:val="none"/>
                    </w:rPr>
                  </w:pPr>
                  <w:r>
                    <w:rPr>
                      <w:rFonts w:hint="eastAsia"/>
                      <w:color w:val="auto"/>
                      <w:lang w:val="en-US" w:eastAsia="zh-CN"/>
                    </w:rPr>
                    <w:t>风机风量</w:t>
                  </w:r>
                  <w:r>
                    <w:rPr>
                      <w:rFonts w:hint="eastAsia"/>
                      <w:color w:val="auto"/>
                      <w:highlight w:val="none"/>
                    </w:rPr>
                    <w:t>1800</w:t>
                  </w:r>
                  <w:r>
                    <w:rPr>
                      <w:color w:val="auto"/>
                      <w:highlight w:val="none"/>
                    </w:rPr>
                    <w:t>m</w:t>
                  </w:r>
                  <w:r>
                    <w:rPr>
                      <w:color w:val="auto"/>
                      <w:highlight w:val="none"/>
                      <w:vertAlign w:val="superscript"/>
                    </w:rPr>
                    <w:t>3</w:t>
                  </w:r>
                  <w:r>
                    <w:rPr>
                      <w:color w:val="auto"/>
                      <w:highlight w:val="none"/>
                    </w:rPr>
                    <w:t>/h</w:t>
                  </w:r>
                </w:p>
              </w:tc>
              <w:tc>
                <w:tcPr>
                  <w:tcW w:w="266" w:type="pct"/>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90</w:t>
                  </w:r>
                </w:p>
              </w:tc>
              <w:tc>
                <w:tcPr>
                  <w:tcW w:w="280" w:type="pct"/>
                  <w:gridSpan w:val="2"/>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选用低噪声设备，基础减振</w:t>
                  </w:r>
                </w:p>
              </w:tc>
              <w:tc>
                <w:tcPr>
                  <w:tcW w:w="291" w:type="pct"/>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r>
                    <w:rPr>
                      <w:rFonts w:hint="eastAsia" w:cs="Times New Roman" w:eastAsiaTheme="minorEastAsia"/>
                      <w:color w:val="auto"/>
                      <w:sz w:val="21"/>
                      <w:szCs w:val="21"/>
                      <w:highlight w:val="none"/>
                      <w:lang w:val="en-US" w:eastAsia="zh-CN"/>
                    </w:rPr>
                    <w:t>5</w:t>
                  </w:r>
                </w:p>
              </w:tc>
              <w:tc>
                <w:tcPr>
                  <w:tcW w:w="183" w:type="pct"/>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6</w:t>
                  </w:r>
                </w:p>
              </w:tc>
              <w:tc>
                <w:tcPr>
                  <w:tcW w:w="189" w:type="pct"/>
                  <w:gridSpan w:val="2"/>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61</w:t>
                  </w:r>
                </w:p>
              </w:tc>
              <w:tc>
                <w:tcPr>
                  <w:tcW w:w="220" w:type="pct"/>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w:t>
                  </w:r>
                </w:p>
              </w:tc>
              <w:tc>
                <w:tcPr>
                  <w:tcW w:w="287"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东边界</w:t>
                  </w:r>
                </w:p>
              </w:tc>
              <w:tc>
                <w:tcPr>
                  <w:tcW w:w="252"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102</w:t>
                  </w:r>
                </w:p>
              </w:tc>
              <w:tc>
                <w:tcPr>
                  <w:tcW w:w="358"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44.8 </w:t>
                  </w:r>
                </w:p>
              </w:tc>
              <w:tc>
                <w:tcPr>
                  <w:tcW w:w="394" w:type="pct"/>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00:00-24:00</w:t>
                  </w:r>
                </w:p>
              </w:tc>
              <w:tc>
                <w:tcPr>
                  <w:tcW w:w="360"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10</w:t>
                  </w:r>
                </w:p>
              </w:tc>
              <w:tc>
                <w:tcPr>
                  <w:tcW w:w="373"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28.8 </w:t>
                  </w:r>
                </w:p>
              </w:tc>
              <w:tc>
                <w:tcPr>
                  <w:tcW w:w="455" w:type="pct"/>
                  <w:vAlign w:val="center"/>
                </w:tcPr>
                <w:p>
                  <w:pPr>
                    <w:keepNext w:val="0"/>
                    <w:keepLines w:val="0"/>
                    <w:pageBreakBefore w:val="0"/>
                    <w:widowControl/>
                    <w:suppressLineNumbers w:val="0"/>
                    <w:kinsoku/>
                    <w:wordWrap/>
                    <w:overflowPunct/>
                    <w:topLinePunct w:val="0"/>
                    <w:autoSpaceDE w:val="0"/>
                    <w:autoSpaceDN w:val="0"/>
                    <w:bidi w:val="0"/>
                    <w:adjustRightInd/>
                    <w:spacing w:before="23" w:beforeLines="7" w:after="23" w:afterLines="7" w:line="240" w:lineRule="auto"/>
                    <w:ind w:left="0" w:leftChars="0" w:right="0" w:rightChars="0" w:firstLine="0" w:firstLineChars="0"/>
                    <w:jc w:val="center"/>
                    <w:textAlignment w:val="bottom"/>
                    <w:rPr>
                      <w:rFonts w:hint="eastAsia"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36"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46"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25"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78"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6"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80"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1"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3"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9"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20"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87"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南边界</w:t>
                  </w:r>
                </w:p>
              </w:tc>
              <w:tc>
                <w:tcPr>
                  <w:tcW w:w="252"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61</w:t>
                  </w:r>
                </w:p>
              </w:tc>
              <w:tc>
                <w:tcPr>
                  <w:tcW w:w="358"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49.3 </w:t>
                  </w:r>
                </w:p>
              </w:tc>
              <w:tc>
                <w:tcPr>
                  <w:tcW w:w="394"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360"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10</w:t>
                  </w:r>
                </w:p>
              </w:tc>
              <w:tc>
                <w:tcPr>
                  <w:tcW w:w="373"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33.3 </w:t>
                  </w:r>
                </w:p>
              </w:tc>
              <w:tc>
                <w:tcPr>
                  <w:tcW w:w="455" w:type="pct"/>
                  <w:vAlign w:val="center"/>
                </w:tcPr>
                <w:p>
                  <w:pPr>
                    <w:keepNext w:val="0"/>
                    <w:keepLines w:val="0"/>
                    <w:pageBreakBefore w:val="0"/>
                    <w:widowControl/>
                    <w:suppressLineNumbers w:val="0"/>
                    <w:kinsoku/>
                    <w:wordWrap/>
                    <w:overflowPunct/>
                    <w:topLinePunct w:val="0"/>
                    <w:autoSpaceDE w:val="0"/>
                    <w:autoSpaceDN w:val="0"/>
                    <w:bidi w:val="0"/>
                    <w:adjustRightInd/>
                    <w:snapToGrid/>
                    <w:spacing w:before="23" w:beforeLines="7" w:after="23" w:afterLines="7" w:line="240" w:lineRule="auto"/>
                    <w:ind w:left="0" w:leftChars="0" w:right="0" w:rightChars="0" w:firstLine="0" w:firstLineChars="0"/>
                    <w:jc w:val="center"/>
                    <w:textAlignment w:val="bottom"/>
                    <w:rPr>
                      <w:rFonts w:hint="eastAsia"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36"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46"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25"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78"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6"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80"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1"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3"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9"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20"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87"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西边界</w:t>
                  </w:r>
                </w:p>
              </w:tc>
              <w:tc>
                <w:tcPr>
                  <w:tcW w:w="252"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6</w:t>
                  </w:r>
                </w:p>
              </w:tc>
              <w:tc>
                <w:tcPr>
                  <w:tcW w:w="358"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69.4 </w:t>
                  </w:r>
                </w:p>
              </w:tc>
              <w:tc>
                <w:tcPr>
                  <w:tcW w:w="394"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360"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10</w:t>
                  </w:r>
                </w:p>
              </w:tc>
              <w:tc>
                <w:tcPr>
                  <w:tcW w:w="373"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53.4 </w:t>
                  </w:r>
                </w:p>
              </w:tc>
              <w:tc>
                <w:tcPr>
                  <w:tcW w:w="455" w:type="pct"/>
                  <w:vAlign w:val="center"/>
                </w:tcPr>
                <w:p>
                  <w:pPr>
                    <w:keepNext w:val="0"/>
                    <w:keepLines w:val="0"/>
                    <w:pageBreakBefore w:val="0"/>
                    <w:widowControl/>
                    <w:suppressLineNumbers w:val="0"/>
                    <w:kinsoku/>
                    <w:wordWrap/>
                    <w:overflowPunct/>
                    <w:topLinePunct w:val="0"/>
                    <w:autoSpaceDE w:val="0"/>
                    <w:autoSpaceDN w:val="0"/>
                    <w:bidi w:val="0"/>
                    <w:adjustRightInd/>
                    <w:snapToGrid/>
                    <w:spacing w:before="23" w:beforeLines="7" w:after="23" w:afterLines="7" w:line="240" w:lineRule="auto"/>
                    <w:ind w:left="0" w:leftChars="0" w:right="0" w:rightChars="0" w:firstLine="0" w:firstLineChars="0"/>
                    <w:jc w:val="center"/>
                    <w:textAlignment w:val="bottom"/>
                    <w:rPr>
                      <w:rFonts w:hint="eastAsia"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55" w:hRule="atLeast"/>
                <w:jc w:val="center"/>
              </w:trPr>
              <w:tc>
                <w:tcPr>
                  <w:tcW w:w="136"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46"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25"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78"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6"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80"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1"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3"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9"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20"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87"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北边界</w:t>
                  </w:r>
                </w:p>
              </w:tc>
              <w:tc>
                <w:tcPr>
                  <w:tcW w:w="252"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8</w:t>
                  </w:r>
                </w:p>
              </w:tc>
              <w:tc>
                <w:tcPr>
                  <w:tcW w:w="358"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66.9 </w:t>
                  </w:r>
                </w:p>
              </w:tc>
              <w:tc>
                <w:tcPr>
                  <w:tcW w:w="394"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360"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10</w:t>
                  </w:r>
                </w:p>
              </w:tc>
              <w:tc>
                <w:tcPr>
                  <w:tcW w:w="373"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50.9 </w:t>
                  </w:r>
                </w:p>
              </w:tc>
              <w:tc>
                <w:tcPr>
                  <w:tcW w:w="455" w:type="pct"/>
                  <w:vAlign w:val="center"/>
                </w:tcPr>
                <w:p>
                  <w:pPr>
                    <w:keepNext w:val="0"/>
                    <w:keepLines w:val="0"/>
                    <w:pageBreakBefore w:val="0"/>
                    <w:widowControl/>
                    <w:suppressLineNumbers w:val="0"/>
                    <w:kinsoku/>
                    <w:wordWrap/>
                    <w:overflowPunct/>
                    <w:topLinePunct w:val="0"/>
                    <w:autoSpaceDE w:val="0"/>
                    <w:autoSpaceDN w:val="0"/>
                    <w:bidi w:val="0"/>
                    <w:adjustRightInd/>
                    <w:spacing w:before="23" w:beforeLines="7" w:after="23" w:afterLines="7" w:line="240" w:lineRule="auto"/>
                    <w:ind w:left="0" w:leftChars="0" w:right="0" w:rightChars="0" w:firstLine="0" w:firstLineChars="0"/>
                    <w:jc w:val="center"/>
                    <w:textAlignment w:val="bottom"/>
                    <w:rPr>
                      <w:rFonts w:hint="eastAsia"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73" w:hRule="atLeast"/>
                <w:jc w:val="center"/>
              </w:trPr>
              <w:tc>
                <w:tcPr>
                  <w:tcW w:w="136" w:type="pct"/>
                  <w:vMerge w:val="restart"/>
                  <w:vAlign w:val="center"/>
                </w:tcPr>
                <w:p>
                  <w:pPr>
                    <w:pStyle w:val="35"/>
                    <w:keepNext w:val="0"/>
                    <w:keepLines w:val="0"/>
                    <w:pageBreakBefore w:val="0"/>
                    <w:widowControl w:val="0"/>
                    <w:numPr>
                      <w:ilvl w:val="0"/>
                      <w:numId w:val="30"/>
                    </w:numPr>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46"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25" w:type="pct"/>
                  <w:vMerge w:val="restart"/>
                  <w:vAlign w:val="center"/>
                </w:tcPr>
                <w:p>
                  <w:pPr>
                    <w:pStyle w:val="32"/>
                    <w:keepNext w:val="0"/>
                    <w:keepLines w:val="0"/>
                    <w:pageBreakBefore w:val="0"/>
                    <w:widowControl w:val="0"/>
                    <w:kinsoku/>
                    <w:wordWrap/>
                    <w:overflowPunct/>
                    <w:topLinePunct w:val="0"/>
                    <w:autoSpaceDE/>
                    <w:autoSpaceDN/>
                    <w:bidi w:val="0"/>
                    <w:adjustRightInd/>
                    <w:snapToGrid/>
                    <w:spacing w:before="23" w:beforeLines="7" w:after="23" w:afterLines="7"/>
                    <w:ind w:firstLine="0" w:firstLineChars="0"/>
                    <w:textAlignment w:val="auto"/>
                    <w:rPr>
                      <w:rFonts w:hint="eastAsia" w:ascii="Times New Roman" w:hAnsi="Times New Roman" w:cs="Times New Roman" w:eastAsiaTheme="minorEastAsia"/>
                      <w:color w:val="auto"/>
                      <w:sz w:val="21"/>
                      <w:szCs w:val="21"/>
                      <w:highlight w:val="none"/>
                      <w:lang w:val="en-US" w:eastAsia="zh-CN"/>
                    </w:rPr>
                  </w:pPr>
                  <w:r>
                    <w:rPr>
                      <w:rFonts w:hint="eastAsia"/>
                      <w:color w:val="auto"/>
                    </w:rPr>
                    <w:t>喷镀炉</w:t>
                  </w:r>
                </w:p>
              </w:tc>
              <w:tc>
                <w:tcPr>
                  <w:tcW w:w="378" w:type="pct"/>
                  <w:vMerge w:val="restart"/>
                  <w:vAlign w:val="center"/>
                </w:tcPr>
                <w:p>
                  <w:pPr>
                    <w:pStyle w:val="32"/>
                    <w:keepNext w:val="0"/>
                    <w:keepLines w:val="0"/>
                    <w:pageBreakBefore w:val="0"/>
                    <w:widowControl w:val="0"/>
                    <w:kinsoku/>
                    <w:wordWrap/>
                    <w:overflowPunct/>
                    <w:topLinePunct w:val="0"/>
                    <w:autoSpaceDE/>
                    <w:autoSpaceDN/>
                    <w:bidi w:val="0"/>
                    <w:adjustRightInd/>
                    <w:snapToGrid/>
                    <w:spacing w:before="23" w:beforeLines="7" w:after="23" w:afterLines="7"/>
                    <w:ind w:firstLine="0" w:firstLineChars="0"/>
                    <w:textAlignment w:val="auto"/>
                    <w:rPr>
                      <w:rFonts w:hint="default" w:ascii="Times New Roman" w:hAnsi="Times New Roman" w:cs="Times New Roman" w:eastAsiaTheme="minorEastAsia"/>
                      <w:color w:val="auto"/>
                      <w:sz w:val="21"/>
                      <w:szCs w:val="21"/>
                      <w:highlight w:val="none"/>
                    </w:rPr>
                  </w:pPr>
                  <w:r>
                    <w:rPr>
                      <w:rFonts w:hint="eastAsia"/>
                      <w:color w:val="auto"/>
                    </w:rPr>
                    <w:t>MX-P</w:t>
                  </w:r>
                </w:p>
              </w:tc>
              <w:tc>
                <w:tcPr>
                  <w:tcW w:w="266" w:type="pct"/>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70</w:t>
                  </w:r>
                </w:p>
              </w:tc>
              <w:tc>
                <w:tcPr>
                  <w:tcW w:w="280" w:type="pct"/>
                  <w:gridSpan w:val="2"/>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选用低噪声设备，基础减振</w:t>
                  </w:r>
                </w:p>
              </w:tc>
              <w:tc>
                <w:tcPr>
                  <w:tcW w:w="291" w:type="pct"/>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r>
                    <w:rPr>
                      <w:rFonts w:hint="eastAsia" w:cs="Times New Roman" w:eastAsiaTheme="minorEastAsia"/>
                      <w:color w:val="auto"/>
                      <w:sz w:val="21"/>
                      <w:szCs w:val="21"/>
                      <w:highlight w:val="none"/>
                      <w:lang w:val="en-US" w:eastAsia="zh-CN"/>
                    </w:rPr>
                    <w:t>5</w:t>
                  </w:r>
                </w:p>
              </w:tc>
              <w:tc>
                <w:tcPr>
                  <w:tcW w:w="183" w:type="pct"/>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3</w:t>
                  </w:r>
                </w:p>
              </w:tc>
              <w:tc>
                <w:tcPr>
                  <w:tcW w:w="189" w:type="pct"/>
                  <w:gridSpan w:val="2"/>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36</w:t>
                  </w:r>
                </w:p>
              </w:tc>
              <w:tc>
                <w:tcPr>
                  <w:tcW w:w="220" w:type="pct"/>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w:t>
                  </w:r>
                </w:p>
              </w:tc>
              <w:tc>
                <w:tcPr>
                  <w:tcW w:w="287"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东边界</w:t>
                  </w:r>
                </w:p>
              </w:tc>
              <w:tc>
                <w:tcPr>
                  <w:tcW w:w="252"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106</w:t>
                  </w:r>
                </w:p>
              </w:tc>
              <w:tc>
                <w:tcPr>
                  <w:tcW w:w="358"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24.5 </w:t>
                  </w:r>
                </w:p>
              </w:tc>
              <w:tc>
                <w:tcPr>
                  <w:tcW w:w="394" w:type="pct"/>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00:00-24:00</w:t>
                  </w:r>
                </w:p>
              </w:tc>
              <w:tc>
                <w:tcPr>
                  <w:tcW w:w="360"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10</w:t>
                  </w:r>
                </w:p>
              </w:tc>
              <w:tc>
                <w:tcPr>
                  <w:tcW w:w="373"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8.5 </w:t>
                  </w:r>
                </w:p>
              </w:tc>
              <w:tc>
                <w:tcPr>
                  <w:tcW w:w="455" w:type="pct"/>
                  <w:vAlign w:val="center"/>
                </w:tcPr>
                <w:p>
                  <w:pPr>
                    <w:keepNext w:val="0"/>
                    <w:keepLines w:val="0"/>
                    <w:pageBreakBefore w:val="0"/>
                    <w:widowControl/>
                    <w:suppressLineNumbers w:val="0"/>
                    <w:kinsoku/>
                    <w:wordWrap/>
                    <w:overflowPunct/>
                    <w:topLinePunct w:val="0"/>
                    <w:autoSpaceDE w:val="0"/>
                    <w:autoSpaceDN w:val="0"/>
                    <w:bidi w:val="0"/>
                    <w:adjustRightInd/>
                    <w:spacing w:before="23" w:beforeLines="7" w:after="23" w:afterLines="7" w:line="240" w:lineRule="auto"/>
                    <w:ind w:left="0" w:leftChars="0" w:right="0" w:rightChars="0" w:firstLine="0" w:firstLineChars="0"/>
                    <w:jc w:val="center"/>
                    <w:textAlignment w:val="bottom"/>
                    <w:rPr>
                      <w:rFonts w:hint="eastAsia"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36"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46"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25"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78"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6"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80"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1"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3"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9"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20"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87"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南边界</w:t>
                  </w:r>
                </w:p>
              </w:tc>
              <w:tc>
                <w:tcPr>
                  <w:tcW w:w="252"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36</w:t>
                  </w:r>
                </w:p>
              </w:tc>
              <w:tc>
                <w:tcPr>
                  <w:tcW w:w="358"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33.9 </w:t>
                  </w:r>
                </w:p>
              </w:tc>
              <w:tc>
                <w:tcPr>
                  <w:tcW w:w="394"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360"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10</w:t>
                  </w:r>
                </w:p>
              </w:tc>
              <w:tc>
                <w:tcPr>
                  <w:tcW w:w="373"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17.9 </w:t>
                  </w:r>
                </w:p>
              </w:tc>
              <w:tc>
                <w:tcPr>
                  <w:tcW w:w="455" w:type="pct"/>
                  <w:vAlign w:val="center"/>
                </w:tcPr>
                <w:p>
                  <w:pPr>
                    <w:keepNext w:val="0"/>
                    <w:keepLines w:val="0"/>
                    <w:pageBreakBefore w:val="0"/>
                    <w:widowControl/>
                    <w:suppressLineNumbers w:val="0"/>
                    <w:kinsoku/>
                    <w:wordWrap/>
                    <w:overflowPunct/>
                    <w:topLinePunct w:val="0"/>
                    <w:autoSpaceDE w:val="0"/>
                    <w:autoSpaceDN w:val="0"/>
                    <w:bidi w:val="0"/>
                    <w:adjustRightInd/>
                    <w:snapToGrid/>
                    <w:spacing w:before="23" w:beforeLines="7" w:after="23" w:afterLines="7" w:line="240" w:lineRule="auto"/>
                    <w:ind w:left="0" w:leftChars="0" w:right="0" w:rightChars="0" w:firstLine="0" w:firstLineChars="0"/>
                    <w:jc w:val="center"/>
                    <w:textAlignment w:val="bottom"/>
                    <w:rPr>
                      <w:rFonts w:hint="eastAsia"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36"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46"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25"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78"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6"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80"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1"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3"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9"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20"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87"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西边界</w:t>
                  </w:r>
                </w:p>
              </w:tc>
              <w:tc>
                <w:tcPr>
                  <w:tcW w:w="252"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3</w:t>
                  </w:r>
                </w:p>
              </w:tc>
              <w:tc>
                <w:tcPr>
                  <w:tcW w:w="358"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55.5 </w:t>
                  </w:r>
                </w:p>
              </w:tc>
              <w:tc>
                <w:tcPr>
                  <w:tcW w:w="394"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360"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10</w:t>
                  </w:r>
                </w:p>
              </w:tc>
              <w:tc>
                <w:tcPr>
                  <w:tcW w:w="373"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39.5 </w:t>
                  </w:r>
                </w:p>
              </w:tc>
              <w:tc>
                <w:tcPr>
                  <w:tcW w:w="455" w:type="pct"/>
                  <w:vAlign w:val="center"/>
                </w:tcPr>
                <w:p>
                  <w:pPr>
                    <w:keepNext w:val="0"/>
                    <w:keepLines w:val="0"/>
                    <w:pageBreakBefore w:val="0"/>
                    <w:widowControl/>
                    <w:suppressLineNumbers w:val="0"/>
                    <w:kinsoku/>
                    <w:wordWrap/>
                    <w:overflowPunct/>
                    <w:topLinePunct w:val="0"/>
                    <w:autoSpaceDE w:val="0"/>
                    <w:autoSpaceDN w:val="0"/>
                    <w:bidi w:val="0"/>
                    <w:adjustRightInd/>
                    <w:snapToGrid/>
                    <w:spacing w:before="23" w:beforeLines="7" w:after="23" w:afterLines="7" w:line="240" w:lineRule="auto"/>
                    <w:ind w:left="0" w:leftChars="0" w:right="0" w:rightChars="0" w:firstLine="0" w:firstLineChars="0"/>
                    <w:jc w:val="center"/>
                    <w:textAlignment w:val="bottom"/>
                    <w:rPr>
                      <w:rFonts w:hint="eastAsia"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55" w:hRule="atLeast"/>
                <w:jc w:val="center"/>
              </w:trPr>
              <w:tc>
                <w:tcPr>
                  <w:tcW w:w="136"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46"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25"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78"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6"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80"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1"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3"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9"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20"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87"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北边界</w:t>
                  </w:r>
                </w:p>
              </w:tc>
              <w:tc>
                <w:tcPr>
                  <w:tcW w:w="252"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19</w:t>
                  </w:r>
                </w:p>
              </w:tc>
              <w:tc>
                <w:tcPr>
                  <w:tcW w:w="358"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39.4 </w:t>
                  </w:r>
                </w:p>
              </w:tc>
              <w:tc>
                <w:tcPr>
                  <w:tcW w:w="394"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360"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10</w:t>
                  </w:r>
                </w:p>
              </w:tc>
              <w:tc>
                <w:tcPr>
                  <w:tcW w:w="373"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23.4 </w:t>
                  </w:r>
                </w:p>
              </w:tc>
              <w:tc>
                <w:tcPr>
                  <w:tcW w:w="455" w:type="pct"/>
                  <w:vAlign w:val="center"/>
                </w:tcPr>
                <w:p>
                  <w:pPr>
                    <w:keepNext w:val="0"/>
                    <w:keepLines w:val="0"/>
                    <w:pageBreakBefore w:val="0"/>
                    <w:widowControl/>
                    <w:suppressLineNumbers w:val="0"/>
                    <w:kinsoku/>
                    <w:wordWrap/>
                    <w:overflowPunct/>
                    <w:topLinePunct w:val="0"/>
                    <w:autoSpaceDE w:val="0"/>
                    <w:autoSpaceDN w:val="0"/>
                    <w:bidi w:val="0"/>
                    <w:adjustRightInd/>
                    <w:spacing w:before="23" w:beforeLines="7" w:after="23" w:afterLines="7" w:line="240" w:lineRule="auto"/>
                    <w:ind w:left="0" w:leftChars="0" w:right="0" w:rightChars="0" w:firstLine="0" w:firstLineChars="0"/>
                    <w:jc w:val="center"/>
                    <w:textAlignment w:val="bottom"/>
                    <w:rPr>
                      <w:rFonts w:hint="eastAsia"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73" w:hRule="atLeast"/>
                <w:jc w:val="center"/>
              </w:trPr>
              <w:tc>
                <w:tcPr>
                  <w:tcW w:w="136" w:type="pct"/>
                  <w:vMerge w:val="restart"/>
                  <w:vAlign w:val="center"/>
                </w:tcPr>
                <w:p>
                  <w:pPr>
                    <w:pStyle w:val="35"/>
                    <w:keepNext w:val="0"/>
                    <w:keepLines w:val="0"/>
                    <w:pageBreakBefore w:val="0"/>
                    <w:widowControl w:val="0"/>
                    <w:numPr>
                      <w:ilvl w:val="0"/>
                      <w:numId w:val="30"/>
                    </w:numPr>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46"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25" w:type="pct"/>
                  <w:vMerge w:val="restart"/>
                  <w:vAlign w:val="center"/>
                </w:tcPr>
                <w:p>
                  <w:pPr>
                    <w:pStyle w:val="32"/>
                    <w:keepNext w:val="0"/>
                    <w:keepLines w:val="0"/>
                    <w:pageBreakBefore w:val="0"/>
                    <w:widowControl w:val="0"/>
                    <w:kinsoku/>
                    <w:wordWrap/>
                    <w:overflowPunct/>
                    <w:topLinePunct w:val="0"/>
                    <w:autoSpaceDE/>
                    <w:autoSpaceDN/>
                    <w:bidi w:val="0"/>
                    <w:adjustRightInd/>
                    <w:snapToGrid/>
                    <w:spacing w:before="23" w:beforeLines="7" w:after="23" w:afterLines="7"/>
                    <w:ind w:firstLine="0" w:firstLineChars="0"/>
                    <w:textAlignment w:val="auto"/>
                    <w:rPr>
                      <w:rFonts w:hint="eastAsia" w:ascii="Times New Roman" w:hAnsi="Times New Roman" w:cs="Times New Roman" w:eastAsiaTheme="minorEastAsia"/>
                      <w:color w:val="auto"/>
                      <w:sz w:val="21"/>
                      <w:szCs w:val="21"/>
                      <w:highlight w:val="none"/>
                      <w:lang w:val="en-US" w:eastAsia="zh-CN"/>
                    </w:rPr>
                  </w:pPr>
                  <w:r>
                    <w:rPr>
                      <w:rFonts w:hint="eastAsia"/>
                      <w:color w:val="auto"/>
                    </w:rPr>
                    <w:t>喷镀炉</w:t>
                  </w:r>
                </w:p>
              </w:tc>
              <w:tc>
                <w:tcPr>
                  <w:tcW w:w="378" w:type="pct"/>
                  <w:vMerge w:val="restart"/>
                  <w:vAlign w:val="center"/>
                </w:tcPr>
                <w:p>
                  <w:pPr>
                    <w:pStyle w:val="32"/>
                    <w:keepNext w:val="0"/>
                    <w:keepLines w:val="0"/>
                    <w:pageBreakBefore w:val="0"/>
                    <w:widowControl w:val="0"/>
                    <w:kinsoku/>
                    <w:wordWrap/>
                    <w:overflowPunct/>
                    <w:topLinePunct w:val="0"/>
                    <w:autoSpaceDE/>
                    <w:autoSpaceDN/>
                    <w:bidi w:val="0"/>
                    <w:adjustRightInd/>
                    <w:snapToGrid/>
                    <w:spacing w:before="23" w:beforeLines="7" w:after="23" w:afterLines="7"/>
                    <w:ind w:firstLine="0" w:firstLineChars="0"/>
                    <w:textAlignment w:val="auto"/>
                    <w:rPr>
                      <w:rFonts w:hint="default" w:ascii="Times New Roman" w:hAnsi="Times New Roman" w:cs="Times New Roman" w:eastAsiaTheme="minorEastAsia"/>
                      <w:color w:val="auto"/>
                      <w:sz w:val="21"/>
                      <w:szCs w:val="21"/>
                      <w:highlight w:val="none"/>
                    </w:rPr>
                  </w:pPr>
                  <w:r>
                    <w:rPr>
                      <w:rFonts w:hint="eastAsia"/>
                      <w:color w:val="auto"/>
                    </w:rPr>
                    <w:t>MX-P</w:t>
                  </w:r>
                </w:p>
              </w:tc>
              <w:tc>
                <w:tcPr>
                  <w:tcW w:w="266" w:type="pct"/>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70</w:t>
                  </w:r>
                </w:p>
              </w:tc>
              <w:tc>
                <w:tcPr>
                  <w:tcW w:w="280" w:type="pct"/>
                  <w:gridSpan w:val="2"/>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选用低噪声设备，基础减振</w:t>
                  </w:r>
                </w:p>
              </w:tc>
              <w:tc>
                <w:tcPr>
                  <w:tcW w:w="291" w:type="pct"/>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r>
                    <w:rPr>
                      <w:rFonts w:hint="eastAsia" w:cs="Times New Roman" w:eastAsiaTheme="minorEastAsia"/>
                      <w:color w:val="auto"/>
                      <w:sz w:val="21"/>
                      <w:szCs w:val="21"/>
                      <w:highlight w:val="none"/>
                      <w:lang w:val="en-US" w:eastAsia="zh-CN"/>
                    </w:rPr>
                    <w:t>5</w:t>
                  </w:r>
                </w:p>
              </w:tc>
              <w:tc>
                <w:tcPr>
                  <w:tcW w:w="183" w:type="pct"/>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3</w:t>
                  </w:r>
                </w:p>
              </w:tc>
              <w:tc>
                <w:tcPr>
                  <w:tcW w:w="189" w:type="pct"/>
                  <w:gridSpan w:val="2"/>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35</w:t>
                  </w:r>
                </w:p>
              </w:tc>
              <w:tc>
                <w:tcPr>
                  <w:tcW w:w="220" w:type="pct"/>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w:t>
                  </w:r>
                </w:p>
              </w:tc>
              <w:tc>
                <w:tcPr>
                  <w:tcW w:w="287"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东边界</w:t>
                  </w:r>
                </w:p>
              </w:tc>
              <w:tc>
                <w:tcPr>
                  <w:tcW w:w="252"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106</w:t>
                  </w:r>
                </w:p>
              </w:tc>
              <w:tc>
                <w:tcPr>
                  <w:tcW w:w="358"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24.5 </w:t>
                  </w:r>
                </w:p>
              </w:tc>
              <w:tc>
                <w:tcPr>
                  <w:tcW w:w="394" w:type="pct"/>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00:00-24:00</w:t>
                  </w:r>
                </w:p>
              </w:tc>
              <w:tc>
                <w:tcPr>
                  <w:tcW w:w="360"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10</w:t>
                  </w:r>
                </w:p>
              </w:tc>
              <w:tc>
                <w:tcPr>
                  <w:tcW w:w="373"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8.5 </w:t>
                  </w:r>
                </w:p>
              </w:tc>
              <w:tc>
                <w:tcPr>
                  <w:tcW w:w="455" w:type="pct"/>
                  <w:vAlign w:val="center"/>
                </w:tcPr>
                <w:p>
                  <w:pPr>
                    <w:keepNext w:val="0"/>
                    <w:keepLines w:val="0"/>
                    <w:pageBreakBefore w:val="0"/>
                    <w:widowControl/>
                    <w:suppressLineNumbers w:val="0"/>
                    <w:kinsoku/>
                    <w:wordWrap/>
                    <w:overflowPunct/>
                    <w:topLinePunct w:val="0"/>
                    <w:autoSpaceDE w:val="0"/>
                    <w:autoSpaceDN w:val="0"/>
                    <w:bidi w:val="0"/>
                    <w:adjustRightInd/>
                    <w:spacing w:before="23" w:beforeLines="7" w:after="23" w:afterLines="7" w:line="240" w:lineRule="auto"/>
                    <w:ind w:left="0" w:leftChars="0" w:right="0" w:rightChars="0" w:firstLine="0" w:firstLineChars="0"/>
                    <w:jc w:val="center"/>
                    <w:textAlignment w:val="bottom"/>
                    <w:rPr>
                      <w:rFonts w:hint="eastAsia"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36"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46"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25"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78"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6"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80"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1"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3"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9"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20"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87"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南边界</w:t>
                  </w:r>
                </w:p>
              </w:tc>
              <w:tc>
                <w:tcPr>
                  <w:tcW w:w="252"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35</w:t>
                  </w:r>
                </w:p>
              </w:tc>
              <w:tc>
                <w:tcPr>
                  <w:tcW w:w="358"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34.1 </w:t>
                  </w:r>
                </w:p>
              </w:tc>
              <w:tc>
                <w:tcPr>
                  <w:tcW w:w="394"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360"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10</w:t>
                  </w:r>
                </w:p>
              </w:tc>
              <w:tc>
                <w:tcPr>
                  <w:tcW w:w="373"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18.1 </w:t>
                  </w:r>
                </w:p>
              </w:tc>
              <w:tc>
                <w:tcPr>
                  <w:tcW w:w="455" w:type="pct"/>
                  <w:vAlign w:val="center"/>
                </w:tcPr>
                <w:p>
                  <w:pPr>
                    <w:keepNext w:val="0"/>
                    <w:keepLines w:val="0"/>
                    <w:pageBreakBefore w:val="0"/>
                    <w:widowControl/>
                    <w:suppressLineNumbers w:val="0"/>
                    <w:kinsoku/>
                    <w:wordWrap/>
                    <w:overflowPunct/>
                    <w:topLinePunct w:val="0"/>
                    <w:autoSpaceDE w:val="0"/>
                    <w:autoSpaceDN w:val="0"/>
                    <w:bidi w:val="0"/>
                    <w:adjustRightInd/>
                    <w:snapToGrid/>
                    <w:spacing w:before="23" w:beforeLines="7" w:after="23" w:afterLines="7" w:line="240" w:lineRule="auto"/>
                    <w:ind w:left="0" w:leftChars="0" w:right="0" w:rightChars="0" w:firstLine="0" w:firstLineChars="0"/>
                    <w:jc w:val="center"/>
                    <w:textAlignment w:val="bottom"/>
                    <w:rPr>
                      <w:rFonts w:hint="eastAsia"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36"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46"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25"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78"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6"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80"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1"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3"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9"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20"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87"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西边界</w:t>
                  </w:r>
                </w:p>
              </w:tc>
              <w:tc>
                <w:tcPr>
                  <w:tcW w:w="252"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3</w:t>
                  </w:r>
                </w:p>
              </w:tc>
              <w:tc>
                <w:tcPr>
                  <w:tcW w:w="358"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55.5 </w:t>
                  </w:r>
                </w:p>
              </w:tc>
              <w:tc>
                <w:tcPr>
                  <w:tcW w:w="394"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360"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10</w:t>
                  </w:r>
                </w:p>
              </w:tc>
              <w:tc>
                <w:tcPr>
                  <w:tcW w:w="373"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39.5 </w:t>
                  </w:r>
                </w:p>
              </w:tc>
              <w:tc>
                <w:tcPr>
                  <w:tcW w:w="455" w:type="pct"/>
                  <w:vAlign w:val="center"/>
                </w:tcPr>
                <w:p>
                  <w:pPr>
                    <w:keepNext w:val="0"/>
                    <w:keepLines w:val="0"/>
                    <w:pageBreakBefore w:val="0"/>
                    <w:widowControl/>
                    <w:suppressLineNumbers w:val="0"/>
                    <w:kinsoku/>
                    <w:wordWrap/>
                    <w:overflowPunct/>
                    <w:topLinePunct w:val="0"/>
                    <w:autoSpaceDE w:val="0"/>
                    <w:autoSpaceDN w:val="0"/>
                    <w:bidi w:val="0"/>
                    <w:adjustRightInd/>
                    <w:snapToGrid/>
                    <w:spacing w:before="23" w:beforeLines="7" w:after="23" w:afterLines="7" w:line="240" w:lineRule="auto"/>
                    <w:ind w:left="0" w:leftChars="0" w:right="0" w:rightChars="0" w:firstLine="0" w:firstLineChars="0"/>
                    <w:jc w:val="center"/>
                    <w:textAlignment w:val="bottom"/>
                    <w:rPr>
                      <w:rFonts w:hint="eastAsia"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55" w:hRule="atLeast"/>
                <w:jc w:val="center"/>
              </w:trPr>
              <w:tc>
                <w:tcPr>
                  <w:tcW w:w="136"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46"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25"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78"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6"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80"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1"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3"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9"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20"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87"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北边界</w:t>
                  </w:r>
                </w:p>
              </w:tc>
              <w:tc>
                <w:tcPr>
                  <w:tcW w:w="252"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19</w:t>
                  </w:r>
                </w:p>
              </w:tc>
              <w:tc>
                <w:tcPr>
                  <w:tcW w:w="358"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39.4 </w:t>
                  </w:r>
                </w:p>
              </w:tc>
              <w:tc>
                <w:tcPr>
                  <w:tcW w:w="394"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360"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10</w:t>
                  </w:r>
                </w:p>
              </w:tc>
              <w:tc>
                <w:tcPr>
                  <w:tcW w:w="373"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23.4 </w:t>
                  </w:r>
                </w:p>
              </w:tc>
              <w:tc>
                <w:tcPr>
                  <w:tcW w:w="455" w:type="pct"/>
                  <w:vAlign w:val="center"/>
                </w:tcPr>
                <w:p>
                  <w:pPr>
                    <w:keepNext w:val="0"/>
                    <w:keepLines w:val="0"/>
                    <w:pageBreakBefore w:val="0"/>
                    <w:widowControl/>
                    <w:suppressLineNumbers w:val="0"/>
                    <w:kinsoku/>
                    <w:wordWrap/>
                    <w:overflowPunct/>
                    <w:topLinePunct w:val="0"/>
                    <w:autoSpaceDE w:val="0"/>
                    <w:autoSpaceDN w:val="0"/>
                    <w:bidi w:val="0"/>
                    <w:adjustRightInd/>
                    <w:spacing w:before="23" w:beforeLines="7" w:after="23" w:afterLines="7" w:line="240" w:lineRule="auto"/>
                    <w:ind w:left="0" w:leftChars="0" w:right="0" w:rightChars="0" w:firstLine="0" w:firstLineChars="0"/>
                    <w:jc w:val="center"/>
                    <w:textAlignment w:val="bottom"/>
                    <w:rPr>
                      <w:rFonts w:hint="eastAsia"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73" w:hRule="atLeast"/>
                <w:jc w:val="center"/>
              </w:trPr>
              <w:tc>
                <w:tcPr>
                  <w:tcW w:w="136" w:type="pct"/>
                  <w:vMerge w:val="restart"/>
                  <w:vAlign w:val="center"/>
                </w:tcPr>
                <w:p>
                  <w:pPr>
                    <w:pStyle w:val="35"/>
                    <w:keepNext w:val="0"/>
                    <w:keepLines w:val="0"/>
                    <w:pageBreakBefore w:val="0"/>
                    <w:widowControl w:val="0"/>
                    <w:numPr>
                      <w:ilvl w:val="0"/>
                      <w:numId w:val="30"/>
                    </w:numPr>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46"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25" w:type="pct"/>
                  <w:vMerge w:val="restart"/>
                  <w:vAlign w:val="center"/>
                </w:tcPr>
                <w:p>
                  <w:pPr>
                    <w:pStyle w:val="32"/>
                    <w:keepNext w:val="0"/>
                    <w:keepLines w:val="0"/>
                    <w:pageBreakBefore w:val="0"/>
                    <w:widowControl w:val="0"/>
                    <w:kinsoku/>
                    <w:wordWrap/>
                    <w:overflowPunct/>
                    <w:topLinePunct w:val="0"/>
                    <w:autoSpaceDE/>
                    <w:autoSpaceDN/>
                    <w:bidi w:val="0"/>
                    <w:adjustRightInd/>
                    <w:snapToGrid/>
                    <w:spacing w:before="23" w:beforeLines="7" w:after="23" w:afterLines="7"/>
                    <w:ind w:firstLine="0" w:firstLineChars="0"/>
                    <w:textAlignment w:val="auto"/>
                    <w:rPr>
                      <w:rFonts w:hint="eastAsia" w:ascii="Times New Roman" w:hAnsi="Times New Roman" w:cs="Times New Roman" w:eastAsiaTheme="minorEastAsia"/>
                      <w:color w:val="auto"/>
                      <w:sz w:val="21"/>
                      <w:szCs w:val="21"/>
                      <w:highlight w:val="none"/>
                      <w:lang w:val="en-US" w:eastAsia="zh-CN"/>
                    </w:rPr>
                  </w:pPr>
                  <w:r>
                    <w:rPr>
                      <w:rFonts w:hint="eastAsia"/>
                      <w:color w:val="auto"/>
                    </w:rPr>
                    <w:t>蒸镀炉</w:t>
                  </w:r>
                </w:p>
              </w:tc>
              <w:tc>
                <w:tcPr>
                  <w:tcW w:w="378" w:type="pct"/>
                  <w:vMerge w:val="restart"/>
                  <w:vAlign w:val="center"/>
                </w:tcPr>
                <w:p>
                  <w:pPr>
                    <w:pStyle w:val="32"/>
                    <w:keepNext w:val="0"/>
                    <w:keepLines w:val="0"/>
                    <w:pageBreakBefore w:val="0"/>
                    <w:widowControl w:val="0"/>
                    <w:kinsoku/>
                    <w:wordWrap/>
                    <w:overflowPunct/>
                    <w:topLinePunct w:val="0"/>
                    <w:autoSpaceDE/>
                    <w:autoSpaceDN/>
                    <w:bidi w:val="0"/>
                    <w:adjustRightInd/>
                    <w:snapToGrid/>
                    <w:spacing w:before="23" w:beforeLines="7" w:after="23" w:afterLines="7"/>
                    <w:ind w:firstLine="0" w:firstLineChars="0"/>
                    <w:textAlignment w:val="auto"/>
                    <w:rPr>
                      <w:rFonts w:hint="default" w:ascii="Times New Roman" w:hAnsi="Times New Roman" w:cs="Times New Roman" w:eastAsiaTheme="minorEastAsia"/>
                      <w:color w:val="auto"/>
                      <w:sz w:val="21"/>
                      <w:szCs w:val="21"/>
                      <w:highlight w:val="none"/>
                    </w:rPr>
                  </w:pPr>
                  <w:r>
                    <w:rPr>
                      <w:rFonts w:hint="eastAsia"/>
                      <w:color w:val="auto"/>
                    </w:rPr>
                    <w:t>MX-Z</w:t>
                  </w:r>
                </w:p>
              </w:tc>
              <w:tc>
                <w:tcPr>
                  <w:tcW w:w="266" w:type="pct"/>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70</w:t>
                  </w:r>
                </w:p>
              </w:tc>
              <w:tc>
                <w:tcPr>
                  <w:tcW w:w="280" w:type="pct"/>
                  <w:gridSpan w:val="2"/>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选用低噪声设备，基础减振</w:t>
                  </w:r>
                </w:p>
              </w:tc>
              <w:tc>
                <w:tcPr>
                  <w:tcW w:w="291" w:type="pct"/>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r>
                    <w:rPr>
                      <w:rFonts w:hint="eastAsia" w:cs="Times New Roman" w:eastAsiaTheme="minorEastAsia"/>
                      <w:color w:val="auto"/>
                      <w:sz w:val="21"/>
                      <w:szCs w:val="21"/>
                      <w:highlight w:val="none"/>
                      <w:lang w:val="en-US" w:eastAsia="zh-CN"/>
                    </w:rPr>
                    <w:t>5</w:t>
                  </w:r>
                </w:p>
              </w:tc>
              <w:tc>
                <w:tcPr>
                  <w:tcW w:w="183" w:type="pct"/>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3</w:t>
                  </w:r>
                </w:p>
              </w:tc>
              <w:tc>
                <w:tcPr>
                  <w:tcW w:w="189" w:type="pct"/>
                  <w:gridSpan w:val="2"/>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31</w:t>
                  </w:r>
                </w:p>
              </w:tc>
              <w:tc>
                <w:tcPr>
                  <w:tcW w:w="220" w:type="pct"/>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w:t>
                  </w:r>
                </w:p>
              </w:tc>
              <w:tc>
                <w:tcPr>
                  <w:tcW w:w="287"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东边界</w:t>
                  </w:r>
                </w:p>
              </w:tc>
              <w:tc>
                <w:tcPr>
                  <w:tcW w:w="252"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106</w:t>
                  </w:r>
                </w:p>
              </w:tc>
              <w:tc>
                <w:tcPr>
                  <w:tcW w:w="358"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24.5 </w:t>
                  </w:r>
                </w:p>
              </w:tc>
              <w:tc>
                <w:tcPr>
                  <w:tcW w:w="394" w:type="pct"/>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00:00-24:00</w:t>
                  </w:r>
                </w:p>
              </w:tc>
              <w:tc>
                <w:tcPr>
                  <w:tcW w:w="360"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10</w:t>
                  </w:r>
                </w:p>
              </w:tc>
              <w:tc>
                <w:tcPr>
                  <w:tcW w:w="373"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8.5 </w:t>
                  </w:r>
                </w:p>
              </w:tc>
              <w:tc>
                <w:tcPr>
                  <w:tcW w:w="455" w:type="pct"/>
                  <w:vAlign w:val="center"/>
                </w:tcPr>
                <w:p>
                  <w:pPr>
                    <w:keepNext w:val="0"/>
                    <w:keepLines w:val="0"/>
                    <w:pageBreakBefore w:val="0"/>
                    <w:widowControl/>
                    <w:suppressLineNumbers w:val="0"/>
                    <w:kinsoku/>
                    <w:wordWrap/>
                    <w:overflowPunct/>
                    <w:topLinePunct w:val="0"/>
                    <w:autoSpaceDE w:val="0"/>
                    <w:autoSpaceDN w:val="0"/>
                    <w:bidi w:val="0"/>
                    <w:adjustRightInd/>
                    <w:spacing w:before="23" w:beforeLines="7" w:after="23" w:afterLines="7" w:line="240" w:lineRule="auto"/>
                    <w:ind w:left="0" w:leftChars="0" w:right="0" w:rightChars="0" w:firstLine="0" w:firstLineChars="0"/>
                    <w:jc w:val="center"/>
                    <w:textAlignment w:val="bottom"/>
                    <w:rPr>
                      <w:rFonts w:hint="eastAsia"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36"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46"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25"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78"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6"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80"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1"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3"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9"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20"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87"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南边界</w:t>
                  </w:r>
                </w:p>
              </w:tc>
              <w:tc>
                <w:tcPr>
                  <w:tcW w:w="252"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31</w:t>
                  </w:r>
                </w:p>
              </w:tc>
              <w:tc>
                <w:tcPr>
                  <w:tcW w:w="358"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35.2 </w:t>
                  </w:r>
                </w:p>
              </w:tc>
              <w:tc>
                <w:tcPr>
                  <w:tcW w:w="394"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360"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10</w:t>
                  </w:r>
                </w:p>
              </w:tc>
              <w:tc>
                <w:tcPr>
                  <w:tcW w:w="373"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19.2 </w:t>
                  </w:r>
                </w:p>
              </w:tc>
              <w:tc>
                <w:tcPr>
                  <w:tcW w:w="455" w:type="pct"/>
                  <w:vAlign w:val="center"/>
                </w:tcPr>
                <w:p>
                  <w:pPr>
                    <w:keepNext w:val="0"/>
                    <w:keepLines w:val="0"/>
                    <w:pageBreakBefore w:val="0"/>
                    <w:widowControl/>
                    <w:suppressLineNumbers w:val="0"/>
                    <w:kinsoku/>
                    <w:wordWrap/>
                    <w:overflowPunct/>
                    <w:topLinePunct w:val="0"/>
                    <w:autoSpaceDE w:val="0"/>
                    <w:autoSpaceDN w:val="0"/>
                    <w:bidi w:val="0"/>
                    <w:adjustRightInd/>
                    <w:snapToGrid/>
                    <w:spacing w:before="23" w:beforeLines="7" w:after="23" w:afterLines="7" w:line="240" w:lineRule="auto"/>
                    <w:ind w:left="0" w:leftChars="0" w:right="0" w:rightChars="0" w:firstLine="0" w:firstLineChars="0"/>
                    <w:jc w:val="center"/>
                    <w:textAlignment w:val="bottom"/>
                    <w:rPr>
                      <w:rFonts w:hint="eastAsia"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36"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46"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25"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78"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6"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80"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1"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3"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9"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20"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87"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西边界</w:t>
                  </w:r>
                </w:p>
              </w:tc>
              <w:tc>
                <w:tcPr>
                  <w:tcW w:w="252"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3</w:t>
                  </w:r>
                </w:p>
              </w:tc>
              <w:tc>
                <w:tcPr>
                  <w:tcW w:w="358"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55.5 </w:t>
                  </w:r>
                </w:p>
              </w:tc>
              <w:tc>
                <w:tcPr>
                  <w:tcW w:w="394"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360"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10</w:t>
                  </w:r>
                </w:p>
              </w:tc>
              <w:tc>
                <w:tcPr>
                  <w:tcW w:w="373"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39.5 </w:t>
                  </w:r>
                </w:p>
              </w:tc>
              <w:tc>
                <w:tcPr>
                  <w:tcW w:w="455" w:type="pct"/>
                  <w:vAlign w:val="center"/>
                </w:tcPr>
                <w:p>
                  <w:pPr>
                    <w:keepNext w:val="0"/>
                    <w:keepLines w:val="0"/>
                    <w:pageBreakBefore w:val="0"/>
                    <w:widowControl/>
                    <w:suppressLineNumbers w:val="0"/>
                    <w:kinsoku/>
                    <w:wordWrap/>
                    <w:overflowPunct/>
                    <w:topLinePunct w:val="0"/>
                    <w:autoSpaceDE w:val="0"/>
                    <w:autoSpaceDN w:val="0"/>
                    <w:bidi w:val="0"/>
                    <w:adjustRightInd/>
                    <w:snapToGrid/>
                    <w:spacing w:before="23" w:beforeLines="7" w:after="23" w:afterLines="7" w:line="240" w:lineRule="auto"/>
                    <w:ind w:left="0" w:leftChars="0" w:right="0" w:rightChars="0" w:firstLine="0" w:firstLineChars="0"/>
                    <w:jc w:val="center"/>
                    <w:textAlignment w:val="bottom"/>
                    <w:rPr>
                      <w:rFonts w:hint="eastAsia"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55" w:hRule="atLeast"/>
                <w:jc w:val="center"/>
              </w:trPr>
              <w:tc>
                <w:tcPr>
                  <w:tcW w:w="136"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46"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25"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78"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6"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80"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1"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3"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9"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20"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87"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北边界</w:t>
                  </w:r>
                </w:p>
              </w:tc>
              <w:tc>
                <w:tcPr>
                  <w:tcW w:w="252"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19</w:t>
                  </w:r>
                </w:p>
              </w:tc>
              <w:tc>
                <w:tcPr>
                  <w:tcW w:w="358"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39.4 </w:t>
                  </w:r>
                </w:p>
              </w:tc>
              <w:tc>
                <w:tcPr>
                  <w:tcW w:w="394"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360"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10</w:t>
                  </w:r>
                </w:p>
              </w:tc>
              <w:tc>
                <w:tcPr>
                  <w:tcW w:w="373"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23.4 </w:t>
                  </w:r>
                </w:p>
              </w:tc>
              <w:tc>
                <w:tcPr>
                  <w:tcW w:w="455" w:type="pct"/>
                  <w:vAlign w:val="center"/>
                </w:tcPr>
                <w:p>
                  <w:pPr>
                    <w:keepNext w:val="0"/>
                    <w:keepLines w:val="0"/>
                    <w:pageBreakBefore w:val="0"/>
                    <w:widowControl/>
                    <w:suppressLineNumbers w:val="0"/>
                    <w:kinsoku/>
                    <w:wordWrap/>
                    <w:overflowPunct/>
                    <w:topLinePunct w:val="0"/>
                    <w:autoSpaceDE w:val="0"/>
                    <w:autoSpaceDN w:val="0"/>
                    <w:bidi w:val="0"/>
                    <w:adjustRightInd/>
                    <w:spacing w:before="23" w:beforeLines="7" w:after="23" w:afterLines="7" w:line="240" w:lineRule="auto"/>
                    <w:ind w:left="0" w:leftChars="0" w:right="0" w:rightChars="0" w:firstLine="0" w:firstLineChars="0"/>
                    <w:jc w:val="center"/>
                    <w:textAlignment w:val="bottom"/>
                    <w:rPr>
                      <w:rFonts w:hint="eastAsia"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73" w:hRule="atLeast"/>
                <w:jc w:val="center"/>
              </w:trPr>
              <w:tc>
                <w:tcPr>
                  <w:tcW w:w="136" w:type="pct"/>
                  <w:vMerge w:val="restart"/>
                  <w:vAlign w:val="center"/>
                </w:tcPr>
                <w:p>
                  <w:pPr>
                    <w:pStyle w:val="35"/>
                    <w:keepNext w:val="0"/>
                    <w:keepLines w:val="0"/>
                    <w:pageBreakBefore w:val="0"/>
                    <w:widowControl w:val="0"/>
                    <w:numPr>
                      <w:ilvl w:val="0"/>
                      <w:numId w:val="30"/>
                    </w:numPr>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46"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25" w:type="pct"/>
                  <w:vMerge w:val="restart"/>
                  <w:vAlign w:val="center"/>
                </w:tcPr>
                <w:p>
                  <w:pPr>
                    <w:pStyle w:val="32"/>
                    <w:keepNext w:val="0"/>
                    <w:keepLines w:val="0"/>
                    <w:pageBreakBefore w:val="0"/>
                    <w:widowControl w:val="0"/>
                    <w:kinsoku/>
                    <w:wordWrap/>
                    <w:overflowPunct/>
                    <w:topLinePunct w:val="0"/>
                    <w:autoSpaceDE/>
                    <w:autoSpaceDN/>
                    <w:bidi w:val="0"/>
                    <w:adjustRightInd/>
                    <w:snapToGrid/>
                    <w:spacing w:before="23" w:beforeLines="7" w:after="23" w:afterLines="7"/>
                    <w:ind w:firstLine="0" w:firstLineChars="0"/>
                    <w:textAlignment w:val="auto"/>
                    <w:rPr>
                      <w:rFonts w:hint="eastAsia" w:ascii="Times New Roman" w:hAnsi="Times New Roman" w:cs="Times New Roman" w:eastAsiaTheme="minorEastAsia"/>
                      <w:color w:val="auto"/>
                      <w:sz w:val="21"/>
                      <w:szCs w:val="21"/>
                      <w:highlight w:val="none"/>
                      <w:lang w:val="en-US" w:eastAsia="zh-CN"/>
                    </w:rPr>
                  </w:pPr>
                  <w:r>
                    <w:rPr>
                      <w:rFonts w:hint="eastAsia"/>
                      <w:color w:val="auto"/>
                    </w:rPr>
                    <w:t>烘干炉</w:t>
                  </w:r>
                </w:p>
              </w:tc>
              <w:tc>
                <w:tcPr>
                  <w:tcW w:w="378" w:type="pct"/>
                  <w:vMerge w:val="restart"/>
                  <w:vAlign w:val="center"/>
                </w:tcPr>
                <w:p>
                  <w:pPr>
                    <w:pStyle w:val="32"/>
                    <w:keepNext w:val="0"/>
                    <w:keepLines w:val="0"/>
                    <w:pageBreakBefore w:val="0"/>
                    <w:widowControl w:val="0"/>
                    <w:kinsoku/>
                    <w:wordWrap/>
                    <w:overflowPunct/>
                    <w:topLinePunct w:val="0"/>
                    <w:autoSpaceDE/>
                    <w:autoSpaceDN/>
                    <w:bidi w:val="0"/>
                    <w:adjustRightInd/>
                    <w:snapToGrid/>
                    <w:spacing w:before="23" w:beforeLines="7" w:after="23" w:afterLines="7"/>
                    <w:ind w:firstLine="0" w:firstLineChars="0"/>
                    <w:textAlignment w:val="auto"/>
                    <w:rPr>
                      <w:rFonts w:hint="default" w:ascii="Times New Roman" w:hAnsi="Times New Roman" w:cs="Times New Roman" w:eastAsiaTheme="minorEastAsia"/>
                      <w:color w:val="auto"/>
                      <w:sz w:val="21"/>
                      <w:szCs w:val="21"/>
                      <w:highlight w:val="none"/>
                    </w:rPr>
                  </w:pPr>
                  <w:r>
                    <w:rPr>
                      <w:rFonts w:hint="eastAsia"/>
                      <w:color w:val="auto"/>
                    </w:rPr>
                    <w:t>MX-HGL</w:t>
                  </w:r>
                </w:p>
              </w:tc>
              <w:tc>
                <w:tcPr>
                  <w:tcW w:w="266" w:type="pct"/>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70</w:t>
                  </w:r>
                </w:p>
              </w:tc>
              <w:tc>
                <w:tcPr>
                  <w:tcW w:w="280" w:type="pct"/>
                  <w:gridSpan w:val="2"/>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选用低噪声设备，基础减振</w:t>
                  </w:r>
                </w:p>
              </w:tc>
              <w:tc>
                <w:tcPr>
                  <w:tcW w:w="291" w:type="pct"/>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r>
                    <w:rPr>
                      <w:rFonts w:hint="eastAsia" w:cs="Times New Roman" w:eastAsiaTheme="minorEastAsia"/>
                      <w:color w:val="auto"/>
                      <w:sz w:val="21"/>
                      <w:szCs w:val="21"/>
                      <w:highlight w:val="none"/>
                      <w:lang w:val="en-US" w:eastAsia="zh-CN"/>
                    </w:rPr>
                    <w:t>5</w:t>
                  </w:r>
                </w:p>
              </w:tc>
              <w:tc>
                <w:tcPr>
                  <w:tcW w:w="183" w:type="pct"/>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3</w:t>
                  </w:r>
                </w:p>
              </w:tc>
              <w:tc>
                <w:tcPr>
                  <w:tcW w:w="189" w:type="pct"/>
                  <w:gridSpan w:val="2"/>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28</w:t>
                  </w:r>
                </w:p>
              </w:tc>
              <w:tc>
                <w:tcPr>
                  <w:tcW w:w="220" w:type="pct"/>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w:t>
                  </w:r>
                </w:p>
              </w:tc>
              <w:tc>
                <w:tcPr>
                  <w:tcW w:w="287"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东边界</w:t>
                  </w:r>
                </w:p>
              </w:tc>
              <w:tc>
                <w:tcPr>
                  <w:tcW w:w="252"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106</w:t>
                  </w:r>
                </w:p>
              </w:tc>
              <w:tc>
                <w:tcPr>
                  <w:tcW w:w="358"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24.5 </w:t>
                  </w:r>
                </w:p>
              </w:tc>
              <w:tc>
                <w:tcPr>
                  <w:tcW w:w="394" w:type="pct"/>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00:00-24:00</w:t>
                  </w:r>
                </w:p>
              </w:tc>
              <w:tc>
                <w:tcPr>
                  <w:tcW w:w="360"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10</w:t>
                  </w:r>
                </w:p>
              </w:tc>
              <w:tc>
                <w:tcPr>
                  <w:tcW w:w="373"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8.5 </w:t>
                  </w:r>
                </w:p>
              </w:tc>
              <w:tc>
                <w:tcPr>
                  <w:tcW w:w="455" w:type="pct"/>
                  <w:vAlign w:val="center"/>
                </w:tcPr>
                <w:p>
                  <w:pPr>
                    <w:keepNext w:val="0"/>
                    <w:keepLines w:val="0"/>
                    <w:pageBreakBefore w:val="0"/>
                    <w:widowControl/>
                    <w:suppressLineNumbers w:val="0"/>
                    <w:kinsoku/>
                    <w:wordWrap/>
                    <w:overflowPunct/>
                    <w:topLinePunct w:val="0"/>
                    <w:autoSpaceDE w:val="0"/>
                    <w:autoSpaceDN w:val="0"/>
                    <w:bidi w:val="0"/>
                    <w:adjustRightInd/>
                    <w:spacing w:before="23" w:beforeLines="7" w:after="23" w:afterLines="7" w:line="240" w:lineRule="auto"/>
                    <w:ind w:left="0" w:leftChars="0" w:right="0" w:rightChars="0" w:firstLine="0" w:firstLineChars="0"/>
                    <w:jc w:val="center"/>
                    <w:textAlignment w:val="bottom"/>
                    <w:rPr>
                      <w:rFonts w:hint="eastAsia"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36"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46"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25"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78"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6"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80"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1"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3"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9"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20"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87"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南边界</w:t>
                  </w:r>
                </w:p>
              </w:tc>
              <w:tc>
                <w:tcPr>
                  <w:tcW w:w="252"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28</w:t>
                  </w:r>
                </w:p>
              </w:tc>
              <w:tc>
                <w:tcPr>
                  <w:tcW w:w="358"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36.1 </w:t>
                  </w:r>
                </w:p>
              </w:tc>
              <w:tc>
                <w:tcPr>
                  <w:tcW w:w="394"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360"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10</w:t>
                  </w:r>
                </w:p>
              </w:tc>
              <w:tc>
                <w:tcPr>
                  <w:tcW w:w="373"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20.1 </w:t>
                  </w:r>
                </w:p>
              </w:tc>
              <w:tc>
                <w:tcPr>
                  <w:tcW w:w="455" w:type="pct"/>
                  <w:vAlign w:val="center"/>
                </w:tcPr>
                <w:p>
                  <w:pPr>
                    <w:keepNext w:val="0"/>
                    <w:keepLines w:val="0"/>
                    <w:pageBreakBefore w:val="0"/>
                    <w:widowControl/>
                    <w:suppressLineNumbers w:val="0"/>
                    <w:kinsoku/>
                    <w:wordWrap/>
                    <w:overflowPunct/>
                    <w:topLinePunct w:val="0"/>
                    <w:autoSpaceDE w:val="0"/>
                    <w:autoSpaceDN w:val="0"/>
                    <w:bidi w:val="0"/>
                    <w:adjustRightInd/>
                    <w:snapToGrid/>
                    <w:spacing w:before="23" w:beforeLines="7" w:after="23" w:afterLines="7" w:line="240" w:lineRule="auto"/>
                    <w:ind w:left="0" w:leftChars="0" w:right="0" w:rightChars="0" w:firstLine="0" w:firstLineChars="0"/>
                    <w:jc w:val="center"/>
                    <w:textAlignment w:val="bottom"/>
                    <w:rPr>
                      <w:rFonts w:hint="eastAsia"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36"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46"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25"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78"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6"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80"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1"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3"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9"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20"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87"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西边界</w:t>
                  </w:r>
                </w:p>
              </w:tc>
              <w:tc>
                <w:tcPr>
                  <w:tcW w:w="252"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3</w:t>
                  </w:r>
                </w:p>
              </w:tc>
              <w:tc>
                <w:tcPr>
                  <w:tcW w:w="358"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55.5 </w:t>
                  </w:r>
                </w:p>
              </w:tc>
              <w:tc>
                <w:tcPr>
                  <w:tcW w:w="394"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360"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10</w:t>
                  </w:r>
                </w:p>
              </w:tc>
              <w:tc>
                <w:tcPr>
                  <w:tcW w:w="373"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39.5 </w:t>
                  </w:r>
                </w:p>
              </w:tc>
              <w:tc>
                <w:tcPr>
                  <w:tcW w:w="455" w:type="pct"/>
                  <w:vAlign w:val="center"/>
                </w:tcPr>
                <w:p>
                  <w:pPr>
                    <w:keepNext w:val="0"/>
                    <w:keepLines w:val="0"/>
                    <w:pageBreakBefore w:val="0"/>
                    <w:widowControl/>
                    <w:suppressLineNumbers w:val="0"/>
                    <w:kinsoku/>
                    <w:wordWrap/>
                    <w:overflowPunct/>
                    <w:topLinePunct w:val="0"/>
                    <w:autoSpaceDE w:val="0"/>
                    <w:autoSpaceDN w:val="0"/>
                    <w:bidi w:val="0"/>
                    <w:adjustRightInd/>
                    <w:snapToGrid/>
                    <w:spacing w:before="23" w:beforeLines="7" w:after="23" w:afterLines="7" w:line="240" w:lineRule="auto"/>
                    <w:ind w:left="0" w:leftChars="0" w:right="0" w:rightChars="0" w:firstLine="0" w:firstLineChars="0"/>
                    <w:jc w:val="center"/>
                    <w:textAlignment w:val="bottom"/>
                    <w:rPr>
                      <w:rFonts w:hint="eastAsia"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55" w:hRule="atLeast"/>
                <w:jc w:val="center"/>
              </w:trPr>
              <w:tc>
                <w:tcPr>
                  <w:tcW w:w="136"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46"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25"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78"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6"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80"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1"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3"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9"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20"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87"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北边界</w:t>
                  </w:r>
                </w:p>
              </w:tc>
              <w:tc>
                <w:tcPr>
                  <w:tcW w:w="252"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19</w:t>
                  </w:r>
                </w:p>
              </w:tc>
              <w:tc>
                <w:tcPr>
                  <w:tcW w:w="358"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39.4 </w:t>
                  </w:r>
                </w:p>
              </w:tc>
              <w:tc>
                <w:tcPr>
                  <w:tcW w:w="394"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360"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10</w:t>
                  </w:r>
                </w:p>
              </w:tc>
              <w:tc>
                <w:tcPr>
                  <w:tcW w:w="373"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23.4 </w:t>
                  </w:r>
                </w:p>
              </w:tc>
              <w:tc>
                <w:tcPr>
                  <w:tcW w:w="455" w:type="pct"/>
                  <w:vAlign w:val="center"/>
                </w:tcPr>
                <w:p>
                  <w:pPr>
                    <w:keepNext w:val="0"/>
                    <w:keepLines w:val="0"/>
                    <w:pageBreakBefore w:val="0"/>
                    <w:widowControl/>
                    <w:suppressLineNumbers w:val="0"/>
                    <w:kinsoku/>
                    <w:wordWrap/>
                    <w:overflowPunct/>
                    <w:topLinePunct w:val="0"/>
                    <w:autoSpaceDE w:val="0"/>
                    <w:autoSpaceDN w:val="0"/>
                    <w:bidi w:val="0"/>
                    <w:adjustRightInd/>
                    <w:spacing w:before="23" w:beforeLines="7" w:after="23" w:afterLines="7" w:line="240" w:lineRule="auto"/>
                    <w:ind w:left="0" w:leftChars="0" w:right="0" w:rightChars="0" w:firstLine="0" w:firstLineChars="0"/>
                    <w:jc w:val="center"/>
                    <w:textAlignment w:val="bottom"/>
                    <w:rPr>
                      <w:rFonts w:hint="eastAsia"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73" w:hRule="atLeast"/>
                <w:jc w:val="center"/>
              </w:trPr>
              <w:tc>
                <w:tcPr>
                  <w:tcW w:w="136" w:type="pct"/>
                  <w:vMerge w:val="restart"/>
                  <w:vAlign w:val="center"/>
                </w:tcPr>
                <w:p>
                  <w:pPr>
                    <w:pStyle w:val="35"/>
                    <w:keepNext w:val="0"/>
                    <w:keepLines w:val="0"/>
                    <w:pageBreakBefore w:val="0"/>
                    <w:widowControl w:val="0"/>
                    <w:numPr>
                      <w:ilvl w:val="0"/>
                      <w:numId w:val="30"/>
                    </w:numPr>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46"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25" w:type="pct"/>
                  <w:vMerge w:val="restart"/>
                  <w:vAlign w:val="center"/>
                </w:tcPr>
                <w:p>
                  <w:pPr>
                    <w:pStyle w:val="32"/>
                    <w:keepNext w:val="0"/>
                    <w:keepLines w:val="0"/>
                    <w:pageBreakBefore w:val="0"/>
                    <w:widowControl w:val="0"/>
                    <w:kinsoku/>
                    <w:wordWrap/>
                    <w:overflowPunct/>
                    <w:topLinePunct w:val="0"/>
                    <w:autoSpaceDE/>
                    <w:autoSpaceDN/>
                    <w:bidi w:val="0"/>
                    <w:adjustRightInd/>
                    <w:snapToGrid/>
                    <w:spacing w:before="23" w:beforeLines="7" w:after="23" w:afterLines="7"/>
                    <w:ind w:firstLine="0" w:firstLineChars="0"/>
                    <w:textAlignment w:val="auto"/>
                    <w:rPr>
                      <w:rFonts w:hint="eastAsia" w:ascii="Times New Roman" w:hAnsi="Times New Roman" w:cs="Times New Roman" w:eastAsiaTheme="minorEastAsia"/>
                      <w:color w:val="auto"/>
                      <w:sz w:val="21"/>
                      <w:szCs w:val="21"/>
                      <w:highlight w:val="none"/>
                      <w:lang w:val="en-US" w:eastAsia="zh-CN"/>
                    </w:rPr>
                  </w:pPr>
                  <w:r>
                    <w:rPr>
                      <w:rFonts w:hint="eastAsia"/>
                      <w:color w:val="auto"/>
                    </w:rPr>
                    <w:t>烘干炉</w:t>
                  </w:r>
                </w:p>
              </w:tc>
              <w:tc>
                <w:tcPr>
                  <w:tcW w:w="378" w:type="pct"/>
                  <w:vMerge w:val="restart"/>
                  <w:vAlign w:val="center"/>
                </w:tcPr>
                <w:p>
                  <w:pPr>
                    <w:pStyle w:val="32"/>
                    <w:keepNext w:val="0"/>
                    <w:keepLines w:val="0"/>
                    <w:pageBreakBefore w:val="0"/>
                    <w:widowControl w:val="0"/>
                    <w:kinsoku/>
                    <w:wordWrap/>
                    <w:overflowPunct/>
                    <w:topLinePunct w:val="0"/>
                    <w:autoSpaceDE/>
                    <w:autoSpaceDN/>
                    <w:bidi w:val="0"/>
                    <w:adjustRightInd/>
                    <w:snapToGrid/>
                    <w:spacing w:before="23" w:beforeLines="7" w:after="23" w:afterLines="7"/>
                    <w:ind w:firstLine="0" w:firstLineChars="0"/>
                    <w:textAlignment w:val="auto"/>
                    <w:rPr>
                      <w:rFonts w:hint="default" w:ascii="Times New Roman" w:hAnsi="Times New Roman" w:cs="Times New Roman" w:eastAsiaTheme="minorEastAsia"/>
                      <w:color w:val="auto"/>
                      <w:sz w:val="21"/>
                      <w:szCs w:val="21"/>
                      <w:highlight w:val="none"/>
                    </w:rPr>
                  </w:pPr>
                  <w:r>
                    <w:rPr>
                      <w:rFonts w:hint="eastAsia"/>
                      <w:color w:val="auto"/>
                    </w:rPr>
                    <w:t>MX-HGL</w:t>
                  </w:r>
                </w:p>
              </w:tc>
              <w:tc>
                <w:tcPr>
                  <w:tcW w:w="266" w:type="pct"/>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70</w:t>
                  </w:r>
                </w:p>
              </w:tc>
              <w:tc>
                <w:tcPr>
                  <w:tcW w:w="280" w:type="pct"/>
                  <w:gridSpan w:val="2"/>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选用低噪声设备，基础减振</w:t>
                  </w:r>
                </w:p>
              </w:tc>
              <w:tc>
                <w:tcPr>
                  <w:tcW w:w="291" w:type="pct"/>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r>
                    <w:rPr>
                      <w:rFonts w:hint="eastAsia" w:cs="Times New Roman" w:eastAsiaTheme="minorEastAsia"/>
                      <w:color w:val="auto"/>
                      <w:sz w:val="21"/>
                      <w:szCs w:val="21"/>
                      <w:highlight w:val="none"/>
                      <w:lang w:val="en-US" w:eastAsia="zh-CN"/>
                    </w:rPr>
                    <w:t>5</w:t>
                  </w:r>
                </w:p>
              </w:tc>
              <w:tc>
                <w:tcPr>
                  <w:tcW w:w="183" w:type="pct"/>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3</w:t>
                  </w:r>
                </w:p>
              </w:tc>
              <w:tc>
                <w:tcPr>
                  <w:tcW w:w="189" w:type="pct"/>
                  <w:gridSpan w:val="2"/>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25</w:t>
                  </w:r>
                </w:p>
              </w:tc>
              <w:tc>
                <w:tcPr>
                  <w:tcW w:w="220" w:type="pct"/>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w:t>
                  </w:r>
                </w:p>
              </w:tc>
              <w:tc>
                <w:tcPr>
                  <w:tcW w:w="287"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东边界</w:t>
                  </w:r>
                </w:p>
              </w:tc>
              <w:tc>
                <w:tcPr>
                  <w:tcW w:w="252"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106</w:t>
                  </w:r>
                </w:p>
              </w:tc>
              <w:tc>
                <w:tcPr>
                  <w:tcW w:w="358"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24.5 </w:t>
                  </w:r>
                </w:p>
              </w:tc>
              <w:tc>
                <w:tcPr>
                  <w:tcW w:w="394" w:type="pct"/>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00:00-24:00</w:t>
                  </w:r>
                </w:p>
              </w:tc>
              <w:tc>
                <w:tcPr>
                  <w:tcW w:w="360"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10</w:t>
                  </w:r>
                </w:p>
              </w:tc>
              <w:tc>
                <w:tcPr>
                  <w:tcW w:w="373"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8.5 </w:t>
                  </w:r>
                </w:p>
              </w:tc>
              <w:tc>
                <w:tcPr>
                  <w:tcW w:w="455" w:type="pct"/>
                  <w:vAlign w:val="center"/>
                </w:tcPr>
                <w:p>
                  <w:pPr>
                    <w:keepNext w:val="0"/>
                    <w:keepLines w:val="0"/>
                    <w:pageBreakBefore w:val="0"/>
                    <w:widowControl/>
                    <w:suppressLineNumbers w:val="0"/>
                    <w:kinsoku/>
                    <w:wordWrap/>
                    <w:overflowPunct/>
                    <w:topLinePunct w:val="0"/>
                    <w:autoSpaceDE w:val="0"/>
                    <w:autoSpaceDN w:val="0"/>
                    <w:bidi w:val="0"/>
                    <w:adjustRightInd/>
                    <w:spacing w:before="23" w:beforeLines="7" w:after="23" w:afterLines="7" w:line="240" w:lineRule="auto"/>
                    <w:ind w:left="0" w:leftChars="0" w:right="0" w:rightChars="0" w:firstLine="0" w:firstLineChars="0"/>
                    <w:jc w:val="center"/>
                    <w:textAlignment w:val="bottom"/>
                    <w:rPr>
                      <w:rFonts w:hint="eastAsia"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36"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46"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25"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78"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6"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80"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1"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3"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9"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20"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87"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南边界</w:t>
                  </w:r>
                </w:p>
              </w:tc>
              <w:tc>
                <w:tcPr>
                  <w:tcW w:w="252"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25</w:t>
                  </w:r>
                </w:p>
              </w:tc>
              <w:tc>
                <w:tcPr>
                  <w:tcW w:w="358"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37.0 </w:t>
                  </w:r>
                </w:p>
              </w:tc>
              <w:tc>
                <w:tcPr>
                  <w:tcW w:w="394"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360"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10</w:t>
                  </w:r>
                </w:p>
              </w:tc>
              <w:tc>
                <w:tcPr>
                  <w:tcW w:w="373"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21.0 </w:t>
                  </w:r>
                </w:p>
              </w:tc>
              <w:tc>
                <w:tcPr>
                  <w:tcW w:w="455" w:type="pct"/>
                  <w:vAlign w:val="center"/>
                </w:tcPr>
                <w:p>
                  <w:pPr>
                    <w:keepNext w:val="0"/>
                    <w:keepLines w:val="0"/>
                    <w:pageBreakBefore w:val="0"/>
                    <w:widowControl/>
                    <w:suppressLineNumbers w:val="0"/>
                    <w:kinsoku/>
                    <w:wordWrap/>
                    <w:overflowPunct/>
                    <w:topLinePunct w:val="0"/>
                    <w:autoSpaceDE w:val="0"/>
                    <w:autoSpaceDN w:val="0"/>
                    <w:bidi w:val="0"/>
                    <w:adjustRightInd/>
                    <w:snapToGrid/>
                    <w:spacing w:before="23" w:beforeLines="7" w:after="23" w:afterLines="7" w:line="240" w:lineRule="auto"/>
                    <w:ind w:left="0" w:leftChars="0" w:right="0" w:rightChars="0" w:firstLine="0" w:firstLineChars="0"/>
                    <w:jc w:val="center"/>
                    <w:textAlignment w:val="bottom"/>
                    <w:rPr>
                      <w:rFonts w:hint="eastAsia"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36"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46"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25"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78"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6"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80"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1"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3"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9"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20"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87"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西边界</w:t>
                  </w:r>
                </w:p>
              </w:tc>
              <w:tc>
                <w:tcPr>
                  <w:tcW w:w="252"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3</w:t>
                  </w:r>
                </w:p>
              </w:tc>
              <w:tc>
                <w:tcPr>
                  <w:tcW w:w="358"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55.5 </w:t>
                  </w:r>
                </w:p>
              </w:tc>
              <w:tc>
                <w:tcPr>
                  <w:tcW w:w="394"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360"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10</w:t>
                  </w:r>
                </w:p>
              </w:tc>
              <w:tc>
                <w:tcPr>
                  <w:tcW w:w="373"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39.5 </w:t>
                  </w:r>
                </w:p>
              </w:tc>
              <w:tc>
                <w:tcPr>
                  <w:tcW w:w="455" w:type="pct"/>
                  <w:vAlign w:val="center"/>
                </w:tcPr>
                <w:p>
                  <w:pPr>
                    <w:keepNext w:val="0"/>
                    <w:keepLines w:val="0"/>
                    <w:pageBreakBefore w:val="0"/>
                    <w:widowControl/>
                    <w:suppressLineNumbers w:val="0"/>
                    <w:kinsoku/>
                    <w:wordWrap/>
                    <w:overflowPunct/>
                    <w:topLinePunct w:val="0"/>
                    <w:autoSpaceDE w:val="0"/>
                    <w:autoSpaceDN w:val="0"/>
                    <w:bidi w:val="0"/>
                    <w:adjustRightInd/>
                    <w:snapToGrid/>
                    <w:spacing w:before="23" w:beforeLines="7" w:after="23" w:afterLines="7" w:line="240" w:lineRule="auto"/>
                    <w:ind w:left="0" w:leftChars="0" w:right="0" w:rightChars="0" w:firstLine="0" w:firstLineChars="0"/>
                    <w:jc w:val="center"/>
                    <w:textAlignment w:val="bottom"/>
                    <w:rPr>
                      <w:rFonts w:hint="eastAsia"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55" w:hRule="atLeast"/>
                <w:jc w:val="center"/>
              </w:trPr>
              <w:tc>
                <w:tcPr>
                  <w:tcW w:w="136"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46"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25"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78"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6"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80"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1"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3"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9"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20"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87"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北边界</w:t>
                  </w:r>
                </w:p>
              </w:tc>
              <w:tc>
                <w:tcPr>
                  <w:tcW w:w="252"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19</w:t>
                  </w:r>
                </w:p>
              </w:tc>
              <w:tc>
                <w:tcPr>
                  <w:tcW w:w="358"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39.4 </w:t>
                  </w:r>
                </w:p>
              </w:tc>
              <w:tc>
                <w:tcPr>
                  <w:tcW w:w="394"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360"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10</w:t>
                  </w:r>
                </w:p>
              </w:tc>
              <w:tc>
                <w:tcPr>
                  <w:tcW w:w="373"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23.4 </w:t>
                  </w:r>
                </w:p>
              </w:tc>
              <w:tc>
                <w:tcPr>
                  <w:tcW w:w="455" w:type="pct"/>
                  <w:vAlign w:val="center"/>
                </w:tcPr>
                <w:p>
                  <w:pPr>
                    <w:keepNext w:val="0"/>
                    <w:keepLines w:val="0"/>
                    <w:pageBreakBefore w:val="0"/>
                    <w:widowControl/>
                    <w:suppressLineNumbers w:val="0"/>
                    <w:kinsoku/>
                    <w:wordWrap/>
                    <w:overflowPunct/>
                    <w:topLinePunct w:val="0"/>
                    <w:autoSpaceDE w:val="0"/>
                    <w:autoSpaceDN w:val="0"/>
                    <w:bidi w:val="0"/>
                    <w:adjustRightInd/>
                    <w:spacing w:before="23" w:beforeLines="7" w:after="23" w:afterLines="7" w:line="240" w:lineRule="auto"/>
                    <w:ind w:left="0" w:leftChars="0" w:right="0" w:rightChars="0" w:firstLine="0" w:firstLineChars="0"/>
                    <w:jc w:val="center"/>
                    <w:textAlignment w:val="bottom"/>
                    <w:rPr>
                      <w:rFonts w:hint="eastAsia"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73" w:hRule="atLeast"/>
                <w:jc w:val="center"/>
              </w:trPr>
              <w:tc>
                <w:tcPr>
                  <w:tcW w:w="136" w:type="pct"/>
                  <w:vMerge w:val="restart"/>
                  <w:vAlign w:val="center"/>
                </w:tcPr>
                <w:p>
                  <w:pPr>
                    <w:pStyle w:val="35"/>
                    <w:keepNext w:val="0"/>
                    <w:keepLines w:val="0"/>
                    <w:pageBreakBefore w:val="0"/>
                    <w:widowControl w:val="0"/>
                    <w:numPr>
                      <w:ilvl w:val="0"/>
                      <w:numId w:val="30"/>
                    </w:numPr>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46"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25" w:type="pct"/>
                  <w:vMerge w:val="restart"/>
                  <w:vAlign w:val="center"/>
                </w:tcPr>
                <w:p>
                  <w:pPr>
                    <w:pStyle w:val="32"/>
                    <w:keepNext w:val="0"/>
                    <w:keepLines w:val="0"/>
                    <w:pageBreakBefore w:val="0"/>
                    <w:widowControl w:val="0"/>
                    <w:kinsoku/>
                    <w:wordWrap/>
                    <w:overflowPunct/>
                    <w:topLinePunct w:val="0"/>
                    <w:autoSpaceDE/>
                    <w:autoSpaceDN/>
                    <w:bidi w:val="0"/>
                    <w:adjustRightInd/>
                    <w:snapToGrid/>
                    <w:spacing w:before="23" w:beforeLines="7" w:after="23" w:afterLines="7"/>
                    <w:ind w:firstLine="0" w:firstLineChars="0"/>
                    <w:textAlignment w:val="auto"/>
                    <w:rPr>
                      <w:rFonts w:hint="eastAsia" w:ascii="Times New Roman" w:hAnsi="Times New Roman" w:cs="Times New Roman" w:eastAsiaTheme="minorEastAsia"/>
                      <w:color w:val="auto"/>
                      <w:sz w:val="21"/>
                      <w:szCs w:val="21"/>
                      <w:highlight w:val="none"/>
                      <w:lang w:val="en-US" w:eastAsia="zh-CN"/>
                    </w:rPr>
                  </w:pPr>
                  <w:r>
                    <w:rPr>
                      <w:rFonts w:hint="eastAsia"/>
                      <w:color w:val="auto"/>
                    </w:rPr>
                    <w:t>烧熔炉</w:t>
                  </w:r>
                </w:p>
              </w:tc>
              <w:tc>
                <w:tcPr>
                  <w:tcW w:w="378" w:type="pct"/>
                  <w:vMerge w:val="restart"/>
                  <w:vAlign w:val="center"/>
                </w:tcPr>
                <w:p>
                  <w:pPr>
                    <w:pStyle w:val="32"/>
                    <w:keepNext w:val="0"/>
                    <w:keepLines w:val="0"/>
                    <w:pageBreakBefore w:val="0"/>
                    <w:widowControl w:val="0"/>
                    <w:kinsoku/>
                    <w:wordWrap/>
                    <w:overflowPunct/>
                    <w:topLinePunct w:val="0"/>
                    <w:autoSpaceDE/>
                    <w:autoSpaceDN/>
                    <w:bidi w:val="0"/>
                    <w:adjustRightInd/>
                    <w:snapToGrid/>
                    <w:spacing w:before="23" w:beforeLines="7" w:after="23" w:afterLines="7"/>
                    <w:ind w:firstLine="0" w:firstLineChars="0"/>
                    <w:textAlignment w:val="auto"/>
                    <w:rPr>
                      <w:rFonts w:hint="default" w:ascii="Times New Roman" w:hAnsi="Times New Roman" w:cs="Times New Roman" w:eastAsiaTheme="minorEastAsia"/>
                      <w:color w:val="auto"/>
                      <w:sz w:val="21"/>
                      <w:szCs w:val="21"/>
                      <w:highlight w:val="none"/>
                    </w:rPr>
                  </w:pPr>
                  <w:r>
                    <w:rPr>
                      <w:rFonts w:hint="eastAsia"/>
                      <w:color w:val="auto"/>
                    </w:rPr>
                    <w:t>MX-HYL</w:t>
                  </w:r>
                </w:p>
              </w:tc>
              <w:tc>
                <w:tcPr>
                  <w:tcW w:w="266" w:type="pct"/>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70</w:t>
                  </w:r>
                </w:p>
              </w:tc>
              <w:tc>
                <w:tcPr>
                  <w:tcW w:w="280" w:type="pct"/>
                  <w:gridSpan w:val="2"/>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选用低噪声设备，基础减振</w:t>
                  </w:r>
                </w:p>
              </w:tc>
              <w:tc>
                <w:tcPr>
                  <w:tcW w:w="291" w:type="pct"/>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r>
                    <w:rPr>
                      <w:rFonts w:hint="eastAsia" w:cs="Times New Roman" w:eastAsiaTheme="minorEastAsia"/>
                      <w:color w:val="auto"/>
                      <w:sz w:val="21"/>
                      <w:szCs w:val="21"/>
                      <w:highlight w:val="none"/>
                      <w:lang w:val="en-US" w:eastAsia="zh-CN"/>
                    </w:rPr>
                    <w:t>5</w:t>
                  </w:r>
                </w:p>
              </w:tc>
              <w:tc>
                <w:tcPr>
                  <w:tcW w:w="183" w:type="pct"/>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3</w:t>
                  </w:r>
                </w:p>
              </w:tc>
              <w:tc>
                <w:tcPr>
                  <w:tcW w:w="189" w:type="pct"/>
                  <w:gridSpan w:val="2"/>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21</w:t>
                  </w:r>
                </w:p>
              </w:tc>
              <w:tc>
                <w:tcPr>
                  <w:tcW w:w="220" w:type="pct"/>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w:t>
                  </w:r>
                </w:p>
              </w:tc>
              <w:tc>
                <w:tcPr>
                  <w:tcW w:w="287"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东边界</w:t>
                  </w:r>
                </w:p>
              </w:tc>
              <w:tc>
                <w:tcPr>
                  <w:tcW w:w="252"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106</w:t>
                  </w:r>
                </w:p>
              </w:tc>
              <w:tc>
                <w:tcPr>
                  <w:tcW w:w="358"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24.5 </w:t>
                  </w:r>
                </w:p>
              </w:tc>
              <w:tc>
                <w:tcPr>
                  <w:tcW w:w="394" w:type="pct"/>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00:00-24:00</w:t>
                  </w:r>
                </w:p>
              </w:tc>
              <w:tc>
                <w:tcPr>
                  <w:tcW w:w="360"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10</w:t>
                  </w:r>
                </w:p>
              </w:tc>
              <w:tc>
                <w:tcPr>
                  <w:tcW w:w="373"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8.5 </w:t>
                  </w:r>
                </w:p>
              </w:tc>
              <w:tc>
                <w:tcPr>
                  <w:tcW w:w="455" w:type="pct"/>
                  <w:vAlign w:val="center"/>
                </w:tcPr>
                <w:p>
                  <w:pPr>
                    <w:keepNext w:val="0"/>
                    <w:keepLines w:val="0"/>
                    <w:pageBreakBefore w:val="0"/>
                    <w:widowControl/>
                    <w:suppressLineNumbers w:val="0"/>
                    <w:kinsoku/>
                    <w:wordWrap/>
                    <w:overflowPunct/>
                    <w:topLinePunct w:val="0"/>
                    <w:autoSpaceDE w:val="0"/>
                    <w:autoSpaceDN w:val="0"/>
                    <w:bidi w:val="0"/>
                    <w:adjustRightInd/>
                    <w:spacing w:before="23" w:beforeLines="7" w:after="23" w:afterLines="7" w:line="240" w:lineRule="auto"/>
                    <w:ind w:left="0" w:leftChars="0" w:right="0" w:rightChars="0" w:firstLine="0" w:firstLineChars="0"/>
                    <w:jc w:val="center"/>
                    <w:textAlignment w:val="bottom"/>
                    <w:rPr>
                      <w:rFonts w:hint="eastAsia"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36"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46"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25"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78"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6"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80"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1"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3"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9"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20"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87"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南边界</w:t>
                  </w:r>
                </w:p>
              </w:tc>
              <w:tc>
                <w:tcPr>
                  <w:tcW w:w="252"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21</w:t>
                  </w:r>
                </w:p>
              </w:tc>
              <w:tc>
                <w:tcPr>
                  <w:tcW w:w="358"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38.6 </w:t>
                  </w:r>
                </w:p>
              </w:tc>
              <w:tc>
                <w:tcPr>
                  <w:tcW w:w="394"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360"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10</w:t>
                  </w:r>
                </w:p>
              </w:tc>
              <w:tc>
                <w:tcPr>
                  <w:tcW w:w="373"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22.6 </w:t>
                  </w:r>
                </w:p>
              </w:tc>
              <w:tc>
                <w:tcPr>
                  <w:tcW w:w="455" w:type="pct"/>
                  <w:vAlign w:val="center"/>
                </w:tcPr>
                <w:p>
                  <w:pPr>
                    <w:keepNext w:val="0"/>
                    <w:keepLines w:val="0"/>
                    <w:pageBreakBefore w:val="0"/>
                    <w:widowControl/>
                    <w:suppressLineNumbers w:val="0"/>
                    <w:kinsoku/>
                    <w:wordWrap/>
                    <w:overflowPunct/>
                    <w:topLinePunct w:val="0"/>
                    <w:autoSpaceDE w:val="0"/>
                    <w:autoSpaceDN w:val="0"/>
                    <w:bidi w:val="0"/>
                    <w:adjustRightInd/>
                    <w:snapToGrid/>
                    <w:spacing w:before="23" w:beforeLines="7" w:after="23" w:afterLines="7" w:line="240" w:lineRule="auto"/>
                    <w:ind w:left="0" w:leftChars="0" w:right="0" w:rightChars="0" w:firstLine="0" w:firstLineChars="0"/>
                    <w:jc w:val="center"/>
                    <w:textAlignment w:val="bottom"/>
                    <w:rPr>
                      <w:rFonts w:hint="eastAsia"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36"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46"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25"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78"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6"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80"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1"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3"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9"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20"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87"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西边界</w:t>
                  </w:r>
                </w:p>
              </w:tc>
              <w:tc>
                <w:tcPr>
                  <w:tcW w:w="252"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3</w:t>
                  </w:r>
                </w:p>
              </w:tc>
              <w:tc>
                <w:tcPr>
                  <w:tcW w:w="358"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55.5 </w:t>
                  </w:r>
                </w:p>
              </w:tc>
              <w:tc>
                <w:tcPr>
                  <w:tcW w:w="394"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360"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10</w:t>
                  </w:r>
                </w:p>
              </w:tc>
              <w:tc>
                <w:tcPr>
                  <w:tcW w:w="373"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39.5 </w:t>
                  </w:r>
                </w:p>
              </w:tc>
              <w:tc>
                <w:tcPr>
                  <w:tcW w:w="455" w:type="pct"/>
                  <w:vAlign w:val="center"/>
                </w:tcPr>
                <w:p>
                  <w:pPr>
                    <w:keepNext w:val="0"/>
                    <w:keepLines w:val="0"/>
                    <w:pageBreakBefore w:val="0"/>
                    <w:widowControl/>
                    <w:suppressLineNumbers w:val="0"/>
                    <w:kinsoku/>
                    <w:wordWrap/>
                    <w:overflowPunct/>
                    <w:topLinePunct w:val="0"/>
                    <w:autoSpaceDE w:val="0"/>
                    <w:autoSpaceDN w:val="0"/>
                    <w:bidi w:val="0"/>
                    <w:adjustRightInd/>
                    <w:snapToGrid/>
                    <w:spacing w:before="23" w:beforeLines="7" w:after="23" w:afterLines="7" w:line="240" w:lineRule="auto"/>
                    <w:ind w:left="0" w:leftChars="0" w:right="0" w:rightChars="0" w:firstLine="0" w:firstLineChars="0"/>
                    <w:jc w:val="center"/>
                    <w:textAlignment w:val="bottom"/>
                    <w:rPr>
                      <w:rFonts w:hint="eastAsia"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55" w:hRule="atLeast"/>
                <w:jc w:val="center"/>
              </w:trPr>
              <w:tc>
                <w:tcPr>
                  <w:tcW w:w="136"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46"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25"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78"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6"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80"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1"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3"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9"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20"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87"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北边界</w:t>
                  </w:r>
                </w:p>
              </w:tc>
              <w:tc>
                <w:tcPr>
                  <w:tcW w:w="252"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19</w:t>
                  </w:r>
                </w:p>
              </w:tc>
              <w:tc>
                <w:tcPr>
                  <w:tcW w:w="358"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39.4 </w:t>
                  </w:r>
                </w:p>
              </w:tc>
              <w:tc>
                <w:tcPr>
                  <w:tcW w:w="394"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360"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10</w:t>
                  </w:r>
                </w:p>
              </w:tc>
              <w:tc>
                <w:tcPr>
                  <w:tcW w:w="373"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23.4 </w:t>
                  </w:r>
                </w:p>
              </w:tc>
              <w:tc>
                <w:tcPr>
                  <w:tcW w:w="455" w:type="pct"/>
                  <w:vAlign w:val="center"/>
                </w:tcPr>
                <w:p>
                  <w:pPr>
                    <w:keepNext w:val="0"/>
                    <w:keepLines w:val="0"/>
                    <w:pageBreakBefore w:val="0"/>
                    <w:widowControl/>
                    <w:suppressLineNumbers w:val="0"/>
                    <w:kinsoku/>
                    <w:wordWrap/>
                    <w:overflowPunct/>
                    <w:topLinePunct w:val="0"/>
                    <w:autoSpaceDE w:val="0"/>
                    <w:autoSpaceDN w:val="0"/>
                    <w:bidi w:val="0"/>
                    <w:adjustRightInd/>
                    <w:spacing w:before="23" w:beforeLines="7" w:after="23" w:afterLines="7" w:line="240" w:lineRule="auto"/>
                    <w:ind w:left="0" w:leftChars="0" w:right="0" w:rightChars="0" w:firstLine="0" w:firstLineChars="0"/>
                    <w:jc w:val="center"/>
                    <w:textAlignment w:val="bottom"/>
                    <w:rPr>
                      <w:rFonts w:hint="eastAsia"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73" w:hRule="atLeast"/>
                <w:jc w:val="center"/>
              </w:trPr>
              <w:tc>
                <w:tcPr>
                  <w:tcW w:w="136" w:type="pct"/>
                  <w:vMerge w:val="restart"/>
                  <w:vAlign w:val="center"/>
                </w:tcPr>
                <w:p>
                  <w:pPr>
                    <w:pStyle w:val="35"/>
                    <w:keepNext w:val="0"/>
                    <w:keepLines w:val="0"/>
                    <w:pageBreakBefore w:val="0"/>
                    <w:widowControl w:val="0"/>
                    <w:numPr>
                      <w:ilvl w:val="0"/>
                      <w:numId w:val="30"/>
                    </w:numPr>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46"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25" w:type="pct"/>
                  <w:vMerge w:val="restart"/>
                  <w:vAlign w:val="center"/>
                </w:tcPr>
                <w:p>
                  <w:pPr>
                    <w:pStyle w:val="32"/>
                    <w:keepNext w:val="0"/>
                    <w:keepLines w:val="0"/>
                    <w:pageBreakBefore w:val="0"/>
                    <w:widowControl w:val="0"/>
                    <w:kinsoku/>
                    <w:wordWrap/>
                    <w:overflowPunct/>
                    <w:topLinePunct w:val="0"/>
                    <w:autoSpaceDE/>
                    <w:autoSpaceDN/>
                    <w:bidi w:val="0"/>
                    <w:adjustRightInd/>
                    <w:snapToGrid/>
                    <w:spacing w:before="23" w:beforeLines="7" w:after="23" w:afterLines="7"/>
                    <w:ind w:firstLine="0" w:firstLineChars="0"/>
                    <w:textAlignment w:val="auto"/>
                    <w:rPr>
                      <w:rFonts w:hint="eastAsia" w:ascii="Times New Roman" w:hAnsi="Times New Roman" w:cs="Times New Roman" w:eastAsiaTheme="minorEastAsia"/>
                      <w:color w:val="auto"/>
                      <w:sz w:val="21"/>
                      <w:szCs w:val="21"/>
                      <w:highlight w:val="none"/>
                      <w:lang w:val="en-US" w:eastAsia="zh-CN"/>
                    </w:rPr>
                  </w:pPr>
                  <w:r>
                    <w:rPr>
                      <w:rFonts w:hint="eastAsia"/>
                      <w:color w:val="auto"/>
                    </w:rPr>
                    <w:t>烧熔炉</w:t>
                  </w:r>
                </w:p>
              </w:tc>
              <w:tc>
                <w:tcPr>
                  <w:tcW w:w="378" w:type="pct"/>
                  <w:vMerge w:val="restart"/>
                  <w:vAlign w:val="center"/>
                </w:tcPr>
                <w:p>
                  <w:pPr>
                    <w:pStyle w:val="32"/>
                    <w:keepNext w:val="0"/>
                    <w:keepLines w:val="0"/>
                    <w:pageBreakBefore w:val="0"/>
                    <w:widowControl w:val="0"/>
                    <w:kinsoku/>
                    <w:wordWrap/>
                    <w:overflowPunct/>
                    <w:topLinePunct w:val="0"/>
                    <w:autoSpaceDE/>
                    <w:autoSpaceDN/>
                    <w:bidi w:val="0"/>
                    <w:adjustRightInd/>
                    <w:snapToGrid/>
                    <w:spacing w:before="23" w:beforeLines="7" w:after="23" w:afterLines="7"/>
                    <w:ind w:firstLine="0" w:firstLineChars="0"/>
                    <w:textAlignment w:val="auto"/>
                    <w:rPr>
                      <w:rFonts w:hint="default" w:ascii="Times New Roman" w:hAnsi="Times New Roman" w:cs="Times New Roman" w:eastAsiaTheme="minorEastAsia"/>
                      <w:color w:val="auto"/>
                      <w:sz w:val="21"/>
                      <w:szCs w:val="21"/>
                      <w:highlight w:val="none"/>
                    </w:rPr>
                  </w:pPr>
                  <w:r>
                    <w:rPr>
                      <w:rFonts w:hint="eastAsia"/>
                      <w:color w:val="auto"/>
                    </w:rPr>
                    <w:t>MX-HYL</w:t>
                  </w:r>
                </w:p>
              </w:tc>
              <w:tc>
                <w:tcPr>
                  <w:tcW w:w="266" w:type="pct"/>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70</w:t>
                  </w:r>
                </w:p>
              </w:tc>
              <w:tc>
                <w:tcPr>
                  <w:tcW w:w="280" w:type="pct"/>
                  <w:gridSpan w:val="2"/>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选用低噪声设备，基础减振</w:t>
                  </w:r>
                </w:p>
              </w:tc>
              <w:tc>
                <w:tcPr>
                  <w:tcW w:w="291" w:type="pct"/>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r>
                    <w:rPr>
                      <w:rFonts w:hint="eastAsia" w:cs="Times New Roman" w:eastAsiaTheme="minorEastAsia"/>
                      <w:color w:val="auto"/>
                      <w:sz w:val="21"/>
                      <w:szCs w:val="21"/>
                      <w:highlight w:val="none"/>
                      <w:lang w:val="en-US" w:eastAsia="zh-CN"/>
                    </w:rPr>
                    <w:t>5</w:t>
                  </w:r>
                </w:p>
              </w:tc>
              <w:tc>
                <w:tcPr>
                  <w:tcW w:w="183" w:type="pct"/>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3</w:t>
                  </w:r>
                </w:p>
              </w:tc>
              <w:tc>
                <w:tcPr>
                  <w:tcW w:w="189" w:type="pct"/>
                  <w:gridSpan w:val="2"/>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20</w:t>
                  </w:r>
                </w:p>
              </w:tc>
              <w:tc>
                <w:tcPr>
                  <w:tcW w:w="220" w:type="pct"/>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w:t>
                  </w:r>
                </w:p>
              </w:tc>
              <w:tc>
                <w:tcPr>
                  <w:tcW w:w="287"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东边界</w:t>
                  </w:r>
                </w:p>
              </w:tc>
              <w:tc>
                <w:tcPr>
                  <w:tcW w:w="252"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106</w:t>
                  </w:r>
                </w:p>
              </w:tc>
              <w:tc>
                <w:tcPr>
                  <w:tcW w:w="358"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24.5 </w:t>
                  </w:r>
                </w:p>
              </w:tc>
              <w:tc>
                <w:tcPr>
                  <w:tcW w:w="394" w:type="pct"/>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00:00-24:00</w:t>
                  </w:r>
                </w:p>
              </w:tc>
              <w:tc>
                <w:tcPr>
                  <w:tcW w:w="360"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10</w:t>
                  </w:r>
                </w:p>
              </w:tc>
              <w:tc>
                <w:tcPr>
                  <w:tcW w:w="373"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8.5 </w:t>
                  </w:r>
                </w:p>
              </w:tc>
              <w:tc>
                <w:tcPr>
                  <w:tcW w:w="455" w:type="pct"/>
                  <w:vAlign w:val="center"/>
                </w:tcPr>
                <w:p>
                  <w:pPr>
                    <w:keepNext w:val="0"/>
                    <w:keepLines w:val="0"/>
                    <w:pageBreakBefore w:val="0"/>
                    <w:widowControl/>
                    <w:suppressLineNumbers w:val="0"/>
                    <w:kinsoku/>
                    <w:wordWrap/>
                    <w:overflowPunct/>
                    <w:topLinePunct w:val="0"/>
                    <w:autoSpaceDE w:val="0"/>
                    <w:autoSpaceDN w:val="0"/>
                    <w:bidi w:val="0"/>
                    <w:adjustRightInd/>
                    <w:spacing w:before="23" w:beforeLines="7" w:after="23" w:afterLines="7" w:line="240" w:lineRule="auto"/>
                    <w:ind w:left="0" w:leftChars="0" w:right="0" w:rightChars="0" w:firstLine="0" w:firstLineChars="0"/>
                    <w:jc w:val="center"/>
                    <w:textAlignment w:val="bottom"/>
                    <w:rPr>
                      <w:rFonts w:hint="eastAsia"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36"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46"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25"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78"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6"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80"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1"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3"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9"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20"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87"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南边界</w:t>
                  </w:r>
                </w:p>
              </w:tc>
              <w:tc>
                <w:tcPr>
                  <w:tcW w:w="252"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20</w:t>
                  </w:r>
                </w:p>
              </w:tc>
              <w:tc>
                <w:tcPr>
                  <w:tcW w:w="358"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39.0 </w:t>
                  </w:r>
                </w:p>
              </w:tc>
              <w:tc>
                <w:tcPr>
                  <w:tcW w:w="394"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360"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10</w:t>
                  </w:r>
                </w:p>
              </w:tc>
              <w:tc>
                <w:tcPr>
                  <w:tcW w:w="373"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23.0 </w:t>
                  </w:r>
                </w:p>
              </w:tc>
              <w:tc>
                <w:tcPr>
                  <w:tcW w:w="455" w:type="pct"/>
                  <w:vAlign w:val="center"/>
                </w:tcPr>
                <w:p>
                  <w:pPr>
                    <w:keepNext w:val="0"/>
                    <w:keepLines w:val="0"/>
                    <w:pageBreakBefore w:val="0"/>
                    <w:widowControl/>
                    <w:suppressLineNumbers w:val="0"/>
                    <w:kinsoku/>
                    <w:wordWrap/>
                    <w:overflowPunct/>
                    <w:topLinePunct w:val="0"/>
                    <w:autoSpaceDE w:val="0"/>
                    <w:autoSpaceDN w:val="0"/>
                    <w:bidi w:val="0"/>
                    <w:adjustRightInd/>
                    <w:snapToGrid/>
                    <w:spacing w:before="23" w:beforeLines="7" w:after="23" w:afterLines="7" w:line="240" w:lineRule="auto"/>
                    <w:ind w:left="0" w:leftChars="0" w:right="0" w:rightChars="0" w:firstLine="0" w:firstLineChars="0"/>
                    <w:jc w:val="center"/>
                    <w:textAlignment w:val="bottom"/>
                    <w:rPr>
                      <w:rFonts w:hint="eastAsia"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36"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46"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25"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78"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6"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80"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1"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3"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9"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20"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87"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西边界</w:t>
                  </w:r>
                </w:p>
              </w:tc>
              <w:tc>
                <w:tcPr>
                  <w:tcW w:w="252"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3</w:t>
                  </w:r>
                </w:p>
              </w:tc>
              <w:tc>
                <w:tcPr>
                  <w:tcW w:w="358"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55.5 </w:t>
                  </w:r>
                </w:p>
              </w:tc>
              <w:tc>
                <w:tcPr>
                  <w:tcW w:w="394"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360"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10</w:t>
                  </w:r>
                </w:p>
              </w:tc>
              <w:tc>
                <w:tcPr>
                  <w:tcW w:w="373"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39.5 </w:t>
                  </w:r>
                </w:p>
              </w:tc>
              <w:tc>
                <w:tcPr>
                  <w:tcW w:w="455" w:type="pct"/>
                  <w:vAlign w:val="center"/>
                </w:tcPr>
                <w:p>
                  <w:pPr>
                    <w:keepNext w:val="0"/>
                    <w:keepLines w:val="0"/>
                    <w:pageBreakBefore w:val="0"/>
                    <w:widowControl/>
                    <w:suppressLineNumbers w:val="0"/>
                    <w:kinsoku/>
                    <w:wordWrap/>
                    <w:overflowPunct/>
                    <w:topLinePunct w:val="0"/>
                    <w:autoSpaceDE w:val="0"/>
                    <w:autoSpaceDN w:val="0"/>
                    <w:bidi w:val="0"/>
                    <w:adjustRightInd/>
                    <w:snapToGrid/>
                    <w:spacing w:before="23" w:beforeLines="7" w:after="23" w:afterLines="7" w:line="240" w:lineRule="auto"/>
                    <w:ind w:left="0" w:leftChars="0" w:right="0" w:rightChars="0" w:firstLine="0" w:firstLineChars="0"/>
                    <w:jc w:val="center"/>
                    <w:textAlignment w:val="bottom"/>
                    <w:rPr>
                      <w:rFonts w:hint="eastAsia"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55" w:hRule="atLeast"/>
                <w:jc w:val="center"/>
              </w:trPr>
              <w:tc>
                <w:tcPr>
                  <w:tcW w:w="136"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46"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25"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78"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6"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80"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1"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3"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9"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20"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87"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北边界</w:t>
                  </w:r>
                </w:p>
              </w:tc>
              <w:tc>
                <w:tcPr>
                  <w:tcW w:w="252"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19</w:t>
                  </w:r>
                </w:p>
              </w:tc>
              <w:tc>
                <w:tcPr>
                  <w:tcW w:w="358"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39.4 </w:t>
                  </w:r>
                </w:p>
              </w:tc>
              <w:tc>
                <w:tcPr>
                  <w:tcW w:w="394"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360"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10</w:t>
                  </w:r>
                </w:p>
              </w:tc>
              <w:tc>
                <w:tcPr>
                  <w:tcW w:w="373"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23.4 </w:t>
                  </w:r>
                </w:p>
              </w:tc>
              <w:tc>
                <w:tcPr>
                  <w:tcW w:w="455" w:type="pct"/>
                  <w:vAlign w:val="center"/>
                </w:tcPr>
                <w:p>
                  <w:pPr>
                    <w:keepNext w:val="0"/>
                    <w:keepLines w:val="0"/>
                    <w:pageBreakBefore w:val="0"/>
                    <w:widowControl/>
                    <w:suppressLineNumbers w:val="0"/>
                    <w:kinsoku/>
                    <w:wordWrap/>
                    <w:overflowPunct/>
                    <w:topLinePunct w:val="0"/>
                    <w:autoSpaceDE w:val="0"/>
                    <w:autoSpaceDN w:val="0"/>
                    <w:bidi w:val="0"/>
                    <w:adjustRightInd/>
                    <w:spacing w:before="23" w:beforeLines="7" w:after="23" w:afterLines="7" w:line="240" w:lineRule="auto"/>
                    <w:ind w:left="0" w:leftChars="0" w:right="0" w:rightChars="0" w:firstLine="0" w:firstLineChars="0"/>
                    <w:jc w:val="center"/>
                    <w:textAlignment w:val="bottom"/>
                    <w:rPr>
                      <w:rFonts w:hint="eastAsia"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73" w:hRule="atLeast"/>
                <w:jc w:val="center"/>
              </w:trPr>
              <w:tc>
                <w:tcPr>
                  <w:tcW w:w="136" w:type="pct"/>
                  <w:vMerge w:val="restart"/>
                  <w:vAlign w:val="center"/>
                </w:tcPr>
                <w:p>
                  <w:pPr>
                    <w:pStyle w:val="35"/>
                    <w:keepNext w:val="0"/>
                    <w:keepLines w:val="0"/>
                    <w:pageBreakBefore w:val="0"/>
                    <w:widowControl w:val="0"/>
                    <w:numPr>
                      <w:ilvl w:val="0"/>
                      <w:numId w:val="30"/>
                    </w:numPr>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46"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25" w:type="pct"/>
                  <w:vMerge w:val="restart"/>
                  <w:vAlign w:val="center"/>
                </w:tcPr>
                <w:p>
                  <w:pPr>
                    <w:pStyle w:val="32"/>
                    <w:keepNext w:val="0"/>
                    <w:keepLines w:val="0"/>
                    <w:pageBreakBefore w:val="0"/>
                    <w:widowControl w:val="0"/>
                    <w:kinsoku/>
                    <w:wordWrap/>
                    <w:overflowPunct/>
                    <w:topLinePunct w:val="0"/>
                    <w:autoSpaceDE/>
                    <w:autoSpaceDN/>
                    <w:bidi w:val="0"/>
                    <w:adjustRightInd/>
                    <w:snapToGrid/>
                    <w:spacing w:before="23" w:beforeLines="7" w:after="23" w:afterLines="7"/>
                    <w:ind w:firstLine="0" w:firstLineChars="0"/>
                    <w:textAlignment w:val="auto"/>
                    <w:rPr>
                      <w:rFonts w:hint="eastAsia" w:ascii="Times New Roman" w:hAnsi="Times New Roman" w:cs="Times New Roman" w:eastAsiaTheme="minorEastAsia"/>
                      <w:color w:val="auto"/>
                      <w:sz w:val="21"/>
                      <w:szCs w:val="21"/>
                      <w:highlight w:val="none"/>
                      <w:lang w:val="en-US" w:eastAsia="zh-CN"/>
                    </w:rPr>
                  </w:pPr>
                  <w:r>
                    <w:rPr>
                      <w:rFonts w:hint="eastAsia"/>
                      <w:color w:val="auto"/>
                    </w:rPr>
                    <w:t>烧熔炉</w:t>
                  </w:r>
                </w:p>
              </w:tc>
              <w:tc>
                <w:tcPr>
                  <w:tcW w:w="378" w:type="pct"/>
                  <w:vMerge w:val="restart"/>
                  <w:vAlign w:val="center"/>
                </w:tcPr>
                <w:p>
                  <w:pPr>
                    <w:pStyle w:val="32"/>
                    <w:keepNext w:val="0"/>
                    <w:keepLines w:val="0"/>
                    <w:pageBreakBefore w:val="0"/>
                    <w:widowControl w:val="0"/>
                    <w:kinsoku/>
                    <w:wordWrap/>
                    <w:overflowPunct/>
                    <w:topLinePunct w:val="0"/>
                    <w:autoSpaceDE/>
                    <w:autoSpaceDN/>
                    <w:bidi w:val="0"/>
                    <w:adjustRightInd/>
                    <w:snapToGrid/>
                    <w:spacing w:before="23" w:beforeLines="7" w:after="23" w:afterLines="7"/>
                    <w:ind w:firstLine="0" w:firstLineChars="0"/>
                    <w:textAlignment w:val="auto"/>
                    <w:rPr>
                      <w:rFonts w:hint="default" w:ascii="Times New Roman" w:hAnsi="Times New Roman" w:cs="Times New Roman" w:eastAsiaTheme="minorEastAsia"/>
                      <w:color w:val="auto"/>
                      <w:sz w:val="21"/>
                      <w:szCs w:val="21"/>
                      <w:highlight w:val="none"/>
                    </w:rPr>
                  </w:pPr>
                  <w:r>
                    <w:rPr>
                      <w:rFonts w:hint="eastAsia"/>
                      <w:color w:val="auto"/>
                    </w:rPr>
                    <w:t>MX-HYL</w:t>
                  </w:r>
                </w:p>
              </w:tc>
              <w:tc>
                <w:tcPr>
                  <w:tcW w:w="266" w:type="pct"/>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70</w:t>
                  </w:r>
                </w:p>
              </w:tc>
              <w:tc>
                <w:tcPr>
                  <w:tcW w:w="280" w:type="pct"/>
                  <w:gridSpan w:val="2"/>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选用低噪声设备，基础减振</w:t>
                  </w:r>
                </w:p>
              </w:tc>
              <w:tc>
                <w:tcPr>
                  <w:tcW w:w="291" w:type="pct"/>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r>
                    <w:rPr>
                      <w:rFonts w:hint="eastAsia" w:cs="Times New Roman" w:eastAsiaTheme="minorEastAsia"/>
                      <w:color w:val="auto"/>
                      <w:sz w:val="21"/>
                      <w:szCs w:val="21"/>
                      <w:highlight w:val="none"/>
                      <w:lang w:val="en-US" w:eastAsia="zh-CN"/>
                    </w:rPr>
                    <w:t>5</w:t>
                  </w:r>
                </w:p>
              </w:tc>
              <w:tc>
                <w:tcPr>
                  <w:tcW w:w="183" w:type="pct"/>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3</w:t>
                  </w:r>
                </w:p>
              </w:tc>
              <w:tc>
                <w:tcPr>
                  <w:tcW w:w="189" w:type="pct"/>
                  <w:gridSpan w:val="2"/>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19</w:t>
                  </w:r>
                </w:p>
              </w:tc>
              <w:tc>
                <w:tcPr>
                  <w:tcW w:w="220" w:type="pct"/>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w:t>
                  </w:r>
                </w:p>
              </w:tc>
              <w:tc>
                <w:tcPr>
                  <w:tcW w:w="287"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东边界</w:t>
                  </w:r>
                </w:p>
              </w:tc>
              <w:tc>
                <w:tcPr>
                  <w:tcW w:w="252"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106</w:t>
                  </w:r>
                </w:p>
              </w:tc>
              <w:tc>
                <w:tcPr>
                  <w:tcW w:w="358"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24.5 </w:t>
                  </w:r>
                </w:p>
              </w:tc>
              <w:tc>
                <w:tcPr>
                  <w:tcW w:w="394" w:type="pct"/>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00:00-24:00</w:t>
                  </w:r>
                </w:p>
              </w:tc>
              <w:tc>
                <w:tcPr>
                  <w:tcW w:w="360"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10</w:t>
                  </w:r>
                </w:p>
              </w:tc>
              <w:tc>
                <w:tcPr>
                  <w:tcW w:w="373"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8.5 </w:t>
                  </w:r>
                </w:p>
              </w:tc>
              <w:tc>
                <w:tcPr>
                  <w:tcW w:w="455" w:type="pct"/>
                  <w:vAlign w:val="center"/>
                </w:tcPr>
                <w:p>
                  <w:pPr>
                    <w:keepNext w:val="0"/>
                    <w:keepLines w:val="0"/>
                    <w:pageBreakBefore w:val="0"/>
                    <w:widowControl/>
                    <w:suppressLineNumbers w:val="0"/>
                    <w:kinsoku/>
                    <w:wordWrap/>
                    <w:overflowPunct/>
                    <w:topLinePunct w:val="0"/>
                    <w:autoSpaceDE w:val="0"/>
                    <w:autoSpaceDN w:val="0"/>
                    <w:bidi w:val="0"/>
                    <w:adjustRightInd/>
                    <w:spacing w:before="23" w:beforeLines="7" w:after="23" w:afterLines="7" w:line="240" w:lineRule="auto"/>
                    <w:ind w:left="0" w:leftChars="0" w:right="0" w:rightChars="0" w:firstLine="0" w:firstLineChars="0"/>
                    <w:jc w:val="center"/>
                    <w:textAlignment w:val="bottom"/>
                    <w:rPr>
                      <w:rFonts w:hint="eastAsia"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36"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46"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25"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78"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6"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80"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1"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3"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9"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20"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87"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南边界</w:t>
                  </w:r>
                </w:p>
              </w:tc>
              <w:tc>
                <w:tcPr>
                  <w:tcW w:w="252"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19</w:t>
                  </w:r>
                </w:p>
              </w:tc>
              <w:tc>
                <w:tcPr>
                  <w:tcW w:w="358"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39.4 </w:t>
                  </w:r>
                </w:p>
              </w:tc>
              <w:tc>
                <w:tcPr>
                  <w:tcW w:w="394"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360"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10</w:t>
                  </w:r>
                </w:p>
              </w:tc>
              <w:tc>
                <w:tcPr>
                  <w:tcW w:w="373"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23.4 </w:t>
                  </w:r>
                </w:p>
              </w:tc>
              <w:tc>
                <w:tcPr>
                  <w:tcW w:w="455" w:type="pct"/>
                  <w:vAlign w:val="center"/>
                </w:tcPr>
                <w:p>
                  <w:pPr>
                    <w:keepNext w:val="0"/>
                    <w:keepLines w:val="0"/>
                    <w:pageBreakBefore w:val="0"/>
                    <w:widowControl/>
                    <w:suppressLineNumbers w:val="0"/>
                    <w:kinsoku/>
                    <w:wordWrap/>
                    <w:overflowPunct/>
                    <w:topLinePunct w:val="0"/>
                    <w:autoSpaceDE w:val="0"/>
                    <w:autoSpaceDN w:val="0"/>
                    <w:bidi w:val="0"/>
                    <w:adjustRightInd/>
                    <w:snapToGrid/>
                    <w:spacing w:before="23" w:beforeLines="7" w:after="23" w:afterLines="7" w:line="240" w:lineRule="auto"/>
                    <w:ind w:left="0" w:leftChars="0" w:right="0" w:rightChars="0" w:firstLine="0" w:firstLineChars="0"/>
                    <w:jc w:val="center"/>
                    <w:textAlignment w:val="bottom"/>
                    <w:rPr>
                      <w:rFonts w:hint="eastAsia"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36"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46"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25"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78"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6"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80"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1"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3"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9"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20"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87"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西边界</w:t>
                  </w:r>
                </w:p>
              </w:tc>
              <w:tc>
                <w:tcPr>
                  <w:tcW w:w="252"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3</w:t>
                  </w:r>
                </w:p>
              </w:tc>
              <w:tc>
                <w:tcPr>
                  <w:tcW w:w="358"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55.5 </w:t>
                  </w:r>
                </w:p>
              </w:tc>
              <w:tc>
                <w:tcPr>
                  <w:tcW w:w="394"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360"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10</w:t>
                  </w:r>
                </w:p>
              </w:tc>
              <w:tc>
                <w:tcPr>
                  <w:tcW w:w="373"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39.5 </w:t>
                  </w:r>
                </w:p>
              </w:tc>
              <w:tc>
                <w:tcPr>
                  <w:tcW w:w="455" w:type="pct"/>
                  <w:vAlign w:val="center"/>
                </w:tcPr>
                <w:p>
                  <w:pPr>
                    <w:keepNext w:val="0"/>
                    <w:keepLines w:val="0"/>
                    <w:pageBreakBefore w:val="0"/>
                    <w:widowControl/>
                    <w:suppressLineNumbers w:val="0"/>
                    <w:kinsoku/>
                    <w:wordWrap/>
                    <w:overflowPunct/>
                    <w:topLinePunct w:val="0"/>
                    <w:autoSpaceDE w:val="0"/>
                    <w:autoSpaceDN w:val="0"/>
                    <w:bidi w:val="0"/>
                    <w:adjustRightInd/>
                    <w:snapToGrid/>
                    <w:spacing w:before="23" w:beforeLines="7" w:after="23" w:afterLines="7" w:line="240" w:lineRule="auto"/>
                    <w:ind w:left="0" w:leftChars="0" w:right="0" w:rightChars="0" w:firstLine="0" w:firstLineChars="0"/>
                    <w:jc w:val="center"/>
                    <w:textAlignment w:val="bottom"/>
                    <w:rPr>
                      <w:rFonts w:hint="eastAsia"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55" w:hRule="atLeast"/>
                <w:jc w:val="center"/>
              </w:trPr>
              <w:tc>
                <w:tcPr>
                  <w:tcW w:w="136"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46"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25"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78"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6"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80"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1"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3"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9"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20"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87"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北边界</w:t>
                  </w:r>
                </w:p>
              </w:tc>
              <w:tc>
                <w:tcPr>
                  <w:tcW w:w="252"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19</w:t>
                  </w:r>
                </w:p>
              </w:tc>
              <w:tc>
                <w:tcPr>
                  <w:tcW w:w="358"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39.4 </w:t>
                  </w:r>
                </w:p>
              </w:tc>
              <w:tc>
                <w:tcPr>
                  <w:tcW w:w="394"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360"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10</w:t>
                  </w:r>
                </w:p>
              </w:tc>
              <w:tc>
                <w:tcPr>
                  <w:tcW w:w="373"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23.4 </w:t>
                  </w:r>
                </w:p>
              </w:tc>
              <w:tc>
                <w:tcPr>
                  <w:tcW w:w="455" w:type="pct"/>
                  <w:vAlign w:val="center"/>
                </w:tcPr>
                <w:p>
                  <w:pPr>
                    <w:keepNext w:val="0"/>
                    <w:keepLines w:val="0"/>
                    <w:pageBreakBefore w:val="0"/>
                    <w:widowControl/>
                    <w:suppressLineNumbers w:val="0"/>
                    <w:kinsoku/>
                    <w:wordWrap/>
                    <w:overflowPunct/>
                    <w:topLinePunct w:val="0"/>
                    <w:autoSpaceDE w:val="0"/>
                    <w:autoSpaceDN w:val="0"/>
                    <w:bidi w:val="0"/>
                    <w:adjustRightInd/>
                    <w:spacing w:before="23" w:beforeLines="7" w:after="23" w:afterLines="7" w:line="240" w:lineRule="auto"/>
                    <w:ind w:left="0" w:leftChars="0" w:right="0" w:rightChars="0" w:firstLine="0" w:firstLineChars="0"/>
                    <w:jc w:val="center"/>
                    <w:textAlignment w:val="bottom"/>
                    <w:rPr>
                      <w:rFonts w:hint="eastAsia"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73" w:hRule="atLeast"/>
                <w:jc w:val="center"/>
              </w:trPr>
              <w:tc>
                <w:tcPr>
                  <w:tcW w:w="136" w:type="pct"/>
                  <w:vMerge w:val="restart"/>
                  <w:vAlign w:val="center"/>
                </w:tcPr>
                <w:p>
                  <w:pPr>
                    <w:pStyle w:val="35"/>
                    <w:keepNext w:val="0"/>
                    <w:keepLines w:val="0"/>
                    <w:pageBreakBefore w:val="0"/>
                    <w:widowControl w:val="0"/>
                    <w:numPr>
                      <w:ilvl w:val="0"/>
                      <w:numId w:val="30"/>
                    </w:numPr>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46"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25" w:type="pct"/>
                  <w:vMerge w:val="restart"/>
                  <w:vAlign w:val="center"/>
                </w:tcPr>
                <w:p>
                  <w:pPr>
                    <w:pStyle w:val="32"/>
                    <w:keepNext w:val="0"/>
                    <w:keepLines w:val="0"/>
                    <w:pageBreakBefore w:val="0"/>
                    <w:widowControl w:val="0"/>
                    <w:kinsoku/>
                    <w:wordWrap/>
                    <w:overflowPunct/>
                    <w:topLinePunct w:val="0"/>
                    <w:autoSpaceDE/>
                    <w:autoSpaceDN/>
                    <w:bidi w:val="0"/>
                    <w:adjustRightInd/>
                    <w:snapToGrid/>
                    <w:spacing w:before="23" w:beforeLines="7" w:after="23" w:afterLines="7"/>
                    <w:ind w:firstLine="0" w:firstLineChars="0"/>
                    <w:textAlignment w:val="auto"/>
                    <w:rPr>
                      <w:rFonts w:hint="eastAsia" w:ascii="Times New Roman" w:hAnsi="Times New Roman" w:cs="Times New Roman" w:eastAsiaTheme="minorEastAsia"/>
                      <w:color w:val="auto"/>
                      <w:sz w:val="21"/>
                      <w:szCs w:val="21"/>
                      <w:highlight w:val="none"/>
                      <w:lang w:val="en-US" w:eastAsia="zh-CN"/>
                    </w:rPr>
                  </w:pPr>
                  <w:r>
                    <w:rPr>
                      <w:rFonts w:hint="eastAsia"/>
                      <w:color w:val="auto"/>
                      <w:lang w:val="en-US" w:eastAsia="zh-CN"/>
                    </w:rPr>
                    <w:t>自动</w:t>
                  </w:r>
                  <w:r>
                    <w:rPr>
                      <w:rFonts w:hint="eastAsia"/>
                      <w:color w:val="auto"/>
                    </w:rPr>
                    <w:t>覆膜机</w:t>
                  </w:r>
                </w:p>
              </w:tc>
              <w:tc>
                <w:tcPr>
                  <w:tcW w:w="378" w:type="pct"/>
                  <w:vMerge w:val="restart"/>
                  <w:vAlign w:val="center"/>
                </w:tcPr>
                <w:p>
                  <w:pPr>
                    <w:pStyle w:val="32"/>
                    <w:keepNext w:val="0"/>
                    <w:keepLines w:val="0"/>
                    <w:pageBreakBefore w:val="0"/>
                    <w:widowControl w:val="0"/>
                    <w:kinsoku/>
                    <w:wordWrap/>
                    <w:overflowPunct/>
                    <w:topLinePunct w:val="0"/>
                    <w:autoSpaceDE/>
                    <w:autoSpaceDN/>
                    <w:bidi w:val="0"/>
                    <w:adjustRightInd/>
                    <w:snapToGrid/>
                    <w:spacing w:before="23" w:beforeLines="7" w:after="23" w:afterLines="7"/>
                    <w:ind w:firstLine="0" w:firstLineChars="0"/>
                    <w:textAlignment w:val="auto"/>
                    <w:rPr>
                      <w:rFonts w:hint="default" w:ascii="Times New Roman" w:hAnsi="Times New Roman" w:cs="Times New Roman" w:eastAsiaTheme="minorEastAsia"/>
                      <w:color w:val="auto"/>
                      <w:sz w:val="21"/>
                      <w:szCs w:val="21"/>
                      <w:highlight w:val="none"/>
                    </w:rPr>
                  </w:pPr>
                  <w:r>
                    <w:rPr>
                      <w:rFonts w:hint="eastAsia"/>
                      <w:color w:val="auto"/>
                      <w:lang w:val="en-US" w:eastAsia="zh-CN"/>
                    </w:rPr>
                    <w:t>FM-C900300YCR</w:t>
                  </w:r>
                </w:p>
              </w:tc>
              <w:tc>
                <w:tcPr>
                  <w:tcW w:w="266" w:type="pct"/>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70</w:t>
                  </w:r>
                </w:p>
              </w:tc>
              <w:tc>
                <w:tcPr>
                  <w:tcW w:w="280" w:type="pct"/>
                  <w:gridSpan w:val="2"/>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选用低噪声设备，基础减振</w:t>
                  </w:r>
                </w:p>
              </w:tc>
              <w:tc>
                <w:tcPr>
                  <w:tcW w:w="291" w:type="pct"/>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r>
                    <w:rPr>
                      <w:rFonts w:hint="eastAsia" w:cs="Times New Roman" w:eastAsiaTheme="minorEastAsia"/>
                      <w:color w:val="auto"/>
                      <w:sz w:val="21"/>
                      <w:szCs w:val="21"/>
                      <w:highlight w:val="none"/>
                      <w:lang w:val="en-US" w:eastAsia="zh-CN"/>
                    </w:rPr>
                    <w:t>5</w:t>
                  </w:r>
                </w:p>
              </w:tc>
              <w:tc>
                <w:tcPr>
                  <w:tcW w:w="183" w:type="pct"/>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3</w:t>
                  </w:r>
                </w:p>
              </w:tc>
              <w:tc>
                <w:tcPr>
                  <w:tcW w:w="189" w:type="pct"/>
                  <w:gridSpan w:val="2"/>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12</w:t>
                  </w:r>
                </w:p>
              </w:tc>
              <w:tc>
                <w:tcPr>
                  <w:tcW w:w="220" w:type="pct"/>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w:t>
                  </w:r>
                </w:p>
              </w:tc>
              <w:tc>
                <w:tcPr>
                  <w:tcW w:w="287"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东边界</w:t>
                  </w:r>
                </w:p>
              </w:tc>
              <w:tc>
                <w:tcPr>
                  <w:tcW w:w="252"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106</w:t>
                  </w:r>
                </w:p>
              </w:tc>
              <w:tc>
                <w:tcPr>
                  <w:tcW w:w="358"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24.5 </w:t>
                  </w:r>
                </w:p>
              </w:tc>
              <w:tc>
                <w:tcPr>
                  <w:tcW w:w="394" w:type="pct"/>
                  <w:vMerge w:val="restar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00:00-24:00</w:t>
                  </w:r>
                </w:p>
              </w:tc>
              <w:tc>
                <w:tcPr>
                  <w:tcW w:w="360"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10</w:t>
                  </w:r>
                </w:p>
              </w:tc>
              <w:tc>
                <w:tcPr>
                  <w:tcW w:w="373"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8.5 </w:t>
                  </w:r>
                </w:p>
              </w:tc>
              <w:tc>
                <w:tcPr>
                  <w:tcW w:w="455" w:type="pct"/>
                  <w:vAlign w:val="center"/>
                </w:tcPr>
                <w:p>
                  <w:pPr>
                    <w:keepNext w:val="0"/>
                    <w:keepLines w:val="0"/>
                    <w:pageBreakBefore w:val="0"/>
                    <w:widowControl/>
                    <w:suppressLineNumbers w:val="0"/>
                    <w:kinsoku/>
                    <w:wordWrap/>
                    <w:overflowPunct/>
                    <w:topLinePunct w:val="0"/>
                    <w:autoSpaceDE w:val="0"/>
                    <w:autoSpaceDN w:val="0"/>
                    <w:bidi w:val="0"/>
                    <w:adjustRightInd/>
                    <w:spacing w:before="23" w:beforeLines="7" w:after="23" w:afterLines="7" w:line="240" w:lineRule="auto"/>
                    <w:ind w:left="0" w:leftChars="0" w:right="0" w:rightChars="0" w:firstLine="0" w:firstLineChars="0"/>
                    <w:jc w:val="center"/>
                    <w:textAlignment w:val="bottom"/>
                    <w:rPr>
                      <w:rFonts w:hint="eastAsia"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36"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46"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25"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78"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6"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80"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1"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3"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9"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20"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87"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南边界</w:t>
                  </w:r>
                </w:p>
              </w:tc>
              <w:tc>
                <w:tcPr>
                  <w:tcW w:w="252"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12</w:t>
                  </w:r>
                </w:p>
              </w:tc>
              <w:tc>
                <w:tcPr>
                  <w:tcW w:w="358"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43.4 </w:t>
                  </w:r>
                </w:p>
              </w:tc>
              <w:tc>
                <w:tcPr>
                  <w:tcW w:w="394"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360"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10</w:t>
                  </w:r>
                </w:p>
              </w:tc>
              <w:tc>
                <w:tcPr>
                  <w:tcW w:w="373"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27.4 </w:t>
                  </w:r>
                </w:p>
              </w:tc>
              <w:tc>
                <w:tcPr>
                  <w:tcW w:w="455" w:type="pct"/>
                  <w:vAlign w:val="center"/>
                </w:tcPr>
                <w:p>
                  <w:pPr>
                    <w:keepNext w:val="0"/>
                    <w:keepLines w:val="0"/>
                    <w:pageBreakBefore w:val="0"/>
                    <w:widowControl/>
                    <w:suppressLineNumbers w:val="0"/>
                    <w:kinsoku/>
                    <w:wordWrap/>
                    <w:overflowPunct/>
                    <w:topLinePunct w:val="0"/>
                    <w:autoSpaceDE w:val="0"/>
                    <w:autoSpaceDN w:val="0"/>
                    <w:bidi w:val="0"/>
                    <w:adjustRightInd/>
                    <w:snapToGrid/>
                    <w:spacing w:before="23" w:beforeLines="7" w:after="23" w:afterLines="7" w:line="240" w:lineRule="auto"/>
                    <w:ind w:left="0" w:leftChars="0" w:right="0" w:rightChars="0" w:firstLine="0" w:firstLineChars="0"/>
                    <w:jc w:val="center"/>
                    <w:textAlignment w:val="bottom"/>
                    <w:rPr>
                      <w:rFonts w:hint="eastAsia"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36"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46"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25"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78"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6"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80"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1"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3"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9"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20"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87"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西边界</w:t>
                  </w:r>
                </w:p>
              </w:tc>
              <w:tc>
                <w:tcPr>
                  <w:tcW w:w="252"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3</w:t>
                  </w:r>
                </w:p>
              </w:tc>
              <w:tc>
                <w:tcPr>
                  <w:tcW w:w="358"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55.5 </w:t>
                  </w:r>
                </w:p>
              </w:tc>
              <w:tc>
                <w:tcPr>
                  <w:tcW w:w="394"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360"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10</w:t>
                  </w:r>
                </w:p>
              </w:tc>
              <w:tc>
                <w:tcPr>
                  <w:tcW w:w="373"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39.5 </w:t>
                  </w:r>
                </w:p>
              </w:tc>
              <w:tc>
                <w:tcPr>
                  <w:tcW w:w="455" w:type="pct"/>
                  <w:vAlign w:val="center"/>
                </w:tcPr>
                <w:p>
                  <w:pPr>
                    <w:keepNext w:val="0"/>
                    <w:keepLines w:val="0"/>
                    <w:pageBreakBefore w:val="0"/>
                    <w:widowControl/>
                    <w:suppressLineNumbers w:val="0"/>
                    <w:kinsoku/>
                    <w:wordWrap/>
                    <w:overflowPunct/>
                    <w:topLinePunct w:val="0"/>
                    <w:autoSpaceDE w:val="0"/>
                    <w:autoSpaceDN w:val="0"/>
                    <w:bidi w:val="0"/>
                    <w:adjustRightInd/>
                    <w:snapToGrid/>
                    <w:spacing w:before="23" w:beforeLines="7" w:after="23" w:afterLines="7" w:line="240" w:lineRule="auto"/>
                    <w:ind w:left="0" w:leftChars="0" w:right="0" w:rightChars="0" w:firstLine="0" w:firstLineChars="0"/>
                    <w:jc w:val="center"/>
                    <w:textAlignment w:val="bottom"/>
                    <w:rPr>
                      <w:rFonts w:hint="eastAsia"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55" w:hRule="atLeast"/>
                <w:jc w:val="center"/>
              </w:trPr>
              <w:tc>
                <w:tcPr>
                  <w:tcW w:w="136"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46"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25"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78"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6"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80"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1"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3"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89" w:type="pct"/>
                  <w:gridSpan w:val="2"/>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20"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87"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北边界</w:t>
                  </w:r>
                </w:p>
              </w:tc>
              <w:tc>
                <w:tcPr>
                  <w:tcW w:w="252"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19</w:t>
                  </w:r>
                </w:p>
              </w:tc>
              <w:tc>
                <w:tcPr>
                  <w:tcW w:w="358" w:type="pct"/>
                  <w:gridSpan w:val="2"/>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39.4 </w:t>
                  </w:r>
                </w:p>
              </w:tc>
              <w:tc>
                <w:tcPr>
                  <w:tcW w:w="394" w:type="pct"/>
                  <w:vMerge w:val="continue"/>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360"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10</w:t>
                  </w:r>
                </w:p>
              </w:tc>
              <w:tc>
                <w:tcPr>
                  <w:tcW w:w="373" w:type="pct"/>
                  <w:vAlign w:val="center"/>
                </w:tcPr>
                <w:p>
                  <w:pPr>
                    <w:pStyle w:val="35"/>
                    <w:keepNext w:val="0"/>
                    <w:keepLines w:val="0"/>
                    <w:pageBreakBefore w:val="0"/>
                    <w:widowControl w:val="0"/>
                    <w:kinsoku/>
                    <w:wordWrap/>
                    <w:overflowPunct/>
                    <w:topLinePunct w:val="0"/>
                    <w:autoSpaceDE w:val="0"/>
                    <w:autoSpaceDN w:val="0"/>
                    <w:bidi w:val="0"/>
                    <w:adjustRightInd/>
                    <w:snapToGrid w:val="0"/>
                    <w:spacing w:before="23" w:beforeLines="7" w:after="23" w:afterLines="7"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23.4 </w:t>
                  </w:r>
                </w:p>
              </w:tc>
              <w:tc>
                <w:tcPr>
                  <w:tcW w:w="455" w:type="pct"/>
                  <w:vAlign w:val="center"/>
                </w:tcPr>
                <w:p>
                  <w:pPr>
                    <w:keepNext w:val="0"/>
                    <w:keepLines w:val="0"/>
                    <w:pageBreakBefore w:val="0"/>
                    <w:widowControl/>
                    <w:suppressLineNumbers w:val="0"/>
                    <w:kinsoku/>
                    <w:wordWrap/>
                    <w:overflowPunct/>
                    <w:topLinePunct w:val="0"/>
                    <w:autoSpaceDE w:val="0"/>
                    <w:autoSpaceDN w:val="0"/>
                    <w:bidi w:val="0"/>
                    <w:adjustRightInd/>
                    <w:spacing w:before="23" w:beforeLines="7" w:after="23" w:afterLines="7" w:line="240" w:lineRule="auto"/>
                    <w:ind w:left="0" w:leftChars="0" w:right="0" w:rightChars="0" w:firstLine="0" w:firstLineChars="0"/>
                    <w:jc w:val="center"/>
                    <w:textAlignment w:val="bottom"/>
                    <w:rPr>
                      <w:rFonts w:hint="eastAsia"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5000" w:type="pct"/>
                  <w:gridSpan w:val="23"/>
                  <w:vAlign w:val="center"/>
                </w:tcPr>
                <w:p>
                  <w:pPr>
                    <w:keepNext w:val="0"/>
                    <w:keepLines w:val="0"/>
                    <w:pageBreakBefore w:val="0"/>
                    <w:widowControl/>
                    <w:suppressLineNumbers w:val="0"/>
                    <w:kinsoku/>
                    <w:wordWrap/>
                    <w:overflowPunct/>
                    <w:topLinePunct w:val="0"/>
                    <w:autoSpaceDE w:val="0"/>
                    <w:autoSpaceDN w:val="0"/>
                    <w:bidi w:val="0"/>
                    <w:adjustRightInd/>
                    <w:spacing w:before="23" w:beforeLines="7" w:after="23" w:afterLines="7" w:line="240" w:lineRule="auto"/>
                    <w:ind w:left="0" w:leftChars="0" w:right="0" w:rightChars="0" w:firstLine="0" w:firstLineChars="0"/>
                    <w:jc w:val="left"/>
                    <w:textAlignment w:val="bottom"/>
                    <w:rPr>
                      <w:rFonts w:hint="eastAsia" w:cs="Times New Roman"/>
                      <w:i w:val="0"/>
                      <w:iCs w:val="0"/>
                      <w:color w:val="auto"/>
                      <w:kern w:val="0"/>
                      <w:sz w:val="22"/>
                      <w:szCs w:val="22"/>
                      <w:highlight w:val="none"/>
                      <w:u w:val="none"/>
                      <w:lang w:val="en-US" w:eastAsia="zh-CN" w:bidi="ar"/>
                    </w:rPr>
                  </w:pPr>
                  <w:r>
                    <w:rPr>
                      <w:rFonts w:hint="eastAsia" w:cs="Times New Roman"/>
                      <w:b/>
                      <w:bCs/>
                      <w:i w:val="0"/>
                      <w:iCs w:val="0"/>
                      <w:color w:val="auto"/>
                      <w:kern w:val="0"/>
                      <w:sz w:val="22"/>
                      <w:szCs w:val="22"/>
                      <w:highlight w:val="none"/>
                      <w:u w:val="none"/>
                      <w:lang w:val="en-US" w:eastAsia="zh-CN" w:bidi="ar"/>
                    </w:rPr>
                    <w:t>注：生产车间西南角坐标为（0,0,0）。</w:t>
                  </w:r>
                </w:p>
              </w:tc>
            </w:tr>
          </w:tbl>
          <w:p>
            <w:pPr>
              <w:ind w:left="0" w:leftChars="0" w:firstLine="0" w:firstLineChars="0"/>
              <w:rPr>
                <w:color w:val="auto"/>
                <w:highlight w:val="none"/>
                <w:vertAlign w:val="baseline"/>
              </w:rPr>
            </w:pPr>
          </w:p>
          <w:p>
            <w:pPr>
              <w:ind w:left="0" w:leftChars="0" w:firstLine="0" w:firstLineChars="0"/>
              <w:rPr>
                <w:color w:val="auto"/>
                <w:highlight w:val="none"/>
                <w:vertAlign w:val="baseline"/>
              </w:rPr>
            </w:pPr>
          </w:p>
          <w:p>
            <w:pPr>
              <w:ind w:left="0" w:leftChars="0" w:firstLine="0" w:firstLineChars="0"/>
              <w:rPr>
                <w:color w:val="auto"/>
                <w:highlight w:val="none"/>
                <w:vertAlign w:val="baseline"/>
              </w:rPr>
            </w:pPr>
          </w:p>
          <w:p>
            <w:pPr>
              <w:ind w:left="0" w:leftChars="0" w:firstLine="0" w:firstLineChars="0"/>
              <w:rPr>
                <w:color w:val="auto"/>
                <w:highlight w:val="none"/>
                <w:vertAlign w:val="baseline"/>
              </w:rPr>
            </w:pPr>
          </w:p>
          <w:p>
            <w:pPr>
              <w:ind w:left="0" w:leftChars="0" w:firstLine="0" w:firstLineChars="0"/>
              <w:rPr>
                <w:color w:val="auto"/>
                <w:highlight w:val="none"/>
                <w:vertAlign w:val="baseline"/>
              </w:rPr>
            </w:pPr>
          </w:p>
          <w:p>
            <w:pPr>
              <w:ind w:left="0" w:leftChars="0" w:firstLine="0" w:firstLineChars="0"/>
              <w:rPr>
                <w:color w:val="auto"/>
                <w:highlight w:val="none"/>
                <w:vertAlign w:val="baseline"/>
              </w:rPr>
            </w:pPr>
          </w:p>
          <w:p>
            <w:pPr>
              <w:ind w:left="0" w:leftChars="0" w:firstLine="0" w:firstLineChars="0"/>
              <w:rPr>
                <w:color w:val="auto"/>
                <w:highlight w:val="none"/>
                <w:vertAlign w:val="baseline"/>
              </w:rPr>
            </w:pPr>
          </w:p>
          <w:p>
            <w:pPr>
              <w:ind w:left="0" w:leftChars="0" w:firstLine="0" w:firstLineChars="0"/>
              <w:rPr>
                <w:color w:val="auto"/>
                <w:highlight w:val="none"/>
                <w:vertAlign w:val="baseline"/>
              </w:rPr>
            </w:pPr>
          </w:p>
          <w:p>
            <w:pPr>
              <w:ind w:left="0" w:leftChars="0" w:firstLine="0" w:firstLineChars="0"/>
              <w:rPr>
                <w:color w:val="auto"/>
                <w:highlight w:val="none"/>
                <w:vertAlign w:val="baseline"/>
              </w:rPr>
            </w:pPr>
          </w:p>
          <w:p>
            <w:pPr>
              <w:ind w:left="0" w:leftChars="0" w:firstLine="0" w:firstLineChars="0"/>
              <w:rPr>
                <w:color w:val="auto"/>
                <w:highlight w:val="none"/>
                <w:vertAlign w:val="baseline"/>
              </w:rPr>
            </w:pPr>
          </w:p>
          <w:p>
            <w:pPr>
              <w:ind w:left="0" w:leftChars="0" w:firstLine="0" w:firstLineChars="0"/>
              <w:rPr>
                <w:color w:val="auto"/>
                <w:highlight w:val="none"/>
                <w:vertAlign w:val="baseline"/>
              </w:rPr>
            </w:pPr>
          </w:p>
          <w:p>
            <w:pPr>
              <w:ind w:left="0" w:leftChars="0" w:firstLine="0" w:firstLineChars="0"/>
              <w:rPr>
                <w:color w:val="auto"/>
                <w:highlight w:val="none"/>
                <w:vertAlign w:val="baseline"/>
              </w:rPr>
            </w:pPr>
          </w:p>
          <w:p>
            <w:pPr>
              <w:ind w:left="0" w:leftChars="0" w:firstLine="0" w:firstLineChars="0"/>
              <w:rPr>
                <w:color w:val="auto"/>
                <w:highlight w:val="none"/>
                <w:vertAlign w:val="baseline"/>
              </w:rPr>
            </w:pPr>
          </w:p>
          <w:p>
            <w:pPr>
              <w:ind w:left="0" w:leftChars="0" w:firstLine="0" w:firstLineChars="0"/>
              <w:rPr>
                <w:color w:val="auto"/>
                <w:highlight w:val="none"/>
                <w:vertAlign w:val="baseline"/>
              </w:rPr>
            </w:pPr>
          </w:p>
        </w:tc>
      </w:tr>
    </w:tbl>
    <w:p>
      <w:pPr>
        <w:rPr>
          <w:color w:val="auto"/>
          <w:highlight w:val="none"/>
        </w:rPr>
        <w:sectPr>
          <w:pgSz w:w="16838" w:h="11906" w:orient="landscape"/>
          <w:pgMar w:top="1417" w:right="1440" w:bottom="1247" w:left="144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25"/>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822"/>
        <w:gridCol w:w="863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846" w:type="dxa"/>
            <w:tcBorders>
              <w:tl2br w:val="nil"/>
              <w:tr2bl w:val="nil"/>
            </w:tcBorders>
          </w:tcPr>
          <w:p>
            <w:pPr>
              <w:rPr>
                <w:color w:val="auto"/>
                <w:highlight w:val="none"/>
                <w:vertAlign w:val="baseline"/>
              </w:rPr>
            </w:pPr>
          </w:p>
        </w:tc>
        <w:tc>
          <w:tcPr>
            <w:tcW w:w="8612" w:type="dxa"/>
            <w:tcBorders>
              <w:tl2br w:val="nil"/>
              <w:tr2bl w:val="nil"/>
            </w:tcBorders>
          </w:tcPr>
          <w:p>
            <w:pPr>
              <w:numPr>
                <w:ilvl w:val="0"/>
                <w:numId w:val="31"/>
              </w:numPr>
              <w:autoSpaceDE w:val="0"/>
              <w:autoSpaceDN w:val="0"/>
              <w:adjustRightInd w:val="0"/>
              <w:spacing w:line="480" w:lineRule="exact"/>
              <w:rPr>
                <w:rFonts w:hint="eastAsia"/>
                <w:color w:val="auto"/>
                <w:sz w:val="24"/>
                <w:highlight w:val="none"/>
                <w:lang w:val="zh-CN"/>
              </w:rPr>
            </w:pPr>
            <w:r>
              <w:rPr>
                <w:rFonts w:hint="eastAsia"/>
                <w:color w:val="auto"/>
                <w:sz w:val="24"/>
                <w:highlight w:val="none"/>
                <w:lang w:val="zh-CN"/>
              </w:rPr>
              <w:t>噪声预测</w:t>
            </w:r>
          </w:p>
          <w:p>
            <w:pPr>
              <w:keepNext w:val="0"/>
              <w:keepLines w:val="0"/>
              <w:pageBreakBefore w:val="0"/>
              <w:widowControl w:val="0"/>
              <w:kinsoku/>
              <w:wordWrap/>
              <w:overflowPunct/>
              <w:topLinePunct w:val="0"/>
              <w:autoSpaceDE w:val="0"/>
              <w:autoSpaceDN w:val="0"/>
              <w:bidi w:val="0"/>
              <w:adjustRightInd w:val="0"/>
              <w:snapToGrid/>
              <w:spacing w:line="480" w:lineRule="exact"/>
              <w:ind w:firstLine="480" w:firstLineChars="200"/>
              <w:jc w:val="left"/>
              <w:textAlignment w:val="auto"/>
              <w:outlineLvl w:val="9"/>
              <w:rPr>
                <w:color w:val="auto"/>
                <w:sz w:val="24"/>
                <w:highlight w:val="none"/>
              </w:rPr>
            </w:pPr>
            <w:r>
              <w:rPr>
                <w:rFonts w:cs="宋体"/>
                <w:color w:val="auto"/>
                <w:sz w:val="24"/>
                <w:highlight w:val="none"/>
              </w:rPr>
              <w:t>预测模</w:t>
            </w:r>
            <w:r>
              <w:rPr>
                <w:rFonts w:hint="eastAsia" w:cs="宋体"/>
                <w:color w:val="auto"/>
                <w:sz w:val="24"/>
                <w:highlight w:val="none"/>
                <w:lang w:val="en-US" w:eastAsia="zh-CN"/>
              </w:rPr>
              <w:t>型</w:t>
            </w:r>
            <w:r>
              <w:rPr>
                <w:rFonts w:cs="宋体"/>
                <w:color w:val="auto"/>
                <w:sz w:val="24"/>
                <w:highlight w:val="none"/>
              </w:rPr>
              <w:t>采用《环境影响评价技术导则</w:t>
            </w:r>
            <w:r>
              <w:rPr>
                <w:rFonts w:hint="eastAsia" w:cs="宋体"/>
                <w:color w:val="auto"/>
                <w:sz w:val="24"/>
                <w:highlight w:val="none"/>
                <w:lang w:val="en-US" w:eastAsia="zh-CN"/>
              </w:rPr>
              <w:t xml:space="preserve"> 声环境</w:t>
            </w:r>
            <w:r>
              <w:rPr>
                <w:rFonts w:cs="宋体"/>
                <w:color w:val="auto"/>
                <w:sz w:val="24"/>
                <w:highlight w:val="none"/>
              </w:rPr>
              <w:t>》（</w:t>
            </w:r>
            <w:r>
              <w:rPr>
                <w:color w:val="auto"/>
                <w:sz w:val="24"/>
                <w:highlight w:val="none"/>
              </w:rPr>
              <w:t>HJ2.4-</w:t>
            </w:r>
            <w:r>
              <w:rPr>
                <w:rFonts w:hint="eastAsia"/>
                <w:color w:val="auto"/>
                <w:sz w:val="24"/>
                <w:highlight w:val="none"/>
                <w:lang w:val="en-US" w:eastAsia="zh-CN"/>
              </w:rPr>
              <w:t>2021</w:t>
            </w:r>
            <w:r>
              <w:rPr>
                <w:rFonts w:cs="宋体"/>
                <w:color w:val="auto"/>
                <w:sz w:val="24"/>
                <w:highlight w:val="none"/>
              </w:rPr>
              <w:t>）中</w:t>
            </w:r>
            <w:r>
              <w:rPr>
                <w:rFonts w:hint="eastAsia" w:cs="宋体"/>
                <w:color w:val="auto"/>
                <w:sz w:val="24"/>
                <w:highlight w:val="none"/>
                <w:lang w:val="en-US" w:eastAsia="zh-CN"/>
              </w:rPr>
              <w:t>附录A和附录B</w:t>
            </w:r>
            <w:r>
              <w:rPr>
                <w:rFonts w:cs="宋体"/>
                <w:color w:val="auto"/>
                <w:sz w:val="24"/>
                <w:highlight w:val="none"/>
              </w:rPr>
              <w:t>推荐的工业噪声预测模</w:t>
            </w:r>
            <w:r>
              <w:rPr>
                <w:rFonts w:hint="eastAsia" w:cs="宋体"/>
                <w:color w:val="auto"/>
                <w:sz w:val="24"/>
                <w:highlight w:val="none"/>
                <w:lang w:val="en-US" w:eastAsia="zh-CN"/>
              </w:rPr>
              <w:t>型</w:t>
            </w:r>
            <w:r>
              <w:rPr>
                <w:rFonts w:cs="宋体"/>
                <w:color w:val="auto"/>
                <w:sz w:val="24"/>
                <w:highlight w:val="none"/>
              </w:rPr>
              <w:t>。预测计算只考虑工程各声源所在厂房围护结构的屏蔽效应和声源至受声点的几何发散衰减，不考虑空气吸收及影响较小的附加衰减。</w:t>
            </w:r>
          </w:p>
          <w:p>
            <w:pPr>
              <w:spacing w:line="480" w:lineRule="exact"/>
              <w:ind w:firstLine="425"/>
              <w:rPr>
                <w:color w:val="auto"/>
                <w:sz w:val="24"/>
                <w:highlight w:val="none"/>
              </w:rPr>
            </w:pPr>
            <w:r>
              <w:rPr>
                <w:rFonts w:cs="宋体"/>
                <w:color w:val="auto"/>
                <w:sz w:val="24"/>
                <w:highlight w:val="none"/>
              </w:rPr>
              <w:t>采用预测模式如下：</w:t>
            </w:r>
          </w:p>
          <w:p>
            <w:pPr>
              <w:spacing w:line="480" w:lineRule="exact"/>
              <w:ind w:firstLine="425"/>
              <w:rPr>
                <w:color w:val="auto"/>
                <w:sz w:val="24"/>
                <w:highlight w:val="none"/>
              </w:rPr>
            </w:pPr>
            <w:r>
              <w:rPr>
                <w:snapToGrid w:val="0"/>
                <w:color w:val="auto"/>
                <w:sz w:val="24"/>
                <w:highlight w:val="none"/>
              </w:rPr>
              <w:fldChar w:fldCharType="begin"/>
            </w:r>
            <w:r>
              <w:rPr>
                <w:snapToGrid w:val="0"/>
                <w:color w:val="auto"/>
                <w:sz w:val="24"/>
                <w:highlight w:val="none"/>
              </w:rPr>
              <w:instrText xml:space="preserve"> = 1 \* GB3 </w:instrText>
            </w:r>
            <w:r>
              <w:rPr>
                <w:snapToGrid w:val="0"/>
                <w:color w:val="auto"/>
                <w:sz w:val="24"/>
                <w:highlight w:val="none"/>
              </w:rPr>
              <w:fldChar w:fldCharType="separate"/>
            </w:r>
            <w:r>
              <w:rPr>
                <w:rFonts w:hint="eastAsia"/>
                <w:snapToGrid w:val="0"/>
                <w:color w:val="auto"/>
                <w:sz w:val="24"/>
                <w:highlight w:val="none"/>
              </w:rPr>
              <w:t>①</w:t>
            </w:r>
            <w:r>
              <w:rPr>
                <w:snapToGrid w:val="0"/>
                <w:color w:val="auto"/>
                <w:sz w:val="24"/>
                <w:highlight w:val="none"/>
              </w:rPr>
              <w:fldChar w:fldCharType="end"/>
            </w:r>
            <w:r>
              <w:rPr>
                <w:rFonts w:cs="宋体"/>
                <w:color w:val="auto"/>
                <w:sz w:val="24"/>
                <w:highlight w:val="none"/>
              </w:rPr>
              <w:t>室内声源等效室外声源声功率级计算</w:t>
            </w:r>
          </w:p>
          <w:p>
            <w:pPr>
              <w:spacing w:line="480" w:lineRule="exact"/>
              <w:ind w:firstLine="3480" w:firstLineChars="1450"/>
              <w:rPr>
                <w:color w:val="auto"/>
                <w:sz w:val="24"/>
                <w:highlight w:val="none"/>
              </w:rPr>
            </w:pPr>
            <w:r>
              <w:rPr>
                <w:color w:val="auto"/>
                <w:sz w:val="24"/>
                <w:highlight w:val="none"/>
              </w:rPr>
              <w:t>L</w:t>
            </w:r>
            <w:r>
              <w:rPr>
                <w:color w:val="auto"/>
                <w:sz w:val="24"/>
                <w:highlight w:val="none"/>
                <w:vertAlign w:val="subscript"/>
              </w:rPr>
              <w:t>P2</w:t>
            </w:r>
            <w:r>
              <w:rPr>
                <w:color w:val="auto"/>
                <w:sz w:val="24"/>
                <w:highlight w:val="none"/>
              </w:rPr>
              <w:t>=L</w:t>
            </w:r>
            <w:r>
              <w:rPr>
                <w:color w:val="auto"/>
                <w:sz w:val="24"/>
                <w:highlight w:val="none"/>
                <w:vertAlign w:val="subscript"/>
              </w:rPr>
              <w:t>P1</w:t>
            </w:r>
            <w:r>
              <w:rPr>
                <w:rFonts w:hint="eastAsia" w:cs="宋体"/>
                <w:color w:val="auto"/>
                <w:sz w:val="24"/>
                <w:highlight w:val="none"/>
                <w:lang w:val="en-US" w:eastAsia="zh-CN"/>
              </w:rPr>
              <w:t>-</w:t>
            </w:r>
            <w:r>
              <w:rPr>
                <w:rFonts w:hint="eastAsia"/>
                <w:color w:val="auto"/>
                <w:sz w:val="24"/>
                <w:highlight w:val="none"/>
              </w:rPr>
              <w:t>（</w:t>
            </w:r>
            <w:r>
              <w:rPr>
                <w:color w:val="auto"/>
                <w:sz w:val="24"/>
                <w:highlight w:val="none"/>
              </w:rPr>
              <w:t>TL+6</w:t>
            </w:r>
            <w:r>
              <w:rPr>
                <w:rFonts w:hint="eastAsia"/>
                <w:color w:val="auto"/>
                <w:sz w:val="24"/>
                <w:highlight w:val="none"/>
              </w:rPr>
              <w:t>）</w:t>
            </w:r>
          </w:p>
          <w:p>
            <w:pPr>
              <w:spacing w:line="480" w:lineRule="exact"/>
              <w:ind w:firstLine="480" w:firstLineChars="200"/>
              <w:rPr>
                <w:color w:val="auto"/>
                <w:sz w:val="24"/>
                <w:highlight w:val="none"/>
              </w:rPr>
            </w:pPr>
            <w:r>
              <w:rPr>
                <w:rFonts w:cs="宋体"/>
                <w:color w:val="auto"/>
                <w:sz w:val="24"/>
                <w:highlight w:val="none"/>
              </w:rPr>
              <w:t>式中：</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color w:val="auto"/>
                <w:sz w:val="24"/>
                <w:highlight w:val="none"/>
              </w:rPr>
            </w:pPr>
            <w:r>
              <w:rPr>
                <w:color w:val="auto"/>
                <w:sz w:val="24"/>
                <w:highlight w:val="none"/>
              </w:rPr>
              <w:t>L</w:t>
            </w:r>
            <w:r>
              <w:rPr>
                <w:color w:val="auto"/>
                <w:sz w:val="24"/>
                <w:highlight w:val="none"/>
                <w:vertAlign w:val="subscript"/>
              </w:rPr>
              <w:t>P1</w:t>
            </w:r>
            <w:r>
              <w:rPr>
                <w:color w:val="auto"/>
                <w:sz w:val="24"/>
                <w:highlight w:val="none"/>
              </w:rPr>
              <w:t>—</w:t>
            </w:r>
            <w:r>
              <w:rPr>
                <w:rFonts w:cs="宋体"/>
                <w:color w:val="auto"/>
                <w:sz w:val="24"/>
                <w:highlight w:val="none"/>
              </w:rPr>
              <w:t>靠近开口处（或窗户）室内某倍频带</w:t>
            </w:r>
            <w:r>
              <w:rPr>
                <w:rFonts w:hint="eastAsia" w:cs="宋体"/>
                <w:color w:val="auto"/>
                <w:sz w:val="24"/>
                <w:highlight w:val="none"/>
                <w:lang w:val="en-US" w:eastAsia="zh-CN"/>
              </w:rPr>
              <w:t>的</w:t>
            </w:r>
            <w:r>
              <w:rPr>
                <w:rFonts w:cs="宋体"/>
                <w:color w:val="auto"/>
                <w:sz w:val="24"/>
                <w:highlight w:val="none"/>
              </w:rPr>
              <w:t>声压级</w:t>
            </w:r>
            <w:r>
              <w:rPr>
                <w:rFonts w:hint="eastAsia" w:cs="宋体"/>
                <w:color w:val="auto"/>
                <w:sz w:val="24"/>
                <w:highlight w:val="none"/>
                <w:lang w:val="en-US" w:eastAsia="zh-CN"/>
              </w:rPr>
              <w:t>或A声级</w:t>
            </w:r>
            <w:r>
              <w:rPr>
                <w:rFonts w:cs="宋体"/>
                <w:color w:val="auto"/>
                <w:sz w:val="24"/>
                <w:highlight w:val="none"/>
              </w:rPr>
              <w:t>，</w:t>
            </w:r>
            <w:r>
              <w:rPr>
                <w:color w:val="auto"/>
                <w:sz w:val="24"/>
                <w:highlight w:val="none"/>
              </w:rPr>
              <w:t>dB</w:t>
            </w:r>
            <w:r>
              <w:rPr>
                <w:rFonts w:cs="宋体"/>
                <w:color w:val="auto"/>
                <w:sz w:val="24"/>
                <w:highlight w:val="none"/>
              </w:rPr>
              <w:t>；</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color w:val="auto"/>
                <w:sz w:val="24"/>
                <w:highlight w:val="none"/>
              </w:rPr>
            </w:pPr>
            <w:r>
              <w:rPr>
                <w:color w:val="auto"/>
                <w:sz w:val="24"/>
                <w:highlight w:val="none"/>
              </w:rPr>
              <w:t>L</w:t>
            </w:r>
            <w:r>
              <w:rPr>
                <w:color w:val="auto"/>
                <w:sz w:val="24"/>
                <w:highlight w:val="none"/>
                <w:vertAlign w:val="subscript"/>
              </w:rPr>
              <w:t>P2</w:t>
            </w:r>
            <w:r>
              <w:rPr>
                <w:color w:val="auto"/>
                <w:sz w:val="24"/>
                <w:highlight w:val="none"/>
              </w:rPr>
              <w:t>—</w:t>
            </w:r>
            <w:r>
              <w:rPr>
                <w:rFonts w:cs="宋体"/>
                <w:color w:val="auto"/>
                <w:sz w:val="24"/>
                <w:highlight w:val="none"/>
              </w:rPr>
              <w:t>靠近开口处（或窗户）室外某倍频带</w:t>
            </w:r>
            <w:r>
              <w:rPr>
                <w:rFonts w:hint="eastAsia" w:cs="宋体"/>
                <w:color w:val="auto"/>
                <w:sz w:val="24"/>
                <w:highlight w:val="none"/>
                <w:lang w:val="en-US" w:eastAsia="zh-CN"/>
              </w:rPr>
              <w:t>的</w:t>
            </w:r>
            <w:r>
              <w:rPr>
                <w:rFonts w:cs="宋体"/>
                <w:color w:val="auto"/>
                <w:sz w:val="24"/>
                <w:highlight w:val="none"/>
              </w:rPr>
              <w:t>声压级</w:t>
            </w:r>
            <w:r>
              <w:rPr>
                <w:rFonts w:hint="eastAsia" w:cs="宋体"/>
                <w:color w:val="auto"/>
                <w:sz w:val="24"/>
                <w:highlight w:val="none"/>
                <w:lang w:val="en-US" w:eastAsia="zh-CN"/>
              </w:rPr>
              <w:t>或A声级</w:t>
            </w:r>
            <w:r>
              <w:rPr>
                <w:rFonts w:cs="宋体"/>
                <w:color w:val="auto"/>
                <w:sz w:val="24"/>
                <w:highlight w:val="none"/>
              </w:rPr>
              <w:t>，</w:t>
            </w:r>
            <w:r>
              <w:rPr>
                <w:color w:val="auto"/>
                <w:sz w:val="24"/>
                <w:highlight w:val="none"/>
              </w:rPr>
              <w:t>dB</w:t>
            </w:r>
            <w:r>
              <w:rPr>
                <w:rFonts w:cs="宋体"/>
                <w:color w:val="auto"/>
                <w:sz w:val="24"/>
                <w:highlight w:val="none"/>
              </w:rPr>
              <w:t>；</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color w:val="auto"/>
                <w:sz w:val="24"/>
                <w:highlight w:val="none"/>
              </w:rPr>
            </w:pPr>
            <w:r>
              <w:rPr>
                <w:color w:val="auto"/>
                <w:sz w:val="24"/>
                <w:highlight w:val="none"/>
              </w:rPr>
              <w:t>TL—</w:t>
            </w:r>
            <w:r>
              <w:rPr>
                <w:rFonts w:cs="宋体"/>
                <w:color w:val="auto"/>
                <w:sz w:val="24"/>
                <w:highlight w:val="none"/>
              </w:rPr>
              <w:t>隔墙（或窗户）倍频带</w:t>
            </w:r>
            <w:r>
              <w:rPr>
                <w:rFonts w:hint="eastAsia" w:cs="宋体"/>
                <w:color w:val="auto"/>
                <w:sz w:val="24"/>
                <w:highlight w:val="none"/>
                <w:lang w:val="en-US" w:eastAsia="zh-CN"/>
              </w:rPr>
              <w:t>或A声级</w:t>
            </w:r>
            <w:r>
              <w:rPr>
                <w:rFonts w:cs="宋体"/>
                <w:color w:val="auto"/>
                <w:sz w:val="24"/>
                <w:highlight w:val="none"/>
              </w:rPr>
              <w:t>的隔声量，</w:t>
            </w:r>
            <w:r>
              <w:rPr>
                <w:color w:val="auto"/>
                <w:sz w:val="24"/>
                <w:highlight w:val="none"/>
              </w:rPr>
              <w:t>dB</w:t>
            </w:r>
            <w:r>
              <w:rPr>
                <w:rFonts w:cs="宋体"/>
                <w:color w:val="auto"/>
                <w:sz w:val="24"/>
                <w:highlight w:val="none"/>
              </w:rPr>
              <w:t>。</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宋体" w:cs="宋体"/>
                <w:color w:val="auto"/>
                <w:sz w:val="24"/>
                <w:highlight w:val="none"/>
                <w:lang w:eastAsia="zh-CN"/>
              </w:rPr>
            </w:pPr>
            <w:r>
              <w:rPr>
                <w:rFonts w:hint="eastAsia" w:eastAsia="宋体" w:cs="宋体"/>
                <w:color w:val="auto"/>
                <w:position w:val="-24"/>
                <w:sz w:val="24"/>
                <w:highlight w:val="none"/>
                <w:lang w:eastAsia="zh-CN"/>
              </w:rPr>
              <w:object>
                <v:shape id="_x0000_i1025" o:spt="75" type="#_x0000_t75" style="height:31pt;width:168.05pt;" o:ole="t" filled="f" o:preferrelative="t" stroked="f" coordsize="21600,21600">
                  <v:path/>
                  <v:fill on="f" focussize="0,0"/>
                  <v:stroke on="f"/>
                  <v:imagedata r:id="rId18" o:title=""/>
                  <o:lock v:ext="edit" aspectratio="t"/>
                  <w10:wrap type="none"/>
                  <w10:anchorlock/>
                </v:shape>
                <o:OLEObject Type="Embed" ProgID="Equation.KSEE3" ShapeID="_x0000_i1025" DrawAspect="Content" ObjectID="_1468075725" r:id="rId17">
                  <o:LockedField>false</o:LockedField>
                </o:OLEObject>
              </w:objec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color w:val="auto"/>
                <w:sz w:val="24"/>
                <w:highlight w:val="none"/>
              </w:rPr>
            </w:pPr>
            <w:r>
              <w:rPr>
                <w:rFonts w:cs="宋体"/>
                <w:color w:val="auto"/>
                <w:sz w:val="24"/>
                <w:highlight w:val="none"/>
              </w:rPr>
              <w:t>式中：</w:t>
            </w:r>
          </w:p>
          <w:p>
            <w:pPr>
              <w:keepNext w:val="0"/>
              <w:keepLines w:val="0"/>
              <w:pageBreakBefore w:val="0"/>
              <w:widowControl w:val="0"/>
              <w:kinsoku/>
              <w:wordWrap/>
              <w:overflowPunct/>
              <w:topLinePunct w:val="0"/>
              <w:autoSpaceDE/>
              <w:autoSpaceDN/>
              <w:bidi w:val="0"/>
              <w:adjustRightInd/>
              <w:snapToGrid/>
              <w:spacing w:line="480" w:lineRule="atLeast"/>
              <w:ind w:firstLine="480" w:firstLineChars="200"/>
              <w:textAlignment w:val="auto"/>
              <w:rPr>
                <w:color w:val="auto"/>
                <w:sz w:val="24"/>
                <w:highlight w:val="none"/>
              </w:rPr>
            </w:pPr>
            <w:r>
              <w:rPr>
                <w:color w:val="auto"/>
                <w:sz w:val="24"/>
                <w:highlight w:val="none"/>
              </w:rPr>
              <w:t>Q—</w:t>
            </w:r>
            <w:r>
              <w:rPr>
                <w:rFonts w:cs="宋体"/>
                <w:color w:val="auto"/>
                <w:sz w:val="24"/>
                <w:highlight w:val="none"/>
              </w:rPr>
              <w:t>指向因数；通常对无指向性声源，当声源放在房间中心时，</w:t>
            </w:r>
            <w:r>
              <w:rPr>
                <w:color w:val="auto"/>
                <w:sz w:val="24"/>
                <w:highlight w:val="none"/>
              </w:rPr>
              <w:t>Q=1</w:t>
            </w:r>
            <w:r>
              <w:rPr>
                <w:rFonts w:cs="宋体"/>
                <w:color w:val="auto"/>
                <w:sz w:val="24"/>
                <w:highlight w:val="none"/>
              </w:rPr>
              <w:t>；当放在一面墙的中心时，</w:t>
            </w:r>
            <w:r>
              <w:rPr>
                <w:color w:val="auto"/>
                <w:sz w:val="24"/>
                <w:highlight w:val="none"/>
              </w:rPr>
              <w:t>Q=2</w:t>
            </w:r>
            <w:r>
              <w:rPr>
                <w:rFonts w:cs="宋体"/>
                <w:color w:val="auto"/>
                <w:sz w:val="24"/>
                <w:highlight w:val="none"/>
              </w:rPr>
              <w:t>；当放在两面墙夹角处时，</w:t>
            </w:r>
            <w:r>
              <w:rPr>
                <w:color w:val="auto"/>
                <w:sz w:val="24"/>
                <w:highlight w:val="none"/>
              </w:rPr>
              <w:t>Q=4</w:t>
            </w:r>
            <w:r>
              <w:rPr>
                <w:rFonts w:cs="宋体"/>
                <w:color w:val="auto"/>
                <w:sz w:val="24"/>
                <w:highlight w:val="none"/>
              </w:rPr>
              <w:t>；当放在三面墙夹角处时，</w:t>
            </w:r>
            <w:r>
              <w:rPr>
                <w:color w:val="auto"/>
                <w:sz w:val="24"/>
                <w:highlight w:val="none"/>
              </w:rPr>
              <w:t>Q=8</w:t>
            </w:r>
            <w:r>
              <w:rPr>
                <w:rFonts w:cs="宋体"/>
                <w:color w:val="auto"/>
                <w:sz w:val="24"/>
                <w:highlight w:val="none"/>
              </w:rPr>
              <w:t>。</w:t>
            </w:r>
          </w:p>
          <w:p>
            <w:pPr>
              <w:keepNext w:val="0"/>
              <w:keepLines w:val="0"/>
              <w:pageBreakBefore w:val="0"/>
              <w:widowControl w:val="0"/>
              <w:kinsoku/>
              <w:wordWrap/>
              <w:overflowPunct/>
              <w:topLinePunct w:val="0"/>
              <w:autoSpaceDE/>
              <w:autoSpaceDN/>
              <w:bidi w:val="0"/>
              <w:adjustRightInd/>
              <w:snapToGrid/>
              <w:spacing w:line="480" w:lineRule="atLeast"/>
              <w:ind w:firstLine="480" w:firstLineChars="200"/>
              <w:textAlignment w:val="auto"/>
              <w:rPr>
                <w:rFonts w:hint="default" w:eastAsia="宋体"/>
                <w:color w:val="auto"/>
                <w:sz w:val="24"/>
                <w:highlight w:val="none"/>
                <w:vertAlign w:val="baseline"/>
                <w:lang w:val="en-US" w:eastAsia="zh-CN"/>
              </w:rPr>
            </w:pPr>
            <w:r>
              <w:rPr>
                <w:rFonts w:hint="eastAsia"/>
                <w:color w:val="auto"/>
                <w:sz w:val="24"/>
                <w:highlight w:val="none"/>
                <w:lang w:val="en-US" w:eastAsia="zh-CN"/>
              </w:rPr>
              <w:t>L</w:t>
            </w:r>
            <w:r>
              <w:rPr>
                <w:rFonts w:hint="eastAsia"/>
                <w:color w:val="auto"/>
                <w:sz w:val="24"/>
                <w:highlight w:val="none"/>
                <w:vertAlign w:val="subscript"/>
                <w:lang w:val="en-US" w:eastAsia="zh-CN"/>
              </w:rPr>
              <w:t>w</w:t>
            </w:r>
            <w:r>
              <w:rPr>
                <w:color w:val="auto"/>
                <w:sz w:val="24"/>
                <w:highlight w:val="none"/>
              </w:rPr>
              <w:t>—</w:t>
            </w:r>
            <w:r>
              <w:rPr>
                <w:rFonts w:hint="eastAsia"/>
                <w:color w:val="auto"/>
                <w:sz w:val="24"/>
                <w:highlight w:val="none"/>
                <w:lang w:val="en-US" w:eastAsia="zh-CN"/>
              </w:rPr>
              <w:t>点声源声功率级（A计权或倍频带），dB；</w:t>
            </w:r>
          </w:p>
          <w:p>
            <w:pPr>
              <w:keepNext w:val="0"/>
              <w:keepLines w:val="0"/>
              <w:pageBreakBefore w:val="0"/>
              <w:widowControl w:val="0"/>
              <w:kinsoku/>
              <w:wordWrap/>
              <w:overflowPunct/>
              <w:topLinePunct w:val="0"/>
              <w:autoSpaceDE/>
              <w:autoSpaceDN/>
              <w:bidi w:val="0"/>
              <w:adjustRightInd/>
              <w:snapToGrid/>
              <w:spacing w:line="480" w:lineRule="atLeast"/>
              <w:ind w:firstLine="480" w:firstLineChars="200"/>
              <w:textAlignment w:val="auto"/>
              <w:rPr>
                <w:color w:val="auto"/>
                <w:sz w:val="24"/>
                <w:highlight w:val="none"/>
              </w:rPr>
            </w:pPr>
            <w:r>
              <w:rPr>
                <w:color w:val="auto"/>
                <w:sz w:val="24"/>
                <w:highlight w:val="none"/>
              </w:rPr>
              <w:t>R—</w:t>
            </w:r>
            <w:r>
              <w:rPr>
                <w:rFonts w:cs="宋体"/>
                <w:color w:val="auto"/>
                <w:sz w:val="24"/>
                <w:highlight w:val="none"/>
              </w:rPr>
              <w:t>房间常数，</w:t>
            </w:r>
            <w:r>
              <w:rPr>
                <w:color w:val="auto"/>
                <w:sz w:val="24"/>
                <w:highlight w:val="none"/>
              </w:rPr>
              <w:t>R=Sα</w:t>
            </w:r>
            <w:r>
              <w:rPr>
                <w:rFonts w:hint="eastAsia"/>
                <w:color w:val="auto"/>
                <w:sz w:val="24"/>
                <w:highlight w:val="none"/>
                <w:lang w:val="en-US" w:eastAsia="zh-CN"/>
              </w:rPr>
              <w:t>/</w:t>
            </w:r>
            <w:r>
              <w:rPr>
                <w:rFonts w:cs="宋体"/>
                <w:color w:val="auto"/>
                <w:sz w:val="24"/>
                <w:highlight w:val="none"/>
              </w:rPr>
              <w:t>（</w:t>
            </w:r>
            <w:r>
              <w:rPr>
                <w:color w:val="auto"/>
                <w:sz w:val="24"/>
                <w:highlight w:val="none"/>
              </w:rPr>
              <w:t>1</w:t>
            </w:r>
            <w:r>
              <w:rPr>
                <w:rFonts w:hint="eastAsia" w:cs="宋体"/>
                <w:color w:val="auto"/>
                <w:sz w:val="24"/>
                <w:highlight w:val="none"/>
                <w:lang w:val="en-US" w:eastAsia="zh-CN"/>
              </w:rPr>
              <w:t>-</w:t>
            </w:r>
            <w:r>
              <w:rPr>
                <w:color w:val="auto"/>
                <w:sz w:val="24"/>
                <w:highlight w:val="none"/>
              </w:rPr>
              <w:t>α</w:t>
            </w:r>
            <w:r>
              <w:rPr>
                <w:rFonts w:cs="宋体"/>
                <w:color w:val="auto"/>
                <w:sz w:val="24"/>
                <w:highlight w:val="none"/>
              </w:rPr>
              <w:t>），</w:t>
            </w:r>
            <w:r>
              <w:rPr>
                <w:color w:val="auto"/>
                <w:sz w:val="24"/>
                <w:highlight w:val="none"/>
              </w:rPr>
              <w:t>S</w:t>
            </w:r>
            <w:r>
              <w:rPr>
                <w:rFonts w:cs="宋体"/>
                <w:color w:val="auto"/>
                <w:sz w:val="24"/>
                <w:highlight w:val="none"/>
              </w:rPr>
              <w:t>为房间内表面面积，</w:t>
            </w:r>
            <w:r>
              <w:rPr>
                <w:color w:val="auto"/>
                <w:sz w:val="24"/>
                <w:highlight w:val="none"/>
              </w:rPr>
              <w:t>m</w:t>
            </w:r>
            <w:r>
              <w:rPr>
                <w:color w:val="auto"/>
                <w:sz w:val="24"/>
                <w:highlight w:val="none"/>
                <w:vertAlign w:val="superscript"/>
              </w:rPr>
              <w:t>2</w:t>
            </w:r>
            <w:r>
              <w:rPr>
                <w:rFonts w:cs="宋体"/>
                <w:color w:val="auto"/>
                <w:sz w:val="24"/>
                <w:highlight w:val="none"/>
              </w:rPr>
              <w:t>；</w:t>
            </w:r>
            <w:r>
              <w:rPr>
                <w:color w:val="auto"/>
                <w:sz w:val="24"/>
                <w:highlight w:val="none"/>
              </w:rPr>
              <w:t>α</w:t>
            </w:r>
            <w:r>
              <w:rPr>
                <w:rFonts w:cs="宋体"/>
                <w:color w:val="auto"/>
                <w:sz w:val="24"/>
                <w:highlight w:val="none"/>
              </w:rPr>
              <w:t>为平均吸声系数。</w:t>
            </w:r>
          </w:p>
          <w:p>
            <w:pPr>
              <w:keepNext w:val="0"/>
              <w:keepLines w:val="0"/>
              <w:pageBreakBefore w:val="0"/>
              <w:widowControl w:val="0"/>
              <w:kinsoku/>
              <w:wordWrap/>
              <w:overflowPunct/>
              <w:topLinePunct w:val="0"/>
              <w:autoSpaceDE/>
              <w:autoSpaceDN/>
              <w:bidi w:val="0"/>
              <w:adjustRightInd/>
              <w:snapToGrid/>
              <w:spacing w:line="480" w:lineRule="atLeast"/>
              <w:ind w:firstLine="480" w:firstLineChars="200"/>
              <w:textAlignment w:val="auto"/>
              <w:rPr>
                <w:color w:val="auto"/>
                <w:sz w:val="24"/>
                <w:highlight w:val="none"/>
              </w:rPr>
            </w:pPr>
            <w:r>
              <w:rPr>
                <w:rFonts w:hint="eastAsia"/>
                <w:color w:val="auto"/>
                <w:sz w:val="24"/>
                <w:highlight w:val="none"/>
                <w:lang w:val="en-US" w:eastAsia="zh-CN"/>
              </w:rPr>
              <w:t>r</w:t>
            </w:r>
            <w:r>
              <w:rPr>
                <w:color w:val="auto"/>
                <w:sz w:val="24"/>
                <w:highlight w:val="none"/>
              </w:rPr>
              <w:t>—</w:t>
            </w:r>
            <w:r>
              <w:rPr>
                <w:rFonts w:cs="宋体"/>
                <w:color w:val="auto"/>
                <w:sz w:val="24"/>
                <w:highlight w:val="none"/>
              </w:rPr>
              <w:t>声源到靠近围护结构某点处的距离，</w:t>
            </w:r>
            <w:r>
              <w:rPr>
                <w:color w:val="auto"/>
                <w:sz w:val="24"/>
                <w:highlight w:val="none"/>
              </w:rPr>
              <w:t>m</w:t>
            </w:r>
            <w:r>
              <w:rPr>
                <w:rFonts w:cs="宋体"/>
                <w:color w:val="auto"/>
                <w:sz w:val="24"/>
                <w:highlight w:val="none"/>
              </w:rPr>
              <w:t>。</w:t>
            </w:r>
          </w:p>
          <w:p>
            <w:pPr>
              <w:pStyle w:val="33"/>
              <w:spacing w:before="0" w:after="0"/>
              <w:ind w:firstLineChars="200"/>
              <w:rPr>
                <w:color w:val="auto"/>
                <w:kern w:val="0"/>
                <w:highlight w:val="none"/>
              </w:rPr>
            </w:pPr>
            <w:r>
              <w:rPr>
                <w:rFonts w:cs="宋体"/>
                <w:color w:val="auto"/>
                <w:kern w:val="0"/>
                <w:highlight w:val="none"/>
              </w:rPr>
              <w:t>②声级计算</w:t>
            </w:r>
          </w:p>
          <w:p>
            <w:pPr>
              <w:pStyle w:val="33"/>
              <w:spacing w:before="0" w:after="0"/>
              <w:ind w:firstLineChars="200"/>
              <w:rPr>
                <w:color w:val="auto"/>
                <w:kern w:val="0"/>
                <w:highlight w:val="none"/>
              </w:rPr>
            </w:pPr>
            <w:r>
              <w:rPr>
                <w:rFonts w:cs="宋体"/>
                <w:color w:val="auto"/>
                <w:kern w:val="0"/>
                <w:highlight w:val="none"/>
              </w:rPr>
              <w:t>建设项目声源在预测点产生的等效声级贡献值</w:t>
            </w:r>
            <w:r>
              <w:rPr>
                <w:rFonts w:hint="eastAsia"/>
                <w:color w:val="auto"/>
                <w:kern w:val="0"/>
                <w:highlight w:val="none"/>
              </w:rPr>
              <w:t>（</w:t>
            </w:r>
            <w:r>
              <w:rPr>
                <w:color w:val="auto"/>
                <w:kern w:val="0"/>
                <w:highlight w:val="none"/>
              </w:rPr>
              <w:t>L</w:t>
            </w:r>
            <w:r>
              <w:rPr>
                <w:i/>
                <w:iCs/>
                <w:color w:val="auto"/>
                <w:kern w:val="0"/>
                <w:highlight w:val="none"/>
              </w:rPr>
              <w:t>eqg</w:t>
            </w:r>
            <w:r>
              <w:rPr>
                <w:rFonts w:hint="eastAsia"/>
                <w:color w:val="auto"/>
                <w:kern w:val="0"/>
                <w:highlight w:val="none"/>
              </w:rPr>
              <w:t>）</w:t>
            </w:r>
            <w:r>
              <w:rPr>
                <w:rFonts w:cs="宋体"/>
                <w:color w:val="auto"/>
                <w:kern w:val="0"/>
                <w:highlight w:val="none"/>
              </w:rPr>
              <w:t>计算公式：</w:t>
            </w:r>
          </w:p>
          <w:p>
            <w:pPr>
              <w:pStyle w:val="33"/>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rFonts w:cs="宋体"/>
                <w:color w:val="auto"/>
                <w:kern w:val="0"/>
                <w:highlight w:val="none"/>
              </w:rPr>
            </w:pPr>
            <w:r>
              <w:rPr>
                <w:color w:val="auto"/>
                <w:kern w:val="0"/>
                <w:position w:val="-36"/>
                <w:highlight w:val="none"/>
              </w:rPr>
              <w:object>
                <v:shape id="_x0000_i1026" o:spt="75" type="#_x0000_t75" style="height:42.2pt;width:205.35pt;" o:ole="t" filled="f" o:preferrelative="f" stroked="f" coordsize="21600,21600">
                  <v:path/>
                  <v:fill on="f" focussize="0,0"/>
                  <v:stroke on="f"/>
                  <v:imagedata r:id="rId20" o:title=""/>
                  <o:lock v:ext="edit" rotation="t" aspectratio="f"/>
                  <w10:wrap type="none"/>
                  <w10:anchorlock/>
                </v:shape>
                <o:OLEObject Type="Embed" ProgID="Equation.3" ShapeID="_x0000_i1026" DrawAspect="Content" ObjectID="_1468075726" r:id="rId19">
                  <o:LockedField>false</o:LockedField>
                </o:OLEObject>
              </w:object>
            </w:r>
          </w:p>
          <w:p>
            <w:pPr>
              <w:pStyle w:val="33"/>
              <w:spacing w:before="0" w:after="0" w:line="480" w:lineRule="exact"/>
              <w:ind w:firstLineChars="200"/>
              <w:rPr>
                <w:color w:val="auto"/>
                <w:kern w:val="0"/>
                <w:highlight w:val="none"/>
              </w:rPr>
            </w:pPr>
            <w:r>
              <w:rPr>
                <w:rFonts w:cs="宋体"/>
                <w:color w:val="auto"/>
                <w:kern w:val="0"/>
                <w:highlight w:val="none"/>
              </w:rPr>
              <w:t>式中：</w:t>
            </w:r>
          </w:p>
          <w:p>
            <w:pPr>
              <w:pStyle w:val="33"/>
              <w:spacing w:before="0" w:after="0" w:line="480" w:lineRule="exact"/>
              <w:ind w:firstLine="425"/>
              <w:rPr>
                <w:color w:val="auto"/>
                <w:kern w:val="0"/>
                <w:highlight w:val="none"/>
              </w:rPr>
            </w:pPr>
            <w:r>
              <w:rPr>
                <w:i/>
                <w:iCs/>
                <w:color w:val="auto"/>
                <w:kern w:val="0"/>
                <w:highlight w:val="none"/>
              </w:rPr>
              <w:t>L</w:t>
            </w:r>
            <w:r>
              <w:rPr>
                <w:i/>
                <w:iCs/>
                <w:color w:val="auto"/>
                <w:kern w:val="0"/>
                <w:highlight w:val="none"/>
                <w:vertAlign w:val="subscript"/>
              </w:rPr>
              <w:t>eqg</w:t>
            </w:r>
            <w:r>
              <w:rPr>
                <w:color w:val="auto"/>
                <w:kern w:val="0"/>
                <w:highlight w:val="none"/>
              </w:rPr>
              <w:t>—</w:t>
            </w:r>
            <w:r>
              <w:rPr>
                <w:rFonts w:cs="宋体"/>
                <w:color w:val="auto"/>
                <w:kern w:val="0"/>
                <w:highlight w:val="none"/>
              </w:rPr>
              <w:t>建设项目声源在预测点</w:t>
            </w:r>
            <w:r>
              <w:rPr>
                <w:rFonts w:hint="eastAsia" w:cs="宋体"/>
                <w:color w:val="auto"/>
                <w:kern w:val="0"/>
                <w:highlight w:val="none"/>
                <w:lang w:val="en-US" w:eastAsia="zh-CN"/>
              </w:rPr>
              <w:t>产生的噪声</w:t>
            </w:r>
            <w:r>
              <w:rPr>
                <w:rFonts w:cs="宋体"/>
                <w:color w:val="auto"/>
                <w:kern w:val="0"/>
                <w:highlight w:val="none"/>
              </w:rPr>
              <w:t>贡献值，</w:t>
            </w:r>
            <w:r>
              <w:rPr>
                <w:color w:val="auto"/>
                <w:kern w:val="0"/>
                <w:highlight w:val="none"/>
              </w:rPr>
              <w:t>dB</w:t>
            </w:r>
            <w:r>
              <w:rPr>
                <w:rFonts w:cs="宋体"/>
                <w:color w:val="auto"/>
                <w:kern w:val="0"/>
                <w:highlight w:val="none"/>
              </w:rPr>
              <w:t>；</w:t>
            </w:r>
          </w:p>
          <w:p>
            <w:pPr>
              <w:pStyle w:val="33"/>
              <w:spacing w:before="0" w:after="0" w:line="480" w:lineRule="exact"/>
              <w:ind w:firstLine="425"/>
              <w:rPr>
                <w:rFonts w:hint="eastAsia"/>
                <w:color w:val="auto"/>
                <w:kern w:val="0"/>
                <w:highlight w:val="none"/>
                <w:lang w:val="en-US" w:eastAsia="zh-CN"/>
              </w:rPr>
            </w:pPr>
            <w:r>
              <w:rPr>
                <w:rFonts w:hint="eastAsia"/>
                <w:i/>
                <w:iCs/>
                <w:color w:val="auto"/>
                <w:kern w:val="0"/>
                <w:highlight w:val="none"/>
                <w:lang w:val="en-US" w:eastAsia="zh-CN"/>
              </w:rPr>
              <w:t>T</w:t>
            </w:r>
            <w:r>
              <w:rPr>
                <w:color w:val="auto"/>
                <w:kern w:val="0"/>
                <w:highlight w:val="none"/>
              </w:rPr>
              <w:t>—</w:t>
            </w:r>
            <w:r>
              <w:rPr>
                <w:rFonts w:hint="eastAsia"/>
                <w:color w:val="auto"/>
                <w:kern w:val="0"/>
                <w:highlight w:val="none"/>
                <w:lang w:val="en-US" w:eastAsia="zh-CN"/>
              </w:rPr>
              <w:t>用于计算等效声级的时间，s；</w:t>
            </w:r>
          </w:p>
          <w:p>
            <w:pPr>
              <w:rPr>
                <w:rFonts w:hint="eastAsia"/>
                <w:color w:val="auto"/>
                <w:kern w:val="0"/>
                <w:highlight w:val="none"/>
                <w:lang w:val="en-US" w:eastAsia="zh-CN"/>
              </w:rPr>
            </w:pPr>
            <w:r>
              <w:rPr>
                <w:rFonts w:hint="eastAsia"/>
                <w:color w:val="auto"/>
                <w:kern w:val="0"/>
                <w:highlight w:val="none"/>
                <w:lang w:val="en-US" w:eastAsia="zh-CN"/>
              </w:rPr>
              <w:t>N</w:t>
            </w:r>
            <w:r>
              <w:rPr>
                <w:color w:val="auto"/>
                <w:kern w:val="0"/>
                <w:highlight w:val="none"/>
              </w:rPr>
              <w:t>—</w:t>
            </w:r>
            <w:r>
              <w:rPr>
                <w:rFonts w:hint="eastAsia"/>
                <w:color w:val="auto"/>
                <w:kern w:val="0"/>
                <w:highlight w:val="none"/>
                <w:lang w:val="en-US" w:eastAsia="zh-CN"/>
              </w:rPr>
              <w:t>室外声源个数；</w:t>
            </w:r>
          </w:p>
          <w:p>
            <w:pPr>
              <w:pStyle w:val="33"/>
              <w:spacing w:before="0" w:after="0" w:line="480" w:lineRule="exact"/>
              <w:ind w:firstLineChars="200"/>
              <w:rPr>
                <w:rFonts w:hint="eastAsia"/>
                <w:color w:val="auto"/>
                <w:kern w:val="0"/>
                <w:highlight w:val="none"/>
                <w:lang w:eastAsia="zh-CN"/>
              </w:rPr>
            </w:pPr>
            <w:r>
              <w:rPr>
                <w:color w:val="auto"/>
                <w:kern w:val="0"/>
                <w:highlight w:val="none"/>
              </w:rPr>
              <w:t>t</w:t>
            </w:r>
            <w:r>
              <w:rPr>
                <w:color w:val="auto"/>
                <w:kern w:val="0"/>
                <w:highlight w:val="none"/>
                <w:vertAlign w:val="subscript"/>
              </w:rPr>
              <w:t>i</w:t>
            </w:r>
            <w:r>
              <w:rPr>
                <w:color w:val="auto"/>
                <w:kern w:val="0"/>
                <w:highlight w:val="none"/>
              </w:rPr>
              <w:t xml:space="preserve">— </w:t>
            </w:r>
            <w:r>
              <w:rPr>
                <w:rFonts w:cs="宋体"/>
                <w:color w:val="auto"/>
                <w:kern w:val="0"/>
                <w:highlight w:val="none"/>
              </w:rPr>
              <w:t>在</w:t>
            </w:r>
            <w:r>
              <w:rPr>
                <w:color w:val="auto"/>
                <w:kern w:val="0"/>
                <w:highlight w:val="none"/>
              </w:rPr>
              <w:t>T</w:t>
            </w:r>
            <w:r>
              <w:rPr>
                <w:rFonts w:hint="eastAsia"/>
                <w:color w:val="auto"/>
                <w:kern w:val="0"/>
                <w:highlight w:val="none"/>
                <w:lang w:val="en-US" w:eastAsia="zh-CN"/>
              </w:rPr>
              <w:t>时间内i声源工作</w:t>
            </w:r>
            <w:r>
              <w:rPr>
                <w:rFonts w:cs="宋体"/>
                <w:color w:val="auto"/>
                <w:kern w:val="0"/>
                <w:highlight w:val="none"/>
              </w:rPr>
              <w:t>时间，</w:t>
            </w:r>
            <w:r>
              <w:rPr>
                <w:color w:val="auto"/>
                <w:kern w:val="0"/>
                <w:highlight w:val="none"/>
              </w:rPr>
              <w:t>s</w:t>
            </w:r>
            <w:r>
              <w:rPr>
                <w:rFonts w:hint="eastAsia"/>
                <w:color w:val="auto"/>
                <w:kern w:val="0"/>
                <w:highlight w:val="none"/>
                <w:lang w:eastAsia="zh-CN"/>
              </w:rPr>
              <w:t>；</w:t>
            </w:r>
          </w:p>
          <w:p>
            <w:pPr>
              <w:pStyle w:val="33"/>
              <w:spacing w:before="0" w:after="0" w:line="480" w:lineRule="exact"/>
              <w:ind w:firstLineChars="200"/>
              <w:rPr>
                <w:rFonts w:hint="eastAsia"/>
                <w:color w:val="auto"/>
                <w:kern w:val="0"/>
                <w:highlight w:val="none"/>
                <w:lang w:val="en-US" w:eastAsia="zh-CN"/>
              </w:rPr>
            </w:pPr>
            <w:r>
              <w:rPr>
                <w:rFonts w:hint="eastAsia"/>
                <w:color w:val="auto"/>
                <w:kern w:val="0"/>
                <w:highlight w:val="none"/>
                <w:lang w:val="en-US" w:eastAsia="zh-CN"/>
              </w:rPr>
              <w:t>M</w:t>
            </w:r>
            <w:r>
              <w:rPr>
                <w:color w:val="auto"/>
                <w:kern w:val="0"/>
                <w:highlight w:val="none"/>
              </w:rPr>
              <w:t>—</w:t>
            </w:r>
            <w:r>
              <w:rPr>
                <w:rFonts w:hint="eastAsia"/>
                <w:color w:val="auto"/>
                <w:kern w:val="0"/>
                <w:highlight w:val="none"/>
                <w:lang w:val="en-US" w:eastAsia="zh-CN"/>
              </w:rPr>
              <w:t>等效室外声源个数；</w:t>
            </w:r>
          </w:p>
          <w:p>
            <w:pPr>
              <w:pStyle w:val="33"/>
              <w:spacing w:before="0" w:after="0" w:line="480" w:lineRule="exact"/>
              <w:ind w:firstLineChars="200"/>
              <w:rPr>
                <w:color w:val="auto"/>
                <w:kern w:val="0"/>
                <w:highlight w:val="none"/>
              </w:rPr>
            </w:pPr>
            <w:r>
              <w:rPr>
                <w:color w:val="auto"/>
                <w:kern w:val="0"/>
                <w:highlight w:val="none"/>
              </w:rPr>
              <w:t>t</w:t>
            </w:r>
            <w:r>
              <w:rPr>
                <w:rFonts w:hint="eastAsia"/>
                <w:color w:val="auto"/>
                <w:kern w:val="0"/>
                <w:highlight w:val="none"/>
                <w:vertAlign w:val="subscript"/>
                <w:lang w:val="en-US" w:eastAsia="zh-CN"/>
              </w:rPr>
              <w:t>j</w:t>
            </w:r>
            <w:r>
              <w:rPr>
                <w:color w:val="auto"/>
                <w:kern w:val="0"/>
                <w:highlight w:val="none"/>
              </w:rPr>
              <w:t>—</w:t>
            </w:r>
            <w:r>
              <w:rPr>
                <w:rFonts w:cs="宋体"/>
                <w:color w:val="auto"/>
                <w:kern w:val="0"/>
                <w:highlight w:val="none"/>
              </w:rPr>
              <w:t>在</w:t>
            </w:r>
            <w:r>
              <w:rPr>
                <w:color w:val="auto"/>
                <w:kern w:val="0"/>
                <w:highlight w:val="none"/>
              </w:rPr>
              <w:t>T</w:t>
            </w:r>
            <w:r>
              <w:rPr>
                <w:rFonts w:hint="eastAsia"/>
                <w:color w:val="auto"/>
                <w:kern w:val="0"/>
                <w:highlight w:val="none"/>
                <w:lang w:val="en-US" w:eastAsia="zh-CN"/>
              </w:rPr>
              <w:t>时间内j声源工作</w:t>
            </w:r>
            <w:r>
              <w:rPr>
                <w:rFonts w:cs="宋体"/>
                <w:color w:val="auto"/>
                <w:kern w:val="0"/>
                <w:highlight w:val="none"/>
              </w:rPr>
              <w:t>时间，</w:t>
            </w:r>
            <w:r>
              <w:rPr>
                <w:color w:val="auto"/>
                <w:kern w:val="0"/>
                <w:highlight w:val="none"/>
              </w:rPr>
              <w:t>s</w:t>
            </w:r>
            <w:r>
              <w:rPr>
                <w:rFonts w:cs="宋体"/>
                <w:color w:val="auto"/>
                <w:kern w:val="0"/>
                <w:highlight w:val="none"/>
              </w:rPr>
              <w:t>。</w:t>
            </w:r>
          </w:p>
          <w:p>
            <w:pPr>
              <w:pStyle w:val="33"/>
              <w:spacing w:before="0" w:after="0" w:line="480" w:lineRule="exact"/>
              <w:ind w:firstLineChars="200"/>
              <w:rPr>
                <w:color w:val="auto"/>
                <w:kern w:val="0"/>
                <w:highlight w:val="none"/>
              </w:rPr>
            </w:pPr>
            <w:r>
              <w:rPr>
                <w:rFonts w:cs="宋体"/>
                <w:color w:val="auto"/>
                <w:kern w:val="0"/>
                <w:highlight w:val="none"/>
              </w:rPr>
              <w:t>③预测点的预测等效声级</w:t>
            </w:r>
            <w:r>
              <w:rPr>
                <w:rFonts w:hint="eastAsia"/>
                <w:color w:val="auto"/>
                <w:kern w:val="0"/>
                <w:highlight w:val="none"/>
              </w:rPr>
              <w:t>（</w:t>
            </w:r>
            <w:r>
              <w:rPr>
                <w:color w:val="auto"/>
                <w:kern w:val="0"/>
                <w:highlight w:val="none"/>
              </w:rPr>
              <w:t>Leq</w:t>
            </w:r>
            <w:r>
              <w:rPr>
                <w:rFonts w:hint="eastAsia"/>
                <w:color w:val="auto"/>
                <w:kern w:val="0"/>
                <w:highlight w:val="none"/>
              </w:rPr>
              <w:t>）</w:t>
            </w:r>
            <w:r>
              <w:rPr>
                <w:rFonts w:cs="宋体"/>
                <w:color w:val="auto"/>
                <w:kern w:val="0"/>
                <w:highlight w:val="none"/>
              </w:rPr>
              <w:t>计算公式</w:t>
            </w:r>
          </w:p>
          <w:p>
            <w:pPr>
              <w:pStyle w:val="33"/>
              <w:keepNext w:val="0"/>
              <w:keepLines w:val="0"/>
              <w:pageBreakBefore w:val="0"/>
              <w:widowControl w:val="0"/>
              <w:kinsoku/>
              <w:wordWrap/>
              <w:overflowPunct/>
              <w:topLinePunct w:val="0"/>
              <w:autoSpaceDE/>
              <w:autoSpaceDN/>
              <w:bidi w:val="0"/>
              <w:adjustRightInd/>
              <w:snapToGrid/>
              <w:spacing w:before="0" w:after="0"/>
              <w:ind w:firstLine="0" w:firstLineChars="0"/>
              <w:jc w:val="center"/>
              <w:textAlignment w:val="auto"/>
              <w:rPr>
                <w:rFonts w:hint="eastAsia" w:eastAsia="宋体"/>
                <w:color w:val="auto"/>
                <w:kern w:val="0"/>
                <w:highlight w:val="none"/>
                <w:lang w:eastAsia="zh-CN"/>
              </w:rPr>
            </w:pPr>
            <w:r>
              <w:rPr>
                <w:rFonts w:hint="eastAsia" w:eastAsia="宋体"/>
                <w:color w:val="auto"/>
                <w:kern w:val="0"/>
                <w:position w:val="-14"/>
                <w:highlight w:val="none"/>
                <w:lang w:eastAsia="zh-CN"/>
              </w:rPr>
              <w:object>
                <v:shape id="_x0000_i1027" o:spt="75" type="#_x0000_t75" style="height:23pt;width:136pt;" o:ole="t" filled="f" o:preferrelative="t" stroked="f" coordsize="21600,21600">
                  <v:path/>
                  <v:fill on="f" focussize="0,0"/>
                  <v:stroke on="f"/>
                  <v:imagedata r:id="rId22" o:title=""/>
                  <o:lock v:ext="edit" aspectratio="t"/>
                  <w10:wrap type="none"/>
                  <w10:anchorlock/>
                </v:shape>
                <o:OLEObject Type="Embed" ProgID="Equation.KSEE3" ShapeID="_x0000_i1027" DrawAspect="Content" ObjectID="_1468075727" r:id="rId21">
                  <o:LockedField>false</o:LockedField>
                </o:OLEObject>
              </w:object>
            </w:r>
          </w:p>
          <w:p>
            <w:pPr>
              <w:pStyle w:val="33"/>
              <w:spacing w:before="0" w:after="0" w:line="480" w:lineRule="exact"/>
              <w:ind w:firstLineChars="200"/>
              <w:rPr>
                <w:color w:val="auto"/>
                <w:kern w:val="0"/>
                <w:highlight w:val="none"/>
              </w:rPr>
            </w:pPr>
            <w:r>
              <w:rPr>
                <w:rFonts w:cs="宋体"/>
                <w:color w:val="auto"/>
                <w:kern w:val="0"/>
                <w:highlight w:val="none"/>
              </w:rPr>
              <w:t>式中：</w:t>
            </w:r>
          </w:p>
          <w:p>
            <w:pPr>
              <w:pStyle w:val="33"/>
              <w:spacing w:before="0" w:after="0" w:line="480" w:lineRule="exact"/>
              <w:ind w:firstLine="425"/>
              <w:rPr>
                <w:color w:val="auto"/>
                <w:kern w:val="0"/>
                <w:highlight w:val="none"/>
              </w:rPr>
            </w:pPr>
            <w:r>
              <w:rPr>
                <w:i/>
                <w:iCs/>
                <w:color w:val="auto"/>
                <w:kern w:val="0"/>
                <w:highlight w:val="none"/>
              </w:rPr>
              <w:t>L</w:t>
            </w:r>
            <w:r>
              <w:rPr>
                <w:i/>
                <w:iCs/>
                <w:color w:val="auto"/>
                <w:kern w:val="0"/>
                <w:highlight w:val="none"/>
                <w:vertAlign w:val="subscript"/>
              </w:rPr>
              <w:t>eq</w:t>
            </w:r>
            <w:r>
              <w:rPr>
                <w:color w:val="auto"/>
                <w:kern w:val="0"/>
                <w:highlight w:val="none"/>
              </w:rPr>
              <w:t>—</w:t>
            </w:r>
            <w:r>
              <w:rPr>
                <w:rFonts w:hint="eastAsia" w:cs="宋体"/>
                <w:color w:val="auto"/>
                <w:kern w:val="0"/>
                <w:highlight w:val="none"/>
                <w:lang w:val="en-US" w:eastAsia="zh-CN"/>
              </w:rPr>
              <w:t>预测点的噪声预测值</w:t>
            </w:r>
            <w:r>
              <w:rPr>
                <w:rFonts w:cs="宋体"/>
                <w:color w:val="auto"/>
                <w:kern w:val="0"/>
                <w:highlight w:val="none"/>
              </w:rPr>
              <w:t>，</w:t>
            </w:r>
            <w:r>
              <w:rPr>
                <w:color w:val="auto"/>
                <w:kern w:val="0"/>
                <w:highlight w:val="none"/>
              </w:rPr>
              <w:t>dB</w:t>
            </w:r>
            <w:r>
              <w:rPr>
                <w:rFonts w:cs="宋体"/>
                <w:color w:val="auto"/>
                <w:kern w:val="0"/>
                <w:highlight w:val="none"/>
              </w:rPr>
              <w:t>；</w:t>
            </w:r>
          </w:p>
          <w:p>
            <w:pPr>
              <w:pStyle w:val="33"/>
              <w:spacing w:before="0" w:after="0" w:line="480" w:lineRule="exact"/>
              <w:ind w:firstLineChars="200"/>
              <w:rPr>
                <w:rFonts w:hint="eastAsia" w:eastAsia="宋体"/>
                <w:color w:val="auto"/>
                <w:kern w:val="0"/>
                <w:highlight w:val="none"/>
                <w:lang w:eastAsia="zh-CN"/>
              </w:rPr>
            </w:pPr>
            <w:r>
              <w:rPr>
                <w:rFonts w:hint="eastAsia"/>
                <w:color w:val="auto"/>
                <w:kern w:val="0"/>
                <w:highlight w:val="none"/>
                <w:lang w:val="en-US" w:eastAsia="zh-CN"/>
              </w:rPr>
              <w:t>L</w:t>
            </w:r>
            <w:r>
              <w:rPr>
                <w:rFonts w:hint="eastAsia"/>
                <w:color w:val="auto"/>
                <w:kern w:val="0"/>
                <w:highlight w:val="none"/>
                <w:vertAlign w:val="subscript"/>
                <w:lang w:val="en-US" w:eastAsia="zh-CN"/>
              </w:rPr>
              <w:t>eqb</w:t>
            </w:r>
            <w:r>
              <w:rPr>
                <w:color w:val="auto"/>
                <w:kern w:val="0"/>
                <w:highlight w:val="none"/>
              </w:rPr>
              <w:t>—</w:t>
            </w:r>
            <w:r>
              <w:rPr>
                <w:rFonts w:hint="eastAsia"/>
                <w:color w:val="auto"/>
                <w:kern w:val="0"/>
                <w:highlight w:val="none"/>
                <w:lang w:val="en-US" w:eastAsia="zh-CN"/>
              </w:rPr>
              <w:t>预测点的背景噪声值，</w:t>
            </w:r>
            <w:r>
              <w:rPr>
                <w:color w:val="auto"/>
                <w:kern w:val="0"/>
                <w:highlight w:val="none"/>
              </w:rPr>
              <w:t>dB</w:t>
            </w:r>
            <w:r>
              <w:rPr>
                <w:rFonts w:hint="eastAsia"/>
                <w:color w:val="auto"/>
                <w:kern w:val="0"/>
                <w:highlight w:val="none"/>
                <w:lang w:eastAsia="zh-CN"/>
              </w:rPr>
              <w:t>。</w:t>
            </w:r>
          </w:p>
          <w:p>
            <w:pPr>
              <w:pStyle w:val="33"/>
              <w:spacing w:before="0" w:after="0" w:line="480" w:lineRule="exact"/>
              <w:ind w:firstLine="425"/>
              <w:rPr>
                <w:color w:val="auto"/>
                <w:kern w:val="0"/>
                <w:highlight w:val="none"/>
              </w:rPr>
            </w:pPr>
            <w:r>
              <w:rPr>
                <w:rFonts w:cs="宋体"/>
                <w:color w:val="auto"/>
                <w:kern w:val="0"/>
                <w:highlight w:val="none"/>
              </w:rPr>
              <w:t>④户外声传播衰减计算</w:t>
            </w:r>
          </w:p>
          <w:p>
            <w:pPr>
              <w:pStyle w:val="33"/>
              <w:spacing w:before="0" w:after="0" w:line="480" w:lineRule="exact"/>
              <w:ind w:firstLine="425"/>
              <w:rPr>
                <w:color w:val="auto"/>
                <w:kern w:val="0"/>
                <w:highlight w:val="none"/>
              </w:rPr>
            </w:pPr>
            <w:r>
              <w:rPr>
                <w:rFonts w:cs="宋体"/>
                <w:color w:val="auto"/>
                <w:kern w:val="0"/>
                <w:highlight w:val="none"/>
              </w:rPr>
              <w:t>户外声传播衰减包括几何发散（</w:t>
            </w:r>
            <w:r>
              <w:rPr>
                <w:color w:val="auto"/>
                <w:kern w:val="0"/>
                <w:highlight w:val="none"/>
              </w:rPr>
              <w:t>A</w:t>
            </w:r>
            <w:r>
              <w:rPr>
                <w:color w:val="auto"/>
                <w:kern w:val="0"/>
                <w:highlight w:val="none"/>
                <w:vertAlign w:val="subscript"/>
              </w:rPr>
              <w:t>div</w:t>
            </w:r>
            <w:r>
              <w:rPr>
                <w:rFonts w:cs="宋体"/>
                <w:color w:val="auto"/>
                <w:kern w:val="0"/>
                <w:highlight w:val="none"/>
              </w:rPr>
              <w:t>）、大气吸收（</w:t>
            </w:r>
            <w:r>
              <w:rPr>
                <w:color w:val="auto"/>
                <w:kern w:val="0"/>
                <w:highlight w:val="none"/>
              </w:rPr>
              <w:t>A</w:t>
            </w:r>
            <w:r>
              <w:rPr>
                <w:color w:val="auto"/>
                <w:kern w:val="0"/>
                <w:highlight w:val="none"/>
                <w:vertAlign w:val="subscript"/>
              </w:rPr>
              <w:t>atm</w:t>
            </w:r>
            <w:r>
              <w:rPr>
                <w:rFonts w:cs="宋体"/>
                <w:color w:val="auto"/>
                <w:kern w:val="0"/>
                <w:highlight w:val="none"/>
              </w:rPr>
              <w:t>）、地面效应（</w:t>
            </w:r>
            <w:r>
              <w:rPr>
                <w:color w:val="auto"/>
                <w:kern w:val="0"/>
                <w:highlight w:val="none"/>
              </w:rPr>
              <w:t>A</w:t>
            </w:r>
            <w:r>
              <w:rPr>
                <w:color w:val="auto"/>
                <w:kern w:val="0"/>
                <w:highlight w:val="none"/>
                <w:vertAlign w:val="subscript"/>
              </w:rPr>
              <w:t>gr</w:t>
            </w:r>
            <w:r>
              <w:rPr>
                <w:rFonts w:cs="宋体"/>
                <w:color w:val="auto"/>
                <w:kern w:val="0"/>
                <w:highlight w:val="none"/>
              </w:rPr>
              <w:t>）、屏障屏蔽（</w:t>
            </w:r>
            <w:r>
              <w:rPr>
                <w:color w:val="auto"/>
                <w:kern w:val="0"/>
                <w:highlight w:val="none"/>
              </w:rPr>
              <w:t>A</w:t>
            </w:r>
            <w:r>
              <w:rPr>
                <w:color w:val="auto"/>
                <w:kern w:val="0"/>
                <w:highlight w:val="none"/>
                <w:vertAlign w:val="subscript"/>
              </w:rPr>
              <w:t>bar</w:t>
            </w:r>
            <w:r>
              <w:rPr>
                <w:rFonts w:cs="宋体"/>
                <w:color w:val="auto"/>
                <w:kern w:val="0"/>
                <w:highlight w:val="none"/>
              </w:rPr>
              <w:t>）、其他多方面效应（</w:t>
            </w:r>
            <w:r>
              <w:rPr>
                <w:color w:val="auto"/>
                <w:kern w:val="0"/>
                <w:highlight w:val="none"/>
              </w:rPr>
              <w:t>A</w:t>
            </w:r>
            <w:r>
              <w:rPr>
                <w:color w:val="auto"/>
                <w:kern w:val="0"/>
                <w:highlight w:val="none"/>
                <w:vertAlign w:val="subscript"/>
              </w:rPr>
              <w:t>misc</w:t>
            </w:r>
            <w:r>
              <w:rPr>
                <w:rFonts w:cs="宋体"/>
                <w:color w:val="auto"/>
                <w:kern w:val="0"/>
                <w:highlight w:val="none"/>
              </w:rPr>
              <w:t>）引起的衰减。</w:t>
            </w:r>
          </w:p>
          <w:p>
            <w:pPr>
              <w:pStyle w:val="33"/>
              <w:spacing w:before="0" w:after="0" w:line="480" w:lineRule="exact"/>
              <w:ind w:firstLine="425"/>
              <w:rPr>
                <w:color w:val="auto"/>
                <w:kern w:val="0"/>
                <w:highlight w:val="none"/>
              </w:rPr>
            </w:pPr>
            <w:r>
              <w:rPr>
                <w:rFonts w:cs="宋体"/>
                <w:color w:val="auto"/>
                <w:kern w:val="0"/>
                <w:highlight w:val="none"/>
              </w:rPr>
              <w:t>距声源点</w:t>
            </w:r>
            <w:r>
              <w:rPr>
                <w:color w:val="auto"/>
                <w:kern w:val="0"/>
                <w:highlight w:val="none"/>
              </w:rPr>
              <w:t>r</w:t>
            </w:r>
            <w:r>
              <w:rPr>
                <w:rFonts w:cs="宋体"/>
                <w:color w:val="auto"/>
                <w:kern w:val="0"/>
                <w:highlight w:val="none"/>
              </w:rPr>
              <w:t>处的</w:t>
            </w:r>
            <w:r>
              <w:rPr>
                <w:color w:val="auto"/>
                <w:kern w:val="0"/>
                <w:highlight w:val="none"/>
              </w:rPr>
              <w:t>A</w:t>
            </w:r>
            <w:r>
              <w:rPr>
                <w:rFonts w:cs="宋体"/>
                <w:color w:val="auto"/>
                <w:kern w:val="0"/>
                <w:highlight w:val="none"/>
              </w:rPr>
              <w:t>声级按下式计算：</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宋体"/>
                <w:color w:val="auto"/>
                <w:highlight w:val="none"/>
                <w:lang w:val="en-US" w:eastAsia="zh-CN"/>
              </w:rPr>
            </w:pPr>
            <w:r>
              <w:rPr>
                <w:rFonts w:hint="eastAsia" w:eastAsia="宋体"/>
                <w:color w:val="auto"/>
                <w:position w:val="-14"/>
                <w:highlight w:val="none"/>
                <w:lang w:val="en-US" w:eastAsia="zh-CN"/>
              </w:rPr>
              <w:object>
                <v:shape id="_x0000_i1028" o:spt="75" type="#_x0000_t75" style="height:19pt;width:243pt;" o:ole="t" filled="f" o:preferrelative="t" stroked="f" coordsize="21600,21600">
                  <v:path/>
                  <v:fill on="f" focussize="0,0"/>
                  <v:stroke on="f"/>
                  <v:imagedata r:id="rId24" o:title=""/>
                  <o:lock v:ext="edit" aspectratio="t"/>
                  <w10:wrap type="none"/>
                  <w10:anchorlock/>
                </v:shape>
                <o:OLEObject Type="Embed" ProgID="Equation.KSEE3" ShapeID="_x0000_i1028" DrawAspect="Content" ObjectID="_1468075728" r:id="rId23">
                  <o:LockedField>false</o:LockedField>
                </o:OLEObject>
              </w:object>
            </w:r>
          </w:p>
          <w:p>
            <w:pPr>
              <w:pStyle w:val="10"/>
              <w:keepNext w:val="0"/>
              <w:keepLines w:val="0"/>
              <w:pageBreakBefore w:val="0"/>
              <w:widowControl w:val="0"/>
              <w:kinsoku/>
              <w:wordWrap/>
              <w:overflowPunct/>
              <w:topLinePunct w:val="0"/>
              <w:autoSpaceDE/>
              <w:autoSpaceDN/>
              <w:bidi w:val="0"/>
              <w:adjustRightInd/>
              <w:snapToGrid/>
              <w:spacing w:after="0" w:line="480" w:lineRule="exact"/>
              <w:ind w:left="0" w:leftChars="0" w:firstLine="480" w:firstLineChars="200"/>
              <w:textAlignment w:val="auto"/>
              <w:rPr>
                <w:rFonts w:hint="default" w:ascii="Times New Roman" w:hAnsi="Times New Roman" w:eastAsia="宋体" w:cs="Times New Roman"/>
                <w:color w:val="auto"/>
                <w:sz w:val="24"/>
                <w:highlight w:val="none"/>
              </w:rPr>
            </w:pPr>
            <w:r>
              <w:rPr>
                <w:rFonts w:hint="eastAsia" w:cs="Times New Roman"/>
                <w:color w:val="auto"/>
                <w:kern w:val="0"/>
                <w:sz w:val="24"/>
                <w:highlight w:val="none"/>
                <w:lang w:val="zh-CN"/>
              </w:rPr>
              <w:t>本项目</w:t>
            </w:r>
            <w:r>
              <w:rPr>
                <w:rFonts w:hint="default" w:ascii="Times New Roman" w:hAnsi="Times New Roman" w:cs="Times New Roman"/>
                <w:color w:val="auto"/>
                <w:kern w:val="0"/>
                <w:sz w:val="24"/>
                <w:highlight w:val="none"/>
                <w:lang w:val="zh-CN"/>
              </w:rPr>
              <w:t>预测计算只考虑各声源至受声点的几何发散衰减，不考虑空气吸收及影响较小的附加衰减。</w:t>
            </w:r>
          </w:p>
          <w:p>
            <w:pPr>
              <w:bidi w:val="0"/>
              <w:rPr>
                <w:rFonts w:hint="default"/>
                <w:color w:val="auto"/>
                <w:highlight w:val="none"/>
              </w:rPr>
            </w:pPr>
            <w:r>
              <w:rPr>
                <w:rFonts w:hint="eastAsia"/>
                <w:color w:val="auto"/>
                <w:highlight w:val="none"/>
              </w:rPr>
              <w:t>（2）</w:t>
            </w:r>
            <w:r>
              <w:rPr>
                <w:rFonts w:hint="default"/>
                <w:color w:val="auto"/>
                <w:highlight w:val="none"/>
              </w:rPr>
              <w:t>预测结果</w:t>
            </w:r>
          </w:p>
          <w:p>
            <w:pPr>
              <w:bidi w:val="0"/>
              <w:rPr>
                <w:rFonts w:hint="default"/>
                <w:color w:val="auto"/>
                <w:highlight w:val="none"/>
              </w:rPr>
            </w:pPr>
            <w:r>
              <w:rPr>
                <w:rFonts w:hint="eastAsia"/>
                <w:color w:val="auto"/>
                <w:highlight w:val="none"/>
                <w:lang w:val="en-US" w:eastAsia="zh-CN"/>
              </w:rPr>
              <w:t>车间</w:t>
            </w:r>
            <w:r>
              <w:rPr>
                <w:rFonts w:hint="default"/>
                <w:color w:val="auto"/>
                <w:highlight w:val="none"/>
              </w:rPr>
              <w:t>到项目厂界的距离如下：</w:t>
            </w:r>
          </w:p>
          <w:p>
            <w:pPr>
              <w:pStyle w:val="31"/>
              <w:bidi w:val="0"/>
              <w:rPr>
                <w:rFonts w:hint="eastAsia" w:eastAsia="宋体"/>
                <w:color w:val="auto"/>
                <w:sz w:val="21"/>
                <w:szCs w:val="21"/>
                <w:highlight w:val="none"/>
                <w:lang w:val="en-US" w:eastAsia="zh-CN"/>
              </w:rPr>
            </w:pPr>
            <w:r>
              <w:rPr>
                <w:rFonts w:hint="default"/>
                <w:color w:val="auto"/>
                <w:sz w:val="21"/>
                <w:szCs w:val="21"/>
                <w:highlight w:val="none"/>
              </w:rPr>
              <w:t>表</w:t>
            </w:r>
            <w:r>
              <w:rPr>
                <w:rFonts w:hint="eastAsia"/>
                <w:color w:val="auto"/>
                <w:sz w:val="21"/>
                <w:szCs w:val="21"/>
                <w:highlight w:val="none"/>
                <w:lang w:val="en-US" w:eastAsia="zh-CN"/>
              </w:rPr>
              <w:t>35</w:t>
            </w:r>
            <w:r>
              <w:rPr>
                <w:rFonts w:hint="eastAsia"/>
                <w:color w:val="auto"/>
                <w:sz w:val="21"/>
                <w:szCs w:val="21"/>
                <w:highlight w:val="none"/>
              </w:rPr>
              <w:t xml:space="preserve">  </w:t>
            </w:r>
            <w:r>
              <w:rPr>
                <w:rFonts w:hint="default"/>
                <w:color w:val="auto"/>
                <w:sz w:val="21"/>
                <w:szCs w:val="21"/>
                <w:highlight w:val="none"/>
              </w:rPr>
              <w:t>本项目</w:t>
            </w:r>
            <w:r>
              <w:rPr>
                <w:rFonts w:hint="eastAsia"/>
                <w:color w:val="auto"/>
                <w:sz w:val="21"/>
                <w:szCs w:val="21"/>
                <w:highlight w:val="none"/>
                <w:lang w:val="en-US" w:eastAsia="zh-CN"/>
              </w:rPr>
              <w:t>生产车间距</w:t>
            </w:r>
            <w:r>
              <w:rPr>
                <w:rFonts w:hint="default"/>
                <w:color w:val="auto"/>
                <w:sz w:val="21"/>
                <w:szCs w:val="21"/>
                <w:highlight w:val="none"/>
              </w:rPr>
              <w:t>厂界距离</w:t>
            </w:r>
            <w:r>
              <w:rPr>
                <w:rFonts w:hint="eastAsia"/>
                <w:color w:val="auto"/>
                <w:sz w:val="21"/>
                <w:szCs w:val="21"/>
                <w:highlight w:val="none"/>
                <w:lang w:val="en-US" w:eastAsia="zh-CN"/>
              </w:rPr>
              <w:t>一览表</w:t>
            </w:r>
          </w:p>
          <w:tbl>
            <w:tblPr>
              <w:tblStyle w:val="25"/>
              <w:tblW w:w="839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04"/>
              <w:gridCol w:w="1816"/>
              <w:gridCol w:w="1521"/>
              <w:gridCol w:w="1507"/>
              <w:gridCol w:w="1272"/>
              <w:gridCol w:w="137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89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序号</w:t>
                  </w:r>
                </w:p>
              </w:tc>
              <w:tc>
                <w:tcPr>
                  <w:tcW w:w="180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噪声源</w:t>
                  </w:r>
                </w:p>
              </w:tc>
              <w:tc>
                <w:tcPr>
                  <w:tcW w:w="151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cs="Times New Roman"/>
                      <w:color w:val="auto"/>
                      <w:sz w:val="21"/>
                      <w:szCs w:val="21"/>
                      <w:highlight w:val="none"/>
                      <w:vertAlign w:val="baseline"/>
                      <w:lang w:val="en-US" w:eastAsia="zh-CN"/>
                    </w:rPr>
                    <w:t>东厂界（m）</w:t>
                  </w:r>
                </w:p>
              </w:tc>
              <w:tc>
                <w:tcPr>
                  <w:tcW w:w="149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cs="Times New Roman"/>
                      <w:color w:val="auto"/>
                      <w:sz w:val="21"/>
                      <w:szCs w:val="21"/>
                      <w:highlight w:val="none"/>
                      <w:vertAlign w:val="baseline"/>
                      <w:lang w:val="en-US" w:eastAsia="zh-CN"/>
                    </w:rPr>
                    <w:t>南厂界（m）</w:t>
                  </w:r>
                </w:p>
              </w:tc>
              <w:tc>
                <w:tcPr>
                  <w:tcW w:w="12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cs="Times New Roman"/>
                      <w:color w:val="auto"/>
                      <w:sz w:val="21"/>
                      <w:szCs w:val="21"/>
                      <w:highlight w:val="none"/>
                      <w:vertAlign w:val="baseline"/>
                      <w:lang w:val="en-US" w:eastAsia="zh-CN"/>
                    </w:rPr>
                    <w:t>西厂界（m）</w:t>
                  </w:r>
                </w:p>
              </w:tc>
              <w:tc>
                <w:tcPr>
                  <w:tcW w:w="136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cs="Times New Roman"/>
                      <w:color w:val="auto"/>
                      <w:sz w:val="21"/>
                      <w:szCs w:val="21"/>
                      <w:highlight w:val="none"/>
                      <w:vertAlign w:val="baseline"/>
                      <w:lang w:val="en-US" w:eastAsia="zh-CN"/>
                    </w:rPr>
                    <w:t>北厂界（m）</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898" w:type="dxa"/>
                  <w:tcBorders>
                    <w:tl2br w:val="nil"/>
                    <w:tr2bl w:val="nil"/>
                  </w:tcBorders>
                  <w:vAlign w:val="center"/>
                </w:tcPr>
                <w:p>
                  <w:pPr>
                    <w:keepNext w:val="0"/>
                    <w:keepLines w:val="0"/>
                    <w:pageBreakBefore w:val="0"/>
                    <w:widowControl w:val="0"/>
                    <w:numPr>
                      <w:ilvl w:val="0"/>
                      <w:numId w:val="32"/>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p>
              </w:tc>
              <w:tc>
                <w:tcPr>
                  <w:tcW w:w="180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cs="Tahoma"/>
                      <w:color w:val="auto"/>
                      <w:sz w:val="21"/>
                      <w:szCs w:val="21"/>
                      <w:highlight w:val="none"/>
                      <w:lang w:val="en-US" w:eastAsia="zh-CN"/>
                    </w:rPr>
                    <w:t>生产车间</w:t>
                  </w:r>
                </w:p>
              </w:tc>
              <w:tc>
                <w:tcPr>
                  <w:tcW w:w="1511"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20</w:t>
                  </w:r>
                </w:p>
              </w:tc>
              <w:tc>
                <w:tcPr>
                  <w:tcW w:w="1497"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10</w:t>
                  </w:r>
                </w:p>
              </w:tc>
              <w:tc>
                <w:tcPr>
                  <w:tcW w:w="126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11</w:t>
                  </w:r>
                </w:p>
              </w:tc>
              <w:tc>
                <w:tcPr>
                  <w:tcW w:w="1360"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21</w:t>
                  </w:r>
                </w:p>
              </w:tc>
            </w:tr>
          </w:tbl>
          <w:p>
            <w:pPr>
              <w:bidi w:val="0"/>
              <w:rPr>
                <w:rFonts w:hint="default"/>
                <w:color w:val="auto"/>
                <w:highlight w:val="none"/>
                <w:lang w:val="zh-CN"/>
              </w:rPr>
            </w:pPr>
            <w:r>
              <w:rPr>
                <w:rFonts w:hint="default"/>
                <w:color w:val="auto"/>
                <w:highlight w:val="none"/>
              </w:rPr>
              <w:t>按照噪声预测模式，</w:t>
            </w:r>
            <w:r>
              <w:rPr>
                <w:rFonts w:hint="eastAsia"/>
                <w:color w:val="auto"/>
                <w:highlight w:val="none"/>
                <w:lang w:val="en-US" w:eastAsia="zh-CN"/>
              </w:rPr>
              <w:t>采取</w:t>
            </w:r>
            <w:r>
              <w:rPr>
                <w:rFonts w:hint="default"/>
                <w:b w:val="0"/>
                <w:bCs w:val="0"/>
                <w:color w:val="auto"/>
                <w:highlight w:val="none"/>
              </w:rPr>
              <w:t>基础</w:t>
            </w:r>
            <w:r>
              <w:rPr>
                <w:rFonts w:hint="eastAsia"/>
                <w:b w:val="0"/>
                <w:bCs w:val="0"/>
                <w:color w:val="auto"/>
                <w:highlight w:val="none"/>
                <w:lang w:eastAsia="zh-CN"/>
              </w:rPr>
              <w:t>减振</w:t>
            </w:r>
            <w:r>
              <w:rPr>
                <w:rFonts w:hint="default"/>
                <w:b w:val="0"/>
                <w:bCs w:val="0"/>
                <w:color w:val="auto"/>
                <w:highlight w:val="none"/>
              </w:rPr>
              <w:t>、</w:t>
            </w:r>
            <w:r>
              <w:rPr>
                <w:rFonts w:hint="eastAsia"/>
                <w:b w:val="0"/>
                <w:bCs w:val="0"/>
                <w:color w:val="auto"/>
                <w:highlight w:val="none"/>
                <w:lang w:val="en-US" w:eastAsia="zh-CN"/>
              </w:rPr>
              <w:t>厂房隔声</w:t>
            </w:r>
            <w:r>
              <w:rPr>
                <w:rFonts w:hint="default"/>
                <w:b w:val="0"/>
                <w:bCs w:val="0"/>
                <w:color w:val="auto"/>
                <w:highlight w:val="none"/>
              </w:rPr>
              <w:t>等措施</w:t>
            </w:r>
            <w:r>
              <w:rPr>
                <w:rFonts w:hint="default"/>
                <w:color w:val="auto"/>
                <w:highlight w:val="none"/>
                <w:lang w:val="zh-CN"/>
              </w:rPr>
              <w:t>后，噪声源到各厂界</w:t>
            </w:r>
            <w:r>
              <w:rPr>
                <w:rFonts w:hint="eastAsia"/>
                <w:color w:val="auto"/>
                <w:highlight w:val="none"/>
                <w:lang w:val="en-US" w:eastAsia="zh-CN"/>
              </w:rPr>
              <w:t>噪声贡献</w:t>
            </w:r>
            <w:r>
              <w:rPr>
                <w:rFonts w:hint="default"/>
                <w:color w:val="auto"/>
                <w:highlight w:val="none"/>
                <w:lang w:val="zh-CN"/>
              </w:rPr>
              <w:t>值见下表。</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right="0" w:rightChars="0" w:firstLine="0" w:firstLineChars="0"/>
              <w:jc w:val="center"/>
              <w:textAlignment w:val="auto"/>
              <w:outlineLvl w:val="9"/>
              <w:rPr>
                <w:rFonts w:hint="default" w:ascii="Times New Roman" w:hAnsi="Times New Roman" w:eastAsia="宋体" w:cs="Times New Roman"/>
                <w:b/>
                <w:bCs/>
                <w:color w:val="auto"/>
                <w:sz w:val="21"/>
                <w:szCs w:val="21"/>
                <w:highlight w:val="none"/>
                <w:shd w:val="clear" w:color="auto" w:fill="auto"/>
                <w:lang w:val="zh-CN" w:eastAsia="zh-CN"/>
              </w:rPr>
            </w:pPr>
            <w:r>
              <w:rPr>
                <w:rFonts w:hint="default" w:ascii="Times New Roman" w:hAnsi="Times New Roman" w:eastAsia="宋体" w:cs="Times New Roman"/>
                <w:b/>
                <w:bCs/>
                <w:color w:val="auto"/>
                <w:sz w:val="21"/>
                <w:szCs w:val="21"/>
                <w:highlight w:val="none"/>
                <w:shd w:val="clear" w:color="auto" w:fill="auto"/>
                <w:lang w:val="zh-CN" w:eastAsia="zh-CN"/>
              </w:rPr>
              <w:t>表</w:t>
            </w:r>
            <w:r>
              <w:rPr>
                <w:rFonts w:hint="eastAsia" w:cs="Times New Roman"/>
                <w:b/>
                <w:bCs/>
                <w:color w:val="auto"/>
                <w:sz w:val="21"/>
                <w:szCs w:val="21"/>
                <w:highlight w:val="none"/>
                <w:shd w:val="clear" w:color="auto" w:fill="auto"/>
                <w:lang w:val="en-US" w:eastAsia="zh-CN"/>
              </w:rPr>
              <w:t>36</w:t>
            </w:r>
            <w:r>
              <w:rPr>
                <w:rFonts w:hint="eastAsia" w:ascii="Times New Roman" w:hAnsi="Times New Roman" w:eastAsia="宋体" w:cs="Times New Roman"/>
                <w:b/>
                <w:bCs/>
                <w:color w:val="auto"/>
                <w:sz w:val="21"/>
                <w:szCs w:val="21"/>
                <w:highlight w:val="none"/>
                <w:shd w:val="clear" w:color="auto" w:fill="auto"/>
                <w:lang w:val="en-US" w:eastAsia="zh-CN"/>
              </w:rPr>
              <w:t xml:space="preserve">  </w:t>
            </w:r>
            <w:r>
              <w:rPr>
                <w:rFonts w:hint="default" w:ascii="Times New Roman" w:hAnsi="Times New Roman" w:eastAsia="宋体" w:cs="Times New Roman"/>
                <w:b/>
                <w:bCs/>
                <w:color w:val="auto"/>
                <w:sz w:val="21"/>
                <w:szCs w:val="21"/>
                <w:highlight w:val="none"/>
                <w:shd w:val="clear" w:color="auto" w:fill="auto"/>
                <w:lang w:val="zh-CN" w:eastAsia="zh-CN"/>
              </w:rPr>
              <w:t>各厂界</w:t>
            </w:r>
            <w:r>
              <w:rPr>
                <w:rFonts w:hint="eastAsia" w:ascii="Times New Roman" w:hAnsi="Times New Roman" w:eastAsia="宋体" w:cs="Times New Roman"/>
                <w:b/>
                <w:bCs/>
                <w:color w:val="auto"/>
                <w:sz w:val="21"/>
                <w:szCs w:val="21"/>
                <w:highlight w:val="none"/>
                <w:shd w:val="clear" w:color="auto" w:fill="auto"/>
                <w:lang w:val="zh-CN" w:eastAsia="zh-CN"/>
              </w:rPr>
              <w:t>噪声</w:t>
            </w:r>
            <w:r>
              <w:rPr>
                <w:rFonts w:hint="eastAsia" w:ascii="Times New Roman" w:hAnsi="Times New Roman" w:eastAsia="宋体" w:cs="Times New Roman"/>
                <w:b/>
                <w:bCs/>
                <w:color w:val="auto"/>
                <w:sz w:val="21"/>
                <w:szCs w:val="21"/>
                <w:highlight w:val="none"/>
                <w:shd w:val="clear" w:color="auto" w:fill="auto"/>
                <w:lang w:val="en-US" w:eastAsia="zh-CN"/>
              </w:rPr>
              <w:t>贡献</w:t>
            </w:r>
            <w:r>
              <w:rPr>
                <w:rFonts w:hint="default" w:ascii="Times New Roman" w:hAnsi="Times New Roman" w:eastAsia="宋体" w:cs="Times New Roman"/>
                <w:b/>
                <w:bCs/>
                <w:color w:val="auto"/>
                <w:sz w:val="21"/>
                <w:szCs w:val="21"/>
                <w:highlight w:val="none"/>
                <w:shd w:val="clear" w:color="auto" w:fill="auto"/>
                <w:lang w:val="zh-CN" w:eastAsia="zh-CN"/>
              </w:rPr>
              <w:t>值</w:t>
            </w:r>
            <w:r>
              <w:rPr>
                <w:rFonts w:hint="eastAsia" w:ascii="Times New Roman" w:hAnsi="Times New Roman" w:eastAsia="宋体" w:cs="Times New Roman"/>
                <w:b/>
                <w:bCs/>
                <w:color w:val="auto"/>
                <w:sz w:val="21"/>
                <w:szCs w:val="21"/>
                <w:highlight w:val="none"/>
                <w:shd w:val="clear" w:color="auto" w:fill="auto"/>
                <w:lang w:val="zh-CN" w:eastAsia="zh-CN"/>
              </w:rPr>
              <w:t>一览</w:t>
            </w:r>
            <w:r>
              <w:rPr>
                <w:rFonts w:hint="default" w:ascii="Times New Roman" w:hAnsi="Times New Roman" w:eastAsia="宋体" w:cs="Times New Roman"/>
                <w:b/>
                <w:bCs/>
                <w:color w:val="auto"/>
                <w:sz w:val="21"/>
                <w:szCs w:val="21"/>
                <w:highlight w:val="none"/>
                <w:shd w:val="clear" w:color="auto" w:fill="auto"/>
                <w:lang w:val="zh-CN" w:eastAsia="zh-CN"/>
              </w:rPr>
              <w:t>表</w:t>
            </w:r>
          </w:p>
          <w:tbl>
            <w:tblPr>
              <w:tblStyle w:val="24"/>
              <w:tblW w:w="839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1339"/>
              <w:gridCol w:w="1342"/>
              <w:gridCol w:w="1342"/>
              <w:gridCol w:w="1343"/>
              <w:gridCol w:w="1498"/>
              <w:gridCol w:w="152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1330" w:type="dxa"/>
                  <w:vMerge w:val="restart"/>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color w:val="auto"/>
                      <w:sz w:val="21"/>
                      <w:szCs w:val="21"/>
                      <w:highlight w:val="none"/>
                      <w:shd w:val="clear" w:color="auto" w:fill="auto"/>
                    </w:rPr>
                  </w:pPr>
                  <w:r>
                    <w:rPr>
                      <w:rFonts w:hint="default" w:ascii="Times New Roman" w:hAnsi="Times New Roman" w:eastAsia="宋体" w:cs="Times New Roman"/>
                      <w:color w:val="auto"/>
                      <w:sz w:val="21"/>
                      <w:szCs w:val="21"/>
                      <w:highlight w:val="none"/>
                      <w:shd w:val="clear" w:color="auto" w:fill="auto"/>
                      <w:lang w:val="en-US" w:eastAsia="zh-CN"/>
                    </w:rPr>
                    <w:t>厂界</w:t>
                  </w:r>
                </w:p>
              </w:tc>
              <w:tc>
                <w:tcPr>
                  <w:tcW w:w="1333" w:type="dxa"/>
                  <w:vMerge w:val="restart"/>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eastAsia="zh-CN"/>
                    </w:rPr>
                  </w:pPr>
                  <w:r>
                    <w:rPr>
                      <w:rFonts w:hint="eastAsia" w:ascii="Times New Roman" w:hAnsi="Times New Roman" w:eastAsia="宋体" w:cs="Times New Roman"/>
                      <w:color w:val="auto"/>
                      <w:sz w:val="21"/>
                      <w:szCs w:val="21"/>
                      <w:highlight w:val="none"/>
                      <w:shd w:val="clear" w:color="auto" w:fill="auto"/>
                      <w:lang w:eastAsia="zh-CN"/>
                    </w:rPr>
                    <w:t>噪声贡献值</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eastAsia="zh-CN"/>
                    </w:rPr>
                  </w:pPr>
                  <w:r>
                    <w:rPr>
                      <w:rFonts w:hint="eastAsia" w:ascii="Times New Roman" w:hAnsi="Times New Roman" w:eastAsia="宋体" w:cs="Times New Roman"/>
                      <w:color w:val="auto"/>
                      <w:sz w:val="21"/>
                      <w:szCs w:val="21"/>
                      <w:highlight w:val="none"/>
                      <w:shd w:val="clear" w:color="auto" w:fill="auto"/>
                      <w:lang w:val="en-US" w:eastAsia="zh-CN"/>
                    </w:rPr>
                    <w:t>/</w:t>
                  </w:r>
                  <w:r>
                    <w:rPr>
                      <w:rFonts w:hint="eastAsia" w:ascii="Times New Roman" w:hAnsi="Times New Roman" w:eastAsia="宋体" w:cs="Times New Roman"/>
                      <w:color w:val="auto"/>
                      <w:spacing w:val="0"/>
                      <w:position w:val="0"/>
                      <w:sz w:val="21"/>
                      <w:szCs w:val="21"/>
                      <w:highlight w:val="none"/>
                      <w:shd w:val="clear" w:color="auto" w:fill="auto"/>
                      <w:lang w:val="en-US" w:eastAsia="zh-CN"/>
                    </w:rPr>
                    <w:t>dB（A）</w:t>
                  </w:r>
                </w:p>
              </w:tc>
              <w:tc>
                <w:tcPr>
                  <w:tcW w:w="2667" w:type="dxa"/>
                  <w:gridSpan w:val="2"/>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eastAsia="zh-CN"/>
                    </w:rPr>
                  </w:pPr>
                  <w:r>
                    <w:rPr>
                      <w:rFonts w:hint="eastAsia" w:ascii="Times New Roman" w:hAnsi="Times New Roman" w:eastAsia="宋体" w:cs="Times New Roman"/>
                      <w:color w:val="auto"/>
                      <w:sz w:val="21"/>
                      <w:szCs w:val="21"/>
                      <w:highlight w:val="none"/>
                      <w:shd w:val="clear" w:color="auto" w:fill="auto"/>
                      <w:lang w:val="en-US" w:eastAsia="zh-CN"/>
                    </w:rPr>
                    <w:t>标准值/</w:t>
                  </w:r>
                  <w:r>
                    <w:rPr>
                      <w:rFonts w:hint="eastAsia" w:ascii="Times New Roman" w:hAnsi="Times New Roman" w:eastAsia="宋体" w:cs="Times New Roman"/>
                      <w:color w:val="auto"/>
                      <w:spacing w:val="0"/>
                      <w:position w:val="0"/>
                      <w:sz w:val="21"/>
                      <w:szCs w:val="21"/>
                      <w:highlight w:val="none"/>
                      <w:shd w:val="clear" w:color="auto" w:fill="auto"/>
                      <w:lang w:val="en-US" w:eastAsia="zh-CN"/>
                    </w:rPr>
                    <w:t>dB（A）</w:t>
                  </w:r>
                </w:p>
              </w:tc>
              <w:tc>
                <w:tcPr>
                  <w:tcW w:w="3004" w:type="dxa"/>
                  <w:gridSpan w:val="2"/>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达标分析</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8" w:hRule="atLeast"/>
                <w:jc w:val="center"/>
              </w:trPr>
              <w:tc>
                <w:tcPr>
                  <w:tcW w:w="1330"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color w:val="auto"/>
                      <w:sz w:val="21"/>
                      <w:szCs w:val="21"/>
                      <w:highlight w:val="none"/>
                      <w:shd w:val="clear" w:color="auto" w:fill="auto"/>
                    </w:rPr>
                  </w:pPr>
                </w:p>
              </w:tc>
              <w:tc>
                <w:tcPr>
                  <w:tcW w:w="1333"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color w:val="auto"/>
                      <w:sz w:val="21"/>
                      <w:szCs w:val="21"/>
                      <w:highlight w:val="none"/>
                      <w:shd w:val="clear" w:color="auto" w:fill="auto"/>
                    </w:rPr>
                  </w:pPr>
                </w:p>
              </w:tc>
              <w:tc>
                <w:tcPr>
                  <w:tcW w:w="1333"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eastAsia="宋体"/>
                      <w:color w:val="auto"/>
                      <w:sz w:val="21"/>
                      <w:szCs w:val="21"/>
                      <w:highlight w:val="none"/>
                      <w:shd w:val="clear" w:color="auto" w:fill="auto"/>
                      <w:lang w:eastAsia="zh-CN"/>
                    </w:rPr>
                  </w:pPr>
                  <w:r>
                    <w:rPr>
                      <w:rFonts w:hint="eastAsia"/>
                      <w:color w:val="auto"/>
                      <w:sz w:val="21"/>
                      <w:szCs w:val="21"/>
                      <w:highlight w:val="none"/>
                      <w:shd w:val="clear" w:color="auto" w:fill="auto"/>
                      <w:lang w:eastAsia="zh-CN"/>
                    </w:rPr>
                    <w:t>昼间</w:t>
                  </w:r>
                </w:p>
              </w:tc>
              <w:tc>
                <w:tcPr>
                  <w:tcW w:w="1334"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eastAsia="宋体"/>
                      <w:color w:val="auto"/>
                      <w:sz w:val="21"/>
                      <w:szCs w:val="21"/>
                      <w:highlight w:val="none"/>
                      <w:shd w:val="clear" w:color="auto" w:fill="auto"/>
                      <w:lang w:eastAsia="zh-CN"/>
                    </w:rPr>
                  </w:pPr>
                  <w:r>
                    <w:rPr>
                      <w:rFonts w:hint="eastAsia"/>
                      <w:color w:val="auto"/>
                      <w:sz w:val="21"/>
                      <w:szCs w:val="21"/>
                      <w:highlight w:val="none"/>
                      <w:shd w:val="clear" w:color="auto" w:fill="auto"/>
                      <w:lang w:eastAsia="zh-CN"/>
                    </w:rPr>
                    <w:t>夜间</w:t>
                  </w:r>
                </w:p>
              </w:tc>
              <w:tc>
                <w:tcPr>
                  <w:tcW w:w="1488"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eastAsia="zh-CN"/>
                    </w:rPr>
                  </w:pPr>
                  <w:r>
                    <w:rPr>
                      <w:rFonts w:hint="eastAsia" w:ascii="Times New Roman" w:hAnsi="Times New Roman" w:eastAsia="宋体" w:cs="Times New Roman"/>
                      <w:color w:val="auto"/>
                      <w:sz w:val="21"/>
                      <w:szCs w:val="21"/>
                      <w:highlight w:val="none"/>
                      <w:shd w:val="clear" w:color="auto" w:fill="auto"/>
                      <w:lang w:eastAsia="zh-CN"/>
                    </w:rPr>
                    <w:t>昼间</w:t>
                  </w:r>
                </w:p>
              </w:tc>
              <w:tc>
                <w:tcPr>
                  <w:tcW w:w="1516"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eastAsia="zh-CN"/>
                    </w:rPr>
                  </w:pPr>
                  <w:r>
                    <w:rPr>
                      <w:rFonts w:hint="eastAsia" w:ascii="Times New Roman" w:hAnsi="Times New Roman" w:eastAsia="宋体" w:cs="Times New Roman"/>
                      <w:color w:val="auto"/>
                      <w:sz w:val="21"/>
                      <w:szCs w:val="21"/>
                      <w:highlight w:val="none"/>
                      <w:shd w:val="clear" w:color="auto" w:fill="auto"/>
                      <w:lang w:eastAsia="zh-CN"/>
                    </w:rPr>
                    <w:t>夜间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3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color w:val="auto"/>
                      <w:sz w:val="21"/>
                      <w:szCs w:val="21"/>
                      <w:highlight w:val="none"/>
                      <w:shd w:val="clear" w:color="auto" w:fill="auto"/>
                    </w:rPr>
                  </w:pPr>
                  <w:r>
                    <w:rPr>
                      <w:rFonts w:hint="default" w:ascii="Times New Roman" w:hAnsi="Times New Roman" w:eastAsia="宋体" w:cs="Times New Roman"/>
                      <w:color w:val="auto"/>
                      <w:sz w:val="21"/>
                      <w:szCs w:val="21"/>
                      <w:highlight w:val="none"/>
                      <w:shd w:val="clear" w:color="auto" w:fill="auto"/>
                      <w:lang w:val="en-US" w:eastAsia="zh-CN"/>
                    </w:rPr>
                    <w:t>东厂界</w:t>
                  </w:r>
                </w:p>
              </w:tc>
              <w:tc>
                <w:tcPr>
                  <w:tcW w:w="1333"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8</w:t>
                  </w:r>
                </w:p>
              </w:tc>
              <w:tc>
                <w:tcPr>
                  <w:tcW w:w="1333"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60</w:t>
                  </w:r>
                </w:p>
              </w:tc>
              <w:tc>
                <w:tcPr>
                  <w:tcW w:w="1334"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5</w:t>
                  </w:r>
                  <w:r>
                    <w:rPr>
                      <w:rFonts w:hint="eastAsia" w:cs="Times New Roman"/>
                      <w:color w:val="auto"/>
                      <w:sz w:val="21"/>
                      <w:szCs w:val="21"/>
                      <w:highlight w:val="none"/>
                      <w:shd w:val="clear" w:color="auto" w:fill="auto"/>
                      <w:lang w:val="en-US" w:eastAsia="zh-CN"/>
                    </w:rPr>
                    <w:t>0</w:t>
                  </w:r>
                </w:p>
              </w:tc>
              <w:tc>
                <w:tcPr>
                  <w:tcW w:w="1488"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达标</w:t>
                  </w:r>
                </w:p>
              </w:tc>
              <w:tc>
                <w:tcPr>
                  <w:tcW w:w="1516"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3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color w:val="auto"/>
                      <w:sz w:val="21"/>
                      <w:szCs w:val="21"/>
                      <w:highlight w:val="none"/>
                      <w:shd w:val="clear" w:color="auto" w:fill="auto"/>
                    </w:rPr>
                  </w:pPr>
                  <w:r>
                    <w:rPr>
                      <w:rFonts w:hint="default" w:ascii="Times New Roman" w:hAnsi="Times New Roman" w:eastAsia="宋体" w:cs="Times New Roman"/>
                      <w:color w:val="auto"/>
                      <w:sz w:val="21"/>
                      <w:szCs w:val="21"/>
                      <w:highlight w:val="none"/>
                      <w:shd w:val="clear" w:color="auto" w:fill="auto"/>
                      <w:lang w:val="en-US" w:eastAsia="zh-CN"/>
                    </w:rPr>
                    <w:t>南厂界</w:t>
                  </w:r>
                </w:p>
              </w:tc>
              <w:tc>
                <w:tcPr>
                  <w:tcW w:w="1333"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20</w:t>
                  </w:r>
                </w:p>
              </w:tc>
              <w:tc>
                <w:tcPr>
                  <w:tcW w:w="1333"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60</w:t>
                  </w:r>
                </w:p>
              </w:tc>
              <w:tc>
                <w:tcPr>
                  <w:tcW w:w="1334"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5</w:t>
                  </w:r>
                  <w:r>
                    <w:rPr>
                      <w:rFonts w:hint="eastAsia" w:cs="Times New Roman"/>
                      <w:color w:val="auto"/>
                      <w:sz w:val="21"/>
                      <w:szCs w:val="21"/>
                      <w:highlight w:val="none"/>
                      <w:shd w:val="clear" w:color="auto" w:fill="auto"/>
                      <w:lang w:val="en-US" w:eastAsia="zh-CN"/>
                    </w:rPr>
                    <w:t>0</w:t>
                  </w:r>
                </w:p>
              </w:tc>
              <w:tc>
                <w:tcPr>
                  <w:tcW w:w="1488"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达标</w:t>
                  </w:r>
                </w:p>
              </w:tc>
              <w:tc>
                <w:tcPr>
                  <w:tcW w:w="1516"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3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color w:val="auto"/>
                      <w:sz w:val="21"/>
                      <w:szCs w:val="21"/>
                      <w:highlight w:val="none"/>
                      <w:shd w:val="clear" w:color="auto" w:fill="auto"/>
                    </w:rPr>
                  </w:pPr>
                  <w:r>
                    <w:rPr>
                      <w:rFonts w:hint="default" w:ascii="Times New Roman" w:hAnsi="Times New Roman" w:eastAsia="宋体" w:cs="Times New Roman"/>
                      <w:color w:val="auto"/>
                      <w:sz w:val="21"/>
                      <w:szCs w:val="21"/>
                      <w:highlight w:val="none"/>
                      <w:shd w:val="clear" w:color="auto" w:fill="auto"/>
                      <w:lang w:val="en-US" w:eastAsia="zh-CN"/>
                    </w:rPr>
                    <w:t>西厂界</w:t>
                  </w:r>
                </w:p>
              </w:tc>
              <w:tc>
                <w:tcPr>
                  <w:tcW w:w="1333"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4</w:t>
                  </w:r>
                  <w:r>
                    <w:rPr>
                      <w:rFonts w:hint="eastAsia" w:cs="Times New Roman"/>
                      <w:color w:val="auto"/>
                      <w:sz w:val="21"/>
                      <w:szCs w:val="21"/>
                      <w:highlight w:val="none"/>
                      <w:shd w:val="clear" w:color="auto" w:fill="auto"/>
                      <w:lang w:val="en-US" w:eastAsia="zh-CN"/>
                    </w:rPr>
                    <w:t>9</w:t>
                  </w:r>
                </w:p>
              </w:tc>
              <w:tc>
                <w:tcPr>
                  <w:tcW w:w="1333"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60</w:t>
                  </w:r>
                </w:p>
              </w:tc>
              <w:tc>
                <w:tcPr>
                  <w:tcW w:w="1334"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5</w:t>
                  </w:r>
                  <w:r>
                    <w:rPr>
                      <w:rFonts w:hint="eastAsia" w:cs="Times New Roman"/>
                      <w:color w:val="auto"/>
                      <w:sz w:val="21"/>
                      <w:szCs w:val="21"/>
                      <w:highlight w:val="none"/>
                      <w:shd w:val="clear" w:color="auto" w:fill="auto"/>
                      <w:lang w:val="en-US" w:eastAsia="zh-CN"/>
                    </w:rPr>
                    <w:t>0</w:t>
                  </w:r>
                </w:p>
              </w:tc>
              <w:tc>
                <w:tcPr>
                  <w:tcW w:w="1488"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达标</w:t>
                  </w:r>
                </w:p>
              </w:tc>
              <w:tc>
                <w:tcPr>
                  <w:tcW w:w="1516"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3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color w:val="auto"/>
                      <w:sz w:val="21"/>
                      <w:szCs w:val="21"/>
                      <w:highlight w:val="none"/>
                      <w:shd w:val="clear" w:color="auto" w:fill="auto"/>
                    </w:rPr>
                  </w:pPr>
                  <w:r>
                    <w:rPr>
                      <w:rFonts w:hint="default" w:ascii="Times New Roman" w:hAnsi="Times New Roman" w:eastAsia="宋体" w:cs="Times New Roman"/>
                      <w:color w:val="auto"/>
                      <w:sz w:val="21"/>
                      <w:szCs w:val="21"/>
                      <w:highlight w:val="none"/>
                      <w:shd w:val="clear" w:color="auto" w:fill="auto"/>
                      <w:lang w:val="en-US" w:eastAsia="zh-CN"/>
                    </w:rPr>
                    <w:t>北厂界</w:t>
                  </w:r>
                </w:p>
              </w:tc>
              <w:tc>
                <w:tcPr>
                  <w:tcW w:w="1333"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color w:val="auto"/>
                      <w:sz w:val="21"/>
                      <w:szCs w:val="21"/>
                      <w:highlight w:val="none"/>
                      <w:shd w:val="clear" w:color="auto" w:fill="auto"/>
                      <w:lang w:val="en-US" w:eastAsia="zh-CN"/>
                    </w:rPr>
                  </w:pPr>
                  <w:r>
                    <w:rPr>
                      <w:rFonts w:hint="default" w:ascii="Times New Roman" w:hAnsi="Times New Roman" w:cs="Times New Roman"/>
                      <w:color w:val="auto"/>
                      <w:sz w:val="21"/>
                      <w:szCs w:val="21"/>
                      <w:highlight w:val="none"/>
                      <w:shd w:val="clear" w:color="auto" w:fill="auto"/>
                      <w:lang w:val="en-US" w:eastAsia="zh-CN"/>
                    </w:rPr>
                    <w:t>2</w:t>
                  </w:r>
                  <w:r>
                    <w:rPr>
                      <w:rFonts w:hint="eastAsia" w:ascii="Times New Roman" w:hAnsi="Times New Roman" w:cs="Times New Roman"/>
                      <w:color w:val="auto"/>
                      <w:sz w:val="21"/>
                      <w:szCs w:val="21"/>
                      <w:highlight w:val="none"/>
                      <w:shd w:val="clear" w:color="auto" w:fill="auto"/>
                      <w:lang w:val="en-US" w:eastAsia="zh-CN"/>
                    </w:rPr>
                    <w:t>9</w:t>
                  </w:r>
                </w:p>
              </w:tc>
              <w:tc>
                <w:tcPr>
                  <w:tcW w:w="1333"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60</w:t>
                  </w:r>
                </w:p>
              </w:tc>
              <w:tc>
                <w:tcPr>
                  <w:tcW w:w="1334"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5</w:t>
                  </w:r>
                  <w:r>
                    <w:rPr>
                      <w:rFonts w:hint="eastAsia" w:cs="Times New Roman"/>
                      <w:color w:val="auto"/>
                      <w:sz w:val="21"/>
                      <w:szCs w:val="21"/>
                      <w:highlight w:val="none"/>
                      <w:shd w:val="clear" w:color="auto" w:fill="auto"/>
                      <w:lang w:val="en-US" w:eastAsia="zh-CN"/>
                    </w:rPr>
                    <w:t>0</w:t>
                  </w:r>
                </w:p>
              </w:tc>
              <w:tc>
                <w:tcPr>
                  <w:tcW w:w="1488"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达标</w:t>
                  </w:r>
                </w:p>
              </w:tc>
              <w:tc>
                <w:tcPr>
                  <w:tcW w:w="1516"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达标</w:t>
                  </w:r>
                </w:p>
              </w:tc>
            </w:tr>
          </w:tbl>
          <w:p>
            <w:pPr>
              <w:bidi w:val="0"/>
              <w:rPr>
                <w:rFonts w:hint="default" w:eastAsia="宋体"/>
                <w:b/>
                <w:bCs/>
                <w:color w:val="auto"/>
                <w:highlight w:val="none"/>
                <w:lang w:val="en-US" w:eastAsia="zh-CN"/>
              </w:rPr>
            </w:pPr>
            <w:r>
              <w:rPr>
                <w:rFonts w:hint="eastAsia"/>
                <w:b/>
                <w:bCs/>
                <w:color w:val="auto"/>
                <w:highlight w:val="none"/>
                <w:lang w:val="en-US" w:eastAsia="zh-CN"/>
              </w:rPr>
              <w:t>3.2达标情况分析</w:t>
            </w:r>
          </w:p>
          <w:p>
            <w:pPr>
              <w:bidi w:val="0"/>
              <w:rPr>
                <w:rFonts w:hint="eastAsia" w:eastAsia="宋体"/>
                <w:color w:val="auto"/>
                <w:highlight w:val="none"/>
                <w:lang w:eastAsia="zh-CN"/>
              </w:rPr>
            </w:pPr>
            <w:r>
              <w:rPr>
                <w:rFonts w:hint="default"/>
                <w:b w:val="0"/>
                <w:bCs w:val="0"/>
                <w:color w:val="auto"/>
                <w:highlight w:val="none"/>
              </w:rPr>
              <w:t>本项目营运期主要噪声源为</w:t>
            </w:r>
            <w:r>
              <w:rPr>
                <w:rFonts w:hint="eastAsia"/>
                <w:b w:val="0"/>
                <w:bCs w:val="0"/>
                <w:color w:val="auto"/>
                <w:highlight w:val="none"/>
                <w:lang w:val="en-US" w:eastAsia="zh-CN"/>
              </w:rPr>
              <w:t>空压机、丝印机、研磨机、覆膜印刷机、覆膜烘干机、喷镀炉、蒸镀炉、烘干炉、烧熔炉、自动覆膜机、风机等</w:t>
            </w:r>
            <w:r>
              <w:rPr>
                <w:rFonts w:hint="default"/>
                <w:b w:val="0"/>
                <w:bCs w:val="0"/>
                <w:color w:val="auto"/>
                <w:highlight w:val="none"/>
              </w:rPr>
              <w:t>运行时产生的噪声</w:t>
            </w:r>
            <w:r>
              <w:rPr>
                <w:rFonts w:hint="eastAsia"/>
                <w:color w:val="auto"/>
                <w:highlight w:val="none"/>
                <w:lang w:val="en-US" w:eastAsia="zh-CN"/>
              </w:rPr>
              <w:t>，在对设备采取基础减振、厂房隔声等降噪措施后，</w:t>
            </w:r>
            <w:r>
              <w:rPr>
                <w:rFonts w:hint="eastAsia"/>
                <w:color w:val="auto"/>
                <w:highlight w:val="none"/>
              </w:rPr>
              <w:t>厂界</w:t>
            </w:r>
            <w:r>
              <w:rPr>
                <w:rFonts w:hint="default"/>
                <w:color w:val="auto"/>
                <w:highlight w:val="none"/>
              </w:rPr>
              <w:t>噪声</w:t>
            </w:r>
            <w:r>
              <w:rPr>
                <w:rFonts w:hint="eastAsia"/>
                <w:color w:val="auto"/>
                <w:highlight w:val="none"/>
                <w:lang w:val="en-US" w:eastAsia="zh-CN"/>
              </w:rPr>
              <w:t>贡献值</w:t>
            </w:r>
            <w:r>
              <w:rPr>
                <w:rFonts w:hint="eastAsia"/>
                <w:color w:val="auto"/>
                <w:highlight w:val="none"/>
              </w:rPr>
              <w:t>满足</w:t>
            </w:r>
            <w:r>
              <w:rPr>
                <w:rFonts w:hint="default"/>
                <w:color w:val="auto"/>
                <w:highlight w:val="none"/>
              </w:rPr>
              <w:t>《工业企业厂界环境噪声排放标准》（GB12348-2008）</w:t>
            </w:r>
            <w:r>
              <w:rPr>
                <w:rFonts w:hint="eastAsia"/>
                <w:color w:val="auto"/>
                <w:highlight w:val="none"/>
                <w:lang w:val="en-US" w:eastAsia="zh-CN"/>
              </w:rPr>
              <w:t>2</w:t>
            </w:r>
            <w:r>
              <w:rPr>
                <w:rFonts w:hint="default"/>
                <w:color w:val="auto"/>
                <w:highlight w:val="none"/>
              </w:rPr>
              <w:t>类标准</w:t>
            </w:r>
            <w:r>
              <w:rPr>
                <w:rFonts w:hint="eastAsia"/>
                <w:color w:val="auto"/>
                <w:highlight w:val="none"/>
                <w:lang w:eastAsia="zh-CN"/>
              </w:rPr>
              <w:t>，</w:t>
            </w:r>
            <w:r>
              <w:rPr>
                <w:rFonts w:hint="eastAsia"/>
                <w:color w:val="auto"/>
                <w:highlight w:val="none"/>
                <w:lang w:val="en-US" w:eastAsia="zh-CN"/>
              </w:rPr>
              <w:t>昼间</w:t>
            </w:r>
            <w:r>
              <w:rPr>
                <w:rFonts w:hint="eastAsia"/>
                <w:color w:val="auto"/>
                <w:sz w:val="24"/>
                <w:szCs w:val="24"/>
                <w:highlight w:val="none"/>
                <w:lang w:val="en-US" w:eastAsia="zh-CN"/>
              </w:rPr>
              <w:t>60</w:t>
            </w:r>
            <w:r>
              <w:rPr>
                <w:rFonts w:hint="default"/>
                <w:color w:val="auto"/>
                <w:sz w:val="24"/>
                <w:szCs w:val="24"/>
                <w:highlight w:val="none"/>
              </w:rPr>
              <w:t>dB（A）</w:t>
            </w:r>
            <w:r>
              <w:rPr>
                <w:rFonts w:hint="eastAsia"/>
                <w:color w:val="auto"/>
                <w:sz w:val="24"/>
                <w:szCs w:val="24"/>
                <w:highlight w:val="none"/>
                <w:lang w:eastAsia="zh-CN"/>
              </w:rPr>
              <w:t>，</w:t>
            </w:r>
            <w:r>
              <w:rPr>
                <w:rFonts w:hint="eastAsia"/>
                <w:color w:val="auto"/>
                <w:sz w:val="24"/>
                <w:szCs w:val="24"/>
                <w:highlight w:val="none"/>
                <w:lang w:val="en-US" w:eastAsia="zh-CN"/>
              </w:rPr>
              <w:t>夜间50</w:t>
            </w:r>
            <w:r>
              <w:rPr>
                <w:rFonts w:hint="default"/>
                <w:color w:val="auto"/>
                <w:sz w:val="24"/>
                <w:szCs w:val="24"/>
                <w:highlight w:val="none"/>
              </w:rPr>
              <w:t>dB（A）</w:t>
            </w:r>
            <w:r>
              <w:rPr>
                <w:rFonts w:hint="eastAsia"/>
                <w:color w:val="auto"/>
                <w:sz w:val="24"/>
                <w:szCs w:val="24"/>
                <w:highlight w:val="none"/>
                <w:lang w:val="en-US" w:eastAsia="zh-CN"/>
              </w:rPr>
              <w:t>的要求</w:t>
            </w:r>
            <w:r>
              <w:rPr>
                <w:rFonts w:hint="eastAsia"/>
                <w:color w:val="auto"/>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482" w:firstLineChars="200"/>
              <w:textAlignment w:val="auto"/>
              <w:rPr>
                <w:rFonts w:hint="eastAsia"/>
                <w:b/>
                <w:bCs/>
                <w:color w:val="auto"/>
                <w:sz w:val="24"/>
                <w:szCs w:val="24"/>
                <w:highlight w:val="none"/>
                <w:lang w:val="en-US" w:eastAsia="zh-CN"/>
              </w:rPr>
            </w:pPr>
            <w:r>
              <w:rPr>
                <w:rFonts w:hint="eastAsia"/>
                <w:b/>
                <w:bCs/>
                <w:color w:val="auto"/>
                <w:sz w:val="24"/>
                <w:szCs w:val="24"/>
                <w:highlight w:val="none"/>
                <w:lang w:val="en-US" w:eastAsia="zh-CN"/>
              </w:rPr>
              <w:t>3.3监测计划</w:t>
            </w:r>
          </w:p>
          <w:p>
            <w:pPr>
              <w:bidi w:val="0"/>
              <w:rPr>
                <w:rFonts w:hint="eastAsia"/>
                <w:color w:val="auto"/>
                <w:kern w:val="1"/>
                <w:sz w:val="24"/>
                <w:szCs w:val="24"/>
                <w:highlight w:val="none"/>
                <w:lang w:val="en-US" w:eastAsia="zh-CN" w:bidi="ar"/>
              </w:rPr>
            </w:pPr>
            <w:r>
              <w:rPr>
                <w:rFonts w:ascii="Times New Roman" w:hAnsi="Times New Roman"/>
                <w:snapToGrid w:val="0"/>
                <w:color w:val="auto"/>
                <w:kern w:val="0"/>
                <w:sz w:val="24"/>
                <w:szCs w:val="24"/>
                <w:highlight w:val="none"/>
                <w:lang w:bidi="ar"/>
              </w:rPr>
              <w:t>根据本建设项目性质与实际情况，</w:t>
            </w:r>
            <w:r>
              <w:rPr>
                <w:rFonts w:ascii="Times New Roman" w:hAnsi="Times New Roman"/>
                <w:color w:val="auto"/>
                <w:sz w:val="24"/>
                <w:szCs w:val="24"/>
                <w:highlight w:val="none"/>
              </w:rPr>
              <w:t>按照《排污单位自行监测技术指南 总则》</w:t>
            </w:r>
            <w:r>
              <w:rPr>
                <w:rFonts w:hint="eastAsia" w:ascii="Times New Roman" w:hAnsi="Times New Roman"/>
                <w:color w:val="auto"/>
                <w:sz w:val="24"/>
                <w:szCs w:val="24"/>
                <w:highlight w:val="none"/>
                <w:lang w:eastAsia="zh-CN"/>
              </w:rPr>
              <w:t>（</w:t>
            </w:r>
            <w:r>
              <w:rPr>
                <w:rFonts w:hint="eastAsia" w:ascii="Times New Roman" w:hAnsi="Times New Roman"/>
                <w:color w:val="auto"/>
                <w:sz w:val="24"/>
                <w:szCs w:val="24"/>
                <w:highlight w:val="none"/>
                <w:lang w:val="en-US" w:eastAsia="zh-CN"/>
              </w:rPr>
              <w:t>HJ819-2017</w:t>
            </w:r>
            <w:r>
              <w:rPr>
                <w:rFonts w:hint="eastAsia" w:ascii="Times New Roman" w:hAnsi="Times New Roman"/>
                <w:color w:val="auto"/>
                <w:sz w:val="24"/>
                <w:szCs w:val="24"/>
                <w:highlight w:val="none"/>
                <w:lang w:eastAsia="zh-CN"/>
              </w:rPr>
              <w:t>）</w:t>
            </w:r>
            <w:r>
              <w:rPr>
                <w:rFonts w:hint="eastAsia"/>
                <w:color w:val="auto"/>
                <w:kern w:val="1"/>
                <w:sz w:val="24"/>
                <w:szCs w:val="24"/>
                <w:highlight w:val="none"/>
                <w:lang w:val="en-US" w:eastAsia="zh-CN" w:bidi="ar"/>
              </w:rPr>
              <w:t>要求，企业投入运营后噪声监测情况见下表。</w:t>
            </w:r>
          </w:p>
          <w:p>
            <w:pPr>
              <w:pStyle w:val="31"/>
              <w:bidi w:val="0"/>
              <w:rPr>
                <w:rFonts w:hint="default"/>
                <w:b/>
                <w:color w:val="auto"/>
                <w:sz w:val="24"/>
                <w:szCs w:val="24"/>
                <w:highlight w:val="none"/>
              </w:rPr>
            </w:pPr>
            <w:r>
              <w:rPr>
                <w:rFonts w:hint="default"/>
                <w:color w:val="auto"/>
                <w:sz w:val="21"/>
                <w:szCs w:val="21"/>
                <w:highlight w:val="none"/>
              </w:rPr>
              <w:t>表</w:t>
            </w:r>
            <w:r>
              <w:rPr>
                <w:rFonts w:hint="eastAsia"/>
                <w:color w:val="auto"/>
                <w:sz w:val="21"/>
                <w:szCs w:val="21"/>
                <w:highlight w:val="none"/>
                <w:lang w:val="en-US" w:eastAsia="zh-CN"/>
              </w:rPr>
              <w:t xml:space="preserve">37  </w:t>
            </w:r>
            <w:r>
              <w:rPr>
                <w:rFonts w:hint="default"/>
                <w:color w:val="auto"/>
                <w:sz w:val="21"/>
                <w:szCs w:val="21"/>
                <w:highlight w:val="none"/>
              </w:rPr>
              <w:t>项目厂界噪声监测计划</w:t>
            </w:r>
            <w:r>
              <w:rPr>
                <w:rFonts w:hint="eastAsia"/>
                <w:color w:val="auto"/>
                <w:sz w:val="21"/>
                <w:szCs w:val="21"/>
                <w:highlight w:val="none"/>
                <w:lang w:val="en-US" w:eastAsia="zh-CN"/>
              </w:rPr>
              <w:t>一览</w:t>
            </w:r>
            <w:r>
              <w:rPr>
                <w:rFonts w:hint="default"/>
                <w:color w:val="auto"/>
                <w:sz w:val="21"/>
                <w:szCs w:val="21"/>
                <w:highlight w:val="none"/>
              </w:rPr>
              <w:t>表</w:t>
            </w:r>
          </w:p>
          <w:tbl>
            <w:tblPr>
              <w:tblStyle w:val="24"/>
              <w:tblW w:w="8390"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08" w:type="dxa"/>
                <w:bottom w:w="0" w:type="dxa"/>
                <w:right w:w="108" w:type="dxa"/>
              </w:tblCellMar>
            </w:tblPr>
            <w:tblGrid>
              <w:gridCol w:w="1499"/>
              <w:gridCol w:w="1778"/>
              <w:gridCol w:w="1205"/>
              <w:gridCol w:w="3908"/>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77" w:hRule="atLeast"/>
                <w:jc w:val="center"/>
              </w:trPr>
              <w:tc>
                <w:tcPr>
                  <w:tcW w:w="1499" w:type="dxa"/>
                  <w:tcBorders>
                    <w:tl2br w:val="nil"/>
                    <w:tr2bl w:val="nil"/>
                  </w:tcBorders>
                  <w:noWrap w:val="0"/>
                  <w:tcMar>
                    <w:top w:w="15" w:type="dxa"/>
                    <w:left w:w="15" w:type="dxa"/>
                    <w:bottom w:w="15" w:type="dxa"/>
                    <w:right w:w="15" w:type="dxa"/>
                  </w:tcMar>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default"/>
                      <w:color w:val="auto"/>
                      <w:sz w:val="21"/>
                      <w:szCs w:val="21"/>
                      <w:highlight w:val="none"/>
                    </w:rPr>
                    <w:t>监测点位</w:t>
                  </w:r>
                </w:p>
              </w:tc>
              <w:tc>
                <w:tcPr>
                  <w:tcW w:w="1778" w:type="dxa"/>
                  <w:tcBorders>
                    <w:tl2br w:val="nil"/>
                    <w:tr2bl w:val="nil"/>
                  </w:tcBorders>
                  <w:noWrap w:val="0"/>
                  <w:tcMar>
                    <w:top w:w="15" w:type="dxa"/>
                    <w:left w:w="15" w:type="dxa"/>
                    <w:bottom w:w="15" w:type="dxa"/>
                    <w:right w:w="15" w:type="dxa"/>
                  </w:tcMar>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default"/>
                      <w:color w:val="auto"/>
                      <w:sz w:val="21"/>
                      <w:szCs w:val="21"/>
                      <w:highlight w:val="none"/>
                    </w:rPr>
                    <w:t>监测指标</w:t>
                  </w:r>
                </w:p>
              </w:tc>
              <w:tc>
                <w:tcPr>
                  <w:tcW w:w="1205" w:type="dxa"/>
                  <w:tcBorders>
                    <w:tl2br w:val="nil"/>
                    <w:tr2bl w:val="nil"/>
                  </w:tcBorders>
                  <w:noWrap w:val="0"/>
                  <w:tcMar>
                    <w:top w:w="15" w:type="dxa"/>
                    <w:left w:w="15" w:type="dxa"/>
                    <w:bottom w:w="15" w:type="dxa"/>
                    <w:right w:w="15" w:type="dxa"/>
                  </w:tcMar>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default"/>
                      <w:color w:val="auto"/>
                      <w:sz w:val="21"/>
                      <w:szCs w:val="21"/>
                      <w:highlight w:val="none"/>
                    </w:rPr>
                    <w:t>监测频次</w:t>
                  </w:r>
                </w:p>
              </w:tc>
              <w:tc>
                <w:tcPr>
                  <w:tcW w:w="3908" w:type="dxa"/>
                  <w:tcBorders>
                    <w:tl2br w:val="nil"/>
                    <w:tr2bl w:val="nil"/>
                  </w:tcBorders>
                  <w:noWrap w:val="0"/>
                  <w:tcMar>
                    <w:top w:w="15" w:type="dxa"/>
                    <w:left w:w="15" w:type="dxa"/>
                    <w:bottom w:w="15" w:type="dxa"/>
                    <w:right w:w="15" w:type="dxa"/>
                  </w:tcMar>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default"/>
                      <w:color w:val="auto"/>
                      <w:sz w:val="21"/>
                      <w:szCs w:val="21"/>
                      <w:highlight w:val="none"/>
                    </w:rPr>
                    <w:t>执行排放标准</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14" w:hRule="atLeast"/>
                <w:jc w:val="center"/>
              </w:trPr>
              <w:tc>
                <w:tcPr>
                  <w:tcW w:w="1499" w:type="dxa"/>
                  <w:tcBorders>
                    <w:tl2br w:val="nil"/>
                    <w:tr2bl w:val="nil"/>
                  </w:tcBorders>
                  <w:noWrap w:val="0"/>
                  <w:tcMar>
                    <w:top w:w="15" w:type="dxa"/>
                    <w:left w:w="15" w:type="dxa"/>
                    <w:bottom w:w="15" w:type="dxa"/>
                    <w:right w:w="15" w:type="dxa"/>
                  </w:tcMar>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eastAsia"/>
                      <w:color w:val="auto"/>
                      <w:sz w:val="21"/>
                      <w:szCs w:val="21"/>
                      <w:highlight w:val="none"/>
                      <w:lang w:val="en-US" w:eastAsia="zh-CN"/>
                    </w:rPr>
                    <w:t>厂</w:t>
                  </w:r>
                  <w:r>
                    <w:rPr>
                      <w:rFonts w:hint="default"/>
                      <w:color w:val="auto"/>
                      <w:sz w:val="21"/>
                      <w:szCs w:val="21"/>
                      <w:highlight w:val="none"/>
                    </w:rPr>
                    <w:t>界外1m处</w:t>
                  </w:r>
                </w:p>
              </w:tc>
              <w:tc>
                <w:tcPr>
                  <w:tcW w:w="1778" w:type="dxa"/>
                  <w:tcBorders>
                    <w:tl2br w:val="nil"/>
                    <w:tr2bl w:val="nil"/>
                  </w:tcBorders>
                  <w:noWrap w:val="0"/>
                  <w:tcMar>
                    <w:top w:w="15" w:type="dxa"/>
                    <w:left w:w="15" w:type="dxa"/>
                    <w:bottom w:w="15" w:type="dxa"/>
                    <w:right w:w="15" w:type="dxa"/>
                  </w:tcMar>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default"/>
                      <w:color w:val="auto"/>
                      <w:sz w:val="21"/>
                      <w:szCs w:val="21"/>
                      <w:highlight w:val="none"/>
                    </w:rPr>
                    <w:t>等效连续A声级</w:t>
                  </w:r>
                </w:p>
              </w:tc>
              <w:tc>
                <w:tcPr>
                  <w:tcW w:w="1205" w:type="dxa"/>
                  <w:tcBorders>
                    <w:tl2br w:val="nil"/>
                    <w:tr2bl w:val="nil"/>
                  </w:tcBorders>
                  <w:noWrap w:val="0"/>
                  <w:tcMar>
                    <w:top w:w="15" w:type="dxa"/>
                    <w:left w:w="15" w:type="dxa"/>
                    <w:bottom w:w="15" w:type="dxa"/>
                    <w:right w:w="15" w:type="dxa"/>
                  </w:tcMar>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rFonts w:hint="default" w:eastAsia="宋体"/>
                      <w:color w:val="auto"/>
                      <w:sz w:val="21"/>
                      <w:szCs w:val="21"/>
                      <w:highlight w:val="none"/>
                      <w:lang w:val="en-US" w:eastAsia="zh-CN"/>
                    </w:rPr>
                  </w:pPr>
                  <w:r>
                    <w:rPr>
                      <w:rFonts w:hint="default"/>
                      <w:color w:val="auto"/>
                      <w:sz w:val="21"/>
                      <w:szCs w:val="21"/>
                      <w:highlight w:val="none"/>
                    </w:rPr>
                    <w:t>1次</w:t>
                  </w:r>
                  <w:r>
                    <w:rPr>
                      <w:rFonts w:hint="eastAsia"/>
                      <w:color w:val="auto"/>
                      <w:sz w:val="21"/>
                      <w:szCs w:val="21"/>
                      <w:highlight w:val="none"/>
                      <w:lang w:val="en-US" w:eastAsia="zh-CN"/>
                    </w:rPr>
                    <w:t>/季度</w:t>
                  </w:r>
                </w:p>
              </w:tc>
              <w:tc>
                <w:tcPr>
                  <w:tcW w:w="3908" w:type="dxa"/>
                  <w:tcBorders>
                    <w:tl2br w:val="nil"/>
                    <w:tr2bl w:val="nil"/>
                  </w:tcBorders>
                  <w:noWrap w:val="0"/>
                  <w:tcMar>
                    <w:top w:w="15" w:type="dxa"/>
                    <w:left w:w="15" w:type="dxa"/>
                    <w:bottom w:w="15" w:type="dxa"/>
                    <w:right w:w="15" w:type="dxa"/>
                  </w:tcMar>
                  <w:vAlign w:val="center"/>
                </w:tcPr>
                <w:p>
                  <w:pPr>
                    <w:pStyle w:val="32"/>
                    <w:keepNext w:val="0"/>
                    <w:keepLines w:val="0"/>
                    <w:pageBreakBefore w:val="0"/>
                    <w:widowControl w:val="0"/>
                    <w:kinsoku/>
                    <w:wordWrap/>
                    <w:overflowPunct/>
                    <w:topLinePunct w:val="0"/>
                    <w:autoSpaceDE/>
                    <w:autoSpaceDN/>
                    <w:bidi w:val="0"/>
                    <w:adjustRightInd/>
                    <w:snapToGrid/>
                    <w:spacing w:before="0" w:after="0"/>
                    <w:textAlignment w:val="auto"/>
                    <w:rPr>
                      <w:rFonts w:hint="default" w:eastAsia="宋体"/>
                      <w:color w:val="auto"/>
                      <w:sz w:val="21"/>
                      <w:szCs w:val="21"/>
                      <w:highlight w:val="none"/>
                      <w:lang w:val="en-US" w:eastAsia="zh-CN"/>
                    </w:rPr>
                  </w:pPr>
                  <w:r>
                    <w:rPr>
                      <w:rFonts w:hint="default"/>
                      <w:color w:val="auto"/>
                      <w:sz w:val="21"/>
                      <w:szCs w:val="21"/>
                      <w:highlight w:val="none"/>
                    </w:rPr>
                    <w:t>《工业企业厂界环境噪声排放标准》（GB12348-2008）中</w:t>
                  </w:r>
                  <w:r>
                    <w:rPr>
                      <w:rFonts w:hint="eastAsia"/>
                      <w:color w:val="auto"/>
                      <w:sz w:val="21"/>
                      <w:szCs w:val="21"/>
                      <w:highlight w:val="none"/>
                      <w:lang w:val="en-US" w:eastAsia="zh-CN"/>
                    </w:rPr>
                    <w:t>2</w:t>
                  </w:r>
                  <w:r>
                    <w:rPr>
                      <w:rFonts w:hint="default"/>
                      <w:color w:val="auto"/>
                      <w:sz w:val="21"/>
                      <w:szCs w:val="21"/>
                      <w:highlight w:val="none"/>
                    </w:rPr>
                    <w:t>类标准</w:t>
                  </w:r>
                </w:p>
              </w:tc>
            </w:tr>
          </w:tbl>
          <w:p>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textAlignment w:val="auto"/>
              <w:rPr>
                <w:rFonts w:hint="eastAsia"/>
                <w:b/>
                <w:bCs/>
                <w:color w:val="auto"/>
                <w:highlight w:val="none"/>
                <w:lang w:val="en-US" w:eastAsia="zh-CN"/>
              </w:rPr>
            </w:pPr>
            <w:r>
              <w:rPr>
                <w:rFonts w:hint="eastAsia"/>
                <w:b/>
                <w:bCs/>
                <w:color w:val="auto"/>
                <w:highlight w:val="none"/>
                <w:lang w:val="en-US" w:eastAsia="zh-CN"/>
              </w:rPr>
              <w:t>4、固体废物</w:t>
            </w:r>
          </w:p>
          <w:p>
            <w:pPr>
              <w:bidi w:val="0"/>
              <w:rPr>
                <w:rFonts w:hint="eastAsia" w:eastAsia="宋体"/>
                <w:b w:val="0"/>
                <w:bCs w:val="0"/>
                <w:color w:val="auto"/>
                <w:highlight w:val="none"/>
                <w:lang w:val="en-US" w:eastAsia="zh-CN"/>
              </w:rPr>
            </w:pPr>
            <w:r>
              <w:rPr>
                <w:rFonts w:hint="eastAsia"/>
                <w:color w:val="auto"/>
                <w:sz w:val="24"/>
                <w:szCs w:val="24"/>
                <w:highlight w:val="none"/>
                <w:lang w:val="en-US" w:eastAsia="zh-CN"/>
              </w:rPr>
              <w:t>本项目固体废物主要为生产过程产生的废包装物；裁切过程产生的PET膜边角料、PVC膜边角料；设备维护保养过程产生的废润滑油、废润滑油桶；生产过程中产生的</w:t>
            </w:r>
            <w:r>
              <w:rPr>
                <w:rFonts w:hint="eastAsia"/>
                <w:color w:val="auto"/>
                <w:lang w:val="en-US" w:eastAsia="zh-CN"/>
              </w:rPr>
              <w:t>废包装桶（导电浆料配制原料包装桶）；废气治理设施定期更换的废活性炭</w:t>
            </w:r>
            <w:r>
              <w:rPr>
                <w:rFonts w:hint="eastAsia" w:cs="Times New Roman"/>
                <w:b w:val="0"/>
                <w:bCs w:val="0"/>
                <w:snapToGrid w:val="0"/>
                <w:color w:val="auto"/>
                <w:kern w:val="0"/>
                <w:sz w:val="24"/>
                <w:szCs w:val="21"/>
                <w:highlight w:val="none"/>
                <w:shd w:val="clear" w:color="auto" w:fill="auto"/>
                <w:lang w:val="en-US" w:eastAsia="zh-CN" w:bidi="ar-SA"/>
              </w:rPr>
              <w:t>。</w:t>
            </w:r>
          </w:p>
          <w:p>
            <w:pPr>
              <w:bidi w:val="0"/>
              <w:rPr>
                <w:rFonts w:hint="eastAsia"/>
                <w:b/>
                <w:bCs/>
                <w:color w:val="auto"/>
                <w:highlight w:val="none"/>
                <w:lang w:val="en-US" w:eastAsia="zh-CN"/>
              </w:rPr>
            </w:pPr>
            <w:r>
              <w:rPr>
                <w:rFonts w:hint="eastAsia"/>
                <w:b/>
                <w:bCs/>
                <w:color w:val="auto"/>
                <w:highlight w:val="none"/>
                <w:lang w:val="en-US" w:eastAsia="zh-CN"/>
              </w:rPr>
              <w:t>4.1一般工业固体废物</w:t>
            </w:r>
          </w:p>
          <w:p>
            <w:pPr>
              <w:bidi w:val="0"/>
              <w:rPr>
                <w:rFonts w:hint="default" w:ascii="Times New Roman" w:eastAsia="宋体"/>
                <w:b/>
                <w:bCs/>
                <w:color w:val="auto"/>
                <w:highlight w:val="none"/>
                <w:lang w:val="en-US" w:eastAsia="zh-CN"/>
              </w:rPr>
            </w:pPr>
            <w:r>
              <w:rPr>
                <w:rFonts w:hint="eastAsia" w:ascii="Times New Roman" w:eastAsia="宋体"/>
                <w:b/>
                <w:bCs/>
                <w:color w:val="auto"/>
                <w:highlight w:val="none"/>
                <w:lang w:val="en-US" w:eastAsia="zh-CN"/>
              </w:rPr>
              <w:t>4.1.1 一般工业固体废物基本情况</w:t>
            </w:r>
          </w:p>
          <w:p>
            <w:pPr>
              <w:bidi w:val="0"/>
              <w:rPr>
                <w:color w:val="auto"/>
              </w:rPr>
            </w:pPr>
            <w:r>
              <w:rPr>
                <w:rFonts w:hint="eastAsia"/>
                <w:color w:val="auto"/>
                <w:lang w:val="en-US" w:eastAsia="zh-CN"/>
              </w:rPr>
              <w:t>本项目产生的一般工业固体废物主要为生产过程产生的废包装物；裁切过程产生的PET膜边角料、PVC膜边角料。</w:t>
            </w:r>
          </w:p>
          <w:p>
            <w:pPr>
              <w:bidi w:val="0"/>
              <w:rPr>
                <w:rFonts w:hint="default" w:eastAsia="宋体"/>
                <w:color w:val="auto"/>
                <w:lang w:val="en-US" w:eastAsia="zh-CN"/>
              </w:rPr>
            </w:pPr>
            <w:r>
              <w:rPr>
                <w:rFonts w:hint="eastAsia"/>
                <w:color w:val="auto"/>
                <w:lang w:eastAsia="zh-CN"/>
              </w:rPr>
              <w:t>（</w:t>
            </w:r>
            <w:r>
              <w:rPr>
                <w:rFonts w:hint="eastAsia"/>
                <w:color w:val="auto"/>
                <w:lang w:val="en-US" w:eastAsia="zh-CN"/>
              </w:rPr>
              <w:t>1</w:t>
            </w:r>
            <w:r>
              <w:rPr>
                <w:rFonts w:hint="eastAsia"/>
                <w:color w:val="auto"/>
                <w:lang w:eastAsia="zh-CN"/>
              </w:rPr>
              <w:t>）</w:t>
            </w:r>
            <w:r>
              <w:rPr>
                <w:rFonts w:hint="eastAsia"/>
                <w:color w:val="auto"/>
                <w:lang w:val="en-US" w:eastAsia="zh-CN"/>
              </w:rPr>
              <w:t>废包装物（385-009-07）</w:t>
            </w:r>
          </w:p>
          <w:p>
            <w:pPr>
              <w:bidi w:val="0"/>
              <w:rPr>
                <w:rFonts w:hint="default" w:eastAsia="宋体"/>
                <w:color w:val="auto"/>
                <w:lang w:val="en-US" w:eastAsia="zh-CN"/>
              </w:rPr>
            </w:pPr>
            <w:r>
              <w:rPr>
                <w:rFonts w:hint="eastAsia"/>
                <w:color w:val="auto"/>
                <w:lang w:val="en-US" w:eastAsia="zh-CN"/>
              </w:rPr>
              <w:t>本项目生产过程会产生一定量的废包装物，产生量为0.3t/a，集中收集，暂存于一般固废储存区，外售废品回收站。</w:t>
            </w:r>
          </w:p>
          <w:p>
            <w:pPr>
              <w:bidi w:val="0"/>
              <w:rPr>
                <w:rFonts w:hint="default" w:eastAsia="宋体"/>
                <w:color w:val="auto"/>
                <w:lang w:val="en-US" w:eastAsia="zh-CN"/>
              </w:rPr>
            </w:pPr>
            <w:r>
              <w:rPr>
                <w:rFonts w:hint="eastAsia"/>
                <w:color w:val="auto"/>
                <w:lang w:eastAsia="zh-CN"/>
              </w:rPr>
              <w:t>（</w:t>
            </w:r>
            <w:r>
              <w:rPr>
                <w:rFonts w:hint="eastAsia"/>
                <w:color w:val="auto"/>
                <w:lang w:val="en-US" w:eastAsia="zh-CN"/>
              </w:rPr>
              <w:t>2</w:t>
            </w:r>
            <w:r>
              <w:rPr>
                <w:rFonts w:hint="eastAsia"/>
                <w:color w:val="auto"/>
                <w:lang w:eastAsia="zh-CN"/>
              </w:rPr>
              <w:t>）</w:t>
            </w:r>
            <w:r>
              <w:rPr>
                <w:rFonts w:hint="eastAsia"/>
                <w:color w:val="auto"/>
                <w:lang w:val="en-US" w:eastAsia="zh-CN"/>
              </w:rPr>
              <w:t>PET膜边角料、PVC膜边角料（385-009-06）</w:t>
            </w:r>
          </w:p>
          <w:p>
            <w:pPr>
              <w:bidi w:val="0"/>
              <w:rPr>
                <w:rFonts w:hint="default" w:eastAsia="宋体"/>
                <w:color w:val="auto"/>
                <w:lang w:val="en-US" w:eastAsia="zh-CN"/>
              </w:rPr>
            </w:pPr>
            <w:r>
              <w:rPr>
                <w:rFonts w:hint="eastAsia"/>
                <w:color w:val="auto"/>
                <w:lang w:val="en-US" w:eastAsia="zh-CN"/>
              </w:rPr>
              <w:t>本项目裁切过程会产生一定量的PET膜边角料、PVC膜边角料，产生量为0.5t/a，集中收集，暂存于一般固废储存区，外售废品回收站。</w:t>
            </w:r>
          </w:p>
          <w:p>
            <w:pPr>
              <w:bidi w:val="0"/>
              <w:rPr>
                <w:rFonts w:hint="eastAsia"/>
                <w:color w:val="auto"/>
                <w:lang w:val="en-US" w:eastAsia="zh-CN"/>
              </w:rPr>
            </w:pPr>
            <w:r>
              <w:rPr>
                <w:rFonts w:hint="eastAsia"/>
                <w:color w:val="auto"/>
                <w:lang w:val="en-US" w:eastAsia="zh-CN"/>
              </w:rPr>
              <w:t>本项目一般工业固体废物产生及处置情况见下表。</w:t>
            </w:r>
          </w:p>
        </w:tc>
      </w:tr>
    </w:tbl>
    <w:p>
      <w:pPr>
        <w:rPr>
          <w:color w:val="auto"/>
          <w:highlight w:val="none"/>
        </w:rPr>
        <w:sectPr>
          <w:pgSz w:w="11906" w:h="16838"/>
          <w:pgMar w:top="1440" w:right="1247" w:bottom="1440" w:left="1417"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25"/>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889"/>
        <w:gridCol w:w="1328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179" w:type="dxa"/>
            <w:tcBorders>
              <w:tl2br w:val="nil"/>
              <w:tr2bl w:val="nil"/>
            </w:tcBorders>
          </w:tcPr>
          <w:p>
            <w:pPr>
              <w:rPr>
                <w:rFonts w:hint="eastAsia" w:ascii="黑体" w:hAnsi="黑体" w:eastAsia="黑体"/>
                <w:snapToGrid w:val="0"/>
                <w:color w:val="auto"/>
                <w:sz w:val="30"/>
                <w:szCs w:val="30"/>
                <w:highlight w:val="none"/>
                <w:vertAlign w:val="baseline"/>
              </w:rPr>
            </w:pPr>
            <w:bookmarkStart w:id="6" w:name="_Toc10289"/>
          </w:p>
        </w:tc>
        <w:tc>
          <w:tcPr>
            <w:tcW w:w="12995" w:type="dxa"/>
            <w:tcBorders>
              <w:tl2br w:val="nil"/>
              <w:tr2bl w:val="nil"/>
            </w:tcBorders>
          </w:tcPr>
          <w:p>
            <w:pPr>
              <w:keepNext w:val="0"/>
              <w:keepLines w:val="0"/>
              <w:pageBreakBefore w:val="0"/>
              <w:widowControl w:val="0"/>
              <w:kinsoku/>
              <w:wordWrap/>
              <w:overflowPunct/>
              <w:topLinePunct w:val="0"/>
              <w:autoSpaceDE/>
              <w:autoSpaceDN/>
              <w:bidi w:val="0"/>
              <w:adjustRightInd w:val="0"/>
              <w:snapToGrid w:val="0"/>
              <w:spacing w:line="480" w:lineRule="exact"/>
              <w:ind w:left="0" w:leftChars="0" w:right="0" w:rightChars="0" w:firstLine="0" w:firstLineChars="0"/>
              <w:jc w:val="center"/>
              <w:textAlignment w:val="auto"/>
              <w:outlineLvl w:val="9"/>
              <w:rPr>
                <w:rFonts w:hint="default" w:ascii="Times New Roman" w:hAnsi="Times New Roman" w:eastAsia="宋体" w:cs="Times New Roman"/>
                <w:b/>
                <w:bCs/>
                <w:color w:val="auto"/>
                <w:sz w:val="21"/>
                <w:szCs w:val="21"/>
                <w:highlight w:val="none"/>
                <w:shd w:val="clear" w:color="auto" w:fill="auto"/>
                <w:lang w:val="en-US" w:eastAsia="zh-CN"/>
              </w:rPr>
            </w:pPr>
            <w:r>
              <w:rPr>
                <w:rFonts w:hint="default" w:ascii="Times New Roman" w:hAnsi="Times New Roman" w:eastAsia="宋体" w:cs="Times New Roman"/>
                <w:b/>
                <w:bCs/>
                <w:color w:val="auto"/>
                <w:sz w:val="21"/>
                <w:szCs w:val="21"/>
                <w:highlight w:val="none"/>
                <w:shd w:val="clear" w:color="auto" w:fill="auto"/>
                <w:lang w:val="zh-CN" w:eastAsia="zh-CN"/>
              </w:rPr>
              <w:t>表</w:t>
            </w:r>
            <w:r>
              <w:rPr>
                <w:rFonts w:hint="eastAsia" w:cs="Times New Roman"/>
                <w:b/>
                <w:bCs/>
                <w:color w:val="auto"/>
                <w:sz w:val="21"/>
                <w:szCs w:val="21"/>
                <w:highlight w:val="none"/>
                <w:shd w:val="clear" w:color="auto" w:fill="auto"/>
                <w:lang w:val="en-US" w:eastAsia="zh-CN"/>
              </w:rPr>
              <w:t>38</w:t>
            </w:r>
            <w:r>
              <w:rPr>
                <w:rFonts w:hint="default" w:ascii="Times New Roman" w:hAnsi="Times New Roman" w:eastAsia="宋体" w:cs="Times New Roman"/>
                <w:b/>
                <w:bCs/>
                <w:color w:val="auto"/>
                <w:sz w:val="21"/>
                <w:szCs w:val="21"/>
                <w:highlight w:val="none"/>
                <w:shd w:val="clear" w:color="auto" w:fill="auto"/>
                <w:lang w:val="zh-CN" w:eastAsia="zh-CN"/>
              </w:rPr>
              <w:t xml:space="preserve"> </w:t>
            </w:r>
            <w:r>
              <w:rPr>
                <w:rFonts w:hint="default" w:ascii="Times New Roman" w:hAnsi="Times New Roman" w:eastAsia="宋体" w:cs="Times New Roman"/>
                <w:b/>
                <w:bCs/>
                <w:color w:val="auto"/>
                <w:sz w:val="21"/>
                <w:szCs w:val="21"/>
                <w:highlight w:val="none"/>
                <w:shd w:val="clear" w:color="auto" w:fill="auto"/>
                <w:lang w:val="en-US" w:eastAsia="zh-CN"/>
              </w:rPr>
              <w:t xml:space="preserve"> </w:t>
            </w:r>
            <w:r>
              <w:rPr>
                <w:rFonts w:hint="eastAsia" w:cs="Times New Roman"/>
                <w:b/>
                <w:bCs/>
                <w:color w:val="auto"/>
                <w:sz w:val="21"/>
                <w:szCs w:val="21"/>
                <w:highlight w:val="none"/>
                <w:shd w:val="clear" w:color="auto" w:fill="auto"/>
                <w:lang w:val="en-US" w:eastAsia="zh-CN"/>
              </w:rPr>
              <w:t>本项目一般工业</w:t>
            </w:r>
            <w:r>
              <w:rPr>
                <w:rFonts w:hint="eastAsia" w:ascii="Times New Roman" w:hAnsi="Times New Roman" w:eastAsia="宋体" w:cs="Times New Roman"/>
                <w:b/>
                <w:bCs/>
                <w:color w:val="auto"/>
                <w:sz w:val="21"/>
                <w:szCs w:val="21"/>
                <w:highlight w:val="none"/>
                <w:shd w:val="clear" w:color="auto" w:fill="auto"/>
                <w:lang w:val="en-US" w:eastAsia="zh-CN"/>
              </w:rPr>
              <w:t>固体废物污染源及治理措施</w:t>
            </w:r>
            <w:r>
              <w:rPr>
                <w:rFonts w:hint="eastAsia" w:ascii="Times New Roman" w:hAnsi="Times New Roman" w:eastAsia="宋体" w:cs="Times New Roman"/>
                <w:b/>
                <w:bCs/>
                <w:color w:val="auto"/>
                <w:sz w:val="21"/>
                <w:szCs w:val="21"/>
                <w:highlight w:val="none"/>
                <w:shd w:val="clear" w:color="auto" w:fill="auto"/>
                <w:lang w:val="zh-CN" w:eastAsia="zh-CN"/>
              </w:rPr>
              <w:t>一览</w:t>
            </w:r>
            <w:r>
              <w:rPr>
                <w:rFonts w:hint="default" w:ascii="Times New Roman" w:hAnsi="Times New Roman" w:eastAsia="宋体" w:cs="Times New Roman"/>
                <w:b/>
                <w:bCs/>
                <w:color w:val="auto"/>
                <w:sz w:val="21"/>
                <w:szCs w:val="21"/>
                <w:highlight w:val="none"/>
                <w:shd w:val="clear" w:color="auto" w:fill="auto"/>
                <w:lang w:val="zh-CN" w:eastAsia="zh-CN"/>
              </w:rPr>
              <w:t>表</w:t>
            </w:r>
            <w:r>
              <w:rPr>
                <w:rFonts w:hint="eastAsia" w:ascii="Times New Roman" w:hAnsi="Times New Roman" w:eastAsia="宋体" w:cs="Times New Roman"/>
                <w:b/>
                <w:bCs/>
                <w:color w:val="auto"/>
                <w:sz w:val="21"/>
                <w:szCs w:val="21"/>
                <w:highlight w:val="none"/>
                <w:shd w:val="clear" w:color="auto" w:fill="auto"/>
                <w:lang w:val="en-US" w:eastAsia="zh-CN"/>
              </w:rPr>
              <w:t xml:space="preserve">    </w:t>
            </w:r>
          </w:p>
          <w:tbl>
            <w:tblPr>
              <w:tblStyle w:val="24"/>
              <w:tblW w:w="1303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1028"/>
              <w:gridCol w:w="1067"/>
              <w:gridCol w:w="733"/>
              <w:gridCol w:w="1189"/>
              <w:gridCol w:w="644"/>
              <w:gridCol w:w="823"/>
              <w:gridCol w:w="800"/>
              <w:gridCol w:w="1289"/>
              <w:gridCol w:w="1233"/>
              <w:gridCol w:w="890"/>
              <w:gridCol w:w="334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44" w:hRule="atLeast"/>
                <w:jc w:val="center"/>
              </w:trPr>
              <w:tc>
                <w:tcPr>
                  <w:tcW w:w="1028"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eastAsia="zh-CN"/>
                    </w:rPr>
                  </w:pPr>
                  <w:r>
                    <w:rPr>
                      <w:rFonts w:hint="eastAsia" w:ascii="Times New Roman" w:hAnsi="Times New Roman" w:eastAsia="宋体" w:cs="Times New Roman"/>
                      <w:color w:val="auto"/>
                      <w:sz w:val="21"/>
                      <w:szCs w:val="21"/>
                      <w:highlight w:val="none"/>
                      <w:shd w:val="clear" w:color="auto" w:fill="auto"/>
                      <w:lang w:eastAsia="zh-CN"/>
                    </w:rPr>
                    <w:t>产生环节</w:t>
                  </w:r>
                </w:p>
              </w:tc>
              <w:tc>
                <w:tcPr>
                  <w:tcW w:w="1067"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eastAsia="zh-CN"/>
                    </w:rPr>
                  </w:pPr>
                  <w:r>
                    <w:rPr>
                      <w:rFonts w:hint="eastAsia" w:ascii="Times New Roman" w:hAnsi="Times New Roman" w:eastAsia="宋体" w:cs="Times New Roman"/>
                      <w:color w:val="auto"/>
                      <w:sz w:val="21"/>
                      <w:szCs w:val="21"/>
                      <w:highlight w:val="none"/>
                      <w:shd w:val="clear" w:color="auto" w:fill="auto"/>
                      <w:lang w:eastAsia="zh-CN"/>
                    </w:rPr>
                    <w:t>名称</w:t>
                  </w:r>
                </w:p>
              </w:tc>
              <w:tc>
                <w:tcPr>
                  <w:tcW w:w="733"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color w:val="auto"/>
                      <w:sz w:val="21"/>
                      <w:szCs w:val="21"/>
                      <w:highlight w:val="none"/>
                      <w:shd w:val="clear" w:color="auto" w:fill="auto"/>
                    </w:rPr>
                  </w:pPr>
                  <w:r>
                    <w:rPr>
                      <w:rFonts w:hint="eastAsia" w:ascii="Times New Roman" w:hAnsi="Times New Roman" w:eastAsia="宋体" w:cs="Times New Roman"/>
                      <w:color w:val="auto"/>
                      <w:sz w:val="21"/>
                      <w:szCs w:val="21"/>
                      <w:highlight w:val="none"/>
                      <w:shd w:val="clear" w:color="auto" w:fill="auto"/>
                      <w:lang w:val="en-US" w:eastAsia="zh-CN"/>
                    </w:rPr>
                    <w:t>属性</w:t>
                  </w:r>
                </w:p>
              </w:tc>
              <w:tc>
                <w:tcPr>
                  <w:tcW w:w="1189"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主要有毒有害物质名称</w:t>
                  </w:r>
                </w:p>
              </w:tc>
              <w:tc>
                <w:tcPr>
                  <w:tcW w:w="644"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物理性状</w:t>
                  </w:r>
                </w:p>
              </w:tc>
              <w:tc>
                <w:tcPr>
                  <w:tcW w:w="823"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rPr>
                  </w:pPr>
                  <w:r>
                    <w:rPr>
                      <w:rFonts w:hint="eastAsia" w:ascii="Times New Roman" w:hAnsi="Times New Roman" w:eastAsia="宋体" w:cs="Times New Roman"/>
                      <w:color w:val="auto"/>
                      <w:sz w:val="21"/>
                      <w:szCs w:val="21"/>
                      <w:highlight w:val="none"/>
                      <w:shd w:val="clear" w:color="auto" w:fill="auto"/>
                      <w:lang w:val="en-US" w:eastAsia="zh-CN"/>
                    </w:rPr>
                    <w:t>环境危险特性</w:t>
                  </w:r>
                </w:p>
              </w:tc>
              <w:tc>
                <w:tcPr>
                  <w:tcW w:w="80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产生量</w:t>
                  </w:r>
                </w:p>
              </w:tc>
              <w:tc>
                <w:tcPr>
                  <w:tcW w:w="1289"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贮存方式</w:t>
                  </w:r>
                </w:p>
              </w:tc>
              <w:tc>
                <w:tcPr>
                  <w:tcW w:w="1233"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利用及处置方式和去向</w:t>
                  </w:r>
                </w:p>
              </w:tc>
              <w:tc>
                <w:tcPr>
                  <w:tcW w:w="89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利用或处置量</w:t>
                  </w:r>
                </w:p>
              </w:tc>
              <w:tc>
                <w:tcPr>
                  <w:tcW w:w="3343"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环境管理要求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44" w:hRule="atLeast"/>
                <w:jc w:val="center"/>
              </w:trPr>
              <w:tc>
                <w:tcPr>
                  <w:tcW w:w="1028"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生产过程</w:t>
                  </w:r>
                </w:p>
              </w:tc>
              <w:tc>
                <w:tcPr>
                  <w:tcW w:w="1067"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废包装物</w:t>
                  </w:r>
                </w:p>
              </w:tc>
              <w:tc>
                <w:tcPr>
                  <w:tcW w:w="733" w:type="dxa"/>
                  <w:vMerge w:val="restart"/>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一般工业固体废物</w:t>
                  </w:r>
                </w:p>
              </w:tc>
              <w:tc>
                <w:tcPr>
                  <w:tcW w:w="1189"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无</w:t>
                  </w:r>
                </w:p>
              </w:tc>
              <w:tc>
                <w:tcPr>
                  <w:tcW w:w="644"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固态</w:t>
                  </w:r>
                </w:p>
              </w:tc>
              <w:tc>
                <w:tcPr>
                  <w:tcW w:w="823"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无</w:t>
                  </w:r>
                </w:p>
              </w:tc>
              <w:tc>
                <w:tcPr>
                  <w:tcW w:w="80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0.3t/a</w:t>
                  </w:r>
                </w:p>
              </w:tc>
              <w:tc>
                <w:tcPr>
                  <w:tcW w:w="1289"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lang w:val="en-US" w:eastAsia="zh-CN"/>
                    </w:rPr>
                    <w:t>暂存于一般固废暂存</w:t>
                  </w:r>
                  <w:r>
                    <w:rPr>
                      <w:rFonts w:hint="eastAsia" w:cs="Times New Roman"/>
                      <w:color w:val="auto"/>
                      <w:sz w:val="21"/>
                      <w:szCs w:val="21"/>
                      <w:highlight w:val="none"/>
                      <w:shd w:val="clear" w:color="auto" w:fill="auto"/>
                      <w:lang w:val="en-US" w:eastAsia="zh-CN"/>
                    </w:rPr>
                    <w:t>区</w:t>
                  </w:r>
                </w:p>
              </w:tc>
              <w:tc>
                <w:tcPr>
                  <w:tcW w:w="1233"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外售废品回收站</w:t>
                  </w:r>
                </w:p>
              </w:tc>
              <w:tc>
                <w:tcPr>
                  <w:tcW w:w="89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0.3t/a</w:t>
                  </w:r>
                </w:p>
              </w:tc>
              <w:tc>
                <w:tcPr>
                  <w:tcW w:w="3343" w:type="dxa"/>
                  <w:vMerge w:val="restart"/>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rPr>
                    <w:t>一般固体废物临时存放应严格执行《中华人民共和国固体废物污染环境防治法》中第二十条第一款</w:t>
                  </w:r>
                  <w:r>
                    <w:rPr>
                      <w:rFonts w:hint="eastAsia" w:ascii="Times New Roman" w:hAnsi="Times New Roman" w:eastAsia="宋体" w:cs="Times New Roman"/>
                      <w:color w:val="auto"/>
                      <w:sz w:val="21"/>
                      <w:szCs w:val="21"/>
                      <w:highlight w:val="none"/>
                      <w:shd w:val="clear" w:color="auto" w:fill="auto"/>
                      <w:lang w:val="en-US" w:eastAsia="zh-CN"/>
                    </w:rPr>
                    <w:t>相关要求</w:t>
                  </w:r>
                  <w:r>
                    <w:rPr>
                      <w:rFonts w:hint="eastAsia" w:eastAsia="宋体" w:cs="Times New Roman"/>
                      <w:color w:val="auto"/>
                      <w:sz w:val="21"/>
                      <w:szCs w:val="21"/>
                      <w:highlight w:val="none"/>
                      <w:shd w:val="clear" w:color="auto" w:fill="auto"/>
                      <w:lang w:eastAsia="zh-CN"/>
                    </w:rPr>
                    <w:t>；</w:t>
                  </w:r>
                  <w:r>
                    <w:rPr>
                      <w:rFonts w:hint="eastAsia" w:eastAsia="宋体" w:cs="Times New Roman"/>
                      <w:color w:val="auto"/>
                      <w:sz w:val="21"/>
                      <w:szCs w:val="21"/>
                      <w:highlight w:val="none"/>
                      <w:shd w:val="clear" w:color="auto" w:fill="auto"/>
                      <w:lang w:val="en-US" w:eastAsia="zh-CN"/>
                    </w:rPr>
                    <w:t>按</w:t>
                  </w:r>
                  <w:r>
                    <w:rPr>
                      <w:rFonts w:hint="eastAsia" w:eastAsia="宋体" w:cs="Times New Roman"/>
                      <w:color w:val="auto"/>
                      <w:sz w:val="21"/>
                      <w:szCs w:val="21"/>
                      <w:highlight w:val="none"/>
                      <w:shd w:val="clear" w:color="auto" w:fill="auto"/>
                      <w:lang w:eastAsia="zh-CN"/>
                    </w:rPr>
                    <w:t>照《环境保护图形标志》（GB15562-1995）的要求对一般固体废物的临时存放场所设置环境保护图形标志牌</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44" w:hRule="atLeast"/>
                <w:jc w:val="center"/>
              </w:trPr>
              <w:tc>
                <w:tcPr>
                  <w:tcW w:w="1028"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裁切过程</w:t>
                  </w:r>
                </w:p>
              </w:tc>
              <w:tc>
                <w:tcPr>
                  <w:tcW w:w="1067"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eastAsia="zh-CN"/>
                    </w:rPr>
                  </w:pPr>
                  <w:r>
                    <w:rPr>
                      <w:rFonts w:hint="eastAsia" w:ascii="Times New Roman" w:hAnsi="Times New Roman" w:eastAsia="宋体" w:cs="Times New Roman"/>
                      <w:color w:val="auto"/>
                      <w:sz w:val="21"/>
                      <w:szCs w:val="21"/>
                      <w:highlight w:val="none"/>
                      <w:shd w:val="clear" w:color="auto" w:fill="auto"/>
                      <w:lang w:val="en-US" w:eastAsia="zh-CN"/>
                    </w:rPr>
                    <w:t>PET膜边角料、PVC膜边角料</w:t>
                  </w:r>
                </w:p>
              </w:tc>
              <w:tc>
                <w:tcPr>
                  <w:tcW w:w="733"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p>
              </w:tc>
              <w:tc>
                <w:tcPr>
                  <w:tcW w:w="1189"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无</w:t>
                  </w:r>
                </w:p>
              </w:tc>
              <w:tc>
                <w:tcPr>
                  <w:tcW w:w="644"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固态</w:t>
                  </w:r>
                </w:p>
              </w:tc>
              <w:tc>
                <w:tcPr>
                  <w:tcW w:w="823"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无</w:t>
                  </w:r>
                </w:p>
              </w:tc>
              <w:tc>
                <w:tcPr>
                  <w:tcW w:w="80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0.5t/a</w:t>
                  </w:r>
                </w:p>
              </w:tc>
              <w:tc>
                <w:tcPr>
                  <w:tcW w:w="1289"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lang w:val="en-US" w:eastAsia="zh-CN"/>
                    </w:rPr>
                    <w:t>暂存于一般固废暂存</w:t>
                  </w:r>
                  <w:r>
                    <w:rPr>
                      <w:rFonts w:hint="eastAsia" w:cs="Times New Roman"/>
                      <w:color w:val="auto"/>
                      <w:sz w:val="21"/>
                      <w:szCs w:val="21"/>
                      <w:highlight w:val="none"/>
                      <w:shd w:val="clear" w:color="auto" w:fill="auto"/>
                      <w:lang w:val="en-US" w:eastAsia="zh-CN"/>
                    </w:rPr>
                    <w:t>区</w:t>
                  </w:r>
                </w:p>
              </w:tc>
              <w:tc>
                <w:tcPr>
                  <w:tcW w:w="1233"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外售废品回收站</w:t>
                  </w:r>
                </w:p>
              </w:tc>
              <w:tc>
                <w:tcPr>
                  <w:tcW w:w="89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0.5t/a</w:t>
                  </w:r>
                </w:p>
              </w:tc>
              <w:tc>
                <w:tcPr>
                  <w:tcW w:w="3343"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p>
              </w:tc>
            </w:tr>
          </w:tbl>
          <w:p>
            <w:pPr>
              <w:bidi w:val="0"/>
              <w:rPr>
                <w:rFonts w:hint="default"/>
                <w:color w:val="auto"/>
                <w:highlight w:val="none"/>
                <w:lang w:val="en-US" w:eastAsia="zh-CN"/>
              </w:rPr>
            </w:pPr>
            <w:r>
              <w:rPr>
                <w:rFonts w:hint="eastAsia"/>
                <w:color w:val="auto"/>
                <w:highlight w:val="none"/>
                <w:lang w:val="en-US" w:eastAsia="zh-CN"/>
              </w:rPr>
              <w:t>本项目建成后全厂一般工业固体废物产生及处置情况见下表。</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right="0" w:rightChars="0" w:firstLine="0" w:firstLineChars="0"/>
              <w:jc w:val="center"/>
              <w:textAlignment w:val="auto"/>
              <w:outlineLvl w:val="9"/>
              <w:rPr>
                <w:rFonts w:hint="default" w:ascii="Times New Roman" w:hAnsi="Times New Roman" w:eastAsia="宋体" w:cs="Times New Roman"/>
                <w:b/>
                <w:bCs/>
                <w:color w:val="auto"/>
                <w:sz w:val="21"/>
                <w:szCs w:val="21"/>
                <w:highlight w:val="none"/>
                <w:shd w:val="clear" w:color="auto" w:fill="auto"/>
                <w:lang w:val="en-US" w:eastAsia="zh-CN"/>
              </w:rPr>
            </w:pPr>
            <w:r>
              <w:rPr>
                <w:rFonts w:hint="default" w:ascii="Times New Roman" w:hAnsi="Times New Roman" w:eastAsia="宋体" w:cs="Times New Roman"/>
                <w:b/>
                <w:bCs/>
                <w:color w:val="auto"/>
                <w:sz w:val="21"/>
                <w:szCs w:val="21"/>
                <w:highlight w:val="none"/>
                <w:shd w:val="clear" w:color="auto" w:fill="auto"/>
                <w:lang w:val="zh-CN" w:eastAsia="zh-CN"/>
              </w:rPr>
              <w:t>表</w:t>
            </w:r>
            <w:r>
              <w:rPr>
                <w:rFonts w:hint="eastAsia" w:cs="Times New Roman"/>
                <w:b/>
                <w:bCs/>
                <w:color w:val="auto"/>
                <w:sz w:val="21"/>
                <w:szCs w:val="21"/>
                <w:highlight w:val="none"/>
                <w:shd w:val="clear" w:color="auto" w:fill="auto"/>
                <w:lang w:val="en-US" w:eastAsia="zh-CN"/>
              </w:rPr>
              <w:t>39</w:t>
            </w:r>
            <w:r>
              <w:rPr>
                <w:rFonts w:hint="default" w:ascii="Times New Roman" w:hAnsi="Times New Roman" w:eastAsia="宋体" w:cs="Times New Roman"/>
                <w:b/>
                <w:bCs/>
                <w:color w:val="auto"/>
                <w:sz w:val="21"/>
                <w:szCs w:val="21"/>
                <w:highlight w:val="none"/>
                <w:shd w:val="clear" w:color="auto" w:fill="auto"/>
                <w:lang w:val="zh-CN" w:eastAsia="zh-CN"/>
              </w:rPr>
              <w:t xml:space="preserve"> </w:t>
            </w:r>
            <w:r>
              <w:rPr>
                <w:rFonts w:hint="default" w:ascii="Times New Roman" w:hAnsi="Times New Roman" w:eastAsia="宋体" w:cs="Times New Roman"/>
                <w:b/>
                <w:bCs/>
                <w:color w:val="auto"/>
                <w:sz w:val="21"/>
                <w:szCs w:val="21"/>
                <w:highlight w:val="none"/>
                <w:shd w:val="clear" w:color="auto" w:fill="auto"/>
                <w:lang w:val="en-US" w:eastAsia="zh-CN"/>
              </w:rPr>
              <w:t xml:space="preserve"> </w:t>
            </w:r>
            <w:r>
              <w:rPr>
                <w:rFonts w:hint="eastAsia" w:cs="Times New Roman"/>
                <w:b/>
                <w:bCs/>
                <w:color w:val="auto"/>
                <w:sz w:val="21"/>
                <w:szCs w:val="21"/>
                <w:highlight w:val="none"/>
                <w:shd w:val="clear" w:color="auto" w:fill="auto"/>
                <w:lang w:val="en-US" w:eastAsia="zh-CN"/>
              </w:rPr>
              <w:t>本项目建成后全厂一般工业</w:t>
            </w:r>
            <w:r>
              <w:rPr>
                <w:rFonts w:hint="eastAsia" w:ascii="Times New Roman" w:hAnsi="Times New Roman" w:eastAsia="宋体" w:cs="Times New Roman"/>
                <w:b/>
                <w:bCs/>
                <w:color w:val="auto"/>
                <w:sz w:val="21"/>
                <w:szCs w:val="21"/>
                <w:highlight w:val="none"/>
                <w:shd w:val="clear" w:color="auto" w:fill="auto"/>
                <w:lang w:val="en-US" w:eastAsia="zh-CN"/>
              </w:rPr>
              <w:t>固体废物污染源及治理措施</w:t>
            </w:r>
            <w:r>
              <w:rPr>
                <w:rFonts w:hint="eastAsia" w:ascii="Times New Roman" w:hAnsi="Times New Roman" w:eastAsia="宋体" w:cs="Times New Roman"/>
                <w:b/>
                <w:bCs/>
                <w:color w:val="auto"/>
                <w:sz w:val="21"/>
                <w:szCs w:val="21"/>
                <w:highlight w:val="none"/>
                <w:shd w:val="clear" w:color="auto" w:fill="auto"/>
                <w:lang w:val="zh-CN" w:eastAsia="zh-CN"/>
              </w:rPr>
              <w:t>一览</w:t>
            </w:r>
            <w:r>
              <w:rPr>
                <w:rFonts w:hint="default" w:ascii="Times New Roman" w:hAnsi="Times New Roman" w:eastAsia="宋体" w:cs="Times New Roman"/>
                <w:b/>
                <w:bCs/>
                <w:color w:val="auto"/>
                <w:sz w:val="21"/>
                <w:szCs w:val="21"/>
                <w:highlight w:val="none"/>
                <w:shd w:val="clear" w:color="auto" w:fill="auto"/>
                <w:lang w:val="zh-CN" w:eastAsia="zh-CN"/>
              </w:rPr>
              <w:t>表</w:t>
            </w:r>
            <w:r>
              <w:rPr>
                <w:rFonts w:hint="eastAsia" w:ascii="Times New Roman" w:hAnsi="Times New Roman" w:eastAsia="宋体" w:cs="Times New Roman"/>
                <w:b/>
                <w:bCs/>
                <w:color w:val="auto"/>
                <w:sz w:val="21"/>
                <w:szCs w:val="21"/>
                <w:highlight w:val="none"/>
                <w:shd w:val="clear" w:color="auto" w:fill="auto"/>
                <w:lang w:val="en-US" w:eastAsia="zh-CN"/>
              </w:rPr>
              <w:t xml:space="preserve">    </w:t>
            </w:r>
          </w:p>
          <w:tbl>
            <w:tblPr>
              <w:tblStyle w:val="24"/>
              <w:tblW w:w="1303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984"/>
              <w:gridCol w:w="1089"/>
              <w:gridCol w:w="744"/>
              <w:gridCol w:w="1211"/>
              <w:gridCol w:w="611"/>
              <w:gridCol w:w="845"/>
              <w:gridCol w:w="811"/>
              <w:gridCol w:w="1289"/>
              <w:gridCol w:w="1222"/>
              <w:gridCol w:w="939"/>
              <w:gridCol w:w="329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71" w:hRule="atLeast"/>
                <w:jc w:val="center"/>
              </w:trPr>
              <w:tc>
                <w:tcPr>
                  <w:tcW w:w="984"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eastAsia="zh-CN"/>
                    </w:rPr>
                  </w:pPr>
                  <w:r>
                    <w:rPr>
                      <w:rFonts w:hint="eastAsia" w:ascii="Times New Roman" w:hAnsi="Times New Roman" w:eastAsia="宋体" w:cs="Times New Roman"/>
                      <w:color w:val="auto"/>
                      <w:sz w:val="21"/>
                      <w:szCs w:val="21"/>
                      <w:highlight w:val="none"/>
                      <w:shd w:val="clear" w:color="auto" w:fill="auto"/>
                      <w:lang w:eastAsia="zh-CN"/>
                    </w:rPr>
                    <w:t>产生环节</w:t>
                  </w:r>
                </w:p>
              </w:tc>
              <w:tc>
                <w:tcPr>
                  <w:tcW w:w="1089"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eastAsia="zh-CN"/>
                    </w:rPr>
                  </w:pPr>
                  <w:r>
                    <w:rPr>
                      <w:rFonts w:hint="eastAsia" w:ascii="Times New Roman" w:hAnsi="Times New Roman" w:eastAsia="宋体" w:cs="Times New Roman"/>
                      <w:color w:val="auto"/>
                      <w:sz w:val="21"/>
                      <w:szCs w:val="21"/>
                      <w:highlight w:val="none"/>
                      <w:shd w:val="clear" w:color="auto" w:fill="auto"/>
                      <w:lang w:eastAsia="zh-CN"/>
                    </w:rPr>
                    <w:t>名称</w:t>
                  </w:r>
                </w:p>
              </w:tc>
              <w:tc>
                <w:tcPr>
                  <w:tcW w:w="744"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color w:val="auto"/>
                      <w:sz w:val="21"/>
                      <w:szCs w:val="21"/>
                      <w:highlight w:val="none"/>
                      <w:shd w:val="clear" w:color="auto" w:fill="auto"/>
                    </w:rPr>
                  </w:pPr>
                  <w:r>
                    <w:rPr>
                      <w:rFonts w:hint="eastAsia" w:ascii="Times New Roman" w:hAnsi="Times New Roman" w:eastAsia="宋体" w:cs="Times New Roman"/>
                      <w:color w:val="auto"/>
                      <w:sz w:val="21"/>
                      <w:szCs w:val="21"/>
                      <w:highlight w:val="none"/>
                      <w:shd w:val="clear" w:color="auto" w:fill="auto"/>
                      <w:lang w:val="en-US" w:eastAsia="zh-CN"/>
                    </w:rPr>
                    <w:t>属性</w:t>
                  </w:r>
                </w:p>
              </w:tc>
              <w:tc>
                <w:tcPr>
                  <w:tcW w:w="1211"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主要有毒有害物质名称</w:t>
                  </w:r>
                </w:p>
              </w:tc>
              <w:tc>
                <w:tcPr>
                  <w:tcW w:w="611"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物理性状</w:t>
                  </w:r>
                </w:p>
              </w:tc>
              <w:tc>
                <w:tcPr>
                  <w:tcW w:w="84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rPr>
                  </w:pPr>
                  <w:r>
                    <w:rPr>
                      <w:rFonts w:hint="eastAsia" w:ascii="Times New Roman" w:hAnsi="Times New Roman" w:eastAsia="宋体" w:cs="Times New Roman"/>
                      <w:color w:val="auto"/>
                      <w:sz w:val="21"/>
                      <w:szCs w:val="21"/>
                      <w:highlight w:val="none"/>
                      <w:shd w:val="clear" w:color="auto" w:fill="auto"/>
                      <w:lang w:val="en-US" w:eastAsia="zh-CN"/>
                    </w:rPr>
                    <w:t>环境危险特性</w:t>
                  </w:r>
                </w:p>
              </w:tc>
              <w:tc>
                <w:tcPr>
                  <w:tcW w:w="811"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产生量</w:t>
                  </w:r>
                </w:p>
              </w:tc>
              <w:tc>
                <w:tcPr>
                  <w:tcW w:w="1289"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贮存方式</w:t>
                  </w:r>
                </w:p>
              </w:tc>
              <w:tc>
                <w:tcPr>
                  <w:tcW w:w="122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利用及处置方式和去向</w:t>
                  </w:r>
                </w:p>
              </w:tc>
              <w:tc>
                <w:tcPr>
                  <w:tcW w:w="939"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利用或处置量</w:t>
                  </w:r>
                </w:p>
              </w:tc>
              <w:tc>
                <w:tcPr>
                  <w:tcW w:w="3294"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环境管理要求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93" w:hRule="atLeast"/>
                <w:jc w:val="center"/>
              </w:trPr>
              <w:tc>
                <w:tcPr>
                  <w:tcW w:w="984"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生产过程</w:t>
                  </w:r>
                </w:p>
              </w:tc>
              <w:tc>
                <w:tcPr>
                  <w:tcW w:w="1089"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废包装物</w:t>
                  </w:r>
                </w:p>
              </w:tc>
              <w:tc>
                <w:tcPr>
                  <w:tcW w:w="744" w:type="dxa"/>
                  <w:vMerge w:val="restart"/>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一般工业固体废物</w:t>
                  </w:r>
                </w:p>
              </w:tc>
              <w:tc>
                <w:tcPr>
                  <w:tcW w:w="1211"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无</w:t>
                  </w:r>
                </w:p>
              </w:tc>
              <w:tc>
                <w:tcPr>
                  <w:tcW w:w="611"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固态</w:t>
                  </w:r>
                </w:p>
              </w:tc>
              <w:tc>
                <w:tcPr>
                  <w:tcW w:w="84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无</w:t>
                  </w:r>
                </w:p>
              </w:tc>
              <w:tc>
                <w:tcPr>
                  <w:tcW w:w="811"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1.3t/a</w:t>
                  </w:r>
                </w:p>
              </w:tc>
              <w:tc>
                <w:tcPr>
                  <w:tcW w:w="1289"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lang w:val="en-US" w:eastAsia="zh-CN"/>
                    </w:rPr>
                    <w:t>暂存于一般固废暂存</w:t>
                  </w:r>
                  <w:r>
                    <w:rPr>
                      <w:rFonts w:hint="eastAsia" w:cs="Times New Roman"/>
                      <w:color w:val="auto"/>
                      <w:sz w:val="21"/>
                      <w:szCs w:val="21"/>
                      <w:highlight w:val="none"/>
                      <w:shd w:val="clear" w:color="auto" w:fill="auto"/>
                      <w:lang w:val="en-US" w:eastAsia="zh-CN"/>
                    </w:rPr>
                    <w:t>区</w:t>
                  </w:r>
                </w:p>
              </w:tc>
              <w:tc>
                <w:tcPr>
                  <w:tcW w:w="122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外售废品回收站</w:t>
                  </w:r>
                </w:p>
              </w:tc>
              <w:tc>
                <w:tcPr>
                  <w:tcW w:w="939"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1.3t/a</w:t>
                  </w:r>
                </w:p>
              </w:tc>
              <w:tc>
                <w:tcPr>
                  <w:tcW w:w="3294" w:type="dxa"/>
                  <w:vMerge w:val="restart"/>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rPr>
                    <w:t>一般固体废物临时存放应严格执行《中华人民共和国固体废物污染环境防治法》中第二十条第一款</w:t>
                  </w:r>
                  <w:r>
                    <w:rPr>
                      <w:rFonts w:hint="eastAsia" w:ascii="Times New Roman" w:hAnsi="Times New Roman" w:eastAsia="宋体" w:cs="Times New Roman"/>
                      <w:color w:val="auto"/>
                      <w:sz w:val="21"/>
                      <w:szCs w:val="21"/>
                      <w:highlight w:val="none"/>
                      <w:shd w:val="clear" w:color="auto" w:fill="auto"/>
                      <w:lang w:val="en-US" w:eastAsia="zh-CN"/>
                    </w:rPr>
                    <w:t>相关要求</w:t>
                  </w:r>
                  <w:r>
                    <w:rPr>
                      <w:rFonts w:hint="eastAsia" w:eastAsia="宋体" w:cs="Times New Roman"/>
                      <w:color w:val="auto"/>
                      <w:sz w:val="21"/>
                      <w:szCs w:val="21"/>
                      <w:highlight w:val="none"/>
                      <w:shd w:val="clear" w:color="auto" w:fill="auto"/>
                      <w:lang w:eastAsia="zh-CN"/>
                    </w:rPr>
                    <w:t>；</w:t>
                  </w:r>
                  <w:r>
                    <w:rPr>
                      <w:rFonts w:hint="eastAsia" w:eastAsia="宋体" w:cs="Times New Roman"/>
                      <w:color w:val="auto"/>
                      <w:sz w:val="21"/>
                      <w:szCs w:val="21"/>
                      <w:highlight w:val="none"/>
                      <w:shd w:val="clear" w:color="auto" w:fill="auto"/>
                      <w:lang w:val="en-US" w:eastAsia="zh-CN"/>
                    </w:rPr>
                    <w:t>按</w:t>
                  </w:r>
                  <w:r>
                    <w:rPr>
                      <w:rFonts w:hint="eastAsia" w:eastAsia="宋体" w:cs="Times New Roman"/>
                      <w:color w:val="auto"/>
                      <w:sz w:val="21"/>
                      <w:szCs w:val="21"/>
                      <w:highlight w:val="none"/>
                      <w:shd w:val="clear" w:color="auto" w:fill="auto"/>
                      <w:lang w:eastAsia="zh-CN"/>
                    </w:rPr>
                    <w:t>照《环境保护图形标志》（GB15562-1995）的要求对一般固体废物的临时存放场所设置环境保护图形标志牌</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93" w:hRule="atLeast"/>
                <w:jc w:val="center"/>
              </w:trPr>
              <w:tc>
                <w:tcPr>
                  <w:tcW w:w="984"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裁切过程</w:t>
                  </w:r>
                </w:p>
              </w:tc>
              <w:tc>
                <w:tcPr>
                  <w:tcW w:w="1089"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PET膜边角料、PVC膜边角料</w:t>
                  </w:r>
                </w:p>
              </w:tc>
              <w:tc>
                <w:tcPr>
                  <w:tcW w:w="744"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p>
              </w:tc>
              <w:tc>
                <w:tcPr>
                  <w:tcW w:w="1211"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无</w:t>
                  </w:r>
                </w:p>
              </w:tc>
              <w:tc>
                <w:tcPr>
                  <w:tcW w:w="611"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固态</w:t>
                  </w:r>
                </w:p>
              </w:tc>
              <w:tc>
                <w:tcPr>
                  <w:tcW w:w="84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无</w:t>
                  </w:r>
                </w:p>
              </w:tc>
              <w:tc>
                <w:tcPr>
                  <w:tcW w:w="811"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0.5t/a</w:t>
                  </w:r>
                </w:p>
              </w:tc>
              <w:tc>
                <w:tcPr>
                  <w:tcW w:w="1289"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lang w:val="en-US" w:eastAsia="zh-CN"/>
                    </w:rPr>
                    <w:t>暂存于一般固废暂存</w:t>
                  </w:r>
                  <w:r>
                    <w:rPr>
                      <w:rFonts w:hint="eastAsia" w:cs="Times New Roman"/>
                      <w:color w:val="auto"/>
                      <w:sz w:val="21"/>
                      <w:szCs w:val="21"/>
                      <w:highlight w:val="none"/>
                      <w:shd w:val="clear" w:color="auto" w:fill="auto"/>
                      <w:lang w:val="en-US" w:eastAsia="zh-CN"/>
                    </w:rPr>
                    <w:t>区</w:t>
                  </w:r>
                </w:p>
              </w:tc>
              <w:tc>
                <w:tcPr>
                  <w:tcW w:w="122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外售废品回收站</w:t>
                  </w:r>
                </w:p>
              </w:tc>
              <w:tc>
                <w:tcPr>
                  <w:tcW w:w="939"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0.5t/a</w:t>
                  </w:r>
                </w:p>
              </w:tc>
              <w:tc>
                <w:tcPr>
                  <w:tcW w:w="3294"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rPr>
                  </w:pPr>
                </w:p>
              </w:tc>
            </w:tr>
          </w:tbl>
          <w:p>
            <w:pPr>
              <w:rPr>
                <w:rFonts w:hint="eastAsia" w:ascii="黑体" w:hAnsi="黑体" w:eastAsia="黑体"/>
                <w:snapToGrid w:val="0"/>
                <w:color w:val="auto"/>
                <w:sz w:val="30"/>
                <w:szCs w:val="30"/>
                <w:highlight w:val="none"/>
                <w:vertAlign w:val="baseline"/>
              </w:rPr>
            </w:pPr>
          </w:p>
          <w:p>
            <w:pPr>
              <w:rPr>
                <w:rFonts w:hint="eastAsia" w:ascii="黑体" w:hAnsi="黑体" w:eastAsia="黑体"/>
                <w:snapToGrid w:val="0"/>
                <w:color w:val="auto"/>
                <w:sz w:val="30"/>
                <w:szCs w:val="30"/>
                <w:highlight w:val="none"/>
                <w:vertAlign w:val="baseline"/>
              </w:rPr>
            </w:pPr>
          </w:p>
          <w:p>
            <w:pPr>
              <w:ind w:left="0" w:leftChars="0" w:firstLine="0" w:firstLineChars="0"/>
              <w:rPr>
                <w:rFonts w:hint="eastAsia" w:ascii="黑体" w:hAnsi="黑体" w:eastAsia="黑体"/>
                <w:snapToGrid w:val="0"/>
                <w:color w:val="auto"/>
                <w:sz w:val="30"/>
                <w:szCs w:val="30"/>
                <w:highlight w:val="none"/>
                <w:vertAlign w:val="baseline"/>
              </w:rPr>
            </w:pPr>
          </w:p>
        </w:tc>
      </w:tr>
    </w:tbl>
    <w:p>
      <w:pPr>
        <w:ind w:left="0" w:leftChars="0" w:firstLine="0" w:firstLineChars="0"/>
        <w:rPr>
          <w:rFonts w:hint="eastAsia" w:ascii="黑体" w:hAnsi="黑体" w:eastAsia="黑体"/>
          <w:snapToGrid w:val="0"/>
          <w:color w:val="auto"/>
          <w:sz w:val="30"/>
          <w:szCs w:val="30"/>
          <w:highlight w:val="none"/>
          <w:vertAlign w:val="baseline"/>
        </w:rPr>
      </w:pPr>
      <w:r>
        <w:rPr>
          <w:rFonts w:hint="eastAsia" w:ascii="黑体" w:hAnsi="黑体" w:eastAsia="黑体"/>
          <w:snapToGrid w:val="0"/>
          <w:color w:val="auto"/>
          <w:sz w:val="30"/>
          <w:szCs w:val="30"/>
          <w:highlight w:val="none"/>
        </w:rPr>
        <w:br w:type="page"/>
      </w:r>
    </w:p>
    <w:p>
      <w:pPr>
        <w:rPr>
          <w:rFonts w:hint="eastAsia" w:ascii="黑体" w:hAnsi="黑体" w:eastAsia="黑体"/>
          <w:snapToGrid w:val="0"/>
          <w:color w:val="auto"/>
          <w:sz w:val="30"/>
          <w:szCs w:val="30"/>
          <w:highlight w:val="none"/>
        </w:rPr>
        <w:sectPr>
          <w:pgSz w:w="16838" w:h="11906" w:orient="landscape"/>
          <w:pgMar w:top="1417" w:right="1440" w:bottom="1247" w:left="144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25"/>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870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750" w:type="dxa"/>
            <w:tcBorders>
              <w:tl2br w:val="nil"/>
              <w:tr2bl w:val="nil"/>
            </w:tcBorders>
          </w:tcPr>
          <w:p>
            <w:pPr>
              <w:rPr>
                <w:rFonts w:hint="eastAsia" w:ascii="黑体" w:hAnsi="黑体" w:eastAsia="黑体"/>
                <w:snapToGrid w:val="0"/>
                <w:color w:val="auto"/>
                <w:sz w:val="30"/>
                <w:szCs w:val="30"/>
                <w:highlight w:val="none"/>
                <w:vertAlign w:val="baseline"/>
              </w:rPr>
            </w:pPr>
          </w:p>
        </w:tc>
        <w:tc>
          <w:tcPr>
            <w:tcW w:w="8708" w:type="dxa"/>
            <w:tcBorders>
              <w:tl2br w:val="nil"/>
              <w:tr2bl w:val="nil"/>
            </w:tcBorders>
          </w:tcPr>
          <w:p>
            <w:pPr>
              <w:keepNext w:val="0"/>
              <w:keepLines w:val="0"/>
              <w:pageBreakBefore w:val="0"/>
              <w:widowControl w:val="0"/>
              <w:kinsoku/>
              <w:wordWrap/>
              <w:overflowPunct/>
              <w:topLinePunct w:val="0"/>
              <w:autoSpaceDE/>
              <w:autoSpaceDN/>
              <w:bidi w:val="0"/>
              <w:adjustRightInd/>
              <w:snapToGrid/>
              <w:spacing w:line="480" w:lineRule="exact"/>
              <w:ind w:left="0" w:firstLine="482" w:firstLineChars="200"/>
              <w:textAlignment w:val="auto"/>
              <w:outlineLvl w:val="9"/>
              <w:rPr>
                <w:rFonts w:hint="eastAsia" w:ascii="Times New Roman" w:hAnsi="Times New Roman" w:eastAsia="宋体" w:cs="Times New Roman"/>
                <w:b/>
                <w:bCs/>
                <w:color w:val="auto"/>
                <w:sz w:val="24"/>
                <w:szCs w:val="21"/>
                <w:highlight w:val="none"/>
                <w:shd w:val="clear" w:color="auto" w:fill="auto"/>
                <w:lang w:val="en-US" w:eastAsia="zh-CN"/>
              </w:rPr>
            </w:pPr>
            <w:r>
              <w:rPr>
                <w:rFonts w:hint="eastAsia" w:ascii="Times New Roman" w:hAnsi="Times New Roman" w:eastAsia="宋体" w:cs="Times New Roman"/>
                <w:b/>
                <w:bCs/>
                <w:color w:val="auto"/>
                <w:sz w:val="24"/>
                <w:szCs w:val="21"/>
                <w:highlight w:val="none"/>
                <w:shd w:val="clear" w:color="auto" w:fill="auto"/>
                <w:lang w:val="en-US" w:eastAsia="zh-CN"/>
              </w:rPr>
              <w:t>4.1.2一般工业固体废物管理措施</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sz w:val="24"/>
                <w:szCs w:val="21"/>
                <w:highlight w:val="none"/>
                <w:shd w:val="clear" w:color="auto" w:fill="auto"/>
              </w:rPr>
            </w:pPr>
            <w:r>
              <w:rPr>
                <w:rFonts w:hint="eastAsia" w:ascii="Times New Roman" w:hAnsi="Times New Roman" w:cs="Times New Roman"/>
                <w:color w:val="auto"/>
                <w:sz w:val="24"/>
                <w:szCs w:val="21"/>
                <w:highlight w:val="none"/>
                <w:shd w:val="clear" w:color="auto" w:fill="auto"/>
                <w:lang w:eastAsia="zh-CN"/>
              </w:rPr>
              <w:t>（</w:t>
            </w:r>
            <w:r>
              <w:rPr>
                <w:rFonts w:hint="eastAsia" w:ascii="Times New Roman" w:hAnsi="Times New Roman" w:cs="Times New Roman"/>
                <w:color w:val="auto"/>
                <w:sz w:val="24"/>
                <w:szCs w:val="21"/>
                <w:highlight w:val="none"/>
                <w:shd w:val="clear" w:color="auto" w:fill="auto"/>
                <w:lang w:val="en-US" w:eastAsia="zh-CN"/>
              </w:rPr>
              <w:t>1</w:t>
            </w:r>
            <w:r>
              <w:rPr>
                <w:rFonts w:hint="eastAsia" w:ascii="Times New Roman" w:hAnsi="Times New Roman" w:cs="Times New Roman"/>
                <w:color w:val="auto"/>
                <w:sz w:val="24"/>
                <w:szCs w:val="21"/>
                <w:highlight w:val="none"/>
                <w:shd w:val="clear" w:color="auto" w:fill="auto"/>
                <w:lang w:eastAsia="zh-CN"/>
              </w:rPr>
              <w:t>）</w:t>
            </w:r>
            <w:r>
              <w:rPr>
                <w:rFonts w:hint="default" w:ascii="Times New Roman" w:hAnsi="Times New Roman" w:eastAsia="宋体" w:cs="Times New Roman"/>
                <w:color w:val="auto"/>
                <w:sz w:val="24"/>
                <w:szCs w:val="21"/>
                <w:highlight w:val="none"/>
                <w:shd w:val="clear" w:color="auto" w:fill="auto"/>
              </w:rPr>
              <w:t>贮存、处置场的建设类型，必须与将要堆放的一般工业</w:t>
            </w:r>
            <w:r>
              <w:rPr>
                <w:rFonts w:hint="default" w:ascii="Times New Roman" w:hAnsi="Times New Roman" w:eastAsia="宋体" w:cs="Times New Roman"/>
                <w:color w:val="auto"/>
                <w:sz w:val="24"/>
                <w:szCs w:val="21"/>
                <w:highlight w:val="none"/>
                <w:shd w:val="clear" w:color="auto" w:fill="auto"/>
                <w:lang w:eastAsia="zh-CN"/>
              </w:rPr>
              <w:t>固</w:t>
            </w:r>
            <w:r>
              <w:rPr>
                <w:rFonts w:hint="default" w:ascii="Times New Roman" w:hAnsi="Times New Roman" w:eastAsia="宋体" w:cs="Times New Roman"/>
                <w:color w:val="auto"/>
                <w:sz w:val="24"/>
                <w:szCs w:val="21"/>
                <w:highlight w:val="none"/>
                <w:shd w:val="clear" w:color="auto" w:fill="auto"/>
              </w:rPr>
              <w:t>体废物的类别相一致。</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sz w:val="24"/>
                <w:szCs w:val="21"/>
                <w:highlight w:val="none"/>
                <w:shd w:val="clear" w:color="auto" w:fill="auto"/>
              </w:rPr>
            </w:pPr>
            <w:r>
              <w:rPr>
                <w:rFonts w:hint="eastAsia" w:ascii="Times New Roman" w:hAnsi="Times New Roman" w:cs="Times New Roman"/>
                <w:color w:val="auto"/>
                <w:sz w:val="24"/>
                <w:szCs w:val="21"/>
                <w:highlight w:val="none"/>
                <w:shd w:val="clear" w:color="auto" w:fill="auto"/>
                <w:lang w:eastAsia="zh-CN"/>
              </w:rPr>
              <w:t>（</w:t>
            </w:r>
            <w:r>
              <w:rPr>
                <w:rFonts w:hint="eastAsia" w:ascii="Times New Roman" w:hAnsi="Times New Roman" w:cs="Times New Roman"/>
                <w:color w:val="auto"/>
                <w:sz w:val="24"/>
                <w:szCs w:val="21"/>
                <w:highlight w:val="none"/>
                <w:shd w:val="clear" w:color="auto" w:fill="auto"/>
                <w:lang w:val="en-US" w:eastAsia="zh-CN"/>
              </w:rPr>
              <w:t>2</w:t>
            </w:r>
            <w:r>
              <w:rPr>
                <w:rFonts w:hint="eastAsia" w:ascii="Times New Roman" w:hAnsi="Times New Roman" w:cs="Times New Roman"/>
                <w:color w:val="auto"/>
                <w:sz w:val="24"/>
                <w:szCs w:val="21"/>
                <w:highlight w:val="none"/>
                <w:shd w:val="clear" w:color="auto" w:fill="auto"/>
                <w:lang w:eastAsia="zh-CN"/>
              </w:rPr>
              <w:t>）</w:t>
            </w:r>
            <w:r>
              <w:rPr>
                <w:rFonts w:hint="default" w:ascii="Times New Roman" w:hAnsi="Times New Roman" w:eastAsia="宋体" w:cs="Times New Roman"/>
                <w:color w:val="auto"/>
                <w:sz w:val="24"/>
                <w:szCs w:val="21"/>
                <w:highlight w:val="none"/>
                <w:shd w:val="clear" w:color="auto" w:fill="auto"/>
              </w:rPr>
              <w:t>贮存、处置场应采取防止粉尘污染的措施。</w:t>
            </w:r>
          </w:p>
          <w:p>
            <w:pPr>
              <w:numPr>
                <w:ilvl w:val="0"/>
                <w:numId w:val="0"/>
              </w:numPr>
              <w:bidi w:val="0"/>
              <w:ind w:leftChars="200"/>
              <w:rPr>
                <w:rFonts w:hint="eastAsia"/>
                <w:color w:val="auto"/>
                <w:sz w:val="24"/>
                <w:szCs w:val="24"/>
                <w:highlight w:val="none"/>
                <w:lang w:val="en-US" w:eastAsia="zh-CN"/>
              </w:rPr>
            </w:pPr>
            <w:r>
              <w:rPr>
                <w:rFonts w:hint="eastAsia" w:ascii="Times New Roman" w:hAnsi="Times New Roman" w:cs="Times New Roman"/>
                <w:color w:val="auto"/>
                <w:sz w:val="24"/>
                <w:szCs w:val="21"/>
                <w:highlight w:val="none"/>
                <w:shd w:val="clear" w:color="auto" w:fill="auto"/>
                <w:lang w:eastAsia="zh-CN"/>
              </w:rPr>
              <w:t>（</w:t>
            </w:r>
            <w:r>
              <w:rPr>
                <w:rFonts w:hint="eastAsia" w:ascii="Times New Roman" w:hAnsi="Times New Roman" w:cs="Times New Roman"/>
                <w:color w:val="auto"/>
                <w:sz w:val="24"/>
                <w:szCs w:val="21"/>
                <w:highlight w:val="none"/>
                <w:shd w:val="clear" w:color="auto" w:fill="auto"/>
                <w:lang w:val="en-US" w:eastAsia="zh-CN"/>
              </w:rPr>
              <w:t>3</w:t>
            </w:r>
            <w:r>
              <w:rPr>
                <w:rFonts w:hint="eastAsia" w:ascii="Times New Roman" w:hAnsi="Times New Roman" w:cs="Times New Roman"/>
                <w:color w:val="auto"/>
                <w:sz w:val="24"/>
                <w:szCs w:val="21"/>
                <w:highlight w:val="none"/>
                <w:shd w:val="clear" w:color="auto" w:fill="auto"/>
                <w:lang w:eastAsia="zh-CN"/>
              </w:rPr>
              <w:t>）</w:t>
            </w:r>
            <w:r>
              <w:rPr>
                <w:rFonts w:hint="default" w:ascii="Times New Roman" w:hAnsi="Times New Roman" w:eastAsia="宋体" w:cs="Times New Roman"/>
                <w:color w:val="auto"/>
                <w:sz w:val="24"/>
                <w:szCs w:val="21"/>
                <w:highlight w:val="none"/>
                <w:shd w:val="clear" w:color="auto" w:fill="auto"/>
              </w:rPr>
              <w:t>为加强监督管理，贮存、处置场应设置环境保护图形标志。</w:t>
            </w:r>
          </w:p>
          <w:p>
            <w:pPr>
              <w:bidi w:val="0"/>
              <w:rPr>
                <w:rFonts w:hint="eastAsia"/>
                <w:color w:val="auto"/>
                <w:lang w:val="en-US" w:eastAsia="zh-CN"/>
              </w:rPr>
            </w:pPr>
            <w:r>
              <w:rPr>
                <w:rFonts w:hint="eastAsia"/>
                <w:color w:val="auto"/>
                <w:lang w:val="en-US" w:eastAsia="zh-CN"/>
              </w:rPr>
              <w:t>本项目产生的一般工业固态废物均暂存于一般固废暂存区，定期外售废品回收站。</w:t>
            </w:r>
          </w:p>
          <w:p>
            <w:pPr>
              <w:numPr>
                <w:ilvl w:val="0"/>
                <w:numId w:val="0"/>
              </w:numPr>
              <w:bidi w:val="0"/>
              <w:ind w:leftChars="200"/>
              <w:rPr>
                <w:rFonts w:hint="eastAsia"/>
                <w:b/>
                <w:bCs/>
                <w:color w:val="auto"/>
                <w:sz w:val="24"/>
                <w:szCs w:val="24"/>
                <w:highlight w:val="none"/>
                <w:lang w:val="en-US" w:eastAsia="zh-CN"/>
              </w:rPr>
            </w:pPr>
            <w:r>
              <w:rPr>
                <w:rFonts w:hint="eastAsia"/>
                <w:b/>
                <w:bCs/>
                <w:color w:val="auto"/>
                <w:sz w:val="24"/>
                <w:szCs w:val="24"/>
                <w:highlight w:val="none"/>
                <w:lang w:val="en-US" w:eastAsia="zh-CN"/>
              </w:rPr>
              <w:t>4.2危险废物</w:t>
            </w:r>
          </w:p>
          <w:p>
            <w:pPr>
              <w:bidi w:val="0"/>
              <w:rPr>
                <w:rFonts w:hint="eastAsia"/>
                <w:b/>
                <w:bCs/>
                <w:color w:val="auto"/>
                <w:sz w:val="24"/>
                <w:szCs w:val="24"/>
                <w:highlight w:val="none"/>
                <w:lang w:val="en-US" w:eastAsia="zh-CN"/>
              </w:rPr>
            </w:pPr>
            <w:r>
              <w:rPr>
                <w:rFonts w:hint="eastAsia" w:cs="Times New Roman"/>
                <w:b/>
                <w:bCs/>
                <w:color w:val="auto"/>
                <w:sz w:val="24"/>
                <w:szCs w:val="24"/>
                <w:highlight w:val="none"/>
                <w:lang w:val="en-US" w:eastAsia="zh-CN"/>
              </w:rPr>
              <w:t>4.2.1</w:t>
            </w:r>
            <w:r>
              <w:rPr>
                <w:rFonts w:hint="default"/>
                <w:b/>
                <w:bCs/>
                <w:color w:val="auto"/>
                <w:sz w:val="24"/>
                <w:szCs w:val="24"/>
                <w:highlight w:val="none"/>
              </w:rPr>
              <w:t>危险废物基本情况</w:t>
            </w:r>
          </w:p>
          <w:p>
            <w:pPr>
              <w:bidi w:val="0"/>
              <w:rPr>
                <w:rFonts w:hint="eastAsia" w:eastAsia="宋体"/>
                <w:b w:val="0"/>
                <w:bCs w:val="0"/>
                <w:color w:val="auto"/>
                <w:highlight w:val="none"/>
                <w:lang w:val="en-US" w:eastAsia="zh-CN"/>
              </w:rPr>
            </w:pPr>
            <w:r>
              <w:rPr>
                <w:rFonts w:hint="eastAsia"/>
                <w:color w:val="auto"/>
                <w:sz w:val="24"/>
                <w:szCs w:val="24"/>
                <w:highlight w:val="none"/>
                <w:lang w:val="en-US" w:eastAsia="zh-CN"/>
              </w:rPr>
              <w:t>本项目产生的危险废物主要为设备维护保养过程产生的废润滑油、废润滑油桶；生产过程中产生的</w:t>
            </w:r>
            <w:r>
              <w:rPr>
                <w:rFonts w:hint="eastAsia"/>
                <w:color w:val="auto"/>
                <w:lang w:val="en-US" w:eastAsia="zh-CN"/>
              </w:rPr>
              <w:t>废包装桶（导电浆料配制原料包装桶）；废气治理设施定期更换的废活性炭</w:t>
            </w:r>
            <w:r>
              <w:rPr>
                <w:rFonts w:hint="eastAsia" w:cs="Times New Roman"/>
                <w:b w:val="0"/>
                <w:bCs w:val="0"/>
                <w:snapToGrid w:val="0"/>
                <w:color w:val="auto"/>
                <w:kern w:val="0"/>
                <w:sz w:val="24"/>
                <w:szCs w:val="21"/>
                <w:highlight w:val="none"/>
                <w:shd w:val="clear" w:color="auto" w:fill="auto"/>
                <w:lang w:val="en-US" w:eastAsia="zh-CN" w:bidi="ar-SA"/>
              </w:rPr>
              <w:t>。</w:t>
            </w:r>
          </w:p>
          <w:p>
            <w:pPr>
              <w:bidi w:val="0"/>
              <w:rPr>
                <w:rFonts w:hint="eastAsia"/>
                <w:color w:val="auto"/>
                <w:lang w:val="en-US" w:eastAsia="zh-CN"/>
              </w:rPr>
            </w:pPr>
            <w:r>
              <w:rPr>
                <w:rFonts w:hint="default"/>
                <w:color w:val="auto"/>
                <w:sz w:val="24"/>
                <w:szCs w:val="24"/>
                <w:highlight w:val="none"/>
              </w:rPr>
              <w:t>根据《国家危险废物名录</w:t>
            </w:r>
            <w:r>
              <w:rPr>
                <w:rFonts w:hint="eastAsia"/>
                <w:color w:val="auto"/>
                <w:sz w:val="24"/>
                <w:szCs w:val="24"/>
                <w:highlight w:val="none"/>
              </w:rPr>
              <w:t>（2021年版）</w:t>
            </w:r>
            <w:r>
              <w:rPr>
                <w:rFonts w:hint="default"/>
                <w:color w:val="auto"/>
                <w:sz w:val="24"/>
                <w:szCs w:val="24"/>
                <w:highlight w:val="none"/>
              </w:rPr>
              <w:t>》中的规定</w:t>
            </w:r>
            <w:r>
              <w:rPr>
                <w:rFonts w:hint="eastAsia" w:eastAsia="宋体"/>
                <w:color w:val="auto"/>
                <w:sz w:val="24"/>
                <w:szCs w:val="24"/>
                <w:highlight w:val="none"/>
                <w:lang w:eastAsia="zh-CN"/>
              </w:rPr>
              <w:t>，</w:t>
            </w:r>
            <w:r>
              <w:rPr>
                <w:rFonts w:hint="eastAsia" w:ascii="Times New Roman" w:eastAsia="宋体"/>
                <w:color w:val="auto"/>
                <w:sz w:val="24"/>
                <w:szCs w:val="24"/>
                <w:highlight w:val="none"/>
                <w:lang w:val="en-US" w:eastAsia="zh-CN"/>
              </w:rPr>
              <w:t>本项目</w:t>
            </w:r>
            <w:r>
              <w:rPr>
                <w:rFonts w:hint="eastAsia" w:eastAsia="宋体"/>
                <w:color w:val="auto"/>
                <w:sz w:val="24"/>
                <w:szCs w:val="24"/>
                <w:highlight w:val="none"/>
                <w:lang w:eastAsia="zh-CN"/>
              </w:rPr>
              <w:t>危险废物类别、代码、产生量及收集、处置方式见</w:t>
            </w:r>
            <w:r>
              <w:rPr>
                <w:rFonts w:hint="eastAsia" w:ascii="Times New Roman" w:eastAsia="宋体"/>
                <w:color w:val="auto"/>
                <w:sz w:val="24"/>
                <w:szCs w:val="24"/>
                <w:highlight w:val="none"/>
                <w:lang w:val="en-US" w:eastAsia="zh-CN"/>
              </w:rPr>
              <w:t>下表</w:t>
            </w:r>
            <w:r>
              <w:rPr>
                <w:rFonts w:hint="eastAsia" w:eastAsia="宋体"/>
                <w:color w:val="auto"/>
                <w:sz w:val="24"/>
                <w:szCs w:val="24"/>
                <w:highlight w:val="none"/>
                <w:lang w:eastAsia="zh-CN"/>
              </w:rPr>
              <w:t>。</w:t>
            </w:r>
          </w:p>
          <w:p>
            <w:pPr>
              <w:bidi w:val="0"/>
              <w:rPr>
                <w:rFonts w:hint="default"/>
                <w:color w:val="auto"/>
                <w:lang w:val="en-US" w:eastAsia="zh-CN"/>
              </w:rPr>
            </w:pPr>
          </w:p>
          <w:p>
            <w:pPr>
              <w:bidi w:val="0"/>
              <w:rPr>
                <w:rFonts w:hint="default"/>
                <w:color w:val="auto"/>
                <w:lang w:val="en-US" w:eastAsia="zh-CN"/>
              </w:rPr>
            </w:pPr>
          </w:p>
          <w:p>
            <w:pPr>
              <w:bidi w:val="0"/>
              <w:rPr>
                <w:rFonts w:hint="default"/>
                <w:color w:val="auto"/>
                <w:lang w:val="en-US" w:eastAsia="zh-CN"/>
              </w:rPr>
            </w:pPr>
          </w:p>
          <w:p>
            <w:pPr>
              <w:bidi w:val="0"/>
              <w:rPr>
                <w:rFonts w:hint="default"/>
                <w:color w:val="auto"/>
                <w:lang w:val="en-US" w:eastAsia="zh-CN"/>
              </w:rPr>
            </w:pPr>
          </w:p>
          <w:p>
            <w:pPr>
              <w:bidi w:val="0"/>
              <w:rPr>
                <w:rFonts w:hint="default"/>
                <w:color w:val="auto"/>
                <w:lang w:val="en-US" w:eastAsia="zh-CN"/>
              </w:rPr>
            </w:pPr>
          </w:p>
          <w:p>
            <w:pPr>
              <w:bidi w:val="0"/>
              <w:rPr>
                <w:rFonts w:hint="default"/>
                <w:color w:val="auto"/>
                <w:lang w:val="en-US" w:eastAsia="zh-CN"/>
              </w:rPr>
            </w:pPr>
          </w:p>
          <w:p>
            <w:pPr>
              <w:bidi w:val="0"/>
              <w:rPr>
                <w:rFonts w:hint="default"/>
                <w:color w:val="auto"/>
                <w:lang w:val="en-US" w:eastAsia="zh-CN"/>
              </w:rPr>
            </w:pPr>
          </w:p>
          <w:p>
            <w:pPr>
              <w:bidi w:val="0"/>
              <w:rPr>
                <w:rFonts w:hint="default"/>
                <w:color w:val="auto"/>
                <w:lang w:val="en-US" w:eastAsia="zh-CN"/>
              </w:rPr>
            </w:pPr>
          </w:p>
          <w:p>
            <w:pPr>
              <w:bidi w:val="0"/>
              <w:rPr>
                <w:rFonts w:hint="default"/>
                <w:color w:val="auto"/>
                <w:lang w:val="en-US" w:eastAsia="zh-CN"/>
              </w:rPr>
            </w:pPr>
          </w:p>
          <w:p>
            <w:pPr>
              <w:bidi w:val="0"/>
              <w:rPr>
                <w:rFonts w:hint="default"/>
                <w:color w:val="auto"/>
                <w:lang w:val="en-US" w:eastAsia="zh-CN"/>
              </w:rPr>
            </w:pPr>
          </w:p>
          <w:p>
            <w:pPr>
              <w:bidi w:val="0"/>
              <w:rPr>
                <w:rFonts w:hint="default"/>
                <w:color w:val="auto"/>
                <w:lang w:val="en-US" w:eastAsia="zh-CN"/>
              </w:rPr>
            </w:pPr>
          </w:p>
          <w:p>
            <w:pPr>
              <w:bidi w:val="0"/>
              <w:rPr>
                <w:rFonts w:hint="default"/>
                <w:color w:val="auto"/>
                <w:lang w:val="en-US" w:eastAsia="zh-CN"/>
              </w:rPr>
            </w:pPr>
          </w:p>
          <w:p>
            <w:pPr>
              <w:bidi w:val="0"/>
              <w:rPr>
                <w:rFonts w:hint="default"/>
                <w:color w:val="auto"/>
                <w:lang w:val="en-US" w:eastAsia="zh-CN"/>
              </w:rPr>
            </w:pPr>
          </w:p>
          <w:p>
            <w:pPr>
              <w:bidi w:val="0"/>
              <w:ind w:left="0" w:leftChars="0" w:firstLine="0" w:firstLineChars="0"/>
              <w:rPr>
                <w:rFonts w:hint="default"/>
                <w:color w:val="auto"/>
                <w:lang w:val="en-US" w:eastAsia="zh-CN"/>
              </w:rPr>
            </w:pPr>
          </w:p>
        </w:tc>
      </w:tr>
    </w:tbl>
    <w:p>
      <w:pPr>
        <w:rPr>
          <w:rFonts w:hint="eastAsia" w:ascii="黑体" w:hAnsi="黑体" w:eastAsia="黑体"/>
          <w:snapToGrid w:val="0"/>
          <w:color w:val="auto"/>
          <w:sz w:val="30"/>
          <w:szCs w:val="30"/>
          <w:highlight w:val="none"/>
        </w:rPr>
        <w:sectPr>
          <w:pgSz w:w="11906" w:h="16838"/>
          <w:pgMar w:top="1440" w:right="1247" w:bottom="1440" w:left="1417"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ascii="黑体" w:hAnsi="黑体" w:eastAsia="黑体"/>
          <w:snapToGrid w:val="0"/>
          <w:color w:val="auto"/>
          <w:sz w:val="30"/>
          <w:szCs w:val="30"/>
          <w:highlight w:val="none"/>
        </w:rPr>
        <w:br w:type="page"/>
      </w:r>
    </w:p>
    <w:tbl>
      <w:tblPr>
        <w:tblStyle w:val="25"/>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985"/>
        <w:gridCol w:w="1318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c>
          <w:tcPr>
            <w:tcW w:w="985" w:type="dxa"/>
            <w:tcBorders>
              <w:tl2br w:val="nil"/>
              <w:tr2bl w:val="nil"/>
            </w:tcBorders>
            <w:vAlign w:val="top"/>
          </w:tcPr>
          <w:p>
            <w:pPr>
              <w:rPr>
                <w:rFonts w:hint="eastAsia" w:ascii="黑体" w:hAnsi="黑体" w:eastAsia="黑体"/>
                <w:snapToGrid w:val="0"/>
                <w:color w:val="auto"/>
                <w:sz w:val="30"/>
                <w:szCs w:val="30"/>
                <w:highlight w:val="none"/>
                <w:vertAlign w:val="baseline"/>
              </w:rPr>
            </w:pPr>
          </w:p>
        </w:tc>
        <w:tc>
          <w:tcPr>
            <w:tcW w:w="13189" w:type="dxa"/>
            <w:tcBorders>
              <w:tl2br w:val="nil"/>
              <w:tr2bl w:val="nil"/>
            </w:tcBorders>
            <w:vAlign w:val="top"/>
          </w:tcPr>
          <w:p>
            <w:pPr>
              <w:keepNext w:val="0"/>
              <w:keepLines w:val="0"/>
              <w:pageBreakBefore w:val="0"/>
              <w:widowControl w:val="0"/>
              <w:kinsoku/>
              <w:wordWrap/>
              <w:overflowPunct/>
              <w:topLinePunct w:val="0"/>
              <w:autoSpaceDE/>
              <w:autoSpaceDN/>
              <w:bidi w:val="0"/>
              <w:adjustRightInd w:val="0"/>
              <w:snapToGrid w:val="0"/>
              <w:spacing w:line="480" w:lineRule="exact"/>
              <w:ind w:left="0" w:leftChars="0" w:right="0" w:rightChars="0" w:firstLine="0" w:firstLineChars="0"/>
              <w:jc w:val="center"/>
              <w:textAlignment w:val="auto"/>
              <w:outlineLvl w:val="9"/>
              <w:rPr>
                <w:rFonts w:hint="default" w:ascii="Times New Roman" w:hAnsi="Times New Roman" w:eastAsia="宋体" w:cs="Times New Roman"/>
                <w:b/>
                <w:bCs/>
                <w:color w:val="auto"/>
                <w:sz w:val="21"/>
                <w:szCs w:val="21"/>
                <w:highlight w:val="none"/>
                <w:shd w:val="clear" w:color="auto" w:fill="auto"/>
                <w:lang w:val="en-US" w:eastAsia="zh-CN"/>
              </w:rPr>
            </w:pPr>
            <w:r>
              <w:rPr>
                <w:rFonts w:hint="default" w:ascii="Times New Roman" w:hAnsi="Times New Roman" w:eastAsia="宋体" w:cs="Times New Roman"/>
                <w:b/>
                <w:bCs/>
                <w:color w:val="auto"/>
                <w:sz w:val="21"/>
                <w:szCs w:val="21"/>
                <w:highlight w:val="none"/>
                <w:shd w:val="clear" w:color="auto" w:fill="auto"/>
                <w:lang w:val="zh-CN" w:eastAsia="zh-CN"/>
              </w:rPr>
              <w:t>表</w:t>
            </w:r>
            <w:r>
              <w:rPr>
                <w:rFonts w:hint="eastAsia" w:cs="Times New Roman"/>
                <w:b/>
                <w:bCs/>
                <w:color w:val="auto"/>
                <w:sz w:val="21"/>
                <w:szCs w:val="21"/>
                <w:highlight w:val="none"/>
                <w:shd w:val="clear" w:color="auto" w:fill="auto"/>
                <w:lang w:val="en-US" w:eastAsia="zh-CN"/>
              </w:rPr>
              <w:t>40</w:t>
            </w:r>
            <w:r>
              <w:rPr>
                <w:rFonts w:hint="default" w:ascii="Times New Roman" w:hAnsi="Times New Roman" w:eastAsia="宋体" w:cs="Times New Roman"/>
                <w:b/>
                <w:bCs/>
                <w:color w:val="auto"/>
                <w:sz w:val="21"/>
                <w:szCs w:val="21"/>
                <w:highlight w:val="none"/>
                <w:shd w:val="clear" w:color="auto" w:fill="auto"/>
                <w:lang w:val="zh-CN" w:eastAsia="zh-CN"/>
              </w:rPr>
              <w:t xml:space="preserve"> </w:t>
            </w:r>
            <w:r>
              <w:rPr>
                <w:rFonts w:hint="default" w:ascii="Times New Roman" w:hAnsi="Times New Roman" w:eastAsia="宋体" w:cs="Times New Roman"/>
                <w:b/>
                <w:bCs/>
                <w:color w:val="auto"/>
                <w:sz w:val="21"/>
                <w:szCs w:val="21"/>
                <w:highlight w:val="none"/>
                <w:shd w:val="clear" w:color="auto" w:fill="auto"/>
                <w:lang w:val="en-US" w:eastAsia="zh-CN"/>
              </w:rPr>
              <w:t xml:space="preserve"> </w:t>
            </w:r>
            <w:r>
              <w:rPr>
                <w:rFonts w:hint="eastAsia" w:cs="Times New Roman"/>
                <w:b/>
                <w:bCs/>
                <w:color w:val="auto"/>
                <w:sz w:val="21"/>
                <w:szCs w:val="21"/>
                <w:highlight w:val="none"/>
                <w:shd w:val="clear" w:color="auto" w:fill="auto"/>
                <w:lang w:val="en-US" w:eastAsia="zh-CN"/>
              </w:rPr>
              <w:t>本项目危险废物</w:t>
            </w:r>
            <w:r>
              <w:rPr>
                <w:rFonts w:hint="eastAsia" w:ascii="Times New Roman" w:hAnsi="Times New Roman" w:eastAsia="宋体" w:cs="Times New Roman"/>
                <w:b/>
                <w:bCs/>
                <w:color w:val="auto"/>
                <w:sz w:val="21"/>
                <w:szCs w:val="21"/>
                <w:highlight w:val="none"/>
                <w:shd w:val="clear" w:color="auto" w:fill="auto"/>
                <w:lang w:val="en-US" w:eastAsia="zh-CN"/>
              </w:rPr>
              <w:t>污染源及治理措施</w:t>
            </w:r>
            <w:r>
              <w:rPr>
                <w:rFonts w:hint="eastAsia" w:ascii="Times New Roman" w:hAnsi="Times New Roman" w:eastAsia="宋体" w:cs="Times New Roman"/>
                <w:b/>
                <w:bCs/>
                <w:color w:val="auto"/>
                <w:sz w:val="21"/>
                <w:szCs w:val="21"/>
                <w:highlight w:val="none"/>
                <w:shd w:val="clear" w:color="auto" w:fill="auto"/>
                <w:lang w:val="zh-CN" w:eastAsia="zh-CN"/>
              </w:rPr>
              <w:t>一览</w:t>
            </w:r>
            <w:r>
              <w:rPr>
                <w:rFonts w:hint="default" w:ascii="Times New Roman" w:hAnsi="Times New Roman" w:eastAsia="宋体" w:cs="Times New Roman"/>
                <w:b/>
                <w:bCs/>
                <w:color w:val="auto"/>
                <w:sz w:val="21"/>
                <w:szCs w:val="21"/>
                <w:highlight w:val="none"/>
                <w:shd w:val="clear" w:color="auto" w:fill="auto"/>
                <w:lang w:val="zh-CN" w:eastAsia="zh-CN"/>
              </w:rPr>
              <w:t>表</w:t>
            </w:r>
            <w:r>
              <w:rPr>
                <w:rFonts w:hint="eastAsia" w:ascii="Times New Roman" w:hAnsi="Times New Roman" w:eastAsia="宋体" w:cs="Times New Roman"/>
                <w:b/>
                <w:bCs/>
                <w:color w:val="auto"/>
                <w:sz w:val="21"/>
                <w:szCs w:val="21"/>
                <w:highlight w:val="none"/>
                <w:shd w:val="clear" w:color="auto" w:fill="auto"/>
                <w:lang w:val="en-US" w:eastAsia="zh-CN"/>
              </w:rPr>
              <w:t xml:space="preserve">    </w:t>
            </w:r>
          </w:p>
          <w:tbl>
            <w:tblPr>
              <w:tblStyle w:val="24"/>
              <w:tblW w:w="1292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892"/>
              <w:gridCol w:w="2170"/>
              <w:gridCol w:w="849"/>
              <w:gridCol w:w="1155"/>
              <w:gridCol w:w="696"/>
              <w:gridCol w:w="732"/>
              <w:gridCol w:w="864"/>
              <w:gridCol w:w="1322"/>
              <w:gridCol w:w="1407"/>
              <w:gridCol w:w="920"/>
              <w:gridCol w:w="191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33" w:hRule="atLeast"/>
                <w:jc w:val="center"/>
              </w:trPr>
              <w:tc>
                <w:tcPr>
                  <w:tcW w:w="89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eastAsia="宋体" w:cs="Times New Roman"/>
                      <w:color w:val="auto"/>
                      <w:sz w:val="21"/>
                      <w:szCs w:val="21"/>
                      <w:highlight w:val="none"/>
                      <w:shd w:val="clear" w:color="auto" w:fill="auto"/>
                      <w:lang w:eastAsia="zh-CN"/>
                    </w:rPr>
                  </w:pPr>
                  <w:r>
                    <w:rPr>
                      <w:rFonts w:hint="eastAsia" w:ascii="Times New Roman" w:hAnsi="Times New Roman" w:eastAsia="宋体" w:cs="Times New Roman"/>
                      <w:color w:val="auto"/>
                      <w:sz w:val="21"/>
                      <w:szCs w:val="21"/>
                      <w:highlight w:val="none"/>
                      <w:shd w:val="clear" w:color="auto" w:fill="auto"/>
                      <w:lang w:eastAsia="zh-CN"/>
                    </w:rPr>
                    <w:t>产生环节</w:t>
                  </w:r>
                </w:p>
              </w:tc>
              <w:tc>
                <w:tcPr>
                  <w:tcW w:w="217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eastAsia="宋体" w:cs="Times New Roman"/>
                      <w:color w:val="auto"/>
                      <w:sz w:val="21"/>
                      <w:szCs w:val="21"/>
                      <w:highlight w:val="none"/>
                      <w:shd w:val="clear" w:color="auto" w:fill="auto"/>
                      <w:lang w:eastAsia="zh-CN"/>
                    </w:rPr>
                  </w:pPr>
                  <w:r>
                    <w:rPr>
                      <w:rFonts w:hint="eastAsia" w:ascii="Times New Roman" w:hAnsi="Times New Roman" w:eastAsia="宋体" w:cs="Times New Roman"/>
                      <w:color w:val="auto"/>
                      <w:sz w:val="21"/>
                      <w:szCs w:val="21"/>
                      <w:highlight w:val="none"/>
                      <w:shd w:val="clear" w:color="auto" w:fill="auto"/>
                      <w:lang w:eastAsia="zh-CN"/>
                    </w:rPr>
                    <w:t>名称</w:t>
                  </w:r>
                </w:p>
              </w:tc>
              <w:tc>
                <w:tcPr>
                  <w:tcW w:w="849"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color w:val="auto"/>
                      <w:sz w:val="21"/>
                      <w:szCs w:val="21"/>
                      <w:highlight w:val="none"/>
                      <w:shd w:val="clear" w:color="auto" w:fill="auto"/>
                    </w:rPr>
                  </w:pPr>
                  <w:r>
                    <w:rPr>
                      <w:rFonts w:hint="eastAsia" w:ascii="Times New Roman" w:hAnsi="Times New Roman" w:eastAsia="宋体" w:cs="Times New Roman"/>
                      <w:color w:val="auto"/>
                      <w:sz w:val="21"/>
                      <w:szCs w:val="21"/>
                      <w:highlight w:val="none"/>
                      <w:shd w:val="clear" w:color="auto" w:fill="auto"/>
                      <w:lang w:val="en-US" w:eastAsia="zh-CN"/>
                    </w:rPr>
                    <w:t>属性</w:t>
                  </w:r>
                </w:p>
              </w:tc>
              <w:tc>
                <w:tcPr>
                  <w:tcW w:w="115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主要有毒有害物质名称</w:t>
                  </w:r>
                </w:p>
              </w:tc>
              <w:tc>
                <w:tcPr>
                  <w:tcW w:w="696"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物理性状</w:t>
                  </w:r>
                </w:p>
              </w:tc>
              <w:tc>
                <w:tcPr>
                  <w:tcW w:w="73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rPr>
                  </w:pPr>
                  <w:r>
                    <w:rPr>
                      <w:rFonts w:hint="eastAsia" w:ascii="Times New Roman" w:hAnsi="Times New Roman" w:eastAsia="宋体" w:cs="Times New Roman"/>
                      <w:color w:val="auto"/>
                      <w:sz w:val="21"/>
                      <w:szCs w:val="21"/>
                      <w:highlight w:val="none"/>
                      <w:shd w:val="clear" w:color="auto" w:fill="auto"/>
                      <w:lang w:val="en-US" w:eastAsia="zh-CN"/>
                    </w:rPr>
                    <w:t>环境危险特性</w:t>
                  </w:r>
                </w:p>
              </w:tc>
              <w:tc>
                <w:tcPr>
                  <w:tcW w:w="864"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产生量</w:t>
                  </w:r>
                </w:p>
              </w:tc>
              <w:tc>
                <w:tcPr>
                  <w:tcW w:w="132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贮存方式</w:t>
                  </w:r>
                </w:p>
              </w:tc>
              <w:tc>
                <w:tcPr>
                  <w:tcW w:w="1407"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利用及处置方式和去向</w:t>
                  </w:r>
                </w:p>
              </w:tc>
              <w:tc>
                <w:tcPr>
                  <w:tcW w:w="92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利用或处置量</w:t>
                  </w:r>
                </w:p>
              </w:tc>
              <w:tc>
                <w:tcPr>
                  <w:tcW w:w="1919"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环境管理要求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33" w:hRule="atLeast"/>
                <w:jc w:val="center"/>
              </w:trPr>
              <w:tc>
                <w:tcPr>
                  <w:tcW w:w="892" w:type="dxa"/>
                  <w:vMerge w:val="restart"/>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olor w:val="auto"/>
                      <w:sz w:val="21"/>
                      <w:szCs w:val="21"/>
                      <w:highlight w:val="none"/>
                      <w:lang w:val="en-US" w:eastAsia="zh-CN"/>
                    </w:rPr>
                    <w:t>设备维护保养</w:t>
                  </w:r>
                </w:p>
              </w:tc>
              <w:tc>
                <w:tcPr>
                  <w:tcW w:w="217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废润滑油</w:t>
                  </w:r>
                </w:p>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（HW08  900-217-08）</w:t>
                  </w:r>
                </w:p>
              </w:tc>
              <w:tc>
                <w:tcPr>
                  <w:tcW w:w="849"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危险废物</w:t>
                  </w:r>
                </w:p>
              </w:tc>
              <w:tc>
                <w:tcPr>
                  <w:tcW w:w="115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石油类</w:t>
                  </w:r>
                </w:p>
              </w:tc>
              <w:tc>
                <w:tcPr>
                  <w:tcW w:w="696"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液态</w:t>
                  </w:r>
                </w:p>
              </w:tc>
              <w:tc>
                <w:tcPr>
                  <w:tcW w:w="73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T，I</w:t>
                  </w:r>
                </w:p>
              </w:tc>
              <w:tc>
                <w:tcPr>
                  <w:tcW w:w="864"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0.</w:t>
                  </w:r>
                  <w:r>
                    <w:rPr>
                      <w:rFonts w:hint="eastAsia" w:ascii="Times New Roman" w:hAnsi="Times New Roman" w:cs="Times New Roman"/>
                      <w:color w:val="auto"/>
                      <w:sz w:val="21"/>
                      <w:szCs w:val="21"/>
                      <w:highlight w:val="none"/>
                      <w:shd w:val="clear" w:color="auto" w:fill="auto"/>
                      <w:lang w:val="en-US" w:eastAsia="zh-CN"/>
                    </w:rPr>
                    <w:t>003</w:t>
                  </w:r>
                  <w:r>
                    <w:rPr>
                      <w:rFonts w:hint="eastAsia" w:ascii="Times New Roman" w:hAnsi="Times New Roman" w:eastAsia="宋体" w:cs="Times New Roman"/>
                      <w:color w:val="auto"/>
                      <w:sz w:val="21"/>
                      <w:szCs w:val="21"/>
                      <w:highlight w:val="none"/>
                      <w:shd w:val="clear" w:color="auto" w:fill="auto"/>
                      <w:lang w:val="en-US" w:eastAsia="zh-CN"/>
                    </w:rPr>
                    <w:t>t/a</w:t>
                  </w:r>
                </w:p>
              </w:tc>
              <w:tc>
                <w:tcPr>
                  <w:tcW w:w="132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桶装</w:t>
                  </w:r>
                  <w:r>
                    <w:rPr>
                      <w:rFonts w:hint="eastAsia" w:ascii="Times New Roman" w:hAnsi="Times New Roman" w:eastAsia="宋体" w:cs="Times New Roman"/>
                      <w:color w:val="auto"/>
                      <w:sz w:val="21"/>
                      <w:szCs w:val="21"/>
                      <w:highlight w:val="none"/>
                      <w:shd w:val="clear" w:color="auto" w:fill="auto"/>
                      <w:lang w:val="en-US" w:eastAsia="zh-CN"/>
                    </w:rPr>
                    <w:t>加盖，暂存于危废间</w:t>
                  </w:r>
                </w:p>
              </w:tc>
              <w:tc>
                <w:tcPr>
                  <w:tcW w:w="1407"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定期委托有资质单位进行处置</w:t>
                  </w:r>
                </w:p>
              </w:tc>
              <w:tc>
                <w:tcPr>
                  <w:tcW w:w="92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0.</w:t>
                  </w:r>
                  <w:r>
                    <w:rPr>
                      <w:rFonts w:hint="eastAsia" w:ascii="Times New Roman" w:hAnsi="Times New Roman" w:cs="Times New Roman"/>
                      <w:color w:val="auto"/>
                      <w:sz w:val="21"/>
                      <w:szCs w:val="21"/>
                      <w:highlight w:val="none"/>
                      <w:shd w:val="clear" w:color="auto" w:fill="auto"/>
                      <w:lang w:val="en-US" w:eastAsia="zh-CN"/>
                    </w:rPr>
                    <w:t>003</w:t>
                  </w:r>
                  <w:r>
                    <w:rPr>
                      <w:rFonts w:hint="eastAsia" w:ascii="Times New Roman" w:hAnsi="Times New Roman" w:eastAsia="宋体" w:cs="Times New Roman"/>
                      <w:color w:val="auto"/>
                      <w:sz w:val="21"/>
                      <w:szCs w:val="21"/>
                      <w:highlight w:val="none"/>
                      <w:shd w:val="clear" w:color="auto" w:fill="auto"/>
                      <w:lang w:val="en-US" w:eastAsia="zh-CN"/>
                    </w:rPr>
                    <w:t>t/a</w:t>
                  </w:r>
                </w:p>
              </w:tc>
              <w:tc>
                <w:tcPr>
                  <w:tcW w:w="1919" w:type="dxa"/>
                  <w:vMerge w:val="restart"/>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rPr>
                    <w:t>危险废物的收集及临时存放应严格执行《危险废物贮存污染控制标准》（GB18597-20</w:t>
                  </w:r>
                  <w:r>
                    <w:rPr>
                      <w:rFonts w:hint="eastAsia" w:ascii="Times New Roman" w:hAnsi="Times New Roman" w:eastAsia="宋体" w:cs="Times New Roman"/>
                      <w:color w:val="auto"/>
                      <w:sz w:val="21"/>
                      <w:szCs w:val="21"/>
                      <w:highlight w:val="none"/>
                      <w:shd w:val="clear" w:color="auto" w:fill="auto"/>
                      <w:lang w:val="en-US" w:eastAsia="zh-CN"/>
                    </w:rPr>
                    <w:t>23</w:t>
                  </w:r>
                  <w:r>
                    <w:rPr>
                      <w:rFonts w:hint="default" w:ascii="Times New Roman" w:hAnsi="Times New Roman" w:eastAsia="宋体" w:cs="Times New Roman"/>
                      <w:color w:val="auto"/>
                      <w:sz w:val="21"/>
                      <w:szCs w:val="21"/>
                      <w:highlight w:val="none"/>
                      <w:shd w:val="clear" w:color="auto" w:fill="auto"/>
                    </w:rPr>
                    <w:t>）</w:t>
                  </w:r>
                  <w:r>
                    <w:rPr>
                      <w:rFonts w:hint="eastAsia" w:ascii="Times New Roman" w:hAnsi="Times New Roman" w:eastAsia="宋体" w:cs="Times New Roman"/>
                      <w:color w:val="auto"/>
                      <w:sz w:val="21"/>
                      <w:szCs w:val="21"/>
                      <w:highlight w:val="none"/>
                      <w:shd w:val="clear" w:color="auto" w:fill="auto"/>
                      <w:lang w:eastAsia="zh-CN"/>
                    </w:rPr>
                    <w:t>；</w:t>
                  </w:r>
                  <w:r>
                    <w:rPr>
                      <w:rFonts w:hint="eastAsia" w:eastAsia="宋体" w:cs="Times New Roman"/>
                      <w:color w:val="auto"/>
                      <w:sz w:val="21"/>
                      <w:szCs w:val="21"/>
                      <w:highlight w:val="none"/>
                      <w:shd w:val="clear" w:color="auto" w:fill="auto"/>
                      <w:lang w:val="en-US" w:eastAsia="zh-CN"/>
                    </w:rPr>
                    <w:t>按</w:t>
                  </w:r>
                  <w:r>
                    <w:rPr>
                      <w:rFonts w:hint="eastAsia" w:eastAsia="宋体" w:cs="Times New Roman"/>
                      <w:color w:val="auto"/>
                      <w:sz w:val="21"/>
                      <w:szCs w:val="21"/>
                      <w:highlight w:val="none"/>
                      <w:shd w:val="clear" w:color="auto" w:fill="auto"/>
                      <w:lang w:eastAsia="zh-CN"/>
                    </w:rPr>
                    <w:t>照《环境保护图形标志》（GB15562-1995）</w:t>
                  </w:r>
                  <w:r>
                    <w:rPr>
                      <w:rFonts w:hint="eastAsia" w:eastAsia="宋体" w:cs="Times New Roman"/>
                      <w:color w:val="auto"/>
                      <w:sz w:val="21"/>
                      <w:szCs w:val="21"/>
                      <w:highlight w:val="none"/>
                      <w:shd w:val="clear" w:color="auto" w:fill="auto"/>
                      <w:lang w:val="en-US" w:eastAsia="zh-CN"/>
                    </w:rPr>
                    <w:t>及修改单</w:t>
                  </w:r>
                  <w:r>
                    <w:rPr>
                      <w:rFonts w:hint="eastAsia" w:eastAsia="宋体" w:cs="Times New Roman"/>
                      <w:color w:val="auto"/>
                      <w:sz w:val="21"/>
                      <w:szCs w:val="21"/>
                      <w:highlight w:val="none"/>
                      <w:shd w:val="clear" w:color="auto" w:fill="auto"/>
                      <w:lang w:eastAsia="zh-CN"/>
                    </w:rPr>
                    <w:t>的要求对</w:t>
                  </w:r>
                  <w:r>
                    <w:rPr>
                      <w:rFonts w:hint="eastAsia" w:eastAsia="宋体" w:cs="Times New Roman"/>
                      <w:color w:val="auto"/>
                      <w:sz w:val="21"/>
                      <w:szCs w:val="21"/>
                      <w:highlight w:val="none"/>
                      <w:shd w:val="clear" w:color="auto" w:fill="auto"/>
                      <w:lang w:val="en-US" w:eastAsia="zh-CN"/>
                    </w:rPr>
                    <w:t>危险废物</w:t>
                  </w:r>
                  <w:r>
                    <w:rPr>
                      <w:rFonts w:hint="eastAsia" w:eastAsia="宋体" w:cs="Times New Roman"/>
                      <w:color w:val="auto"/>
                      <w:sz w:val="21"/>
                      <w:szCs w:val="21"/>
                      <w:highlight w:val="none"/>
                      <w:shd w:val="clear" w:color="auto" w:fill="auto"/>
                      <w:lang w:eastAsia="zh-CN"/>
                    </w:rPr>
                    <w:t>的临时存放场所设置环境保护图形标志牌</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33" w:hRule="atLeast"/>
                <w:jc w:val="center"/>
              </w:trPr>
              <w:tc>
                <w:tcPr>
                  <w:tcW w:w="892"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color w:val="auto"/>
                      <w:sz w:val="21"/>
                      <w:szCs w:val="21"/>
                      <w:highlight w:val="none"/>
                      <w:lang w:val="en-US" w:eastAsia="zh-CN"/>
                    </w:rPr>
                  </w:pPr>
                </w:p>
              </w:tc>
              <w:tc>
                <w:tcPr>
                  <w:tcW w:w="217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废</w:t>
                  </w:r>
                  <w:r>
                    <w:rPr>
                      <w:rFonts w:hint="eastAsia" w:ascii="Times New Roman" w:hAnsi="Times New Roman" w:cs="Times New Roman"/>
                      <w:color w:val="auto"/>
                      <w:sz w:val="21"/>
                      <w:szCs w:val="21"/>
                      <w:highlight w:val="none"/>
                      <w:shd w:val="clear" w:color="auto" w:fill="auto"/>
                      <w:lang w:val="en-US" w:eastAsia="zh-CN"/>
                    </w:rPr>
                    <w:t>润滑</w:t>
                  </w:r>
                  <w:r>
                    <w:rPr>
                      <w:rFonts w:hint="eastAsia" w:ascii="Times New Roman" w:hAnsi="Times New Roman" w:eastAsia="宋体" w:cs="Times New Roman"/>
                      <w:color w:val="auto"/>
                      <w:sz w:val="21"/>
                      <w:szCs w:val="21"/>
                      <w:highlight w:val="none"/>
                      <w:shd w:val="clear" w:color="auto" w:fill="auto"/>
                      <w:lang w:val="en-US" w:eastAsia="zh-CN"/>
                    </w:rPr>
                    <w:t>油桶</w:t>
                  </w:r>
                </w:p>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（HW08</w:t>
                  </w:r>
                  <w:r>
                    <w:rPr>
                      <w:rFonts w:hint="eastAsia" w:cs="Times New Roman"/>
                      <w:color w:val="auto"/>
                      <w:sz w:val="21"/>
                      <w:szCs w:val="21"/>
                      <w:highlight w:val="none"/>
                      <w:shd w:val="clear" w:color="auto" w:fill="auto"/>
                      <w:lang w:val="en-US" w:eastAsia="zh-CN"/>
                    </w:rPr>
                    <w:t xml:space="preserve"> </w:t>
                  </w:r>
                  <w:r>
                    <w:rPr>
                      <w:rFonts w:hint="eastAsia" w:ascii="Times New Roman" w:hAnsi="Times New Roman" w:cs="Times New Roman"/>
                      <w:color w:val="auto"/>
                      <w:sz w:val="21"/>
                      <w:szCs w:val="21"/>
                      <w:highlight w:val="none"/>
                      <w:shd w:val="clear" w:color="auto" w:fill="auto"/>
                      <w:lang w:val="en-US" w:eastAsia="zh-CN"/>
                    </w:rPr>
                    <w:t xml:space="preserve"> </w:t>
                  </w:r>
                  <w:r>
                    <w:rPr>
                      <w:rFonts w:hint="eastAsia" w:ascii="Times New Roman" w:hAnsi="Times New Roman" w:eastAsia="宋体" w:cs="Times New Roman"/>
                      <w:color w:val="auto"/>
                      <w:sz w:val="21"/>
                      <w:szCs w:val="21"/>
                      <w:highlight w:val="none"/>
                      <w:shd w:val="clear" w:color="auto" w:fill="auto"/>
                      <w:lang w:val="en-US" w:eastAsia="zh-CN"/>
                    </w:rPr>
                    <w:t>900-249-08）</w:t>
                  </w:r>
                </w:p>
              </w:tc>
              <w:tc>
                <w:tcPr>
                  <w:tcW w:w="849"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危险废物</w:t>
                  </w:r>
                </w:p>
              </w:tc>
              <w:tc>
                <w:tcPr>
                  <w:tcW w:w="115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石油类</w:t>
                  </w:r>
                </w:p>
              </w:tc>
              <w:tc>
                <w:tcPr>
                  <w:tcW w:w="696"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固态</w:t>
                  </w:r>
                </w:p>
              </w:tc>
              <w:tc>
                <w:tcPr>
                  <w:tcW w:w="73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T，I</w:t>
                  </w:r>
                </w:p>
              </w:tc>
              <w:tc>
                <w:tcPr>
                  <w:tcW w:w="864"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2个</w:t>
                  </w:r>
                  <w:r>
                    <w:rPr>
                      <w:rFonts w:hint="eastAsia" w:ascii="Times New Roman" w:hAnsi="Times New Roman" w:eastAsia="宋体" w:cs="Times New Roman"/>
                      <w:color w:val="auto"/>
                      <w:sz w:val="21"/>
                      <w:szCs w:val="21"/>
                      <w:highlight w:val="none"/>
                      <w:shd w:val="clear" w:color="auto" w:fill="auto"/>
                      <w:lang w:val="en-US" w:eastAsia="zh-CN"/>
                    </w:rPr>
                    <w:t>/a</w:t>
                  </w:r>
                </w:p>
              </w:tc>
              <w:tc>
                <w:tcPr>
                  <w:tcW w:w="132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加盖，暂存于危废间</w:t>
                  </w:r>
                </w:p>
              </w:tc>
              <w:tc>
                <w:tcPr>
                  <w:tcW w:w="1407"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定期委托有资质单位进行处置</w:t>
                  </w:r>
                </w:p>
              </w:tc>
              <w:tc>
                <w:tcPr>
                  <w:tcW w:w="92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2个</w:t>
                  </w:r>
                  <w:r>
                    <w:rPr>
                      <w:rFonts w:hint="eastAsia" w:ascii="Times New Roman" w:hAnsi="Times New Roman" w:eastAsia="宋体" w:cs="Times New Roman"/>
                      <w:color w:val="auto"/>
                      <w:sz w:val="21"/>
                      <w:szCs w:val="21"/>
                      <w:highlight w:val="none"/>
                      <w:shd w:val="clear" w:color="auto" w:fill="auto"/>
                      <w:lang w:val="en-US" w:eastAsia="zh-CN"/>
                    </w:rPr>
                    <w:t>/a</w:t>
                  </w:r>
                </w:p>
              </w:tc>
              <w:tc>
                <w:tcPr>
                  <w:tcW w:w="1919"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eastAsia="宋体" w:cs="Times New Roman"/>
                      <w:color w:val="auto"/>
                      <w:sz w:val="21"/>
                      <w:szCs w:val="21"/>
                      <w:highlight w:val="none"/>
                      <w:shd w:val="clear" w:color="auto" w:fill="auto"/>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33" w:hRule="atLeast"/>
                <w:jc w:val="center"/>
              </w:trPr>
              <w:tc>
                <w:tcPr>
                  <w:tcW w:w="89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color w:val="auto"/>
                      <w:sz w:val="21"/>
                      <w:szCs w:val="21"/>
                      <w:highlight w:val="none"/>
                      <w:lang w:val="en-US" w:eastAsia="zh-CN"/>
                    </w:rPr>
                  </w:pPr>
                  <w:r>
                    <w:rPr>
                      <w:rFonts w:hint="eastAsia"/>
                      <w:color w:val="auto"/>
                      <w:sz w:val="21"/>
                      <w:szCs w:val="21"/>
                      <w:highlight w:val="none"/>
                      <w:lang w:val="en-US" w:eastAsia="zh-CN"/>
                    </w:rPr>
                    <w:t>生产过程</w:t>
                  </w:r>
                </w:p>
              </w:tc>
              <w:tc>
                <w:tcPr>
                  <w:tcW w:w="217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废包装桶（导电浆料配制原料包装桶）</w:t>
                  </w:r>
                </w:p>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w:t>
                  </w:r>
                  <w:r>
                    <w:rPr>
                      <w:rFonts w:hint="eastAsia" w:ascii="Times New Roman" w:hAnsi="Times New Roman" w:eastAsia="宋体" w:cs="Times New Roman"/>
                      <w:color w:val="auto"/>
                      <w:sz w:val="21"/>
                      <w:szCs w:val="21"/>
                      <w:highlight w:val="none"/>
                      <w:shd w:val="clear" w:color="auto" w:fill="auto"/>
                      <w:lang w:val="en-US" w:eastAsia="zh-CN"/>
                    </w:rPr>
                    <w:t>HW49  900-041-49</w:t>
                  </w:r>
                  <w:r>
                    <w:rPr>
                      <w:rFonts w:hint="eastAsia" w:ascii="Times New Roman" w:hAnsi="Times New Roman" w:cs="Times New Roman"/>
                      <w:color w:val="auto"/>
                      <w:sz w:val="21"/>
                      <w:szCs w:val="21"/>
                      <w:highlight w:val="none"/>
                      <w:shd w:val="clear" w:color="auto" w:fill="auto"/>
                      <w:lang w:val="en-US" w:eastAsia="zh-CN"/>
                    </w:rPr>
                    <w:t>）</w:t>
                  </w:r>
                </w:p>
              </w:tc>
              <w:tc>
                <w:tcPr>
                  <w:tcW w:w="849"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危险废物</w:t>
                  </w:r>
                </w:p>
              </w:tc>
              <w:tc>
                <w:tcPr>
                  <w:tcW w:w="115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有机物</w:t>
                  </w:r>
                </w:p>
              </w:tc>
              <w:tc>
                <w:tcPr>
                  <w:tcW w:w="696"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固态</w:t>
                  </w:r>
                </w:p>
              </w:tc>
              <w:tc>
                <w:tcPr>
                  <w:tcW w:w="73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T/In</w:t>
                  </w:r>
                </w:p>
              </w:tc>
              <w:tc>
                <w:tcPr>
                  <w:tcW w:w="864"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0.05t/a</w:t>
                  </w:r>
                </w:p>
              </w:tc>
              <w:tc>
                <w:tcPr>
                  <w:tcW w:w="132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加盖，暂存于危废间</w:t>
                  </w:r>
                </w:p>
              </w:tc>
              <w:tc>
                <w:tcPr>
                  <w:tcW w:w="1407"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定期委托有资质单位进行处置</w:t>
                  </w:r>
                </w:p>
              </w:tc>
              <w:tc>
                <w:tcPr>
                  <w:tcW w:w="92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0.05t/a</w:t>
                  </w:r>
                </w:p>
              </w:tc>
              <w:tc>
                <w:tcPr>
                  <w:tcW w:w="1919"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eastAsia="宋体" w:cs="Times New Roman"/>
                      <w:color w:val="auto"/>
                      <w:sz w:val="21"/>
                      <w:szCs w:val="21"/>
                      <w:highlight w:val="none"/>
                      <w:shd w:val="clear" w:color="auto" w:fill="auto"/>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33" w:hRule="atLeast"/>
                <w:jc w:val="center"/>
              </w:trPr>
              <w:tc>
                <w:tcPr>
                  <w:tcW w:w="89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color w:val="auto"/>
                      <w:sz w:val="21"/>
                      <w:szCs w:val="21"/>
                      <w:highlight w:val="none"/>
                      <w:lang w:val="en-US" w:eastAsia="zh-CN"/>
                    </w:rPr>
                  </w:pPr>
                  <w:r>
                    <w:rPr>
                      <w:rFonts w:hint="eastAsia"/>
                      <w:color w:val="auto"/>
                      <w:sz w:val="21"/>
                      <w:szCs w:val="21"/>
                      <w:highlight w:val="none"/>
                      <w:lang w:val="en-US" w:eastAsia="zh-CN"/>
                    </w:rPr>
                    <w:t>废气治理设施</w:t>
                  </w:r>
                </w:p>
              </w:tc>
              <w:tc>
                <w:tcPr>
                  <w:tcW w:w="217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lang w:val="en-US" w:eastAsia="zh-CN"/>
                    </w:rPr>
                    <w:t>废活性炭</w:t>
                  </w:r>
                </w:p>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（HW49</w:t>
                  </w:r>
                  <w:r>
                    <w:rPr>
                      <w:rFonts w:hint="eastAsia" w:ascii="Times New Roman" w:hAnsi="Times New Roman" w:cs="Times New Roman"/>
                      <w:color w:val="auto"/>
                      <w:sz w:val="21"/>
                      <w:szCs w:val="21"/>
                      <w:highlight w:val="none"/>
                      <w:shd w:val="clear" w:color="auto" w:fill="auto"/>
                      <w:lang w:val="en-US" w:eastAsia="zh-CN"/>
                    </w:rPr>
                    <w:t xml:space="preserve"> </w:t>
                  </w:r>
                  <w:r>
                    <w:rPr>
                      <w:rFonts w:hint="eastAsia" w:ascii="Times New Roman" w:hAnsi="Times New Roman" w:eastAsia="宋体" w:cs="Times New Roman"/>
                      <w:color w:val="auto"/>
                      <w:sz w:val="21"/>
                      <w:szCs w:val="21"/>
                      <w:highlight w:val="none"/>
                      <w:shd w:val="clear" w:color="auto" w:fill="auto"/>
                      <w:lang w:val="en-US" w:eastAsia="zh-CN"/>
                    </w:rPr>
                    <w:t xml:space="preserve"> 900-039-49）</w:t>
                  </w:r>
                </w:p>
              </w:tc>
              <w:tc>
                <w:tcPr>
                  <w:tcW w:w="849"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危险废物</w:t>
                  </w:r>
                </w:p>
              </w:tc>
              <w:tc>
                <w:tcPr>
                  <w:tcW w:w="115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有机物</w:t>
                  </w:r>
                </w:p>
              </w:tc>
              <w:tc>
                <w:tcPr>
                  <w:tcW w:w="696"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固态</w:t>
                  </w:r>
                </w:p>
              </w:tc>
              <w:tc>
                <w:tcPr>
                  <w:tcW w:w="73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T</w:t>
                  </w:r>
                </w:p>
              </w:tc>
              <w:tc>
                <w:tcPr>
                  <w:tcW w:w="864"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1.5t/</w:t>
                  </w:r>
                  <w:r>
                    <w:rPr>
                      <w:rFonts w:hint="eastAsia" w:cs="Times New Roman"/>
                      <w:color w:val="auto"/>
                      <w:sz w:val="21"/>
                      <w:szCs w:val="21"/>
                      <w:highlight w:val="none"/>
                      <w:shd w:val="clear" w:color="auto" w:fill="auto"/>
                      <w:lang w:val="en-US" w:eastAsia="zh-CN"/>
                    </w:rPr>
                    <w:t>2</w:t>
                  </w:r>
                  <w:r>
                    <w:rPr>
                      <w:rFonts w:hint="eastAsia" w:ascii="Times New Roman" w:hAnsi="Times New Roman" w:cs="Times New Roman"/>
                      <w:color w:val="auto"/>
                      <w:sz w:val="21"/>
                      <w:szCs w:val="21"/>
                      <w:highlight w:val="none"/>
                      <w:shd w:val="clear" w:color="auto" w:fill="auto"/>
                      <w:lang w:val="en-US" w:eastAsia="zh-CN"/>
                    </w:rPr>
                    <w:t>a</w:t>
                  </w:r>
                </w:p>
              </w:tc>
              <w:tc>
                <w:tcPr>
                  <w:tcW w:w="2729" w:type="dxa"/>
                  <w:gridSpan w:val="2"/>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专用容器密闭收集，</w:t>
                  </w:r>
                  <w:r>
                    <w:rPr>
                      <w:rFonts w:hint="eastAsia" w:cs="Times New Roman"/>
                      <w:color w:val="auto"/>
                      <w:sz w:val="21"/>
                      <w:szCs w:val="21"/>
                      <w:highlight w:val="none"/>
                      <w:shd w:val="clear" w:color="auto" w:fill="auto"/>
                      <w:lang w:val="en-US" w:eastAsia="zh-CN"/>
                    </w:rPr>
                    <w:t>直接由有资质单位运走处置，不在厂区储存</w:t>
                  </w:r>
                </w:p>
              </w:tc>
              <w:tc>
                <w:tcPr>
                  <w:tcW w:w="92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1.5t/</w:t>
                  </w:r>
                  <w:r>
                    <w:rPr>
                      <w:rFonts w:hint="eastAsia" w:cs="Times New Roman"/>
                      <w:color w:val="auto"/>
                      <w:sz w:val="21"/>
                      <w:szCs w:val="21"/>
                      <w:highlight w:val="none"/>
                      <w:shd w:val="clear" w:color="auto" w:fill="auto"/>
                      <w:lang w:val="en-US" w:eastAsia="zh-CN"/>
                    </w:rPr>
                    <w:t>2</w:t>
                  </w:r>
                  <w:r>
                    <w:rPr>
                      <w:rFonts w:hint="eastAsia" w:ascii="Times New Roman" w:hAnsi="Times New Roman" w:cs="Times New Roman"/>
                      <w:color w:val="auto"/>
                      <w:sz w:val="21"/>
                      <w:szCs w:val="21"/>
                      <w:highlight w:val="none"/>
                      <w:shd w:val="clear" w:color="auto" w:fill="auto"/>
                      <w:lang w:val="en-US" w:eastAsia="zh-CN"/>
                    </w:rPr>
                    <w:t>a</w:t>
                  </w:r>
                </w:p>
              </w:tc>
              <w:tc>
                <w:tcPr>
                  <w:tcW w:w="1919"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eastAsia="宋体" w:cs="Times New Roman"/>
                      <w:color w:val="auto"/>
                      <w:sz w:val="21"/>
                      <w:szCs w:val="21"/>
                      <w:highlight w:val="none"/>
                      <w:shd w:val="clear" w:color="auto" w:fill="auto"/>
                    </w:rPr>
                  </w:pPr>
                </w:p>
              </w:tc>
            </w:tr>
          </w:tbl>
          <w:p>
            <w:pPr>
              <w:bidi w:val="0"/>
              <w:jc w:val="left"/>
              <w:rPr>
                <w:rFonts w:hint="default" w:eastAsia="宋体"/>
                <w:color w:val="auto"/>
                <w:highlight w:val="none"/>
                <w:vertAlign w:val="baseline"/>
                <w:lang w:val="en-US" w:eastAsia="zh-CN"/>
              </w:rPr>
            </w:pPr>
            <w:r>
              <w:rPr>
                <w:rFonts w:hint="eastAsia"/>
                <w:color w:val="auto"/>
                <w:highlight w:val="none"/>
                <w:vertAlign w:val="baseline"/>
                <w:lang w:val="en-US" w:eastAsia="zh-CN"/>
              </w:rPr>
              <w:t>本项目建成后，全厂</w:t>
            </w:r>
            <w:r>
              <w:rPr>
                <w:rFonts w:hint="eastAsia" w:eastAsia="宋体"/>
                <w:color w:val="auto"/>
                <w:sz w:val="24"/>
                <w:szCs w:val="24"/>
                <w:highlight w:val="none"/>
                <w:lang w:eastAsia="zh-CN"/>
              </w:rPr>
              <w:t>危险废物类别、代码、产生量及收集、处置方式见</w:t>
            </w:r>
            <w:r>
              <w:rPr>
                <w:rFonts w:hint="eastAsia" w:ascii="Times New Roman" w:eastAsia="宋体"/>
                <w:color w:val="auto"/>
                <w:sz w:val="24"/>
                <w:szCs w:val="24"/>
                <w:highlight w:val="none"/>
                <w:lang w:val="en-US" w:eastAsia="zh-CN"/>
              </w:rPr>
              <w:t>下表</w:t>
            </w:r>
            <w:r>
              <w:rPr>
                <w:rFonts w:hint="eastAsia" w:eastAsia="宋体"/>
                <w:color w:val="auto"/>
                <w:sz w:val="24"/>
                <w:szCs w:val="24"/>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right="0" w:rightChars="0" w:firstLine="0" w:firstLineChars="0"/>
              <w:jc w:val="center"/>
              <w:textAlignment w:val="auto"/>
              <w:outlineLvl w:val="9"/>
              <w:rPr>
                <w:rFonts w:hint="default" w:ascii="Times New Roman" w:hAnsi="Times New Roman" w:eastAsia="宋体" w:cs="Times New Roman"/>
                <w:b/>
                <w:bCs/>
                <w:color w:val="auto"/>
                <w:sz w:val="21"/>
                <w:szCs w:val="21"/>
                <w:highlight w:val="none"/>
                <w:shd w:val="clear" w:color="auto" w:fill="auto"/>
                <w:lang w:val="en-US" w:eastAsia="zh-CN"/>
              </w:rPr>
            </w:pPr>
            <w:r>
              <w:rPr>
                <w:rFonts w:hint="default" w:ascii="Times New Roman" w:hAnsi="Times New Roman" w:eastAsia="宋体" w:cs="Times New Roman"/>
                <w:b/>
                <w:bCs/>
                <w:color w:val="auto"/>
                <w:sz w:val="21"/>
                <w:szCs w:val="21"/>
                <w:highlight w:val="none"/>
                <w:shd w:val="clear" w:color="auto" w:fill="auto"/>
                <w:lang w:val="zh-CN" w:eastAsia="zh-CN"/>
              </w:rPr>
              <w:t>表</w:t>
            </w:r>
            <w:r>
              <w:rPr>
                <w:rFonts w:hint="eastAsia" w:cs="Times New Roman"/>
                <w:b/>
                <w:bCs/>
                <w:color w:val="auto"/>
                <w:sz w:val="21"/>
                <w:szCs w:val="21"/>
                <w:highlight w:val="none"/>
                <w:shd w:val="clear" w:color="auto" w:fill="auto"/>
                <w:lang w:val="en-US" w:eastAsia="zh-CN"/>
              </w:rPr>
              <w:t>41</w:t>
            </w:r>
            <w:r>
              <w:rPr>
                <w:rFonts w:hint="default" w:ascii="Times New Roman" w:hAnsi="Times New Roman" w:eastAsia="宋体" w:cs="Times New Roman"/>
                <w:b/>
                <w:bCs/>
                <w:color w:val="auto"/>
                <w:sz w:val="21"/>
                <w:szCs w:val="21"/>
                <w:highlight w:val="none"/>
                <w:shd w:val="clear" w:color="auto" w:fill="auto"/>
                <w:lang w:val="zh-CN" w:eastAsia="zh-CN"/>
              </w:rPr>
              <w:t xml:space="preserve"> </w:t>
            </w:r>
            <w:r>
              <w:rPr>
                <w:rFonts w:hint="default" w:ascii="Times New Roman" w:hAnsi="Times New Roman" w:eastAsia="宋体" w:cs="Times New Roman"/>
                <w:b/>
                <w:bCs/>
                <w:color w:val="auto"/>
                <w:sz w:val="21"/>
                <w:szCs w:val="21"/>
                <w:highlight w:val="none"/>
                <w:shd w:val="clear" w:color="auto" w:fill="auto"/>
                <w:lang w:val="en-US" w:eastAsia="zh-CN"/>
              </w:rPr>
              <w:t xml:space="preserve"> </w:t>
            </w:r>
            <w:r>
              <w:rPr>
                <w:rFonts w:hint="eastAsia" w:cs="Times New Roman"/>
                <w:b/>
                <w:bCs/>
                <w:color w:val="auto"/>
                <w:sz w:val="21"/>
                <w:szCs w:val="21"/>
                <w:highlight w:val="none"/>
                <w:shd w:val="clear" w:color="auto" w:fill="auto"/>
                <w:lang w:val="en-US" w:eastAsia="zh-CN"/>
              </w:rPr>
              <w:t>本项目建成后全厂危险废物</w:t>
            </w:r>
            <w:r>
              <w:rPr>
                <w:rFonts w:hint="eastAsia" w:ascii="Times New Roman" w:hAnsi="Times New Roman" w:eastAsia="宋体" w:cs="Times New Roman"/>
                <w:b/>
                <w:bCs/>
                <w:color w:val="auto"/>
                <w:sz w:val="21"/>
                <w:szCs w:val="21"/>
                <w:highlight w:val="none"/>
                <w:shd w:val="clear" w:color="auto" w:fill="auto"/>
                <w:lang w:val="en-US" w:eastAsia="zh-CN"/>
              </w:rPr>
              <w:t>污染源及治理措施</w:t>
            </w:r>
            <w:r>
              <w:rPr>
                <w:rFonts w:hint="eastAsia" w:ascii="Times New Roman" w:hAnsi="Times New Roman" w:eastAsia="宋体" w:cs="Times New Roman"/>
                <w:b/>
                <w:bCs/>
                <w:color w:val="auto"/>
                <w:sz w:val="21"/>
                <w:szCs w:val="21"/>
                <w:highlight w:val="none"/>
                <w:shd w:val="clear" w:color="auto" w:fill="auto"/>
                <w:lang w:val="zh-CN" w:eastAsia="zh-CN"/>
              </w:rPr>
              <w:t>一览</w:t>
            </w:r>
            <w:r>
              <w:rPr>
                <w:rFonts w:hint="default" w:ascii="Times New Roman" w:hAnsi="Times New Roman" w:eastAsia="宋体" w:cs="Times New Roman"/>
                <w:b/>
                <w:bCs/>
                <w:color w:val="auto"/>
                <w:sz w:val="21"/>
                <w:szCs w:val="21"/>
                <w:highlight w:val="none"/>
                <w:shd w:val="clear" w:color="auto" w:fill="auto"/>
                <w:lang w:val="zh-CN" w:eastAsia="zh-CN"/>
              </w:rPr>
              <w:t>表</w:t>
            </w:r>
            <w:r>
              <w:rPr>
                <w:rFonts w:hint="eastAsia" w:ascii="Times New Roman" w:hAnsi="Times New Roman" w:eastAsia="宋体" w:cs="Times New Roman"/>
                <w:b/>
                <w:bCs/>
                <w:color w:val="auto"/>
                <w:sz w:val="21"/>
                <w:szCs w:val="21"/>
                <w:highlight w:val="none"/>
                <w:shd w:val="clear" w:color="auto" w:fill="auto"/>
                <w:lang w:val="en-US" w:eastAsia="zh-CN"/>
              </w:rPr>
              <w:t xml:space="preserve">    </w:t>
            </w:r>
          </w:p>
          <w:tbl>
            <w:tblPr>
              <w:tblStyle w:val="24"/>
              <w:tblW w:w="1292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1042"/>
              <w:gridCol w:w="2135"/>
              <w:gridCol w:w="843"/>
              <w:gridCol w:w="1064"/>
              <w:gridCol w:w="697"/>
              <w:gridCol w:w="733"/>
              <w:gridCol w:w="852"/>
              <w:gridCol w:w="1324"/>
              <w:gridCol w:w="1409"/>
              <w:gridCol w:w="908"/>
              <w:gridCol w:w="191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04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eastAsia="宋体" w:cs="Times New Roman"/>
                      <w:color w:val="auto"/>
                      <w:sz w:val="21"/>
                      <w:szCs w:val="21"/>
                      <w:highlight w:val="none"/>
                      <w:shd w:val="clear" w:color="auto" w:fill="auto"/>
                      <w:lang w:eastAsia="zh-CN"/>
                    </w:rPr>
                  </w:pPr>
                  <w:r>
                    <w:rPr>
                      <w:rFonts w:hint="eastAsia" w:ascii="Times New Roman" w:hAnsi="Times New Roman" w:eastAsia="宋体" w:cs="Times New Roman"/>
                      <w:color w:val="auto"/>
                      <w:sz w:val="21"/>
                      <w:szCs w:val="21"/>
                      <w:highlight w:val="none"/>
                      <w:shd w:val="clear" w:color="auto" w:fill="auto"/>
                      <w:lang w:eastAsia="zh-CN"/>
                    </w:rPr>
                    <w:t>产生环节</w:t>
                  </w:r>
                </w:p>
              </w:tc>
              <w:tc>
                <w:tcPr>
                  <w:tcW w:w="213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eastAsia="宋体" w:cs="Times New Roman"/>
                      <w:color w:val="auto"/>
                      <w:sz w:val="21"/>
                      <w:szCs w:val="21"/>
                      <w:highlight w:val="none"/>
                      <w:shd w:val="clear" w:color="auto" w:fill="auto"/>
                      <w:lang w:eastAsia="zh-CN"/>
                    </w:rPr>
                  </w:pPr>
                  <w:r>
                    <w:rPr>
                      <w:rFonts w:hint="eastAsia" w:ascii="Times New Roman" w:hAnsi="Times New Roman" w:eastAsia="宋体" w:cs="Times New Roman"/>
                      <w:color w:val="auto"/>
                      <w:sz w:val="21"/>
                      <w:szCs w:val="21"/>
                      <w:highlight w:val="none"/>
                      <w:shd w:val="clear" w:color="auto" w:fill="auto"/>
                      <w:lang w:eastAsia="zh-CN"/>
                    </w:rPr>
                    <w:t>名称</w:t>
                  </w:r>
                </w:p>
              </w:tc>
              <w:tc>
                <w:tcPr>
                  <w:tcW w:w="843"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color w:val="auto"/>
                      <w:sz w:val="21"/>
                      <w:szCs w:val="21"/>
                      <w:highlight w:val="none"/>
                      <w:shd w:val="clear" w:color="auto" w:fill="auto"/>
                    </w:rPr>
                  </w:pPr>
                  <w:r>
                    <w:rPr>
                      <w:rFonts w:hint="eastAsia" w:ascii="Times New Roman" w:hAnsi="Times New Roman" w:eastAsia="宋体" w:cs="Times New Roman"/>
                      <w:color w:val="auto"/>
                      <w:sz w:val="21"/>
                      <w:szCs w:val="21"/>
                      <w:highlight w:val="none"/>
                      <w:shd w:val="clear" w:color="auto" w:fill="auto"/>
                      <w:lang w:val="en-US" w:eastAsia="zh-CN"/>
                    </w:rPr>
                    <w:t>属性</w:t>
                  </w:r>
                </w:p>
              </w:tc>
              <w:tc>
                <w:tcPr>
                  <w:tcW w:w="1064"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主要有毒有害物质名称</w:t>
                  </w:r>
                </w:p>
              </w:tc>
              <w:tc>
                <w:tcPr>
                  <w:tcW w:w="697"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物理性状</w:t>
                  </w:r>
                </w:p>
              </w:tc>
              <w:tc>
                <w:tcPr>
                  <w:tcW w:w="733"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rPr>
                  </w:pPr>
                  <w:r>
                    <w:rPr>
                      <w:rFonts w:hint="eastAsia" w:ascii="Times New Roman" w:hAnsi="Times New Roman" w:eastAsia="宋体" w:cs="Times New Roman"/>
                      <w:color w:val="auto"/>
                      <w:sz w:val="21"/>
                      <w:szCs w:val="21"/>
                      <w:highlight w:val="none"/>
                      <w:shd w:val="clear" w:color="auto" w:fill="auto"/>
                      <w:lang w:val="en-US" w:eastAsia="zh-CN"/>
                    </w:rPr>
                    <w:t>环境危险特性</w:t>
                  </w:r>
                </w:p>
              </w:tc>
              <w:tc>
                <w:tcPr>
                  <w:tcW w:w="85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产生量</w:t>
                  </w:r>
                </w:p>
              </w:tc>
              <w:tc>
                <w:tcPr>
                  <w:tcW w:w="1324"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贮存方式</w:t>
                  </w:r>
                </w:p>
              </w:tc>
              <w:tc>
                <w:tcPr>
                  <w:tcW w:w="1409"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利用及处置方式和去向</w:t>
                  </w:r>
                </w:p>
              </w:tc>
              <w:tc>
                <w:tcPr>
                  <w:tcW w:w="908"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利用或处置量</w:t>
                  </w:r>
                </w:p>
              </w:tc>
              <w:tc>
                <w:tcPr>
                  <w:tcW w:w="1919"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环境管理要求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05" w:hRule="atLeast"/>
                <w:jc w:val="center"/>
              </w:trPr>
              <w:tc>
                <w:tcPr>
                  <w:tcW w:w="1042" w:type="dxa"/>
                  <w:vMerge w:val="restart"/>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olor w:val="auto"/>
                      <w:sz w:val="21"/>
                      <w:szCs w:val="21"/>
                      <w:highlight w:val="none"/>
                      <w:lang w:val="en-US" w:eastAsia="zh-CN"/>
                    </w:rPr>
                    <w:t>设备维护保养</w:t>
                  </w:r>
                </w:p>
              </w:tc>
              <w:tc>
                <w:tcPr>
                  <w:tcW w:w="213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废润滑油</w:t>
                  </w:r>
                </w:p>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（HW08  900-217-08）</w:t>
                  </w:r>
                </w:p>
              </w:tc>
              <w:tc>
                <w:tcPr>
                  <w:tcW w:w="843"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危险废物</w:t>
                  </w:r>
                </w:p>
              </w:tc>
              <w:tc>
                <w:tcPr>
                  <w:tcW w:w="1064"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石油类</w:t>
                  </w:r>
                </w:p>
              </w:tc>
              <w:tc>
                <w:tcPr>
                  <w:tcW w:w="697"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液态</w:t>
                  </w:r>
                </w:p>
              </w:tc>
              <w:tc>
                <w:tcPr>
                  <w:tcW w:w="733"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T，I</w:t>
                  </w:r>
                </w:p>
              </w:tc>
              <w:tc>
                <w:tcPr>
                  <w:tcW w:w="85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0.</w:t>
                  </w:r>
                  <w:r>
                    <w:rPr>
                      <w:rFonts w:hint="eastAsia" w:ascii="Times New Roman" w:hAnsi="Times New Roman" w:cs="Times New Roman"/>
                      <w:color w:val="auto"/>
                      <w:sz w:val="21"/>
                      <w:szCs w:val="21"/>
                      <w:highlight w:val="none"/>
                      <w:shd w:val="clear" w:color="auto" w:fill="auto"/>
                      <w:lang w:val="en-US" w:eastAsia="zh-CN"/>
                    </w:rPr>
                    <w:t>00</w:t>
                  </w:r>
                  <w:r>
                    <w:rPr>
                      <w:rFonts w:hint="eastAsia" w:cs="Times New Roman"/>
                      <w:color w:val="auto"/>
                      <w:sz w:val="21"/>
                      <w:szCs w:val="21"/>
                      <w:highlight w:val="none"/>
                      <w:shd w:val="clear" w:color="auto" w:fill="auto"/>
                      <w:lang w:val="en-US" w:eastAsia="zh-CN"/>
                    </w:rPr>
                    <w:t>6</w:t>
                  </w:r>
                  <w:r>
                    <w:rPr>
                      <w:rFonts w:hint="eastAsia" w:ascii="Times New Roman" w:hAnsi="Times New Roman" w:eastAsia="宋体" w:cs="Times New Roman"/>
                      <w:color w:val="auto"/>
                      <w:sz w:val="21"/>
                      <w:szCs w:val="21"/>
                      <w:highlight w:val="none"/>
                      <w:shd w:val="clear" w:color="auto" w:fill="auto"/>
                      <w:lang w:val="en-US" w:eastAsia="zh-CN"/>
                    </w:rPr>
                    <w:t>t/a</w:t>
                  </w:r>
                </w:p>
              </w:tc>
              <w:tc>
                <w:tcPr>
                  <w:tcW w:w="1324"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桶装</w:t>
                  </w:r>
                  <w:r>
                    <w:rPr>
                      <w:rFonts w:hint="eastAsia" w:ascii="Times New Roman" w:hAnsi="Times New Roman" w:eastAsia="宋体" w:cs="Times New Roman"/>
                      <w:color w:val="auto"/>
                      <w:sz w:val="21"/>
                      <w:szCs w:val="21"/>
                      <w:highlight w:val="none"/>
                      <w:shd w:val="clear" w:color="auto" w:fill="auto"/>
                      <w:lang w:val="en-US" w:eastAsia="zh-CN"/>
                    </w:rPr>
                    <w:t>加盖，暂存于危废间</w:t>
                  </w:r>
                </w:p>
              </w:tc>
              <w:tc>
                <w:tcPr>
                  <w:tcW w:w="1409"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定期委托有资质单位进行处置</w:t>
                  </w:r>
                </w:p>
              </w:tc>
              <w:tc>
                <w:tcPr>
                  <w:tcW w:w="908"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0.</w:t>
                  </w:r>
                  <w:r>
                    <w:rPr>
                      <w:rFonts w:hint="eastAsia" w:ascii="Times New Roman" w:hAnsi="Times New Roman" w:cs="Times New Roman"/>
                      <w:color w:val="auto"/>
                      <w:sz w:val="21"/>
                      <w:szCs w:val="21"/>
                      <w:highlight w:val="none"/>
                      <w:shd w:val="clear" w:color="auto" w:fill="auto"/>
                      <w:lang w:val="en-US" w:eastAsia="zh-CN"/>
                    </w:rPr>
                    <w:t>00</w:t>
                  </w:r>
                  <w:r>
                    <w:rPr>
                      <w:rFonts w:hint="eastAsia" w:cs="Times New Roman"/>
                      <w:color w:val="auto"/>
                      <w:sz w:val="21"/>
                      <w:szCs w:val="21"/>
                      <w:highlight w:val="none"/>
                      <w:shd w:val="clear" w:color="auto" w:fill="auto"/>
                      <w:lang w:val="en-US" w:eastAsia="zh-CN"/>
                    </w:rPr>
                    <w:t>6</w:t>
                  </w:r>
                  <w:r>
                    <w:rPr>
                      <w:rFonts w:hint="eastAsia" w:ascii="Times New Roman" w:hAnsi="Times New Roman" w:eastAsia="宋体" w:cs="Times New Roman"/>
                      <w:color w:val="auto"/>
                      <w:sz w:val="21"/>
                      <w:szCs w:val="21"/>
                      <w:highlight w:val="none"/>
                      <w:shd w:val="clear" w:color="auto" w:fill="auto"/>
                      <w:lang w:val="en-US" w:eastAsia="zh-CN"/>
                    </w:rPr>
                    <w:t>t/a</w:t>
                  </w:r>
                </w:p>
              </w:tc>
              <w:tc>
                <w:tcPr>
                  <w:tcW w:w="1919" w:type="dxa"/>
                  <w:vMerge w:val="restart"/>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rPr>
                    <w:t>危险废物的收集及临时存放应严格执行《危险废物贮存污染控制标准》（GB18597-20</w:t>
                  </w:r>
                  <w:r>
                    <w:rPr>
                      <w:rFonts w:hint="eastAsia" w:ascii="Times New Roman" w:hAnsi="Times New Roman" w:eastAsia="宋体" w:cs="Times New Roman"/>
                      <w:color w:val="auto"/>
                      <w:sz w:val="21"/>
                      <w:szCs w:val="21"/>
                      <w:highlight w:val="none"/>
                      <w:shd w:val="clear" w:color="auto" w:fill="auto"/>
                      <w:lang w:val="en-US" w:eastAsia="zh-CN"/>
                    </w:rPr>
                    <w:t>23</w:t>
                  </w:r>
                  <w:r>
                    <w:rPr>
                      <w:rFonts w:hint="default" w:ascii="Times New Roman" w:hAnsi="Times New Roman" w:eastAsia="宋体" w:cs="Times New Roman"/>
                      <w:color w:val="auto"/>
                      <w:sz w:val="21"/>
                      <w:szCs w:val="21"/>
                      <w:highlight w:val="none"/>
                      <w:shd w:val="clear" w:color="auto" w:fill="auto"/>
                    </w:rPr>
                    <w:t>）</w:t>
                  </w:r>
                  <w:r>
                    <w:rPr>
                      <w:rFonts w:hint="eastAsia" w:ascii="Times New Roman" w:hAnsi="Times New Roman" w:eastAsia="宋体" w:cs="Times New Roman"/>
                      <w:color w:val="auto"/>
                      <w:sz w:val="21"/>
                      <w:szCs w:val="21"/>
                      <w:highlight w:val="none"/>
                      <w:shd w:val="clear" w:color="auto" w:fill="auto"/>
                      <w:lang w:eastAsia="zh-CN"/>
                    </w:rPr>
                    <w:t>；</w:t>
                  </w:r>
                  <w:r>
                    <w:rPr>
                      <w:rFonts w:hint="eastAsia" w:eastAsia="宋体" w:cs="Times New Roman"/>
                      <w:color w:val="auto"/>
                      <w:sz w:val="21"/>
                      <w:szCs w:val="21"/>
                      <w:highlight w:val="none"/>
                      <w:shd w:val="clear" w:color="auto" w:fill="auto"/>
                      <w:lang w:val="en-US" w:eastAsia="zh-CN"/>
                    </w:rPr>
                    <w:t>按</w:t>
                  </w:r>
                  <w:r>
                    <w:rPr>
                      <w:rFonts w:hint="eastAsia" w:eastAsia="宋体" w:cs="Times New Roman"/>
                      <w:color w:val="auto"/>
                      <w:sz w:val="21"/>
                      <w:szCs w:val="21"/>
                      <w:highlight w:val="none"/>
                      <w:shd w:val="clear" w:color="auto" w:fill="auto"/>
                      <w:lang w:eastAsia="zh-CN"/>
                    </w:rPr>
                    <w:t>照《环境保护图形标志》（GB15562-1995）</w:t>
                  </w:r>
                  <w:r>
                    <w:rPr>
                      <w:rFonts w:hint="eastAsia" w:eastAsia="宋体" w:cs="Times New Roman"/>
                      <w:color w:val="auto"/>
                      <w:sz w:val="21"/>
                      <w:szCs w:val="21"/>
                      <w:highlight w:val="none"/>
                      <w:shd w:val="clear" w:color="auto" w:fill="auto"/>
                      <w:lang w:val="en-US" w:eastAsia="zh-CN"/>
                    </w:rPr>
                    <w:t>及修改单</w:t>
                  </w:r>
                  <w:r>
                    <w:rPr>
                      <w:rFonts w:hint="eastAsia" w:eastAsia="宋体" w:cs="Times New Roman"/>
                      <w:color w:val="auto"/>
                      <w:sz w:val="21"/>
                      <w:szCs w:val="21"/>
                      <w:highlight w:val="none"/>
                      <w:shd w:val="clear" w:color="auto" w:fill="auto"/>
                      <w:lang w:eastAsia="zh-CN"/>
                    </w:rPr>
                    <w:t>的要求对</w:t>
                  </w:r>
                  <w:r>
                    <w:rPr>
                      <w:rFonts w:hint="eastAsia" w:eastAsia="宋体" w:cs="Times New Roman"/>
                      <w:color w:val="auto"/>
                      <w:sz w:val="21"/>
                      <w:szCs w:val="21"/>
                      <w:highlight w:val="none"/>
                      <w:shd w:val="clear" w:color="auto" w:fill="auto"/>
                      <w:lang w:val="en-US" w:eastAsia="zh-CN"/>
                    </w:rPr>
                    <w:t>危险废物</w:t>
                  </w:r>
                  <w:r>
                    <w:rPr>
                      <w:rFonts w:hint="eastAsia" w:eastAsia="宋体" w:cs="Times New Roman"/>
                      <w:color w:val="auto"/>
                      <w:sz w:val="21"/>
                      <w:szCs w:val="21"/>
                      <w:highlight w:val="none"/>
                      <w:shd w:val="clear" w:color="auto" w:fill="auto"/>
                      <w:lang w:eastAsia="zh-CN"/>
                    </w:rPr>
                    <w:t>的临时存放场所设置环境保护图形标志牌</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05" w:hRule="atLeast"/>
                <w:jc w:val="center"/>
              </w:trPr>
              <w:tc>
                <w:tcPr>
                  <w:tcW w:w="1042"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color w:val="auto"/>
                      <w:sz w:val="21"/>
                      <w:szCs w:val="21"/>
                      <w:highlight w:val="none"/>
                      <w:lang w:val="en-US" w:eastAsia="zh-CN"/>
                    </w:rPr>
                  </w:pPr>
                </w:p>
              </w:tc>
              <w:tc>
                <w:tcPr>
                  <w:tcW w:w="213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废</w:t>
                  </w:r>
                  <w:r>
                    <w:rPr>
                      <w:rFonts w:hint="eastAsia" w:ascii="Times New Roman" w:hAnsi="Times New Roman" w:cs="Times New Roman"/>
                      <w:color w:val="auto"/>
                      <w:sz w:val="21"/>
                      <w:szCs w:val="21"/>
                      <w:highlight w:val="none"/>
                      <w:shd w:val="clear" w:color="auto" w:fill="auto"/>
                      <w:lang w:val="en-US" w:eastAsia="zh-CN"/>
                    </w:rPr>
                    <w:t>润滑</w:t>
                  </w:r>
                  <w:r>
                    <w:rPr>
                      <w:rFonts w:hint="eastAsia" w:ascii="Times New Roman" w:hAnsi="Times New Roman" w:eastAsia="宋体" w:cs="Times New Roman"/>
                      <w:color w:val="auto"/>
                      <w:sz w:val="21"/>
                      <w:szCs w:val="21"/>
                      <w:highlight w:val="none"/>
                      <w:shd w:val="clear" w:color="auto" w:fill="auto"/>
                      <w:lang w:val="en-US" w:eastAsia="zh-CN"/>
                    </w:rPr>
                    <w:t>油桶</w:t>
                  </w:r>
                </w:p>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（HW08</w:t>
                  </w:r>
                  <w:r>
                    <w:rPr>
                      <w:rFonts w:hint="eastAsia" w:ascii="Times New Roman" w:hAnsi="Times New Roman" w:cs="Times New Roman"/>
                      <w:color w:val="auto"/>
                      <w:sz w:val="21"/>
                      <w:szCs w:val="21"/>
                      <w:highlight w:val="none"/>
                      <w:shd w:val="clear" w:color="auto" w:fill="auto"/>
                      <w:lang w:val="en-US" w:eastAsia="zh-CN"/>
                    </w:rPr>
                    <w:t xml:space="preserve"> </w:t>
                  </w:r>
                  <w:r>
                    <w:rPr>
                      <w:rFonts w:hint="eastAsia" w:cs="Times New Roman"/>
                      <w:color w:val="auto"/>
                      <w:sz w:val="21"/>
                      <w:szCs w:val="21"/>
                      <w:highlight w:val="none"/>
                      <w:shd w:val="clear" w:color="auto" w:fill="auto"/>
                      <w:lang w:val="en-US" w:eastAsia="zh-CN"/>
                    </w:rPr>
                    <w:t xml:space="preserve"> </w:t>
                  </w:r>
                  <w:r>
                    <w:rPr>
                      <w:rFonts w:hint="eastAsia" w:ascii="Times New Roman" w:hAnsi="Times New Roman" w:eastAsia="宋体" w:cs="Times New Roman"/>
                      <w:color w:val="auto"/>
                      <w:sz w:val="21"/>
                      <w:szCs w:val="21"/>
                      <w:highlight w:val="none"/>
                      <w:shd w:val="clear" w:color="auto" w:fill="auto"/>
                      <w:lang w:val="en-US" w:eastAsia="zh-CN"/>
                    </w:rPr>
                    <w:t>900-249-08）</w:t>
                  </w:r>
                </w:p>
              </w:tc>
              <w:tc>
                <w:tcPr>
                  <w:tcW w:w="843"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危险废物</w:t>
                  </w:r>
                </w:p>
              </w:tc>
              <w:tc>
                <w:tcPr>
                  <w:tcW w:w="1064"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石油类</w:t>
                  </w:r>
                </w:p>
              </w:tc>
              <w:tc>
                <w:tcPr>
                  <w:tcW w:w="697"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固态</w:t>
                  </w:r>
                </w:p>
              </w:tc>
              <w:tc>
                <w:tcPr>
                  <w:tcW w:w="733"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T，I</w:t>
                  </w:r>
                </w:p>
              </w:tc>
              <w:tc>
                <w:tcPr>
                  <w:tcW w:w="85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4个</w:t>
                  </w:r>
                  <w:r>
                    <w:rPr>
                      <w:rFonts w:hint="eastAsia" w:ascii="Times New Roman" w:hAnsi="Times New Roman" w:eastAsia="宋体" w:cs="Times New Roman"/>
                      <w:color w:val="auto"/>
                      <w:sz w:val="21"/>
                      <w:szCs w:val="21"/>
                      <w:highlight w:val="none"/>
                      <w:shd w:val="clear" w:color="auto" w:fill="auto"/>
                      <w:lang w:val="en-US" w:eastAsia="zh-CN"/>
                    </w:rPr>
                    <w:t>/a</w:t>
                  </w:r>
                </w:p>
              </w:tc>
              <w:tc>
                <w:tcPr>
                  <w:tcW w:w="1324"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加盖，暂存于危废间</w:t>
                  </w:r>
                </w:p>
              </w:tc>
              <w:tc>
                <w:tcPr>
                  <w:tcW w:w="1409"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定期委托有资质单位进行处置</w:t>
                  </w:r>
                </w:p>
              </w:tc>
              <w:tc>
                <w:tcPr>
                  <w:tcW w:w="908"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4个</w:t>
                  </w:r>
                  <w:r>
                    <w:rPr>
                      <w:rFonts w:hint="eastAsia" w:ascii="Times New Roman" w:hAnsi="Times New Roman" w:eastAsia="宋体" w:cs="Times New Roman"/>
                      <w:color w:val="auto"/>
                      <w:sz w:val="21"/>
                      <w:szCs w:val="21"/>
                      <w:highlight w:val="none"/>
                      <w:shd w:val="clear" w:color="auto" w:fill="auto"/>
                      <w:lang w:val="en-US" w:eastAsia="zh-CN"/>
                    </w:rPr>
                    <w:t>/a</w:t>
                  </w:r>
                </w:p>
              </w:tc>
              <w:tc>
                <w:tcPr>
                  <w:tcW w:w="1919"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eastAsia="宋体" w:cs="Times New Roman"/>
                      <w:color w:val="auto"/>
                      <w:sz w:val="21"/>
                      <w:szCs w:val="21"/>
                      <w:highlight w:val="none"/>
                      <w:shd w:val="clear" w:color="auto" w:fill="auto"/>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05" w:hRule="atLeast"/>
                <w:jc w:val="center"/>
              </w:trPr>
              <w:tc>
                <w:tcPr>
                  <w:tcW w:w="104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color w:val="auto"/>
                      <w:sz w:val="21"/>
                      <w:szCs w:val="21"/>
                      <w:highlight w:val="none"/>
                      <w:lang w:val="en-US" w:eastAsia="zh-CN"/>
                    </w:rPr>
                  </w:pPr>
                  <w:r>
                    <w:rPr>
                      <w:rFonts w:hint="eastAsia"/>
                      <w:color w:val="auto"/>
                      <w:sz w:val="21"/>
                      <w:szCs w:val="21"/>
                      <w:highlight w:val="none"/>
                      <w:lang w:val="en-US" w:eastAsia="zh-CN"/>
                    </w:rPr>
                    <w:t>生产过程</w:t>
                  </w:r>
                </w:p>
              </w:tc>
              <w:tc>
                <w:tcPr>
                  <w:tcW w:w="213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废包装桶（导电浆料配制原料包装桶）</w:t>
                  </w:r>
                </w:p>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w:t>
                  </w:r>
                  <w:r>
                    <w:rPr>
                      <w:rFonts w:hint="eastAsia" w:ascii="Times New Roman" w:hAnsi="Times New Roman" w:eastAsia="宋体" w:cs="Times New Roman"/>
                      <w:color w:val="auto"/>
                      <w:sz w:val="21"/>
                      <w:szCs w:val="21"/>
                      <w:highlight w:val="none"/>
                      <w:shd w:val="clear" w:color="auto" w:fill="auto"/>
                      <w:lang w:val="en-US" w:eastAsia="zh-CN"/>
                    </w:rPr>
                    <w:t>HW49  900-041-49</w:t>
                  </w:r>
                  <w:r>
                    <w:rPr>
                      <w:rFonts w:hint="eastAsia" w:ascii="Times New Roman" w:hAnsi="Times New Roman" w:cs="Times New Roman"/>
                      <w:color w:val="auto"/>
                      <w:sz w:val="21"/>
                      <w:szCs w:val="21"/>
                      <w:highlight w:val="none"/>
                      <w:shd w:val="clear" w:color="auto" w:fill="auto"/>
                      <w:lang w:val="en-US" w:eastAsia="zh-CN"/>
                    </w:rPr>
                    <w:t>）</w:t>
                  </w:r>
                </w:p>
              </w:tc>
              <w:tc>
                <w:tcPr>
                  <w:tcW w:w="843"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危险废物</w:t>
                  </w:r>
                </w:p>
              </w:tc>
              <w:tc>
                <w:tcPr>
                  <w:tcW w:w="1064"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有机物</w:t>
                  </w:r>
                </w:p>
              </w:tc>
              <w:tc>
                <w:tcPr>
                  <w:tcW w:w="697"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固态</w:t>
                  </w:r>
                </w:p>
              </w:tc>
              <w:tc>
                <w:tcPr>
                  <w:tcW w:w="733"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T/In</w:t>
                  </w:r>
                </w:p>
              </w:tc>
              <w:tc>
                <w:tcPr>
                  <w:tcW w:w="85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0.05t/a</w:t>
                  </w:r>
                </w:p>
              </w:tc>
              <w:tc>
                <w:tcPr>
                  <w:tcW w:w="1324"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加盖，暂存于危废间</w:t>
                  </w:r>
                </w:p>
              </w:tc>
              <w:tc>
                <w:tcPr>
                  <w:tcW w:w="1409"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定期委托有资质单位进行处置</w:t>
                  </w:r>
                </w:p>
              </w:tc>
              <w:tc>
                <w:tcPr>
                  <w:tcW w:w="908"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0.05t/a</w:t>
                  </w:r>
                </w:p>
              </w:tc>
              <w:tc>
                <w:tcPr>
                  <w:tcW w:w="1919"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eastAsia="宋体" w:cs="Times New Roman"/>
                      <w:color w:val="auto"/>
                      <w:sz w:val="21"/>
                      <w:szCs w:val="21"/>
                      <w:highlight w:val="none"/>
                      <w:shd w:val="clear" w:color="auto" w:fill="auto"/>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05" w:hRule="atLeast"/>
                <w:jc w:val="center"/>
              </w:trPr>
              <w:tc>
                <w:tcPr>
                  <w:tcW w:w="1042" w:type="dxa"/>
                  <w:vMerge w:val="restart"/>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color w:val="auto"/>
                      <w:sz w:val="21"/>
                      <w:szCs w:val="21"/>
                      <w:highlight w:val="none"/>
                      <w:lang w:val="en-US" w:eastAsia="zh-CN"/>
                    </w:rPr>
                  </w:pPr>
                  <w:r>
                    <w:rPr>
                      <w:rFonts w:hint="eastAsia"/>
                      <w:color w:val="auto"/>
                      <w:sz w:val="21"/>
                      <w:szCs w:val="21"/>
                      <w:highlight w:val="none"/>
                      <w:lang w:val="en-US" w:eastAsia="zh-CN"/>
                    </w:rPr>
                    <w:t>废气治理设施</w:t>
                  </w:r>
                </w:p>
              </w:tc>
              <w:tc>
                <w:tcPr>
                  <w:tcW w:w="213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lang w:val="en-US" w:eastAsia="zh-CN"/>
                    </w:rPr>
                    <w:t>废活性炭</w:t>
                  </w:r>
                </w:p>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（HW49</w:t>
                  </w:r>
                  <w:r>
                    <w:rPr>
                      <w:rFonts w:hint="eastAsia" w:ascii="Times New Roman" w:hAnsi="Times New Roman" w:cs="Times New Roman"/>
                      <w:color w:val="auto"/>
                      <w:sz w:val="21"/>
                      <w:szCs w:val="21"/>
                      <w:highlight w:val="none"/>
                      <w:shd w:val="clear" w:color="auto" w:fill="auto"/>
                      <w:lang w:val="en-US" w:eastAsia="zh-CN"/>
                    </w:rPr>
                    <w:t xml:space="preserve"> </w:t>
                  </w:r>
                  <w:r>
                    <w:rPr>
                      <w:rFonts w:hint="eastAsia" w:ascii="Times New Roman" w:hAnsi="Times New Roman" w:eastAsia="宋体" w:cs="Times New Roman"/>
                      <w:color w:val="auto"/>
                      <w:sz w:val="21"/>
                      <w:szCs w:val="21"/>
                      <w:highlight w:val="none"/>
                      <w:shd w:val="clear" w:color="auto" w:fill="auto"/>
                      <w:lang w:val="en-US" w:eastAsia="zh-CN"/>
                    </w:rPr>
                    <w:t xml:space="preserve"> 900-039-49）</w:t>
                  </w:r>
                </w:p>
              </w:tc>
              <w:tc>
                <w:tcPr>
                  <w:tcW w:w="843"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危险废物</w:t>
                  </w:r>
                </w:p>
              </w:tc>
              <w:tc>
                <w:tcPr>
                  <w:tcW w:w="1064"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有机物</w:t>
                  </w:r>
                </w:p>
              </w:tc>
              <w:tc>
                <w:tcPr>
                  <w:tcW w:w="697"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固态</w:t>
                  </w:r>
                </w:p>
              </w:tc>
              <w:tc>
                <w:tcPr>
                  <w:tcW w:w="733"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T</w:t>
                  </w:r>
                </w:p>
              </w:tc>
              <w:tc>
                <w:tcPr>
                  <w:tcW w:w="85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1.5t/</w:t>
                  </w:r>
                  <w:r>
                    <w:rPr>
                      <w:rFonts w:hint="eastAsia" w:cs="Times New Roman"/>
                      <w:color w:val="auto"/>
                      <w:sz w:val="21"/>
                      <w:szCs w:val="21"/>
                      <w:highlight w:val="none"/>
                      <w:shd w:val="clear" w:color="auto" w:fill="auto"/>
                      <w:lang w:val="en-US" w:eastAsia="zh-CN"/>
                    </w:rPr>
                    <w:t>2</w:t>
                  </w:r>
                  <w:r>
                    <w:rPr>
                      <w:rFonts w:hint="eastAsia" w:ascii="Times New Roman" w:hAnsi="Times New Roman" w:cs="Times New Roman"/>
                      <w:color w:val="auto"/>
                      <w:sz w:val="21"/>
                      <w:szCs w:val="21"/>
                      <w:highlight w:val="none"/>
                      <w:shd w:val="clear" w:color="auto" w:fill="auto"/>
                      <w:lang w:val="en-US" w:eastAsia="zh-CN"/>
                    </w:rPr>
                    <w:t>a</w:t>
                  </w:r>
                </w:p>
              </w:tc>
              <w:tc>
                <w:tcPr>
                  <w:tcW w:w="2733" w:type="dxa"/>
                  <w:gridSpan w:val="2"/>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专用容器密闭收集，</w:t>
                  </w:r>
                  <w:r>
                    <w:rPr>
                      <w:rFonts w:hint="eastAsia" w:cs="Times New Roman"/>
                      <w:color w:val="auto"/>
                      <w:sz w:val="21"/>
                      <w:szCs w:val="21"/>
                      <w:highlight w:val="none"/>
                      <w:shd w:val="clear" w:color="auto" w:fill="auto"/>
                      <w:lang w:val="en-US" w:eastAsia="zh-CN"/>
                    </w:rPr>
                    <w:t>直接由有资质单位运走处置，不在厂区储存</w:t>
                  </w:r>
                </w:p>
              </w:tc>
              <w:tc>
                <w:tcPr>
                  <w:tcW w:w="908"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1.5t/</w:t>
                  </w:r>
                  <w:r>
                    <w:rPr>
                      <w:rFonts w:hint="eastAsia" w:cs="Times New Roman"/>
                      <w:color w:val="auto"/>
                      <w:sz w:val="21"/>
                      <w:szCs w:val="21"/>
                      <w:highlight w:val="none"/>
                      <w:shd w:val="clear" w:color="auto" w:fill="auto"/>
                      <w:lang w:val="en-US" w:eastAsia="zh-CN"/>
                    </w:rPr>
                    <w:t>2</w:t>
                  </w:r>
                  <w:r>
                    <w:rPr>
                      <w:rFonts w:hint="eastAsia" w:ascii="Times New Roman" w:hAnsi="Times New Roman" w:cs="Times New Roman"/>
                      <w:color w:val="auto"/>
                      <w:sz w:val="21"/>
                      <w:szCs w:val="21"/>
                      <w:highlight w:val="none"/>
                      <w:shd w:val="clear" w:color="auto" w:fill="auto"/>
                      <w:lang w:val="en-US" w:eastAsia="zh-CN"/>
                    </w:rPr>
                    <w:t>a</w:t>
                  </w:r>
                </w:p>
              </w:tc>
              <w:tc>
                <w:tcPr>
                  <w:tcW w:w="1919"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eastAsia="宋体" w:cs="Times New Roman"/>
                      <w:color w:val="auto"/>
                      <w:sz w:val="21"/>
                      <w:szCs w:val="21"/>
                      <w:highlight w:val="none"/>
                      <w:shd w:val="clear" w:color="auto" w:fill="auto"/>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05" w:hRule="atLeast"/>
                <w:jc w:val="center"/>
              </w:trPr>
              <w:tc>
                <w:tcPr>
                  <w:tcW w:w="1042"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color w:val="auto"/>
                      <w:sz w:val="21"/>
                      <w:szCs w:val="21"/>
                      <w:highlight w:val="none"/>
                      <w:lang w:val="en-US" w:eastAsia="zh-CN"/>
                    </w:rPr>
                  </w:pPr>
                </w:p>
              </w:tc>
              <w:tc>
                <w:tcPr>
                  <w:tcW w:w="213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喷淋废水</w:t>
                  </w:r>
                  <w:r>
                    <w:rPr>
                      <w:rFonts w:hint="eastAsia" w:cs="Times New Roman"/>
                      <w:color w:val="auto"/>
                      <w:sz w:val="21"/>
                      <w:szCs w:val="21"/>
                      <w:highlight w:val="none"/>
                      <w:shd w:val="clear" w:color="auto" w:fill="auto"/>
                      <w:lang w:val="en-US" w:eastAsia="zh-CN"/>
                    </w:rPr>
                    <w:t>（HW34 900-249-34）</w:t>
                  </w:r>
                </w:p>
              </w:tc>
              <w:tc>
                <w:tcPr>
                  <w:tcW w:w="843"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危险废物</w:t>
                  </w:r>
                </w:p>
              </w:tc>
              <w:tc>
                <w:tcPr>
                  <w:tcW w:w="1064"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废酸</w:t>
                  </w:r>
                </w:p>
              </w:tc>
              <w:tc>
                <w:tcPr>
                  <w:tcW w:w="697"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液态</w:t>
                  </w:r>
                </w:p>
              </w:tc>
              <w:tc>
                <w:tcPr>
                  <w:tcW w:w="733"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C，T</w:t>
                  </w:r>
                </w:p>
              </w:tc>
              <w:tc>
                <w:tcPr>
                  <w:tcW w:w="85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6m</w:t>
                  </w:r>
                  <w:r>
                    <w:rPr>
                      <w:rFonts w:hint="eastAsia" w:cs="Times New Roman"/>
                      <w:color w:val="auto"/>
                      <w:sz w:val="21"/>
                      <w:szCs w:val="21"/>
                      <w:highlight w:val="none"/>
                      <w:shd w:val="clear" w:color="auto" w:fill="auto"/>
                      <w:vertAlign w:val="superscript"/>
                      <w:lang w:val="en-US" w:eastAsia="zh-CN"/>
                    </w:rPr>
                    <w:t>3</w:t>
                  </w:r>
                  <w:r>
                    <w:rPr>
                      <w:rFonts w:hint="eastAsia" w:cs="Times New Roman"/>
                      <w:color w:val="auto"/>
                      <w:sz w:val="21"/>
                      <w:szCs w:val="21"/>
                      <w:highlight w:val="none"/>
                      <w:shd w:val="clear" w:color="auto" w:fill="auto"/>
                      <w:lang w:val="en-US" w:eastAsia="zh-CN"/>
                    </w:rPr>
                    <w:t>/a</w:t>
                  </w:r>
                </w:p>
              </w:tc>
              <w:tc>
                <w:tcPr>
                  <w:tcW w:w="1324"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更换后存放于耐腐蚀防渗漏的容器，暂存于危废间</w:t>
                  </w:r>
                </w:p>
              </w:tc>
              <w:tc>
                <w:tcPr>
                  <w:tcW w:w="1409"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定期委托有资质单位运走处置</w:t>
                  </w:r>
                </w:p>
              </w:tc>
              <w:tc>
                <w:tcPr>
                  <w:tcW w:w="908"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6m</w:t>
                  </w:r>
                  <w:r>
                    <w:rPr>
                      <w:rFonts w:hint="eastAsia" w:cs="Times New Roman"/>
                      <w:color w:val="auto"/>
                      <w:sz w:val="21"/>
                      <w:szCs w:val="21"/>
                      <w:highlight w:val="none"/>
                      <w:shd w:val="clear" w:color="auto" w:fill="auto"/>
                      <w:vertAlign w:val="superscript"/>
                      <w:lang w:val="en-US" w:eastAsia="zh-CN"/>
                    </w:rPr>
                    <w:t>3</w:t>
                  </w:r>
                  <w:r>
                    <w:rPr>
                      <w:rFonts w:hint="eastAsia" w:cs="Times New Roman"/>
                      <w:color w:val="auto"/>
                      <w:sz w:val="21"/>
                      <w:szCs w:val="21"/>
                      <w:highlight w:val="none"/>
                      <w:shd w:val="clear" w:color="auto" w:fill="auto"/>
                      <w:lang w:val="en-US" w:eastAsia="zh-CN"/>
                    </w:rPr>
                    <w:t>/a</w:t>
                  </w:r>
                </w:p>
              </w:tc>
              <w:tc>
                <w:tcPr>
                  <w:tcW w:w="1919"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eastAsia="宋体" w:cs="Times New Roman"/>
                      <w:color w:val="auto"/>
                      <w:sz w:val="21"/>
                      <w:szCs w:val="21"/>
                      <w:highlight w:val="none"/>
                      <w:shd w:val="clear" w:color="auto" w:fill="auto"/>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05" w:hRule="atLeast"/>
                <w:jc w:val="center"/>
              </w:trPr>
              <w:tc>
                <w:tcPr>
                  <w:tcW w:w="104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color w:val="auto"/>
                      <w:sz w:val="21"/>
                      <w:szCs w:val="21"/>
                      <w:highlight w:val="none"/>
                      <w:lang w:val="en-US" w:eastAsia="zh-CN"/>
                    </w:rPr>
                  </w:pPr>
                  <w:r>
                    <w:rPr>
                      <w:rFonts w:hint="eastAsia" w:ascii="Times New Roman" w:hAnsi="Times New Roman" w:cs="Times New Roman"/>
                      <w:color w:val="auto"/>
                      <w:sz w:val="21"/>
                      <w:szCs w:val="21"/>
                      <w:highlight w:val="none"/>
                      <w:shd w:val="clear" w:color="auto" w:fill="auto"/>
                      <w:lang w:val="en-US" w:eastAsia="zh-CN"/>
                    </w:rPr>
                    <w:t>镀膜过程</w:t>
                  </w:r>
                </w:p>
              </w:tc>
              <w:tc>
                <w:tcPr>
                  <w:tcW w:w="213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镀膜液包装桶</w:t>
                  </w:r>
                </w:p>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（HW49  900-041-49）</w:t>
                  </w:r>
                </w:p>
              </w:tc>
              <w:tc>
                <w:tcPr>
                  <w:tcW w:w="843"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危险废物</w:t>
                  </w:r>
                </w:p>
              </w:tc>
              <w:tc>
                <w:tcPr>
                  <w:tcW w:w="1064"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镀膜液</w:t>
                  </w:r>
                </w:p>
              </w:tc>
              <w:tc>
                <w:tcPr>
                  <w:tcW w:w="697"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固态</w:t>
                  </w:r>
                </w:p>
              </w:tc>
              <w:tc>
                <w:tcPr>
                  <w:tcW w:w="733"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T/In</w:t>
                  </w:r>
                </w:p>
              </w:tc>
              <w:tc>
                <w:tcPr>
                  <w:tcW w:w="85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4个/a</w:t>
                  </w:r>
                </w:p>
              </w:tc>
              <w:tc>
                <w:tcPr>
                  <w:tcW w:w="1324"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加盖，暂存于危废间</w:t>
                  </w:r>
                </w:p>
              </w:tc>
              <w:tc>
                <w:tcPr>
                  <w:tcW w:w="1409"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定期由厂家回收，循环使用</w:t>
                  </w:r>
                </w:p>
              </w:tc>
              <w:tc>
                <w:tcPr>
                  <w:tcW w:w="908"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4个/a</w:t>
                  </w:r>
                </w:p>
              </w:tc>
              <w:tc>
                <w:tcPr>
                  <w:tcW w:w="1919"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eastAsia="宋体" w:cs="Times New Roman"/>
                      <w:color w:val="auto"/>
                      <w:sz w:val="21"/>
                      <w:szCs w:val="21"/>
                      <w:highlight w:val="none"/>
                      <w:shd w:val="clear" w:color="auto" w:fill="auto"/>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05" w:hRule="atLeast"/>
                <w:jc w:val="center"/>
              </w:trPr>
              <w:tc>
                <w:tcPr>
                  <w:tcW w:w="104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color w:val="auto"/>
                      <w:sz w:val="21"/>
                      <w:szCs w:val="21"/>
                      <w:highlight w:val="none"/>
                      <w:lang w:val="en-US" w:eastAsia="zh-CN"/>
                    </w:rPr>
                  </w:pPr>
                  <w:r>
                    <w:rPr>
                      <w:rFonts w:hint="eastAsia" w:ascii="Times New Roman" w:hAnsi="Times New Roman" w:cs="Times New Roman"/>
                      <w:color w:val="auto"/>
                      <w:sz w:val="21"/>
                      <w:szCs w:val="21"/>
                      <w:highlight w:val="none"/>
                      <w:shd w:val="clear" w:color="auto" w:fill="auto"/>
                      <w:lang w:val="en-US" w:eastAsia="zh-CN"/>
                    </w:rPr>
                    <w:t>印电极过程</w:t>
                  </w:r>
                </w:p>
              </w:tc>
              <w:tc>
                <w:tcPr>
                  <w:tcW w:w="213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电极银浆包装罐</w:t>
                  </w:r>
                </w:p>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（HW49  900-041-49）</w:t>
                  </w:r>
                </w:p>
              </w:tc>
              <w:tc>
                <w:tcPr>
                  <w:tcW w:w="843"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危险废物</w:t>
                  </w:r>
                </w:p>
              </w:tc>
              <w:tc>
                <w:tcPr>
                  <w:tcW w:w="1064"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电极银浆</w:t>
                  </w:r>
                </w:p>
              </w:tc>
              <w:tc>
                <w:tcPr>
                  <w:tcW w:w="697"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固态</w:t>
                  </w:r>
                </w:p>
              </w:tc>
              <w:tc>
                <w:tcPr>
                  <w:tcW w:w="733"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T/In</w:t>
                  </w:r>
                </w:p>
              </w:tc>
              <w:tc>
                <w:tcPr>
                  <w:tcW w:w="85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44个/a</w:t>
                  </w:r>
                </w:p>
              </w:tc>
              <w:tc>
                <w:tcPr>
                  <w:tcW w:w="1324"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加盖，暂存于危废间</w:t>
                  </w:r>
                </w:p>
              </w:tc>
              <w:tc>
                <w:tcPr>
                  <w:tcW w:w="1409"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定期由厂家回收，循环使用</w:t>
                  </w:r>
                </w:p>
              </w:tc>
              <w:tc>
                <w:tcPr>
                  <w:tcW w:w="908"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44个/a</w:t>
                  </w:r>
                </w:p>
              </w:tc>
              <w:tc>
                <w:tcPr>
                  <w:tcW w:w="1919"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eastAsia="宋体" w:cs="Times New Roman"/>
                      <w:color w:val="auto"/>
                      <w:sz w:val="21"/>
                      <w:szCs w:val="21"/>
                      <w:highlight w:val="none"/>
                      <w:shd w:val="clear" w:color="auto" w:fill="auto"/>
                    </w:rPr>
                  </w:pPr>
                </w:p>
              </w:tc>
            </w:tr>
          </w:tbl>
          <w:p>
            <w:pPr>
              <w:rPr>
                <w:rFonts w:hint="default" w:ascii="黑体" w:hAnsi="黑体" w:eastAsia="黑体"/>
                <w:snapToGrid w:val="0"/>
                <w:color w:val="auto"/>
                <w:sz w:val="30"/>
                <w:szCs w:val="30"/>
                <w:highlight w:val="none"/>
                <w:vertAlign w:val="baseline"/>
                <w:lang w:val="en-US" w:eastAsia="zh-CN"/>
              </w:rPr>
            </w:pPr>
          </w:p>
          <w:p>
            <w:pPr>
              <w:rPr>
                <w:rFonts w:hint="eastAsia" w:ascii="黑体" w:hAnsi="黑体" w:eastAsia="黑体"/>
                <w:snapToGrid w:val="0"/>
                <w:color w:val="auto"/>
                <w:sz w:val="30"/>
                <w:szCs w:val="30"/>
                <w:highlight w:val="none"/>
                <w:vertAlign w:val="baseline"/>
              </w:rPr>
            </w:pPr>
          </w:p>
          <w:p>
            <w:pPr>
              <w:rPr>
                <w:rFonts w:hint="eastAsia" w:ascii="黑体" w:hAnsi="黑体" w:eastAsia="黑体"/>
                <w:snapToGrid w:val="0"/>
                <w:color w:val="auto"/>
                <w:sz w:val="30"/>
                <w:szCs w:val="30"/>
                <w:highlight w:val="none"/>
                <w:vertAlign w:val="baseline"/>
              </w:rPr>
            </w:pPr>
          </w:p>
          <w:p>
            <w:pPr>
              <w:rPr>
                <w:rFonts w:hint="eastAsia" w:ascii="黑体" w:hAnsi="黑体" w:eastAsia="黑体"/>
                <w:snapToGrid w:val="0"/>
                <w:color w:val="auto"/>
                <w:sz w:val="30"/>
                <w:szCs w:val="30"/>
                <w:highlight w:val="none"/>
                <w:vertAlign w:val="baseline"/>
              </w:rPr>
            </w:pPr>
          </w:p>
          <w:p>
            <w:pPr>
              <w:rPr>
                <w:rFonts w:hint="eastAsia" w:ascii="黑体" w:hAnsi="黑体" w:eastAsia="黑体"/>
                <w:snapToGrid w:val="0"/>
                <w:color w:val="auto"/>
                <w:sz w:val="30"/>
                <w:szCs w:val="30"/>
                <w:highlight w:val="none"/>
                <w:vertAlign w:val="baseline"/>
              </w:rPr>
            </w:pPr>
          </w:p>
          <w:p>
            <w:pPr>
              <w:rPr>
                <w:rFonts w:hint="eastAsia" w:ascii="黑体" w:hAnsi="黑体" w:eastAsia="黑体"/>
                <w:snapToGrid w:val="0"/>
                <w:color w:val="auto"/>
                <w:sz w:val="30"/>
                <w:szCs w:val="30"/>
                <w:highlight w:val="none"/>
                <w:vertAlign w:val="baseline"/>
              </w:rPr>
            </w:pPr>
          </w:p>
          <w:p>
            <w:pPr>
              <w:rPr>
                <w:rFonts w:hint="eastAsia" w:ascii="黑体" w:hAnsi="黑体" w:eastAsia="黑体"/>
                <w:snapToGrid w:val="0"/>
                <w:color w:val="auto"/>
                <w:sz w:val="30"/>
                <w:szCs w:val="30"/>
                <w:highlight w:val="none"/>
                <w:vertAlign w:val="baseline"/>
              </w:rPr>
            </w:pPr>
          </w:p>
          <w:p>
            <w:pPr>
              <w:ind w:left="0" w:leftChars="0" w:firstLine="0" w:firstLineChars="0"/>
              <w:rPr>
                <w:rFonts w:hint="eastAsia" w:ascii="黑体" w:hAnsi="黑体" w:eastAsia="黑体"/>
                <w:snapToGrid w:val="0"/>
                <w:color w:val="auto"/>
                <w:sz w:val="30"/>
                <w:szCs w:val="30"/>
                <w:highlight w:val="none"/>
                <w:vertAlign w:val="baseline"/>
              </w:rPr>
            </w:pPr>
          </w:p>
        </w:tc>
      </w:tr>
    </w:tbl>
    <w:p>
      <w:pPr>
        <w:rPr>
          <w:rFonts w:hint="eastAsia" w:ascii="黑体" w:hAnsi="黑体" w:eastAsia="黑体"/>
          <w:snapToGrid w:val="0"/>
          <w:color w:val="auto"/>
          <w:sz w:val="30"/>
          <w:szCs w:val="30"/>
          <w:highlight w:val="none"/>
        </w:rPr>
        <w:sectPr>
          <w:pgSz w:w="16838" w:h="11906" w:orient="landscape"/>
          <w:pgMar w:top="1417" w:right="1440" w:bottom="1247" w:left="144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ascii="黑体" w:hAnsi="黑体" w:eastAsia="黑体"/>
          <w:snapToGrid w:val="0"/>
          <w:color w:val="auto"/>
          <w:sz w:val="30"/>
          <w:szCs w:val="30"/>
          <w:highlight w:val="none"/>
        </w:rPr>
        <w:br w:type="page"/>
      </w:r>
    </w:p>
    <w:tbl>
      <w:tblPr>
        <w:tblStyle w:val="25"/>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41"/>
        <w:gridCol w:w="851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0" w:hRule="atLeast"/>
        </w:trPr>
        <w:tc>
          <w:tcPr>
            <w:tcW w:w="941" w:type="dxa"/>
            <w:tcBorders>
              <w:tl2br w:val="nil"/>
              <w:tr2bl w:val="nil"/>
            </w:tcBorders>
          </w:tcPr>
          <w:p>
            <w:pPr>
              <w:rPr>
                <w:rFonts w:hint="eastAsia" w:ascii="黑体" w:hAnsi="黑体" w:eastAsia="黑体"/>
                <w:snapToGrid w:val="0"/>
                <w:color w:val="auto"/>
                <w:sz w:val="30"/>
                <w:szCs w:val="30"/>
                <w:highlight w:val="none"/>
                <w:vertAlign w:val="baseline"/>
              </w:rPr>
            </w:pPr>
          </w:p>
        </w:tc>
        <w:tc>
          <w:tcPr>
            <w:tcW w:w="8517" w:type="dxa"/>
            <w:tcBorders>
              <w:tl2br w:val="nil"/>
              <w:tr2bl w:val="nil"/>
            </w:tcBorders>
            <w:vAlign w:val="top"/>
          </w:tcPr>
          <w:p>
            <w:pPr>
              <w:pStyle w:val="12"/>
              <w:keepNext w:val="0"/>
              <w:keepLines w:val="0"/>
              <w:pageBreakBefore w:val="0"/>
              <w:widowControl w:val="0"/>
              <w:suppressLineNumbers w:val="0"/>
              <w:kinsoku/>
              <w:wordWrap/>
              <w:overflowPunct/>
              <w:topLinePunct w:val="0"/>
              <w:autoSpaceDE/>
              <w:autoSpaceDN/>
              <w:bidi w:val="0"/>
              <w:spacing w:before="0" w:beforeAutospacing="0" w:after="0" w:afterAutospacing="0" w:line="480" w:lineRule="exact"/>
              <w:ind w:left="0" w:leftChars="0" w:right="0" w:rightChars="0" w:firstLine="482" w:firstLineChars="200"/>
              <w:textAlignment w:val="auto"/>
              <w:rPr>
                <w:rFonts w:hint="default"/>
                <w:b/>
                <w:bCs/>
                <w:color w:val="auto"/>
                <w:sz w:val="24"/>
                <w:szCs w:val="24"/>
                <w:highlight w:val="none"/>
              </w:rPr>
            </w:pPr>
            <w:r>
              <w:rPr>
                <w:rFonts w:hint="eastAsia" w:cs="Times New Roman"/>
                <w:b/>
                <w:bCs/>
                <w:color w:val="auto"/>
                <w:sz w:val="24"/>
                <w:szCs w:val="24"/>
                <w:highlight w:val="none"/>
                <w:lang w:val="en-US" w:eastAsia="zh-CN"/>
              </w:rPr>
              <w:t>4.2.2</w:t>
            </w:r>
            <w:r>
              <w:rPr>
                <w:rFonts w:hint="default"/>
                <w:b/>
                <w:bCs/>
                <w:color w:val="auto"/>
                <w:sz w:val="24"/>
                <w:szCs w:val="24"/>
                <w:highlight w:val="none"/>
              </w:rPr>
              <w:t>危险废物环境管理要求</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480" w:lineRule="exact"/>
              <w:ind w:left="0" w:right="0" w:firstLine="480" w:firstLineChars="200"/>
              <w:textAlignment w:val="auto"/>
              <w:rPr>
                <w:rFonts w:hint="default"/>
                <w:color w:val="auto"/>
                <w:sz w:val="24"/>
                <w:szCs w:val="24"/>
                <w:highlight w:val="none"/>
              </w:rPr>
            </w:pPr>
            <w:r>
              <w:rPr>
                <w:rFonts w:hint="default"/>
                <w:color w:val="auto"/>
                <w:sz w:val="24"/>
                <w:szCs w:val="24"/>
                <w:highlight w:val="none"/>
              </w:rPr>
              <w:t>危险废物应按</w:t>
            </w:r>
            <w:r>
              <w:rPr>
                <w:rFonts w:hint="eastAsia"/>
                <w:color w:val="auto"/>
                <w:sz w:val="24"/>
                <w:szCs w:val="24"/>
                <w:highlight w:val="none"/>
                <w:lang w:eastAsia="zh-CN"/>
              </w:rPr>
              <w:t>《危险废物贮存污染控制标准》（GB18597-2023）</w:t>
            </w:r>
            <w:r>
              <w:rPr>
                <w:rFonts w:hint="default"/>
                <w:color w:val="auto"/>
                <w:sz w:val="24"/>
                <w:szCs w:val="24"/>
                <w:highlight w:val="none"/>
              </w:rPr>
              <w:t>、《危险废物收集、贮存、运输技术规范》</w:t>
            </w:r>
            <w:r>
              <w:rPr>
                <w:rFonts w:hint="eastAsia"/>
                <w:color w:val="auto"/>
                <w:sz w:val="24"/>
                <w:szCs w:val="24"/>
                <w:highlight w:val="none"/>
                <w:lang w:eastAsia="zh-CN"/>
              </w:rPr>
              <w:t>（</w:t>
            </w:r>
            <w:r>
              <w:rPr>
                <w:rFonts w:hint="default"/>
                <w:color w:val="auto"/>
                <w:sz w:val="24"/>
                <w:szCs w:val="24"/>
                <w:highlight w:val="none"/>
              </w:rPr>
              <w:t>HJ2025-2012</w:t>
            </w:r>
            <w:r>
              <w:rPr>
                <w:rFonts w:hint="eastAsia"/>
                <w:color w:val="auto"/>
                <w:sz w:val="24"/>
                <w:szCs w:val="24"/>
                <w:highlight w:val="none"/>
                <w:lang w:eastAsia="zh-CN"/>
              </w:rPr>
              <w:t>）</w:t>
            </w:r>
            <w:r>
              <w:rPr>
                <w:rFonts w:hint="default"/>
                <w:color w:val="auto"/>
                <w:sz w:val="24"/>
                <w:szCs w:val="24"/>
                <w:highlight w:val="none"/>
              </w:rPr>
              <w:t>和《河北省环境保护厅办公室关于建设全省危险废物智能监控体系的通知》</w:t>
            </w:r>
            <w:r>
              <w:rPr>
                <w:rFonts w:hint="eastAsia"/>
                <w:color w:val="auto"/>
                <w:sz w:val="24"/>
                <w:szCs w:val="24"/>
                <w:highlight w:val="none"/>
                <w:lang w:eastAsia="zh-CN"/>
              </w:rPr>
              <w:t>（</w:t>
            </w:r>
            <w:r>
              <w:rPr>
                <w:rFonts w:hint="default"/>
                <w:color w:val="auto"/>
                <w:sz w:val="24"/>
                <w:szCs w:val="24"/>
                <w:highlight w:val="none"/>
              </w:rPr>
              <w:t>冀环办发[2017]11</w:t>
            </w:r>
            <w:r>
              <w:rPr>
                <w:rFonts w:hint="eastAsia"/>
                <w:color w:val="auto"/>
                <w:sz w:val="24"/>
                <w:szCs w:val="24"/>
                <w:highlight w:val="none"/>
              </w:rPr>
              <w:t>2号</w:t>
            </w:r>
            <w:r>
              <w:rPr>
                <w:rFonts w:hint="eastAsia"/>
                <w:color w:val="auto"/>
                <w:sz w:val="24"/>
                <w:szCs w:val="24"/>
                <w:highlight w:val="none"/>
                <w:lang w:eastAsia="zh-CN"/>
              </w:rPr>
              <w:t>）</w:t>
            </w:r>
            <w:r>
              <w:rPr>
                <w:rFonts w:hint="default"/>
                <w:color w:val="auto"/>
                <w:sz w:val="24"/>
                <w:szCs w:val="24"/>
                <w:highlight w:val="none"/>
              </w:rPr>
              <w:t>、《关于发布&lt;建设项目危险废物环境影响评价指南&gt;的公告》（环境保护部公告2017年第43号）中的相关内容要求进行处理处置。</w:t>
            </w:r>
          </w:p>
          <w:p>
            <w:pPr>
              <w:bidi w:val="0"/>
              <w:rPr>
                <w:rFonts w:hint="default"/>
                <w:color w:val="auto"/>
                <w:highlight w:val="none"/>
              </w:rPr>
            </w:pPr>
            <w:r>
              <w:rPr>
                <w:rFonts w:hint="default"/>
                <w:color w:val="auto"/>
                <w:highlight w:val="none"/>
              </w:rPr>
              <w:t>本项目</w:t>
            </w:r>
            <w:r>
              <w:rPr>
                <w:rFonts w:hint="eastAsia"/>
                <w:color w:val="auto"/>
                <w:highlight w:val="none"/>
                <w:lang w:val="en-US" w:eastAsia="zh-CN"/>
              </w:rPr>
              <w:t>建成后</w:t>
            </w:r>
            <w:r>
              <w:rPr>
                <w:rFonts w:hint="default"/>
                <w:color w:val="auto"/>
                <w:highlight w:val="none"/>
              </w:rPr>
              <w:t>拟采取以下措施：</w:t>
            </w:r>
          </w:p>
          <w:p>
            <w:pPr>
              <w:bidi w:val="0"/>
              <w:rPr>
                <w:rFonts w:hint="default"/>
                <w:color w:val="auto"/>
                <w:highlight w:val="none"/>
              </w:rPr>
            </w:pPr>
            <w:r>
              <w:rPr>
                <w:rFonts w:hint="eastAsia"/>
                <w:color w:val="auto"/>
                <w:highlight w:val="none"/>
                <w:lang w:val="en-US" w:eastAsia="zh-CN"/>
              </w:rPr>
              <w:t>4.2.2.1</w:t>
            </w:r>
            <w:r>
              <w:rPr>
                <w:rFonts w:hint="default"/>
                <w:color w:val="auto"/>
                <w:highlight w:val="none"/>
              </w:rPr>
              <w:t>危险废物收集</w:t>
            </w:r>
            <w:r>
              <w:rPr>
                <w:rFonts w:hint="default"/>
                <w:color w:val="auto"/>
                <w:highlight w:val="none"/>
              </w:rPr>
              <w:tab/>
            </w:r>
          </w:p>
          <w:p>
            <w:pPr>
              <w:bidi w:val="0"/>
              <w:rPr>
                <w:rFonts w:hint="default"/>
                <w:color w:val="auto"/>
                <w:highlight w:val="none"/>
              </w:rPr>
            </w:pPr>
            <w:r>
              <w:rPr>
                <w:rFonts w:hint="default"/>
                <w:color w:val="auto"/>
                <w:highlight w:val="none"/>
              </w:rPr>
              <w:t>将</w:t>
            </w:r>
            <w:r>
              <w:rPr>
                <w:rFonts w:hint="eastAsia"/>
                <w:color w:val="auto"/>
                <w:highlight w:val="none"/>
                <w:lang w:val="en-US" w:eastAsia="zh-CN"/>
              </w:rPr>
              <w:t>废润滑油桶装加盖收集，废活性炭采用专用容器密闭收集，喷淋废水采用耐腐蚀防渗漏的容器收集，</w:t>
            </w:r>
            <w:r>
              <w:rPr>
                <w:rFonts w:hint="default"/>
                <w:color w:val="auto"/>
                <w:highlight w:val="none"/>
              </w:rPr>
              <w:t>容器</w:t>
            </w:r>
            <w:r>
              <w:rPr>
                <w:rFonts w:hint="eastAsia"/>
                <w:color w:val="auto"/>
                <w:highlight w:val="none"/>
                <w:lang w:val="en-US" w:eastAsia="zh-CN"/>
              </w:rPr>
              <w:t>应达到防渗、防漏、防腐和强度等要求，内部留有适当的空间，以适应因温度变化等可能引发的收缩和膨胀，防止其导致容器渗漏或永久变形</w:t>
            </w:r>
            <w:r>
              <w:rPr>
                <w:rFonts w:hint="default"/>
                <w:color w:val="auto"/>
                <w:highlight w:val="none"/>
              </w:rPr>
              <w:t>。</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480" w:lineRule="exact"/>
              <w:ind w:left="0" w:right="0" w:firstLine="480" w:firstLineChars="200"/>
              <w:textAlignment w:val="auto"/>
              <w:rPr>
                <w:rFonts w:hint="default"/>
                <w:color w:val="auto"/>
                <w:sz w:val="24"/>
                <w:szCs w:val="24"/>
                <w:highlight w:val="none"/>
              </w:rPr>
            </w:pPr>
            <w:r>
              <w:rPr>
                <w:rFonts w:hint="eastAsia"/>
                <w:color w:val="auto"/>
                <w:sz w:val="24"/>
                <w:szCs w:val="24"/>
                <w:highlight w:val="none"/>
                <w:lang w:val="en-US" w:eastAsia="zh-CN"/>
              </w:rPr>
              <w:t>4.2.2.2</w:t>
            </w:r>
            <w:r>
              <w:rPr>
                <w:rFonts w:hint="default"/>
                <w:color w:val="auto"/>
                <w:sz w:val="24"/>
                <w:szCs w:val="24"/>
                <w:highlight w:val="none"/>
              </w:rPr>
              <w:t>危险废物贮存</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textAlignment w:val="auto"/>
              <w:rPr>
                <w:rFonts w:hint="default"/>
                <w:color w:val="000000"/>
                <w:sz w:val="24"/>
                <w:szCs w:val="24"/>
                <w:highlight w:val="none"/>
              </w:rPr>
            </w:pPr>
            <w:r>
              <w:rPr>
                <w:rFonts w:hint="eastAsia"/>
                <w:color w:val="000000"/>
                <w:sz w:val="24"/>
                <w:szCs w:val="24"/>
                <w:highlight w:val="none"/>
                <w:lang w:val="en-US" w:eastAsia="zh-CN"/>
              </w:rPr>
              <w:t>本项目产生的危险废物均暂存于厂区内现有危废间，</w:t>
            </w:r>
            <w:r>
              <w:rPr>
                <w:rFonts w:hint="eastAsia" w:ascii="Times New Roman"/>
                <w:color w:val="000000"/>
                <w:spacing w:val="0"/>
                <w:sz w:val="24"/>
                <w:szCs w:val="24"/>
                <w:highlight w:val="none"/>
                <w:lang w:val="en-US" w:eastAsia="zh-CN"/>
              </w:rPr>
              <w:t>危废间面积为15m</w:t>
            </w:r>
            <w:r>
              <w:rPr>
                <w:rFonts w:hint="eastAsia" w:ascii="Times New Roman"/>
                <w:color w:val="000000"/>
                <w:spacing w:val="0"/>
                <w:sz w:val="24"/>
                <w:szCs w:val="24"/>
                <w:highlight w:val="none"/>
                <w:vertAlign w:val="superscript"/>
                <w:lang w:val="en-US" w:eastAsia="zh-CN"/>
              </w:rPr>
              <w:t>2</w:t>
            </w:r>
            <w:r>
              <w:rPr>
                <w:rFonts w:ascii="Times New Roman" w:eastAsia="宋体"/>
                <w:color w:val="000000"/>
                <w:spacing w:val="0"/>
                <w:sz w:val="24"/>
                <w:szCs w:val="24"/>
                <w:highlight w:val="none"/>
              </w:rPr>
              <w:t>，</w:t>
            </w:r>
            <w:r>
              <w:rPr>
                <w:rFonts w:hint="eastAsia" w:ascii="Times New Roman" w:eastAsia="宋体"/>
                <w:color w:val="000000"/>
                <w:spacing w:val="0"/>
                <w:sz w:val="24"/>
                <w:szCs w:val="24"/>
                <w:highlight w:val="none"/>
                <w:lang w:val="en-US" w:eastAsia="zh-CN"/>
              </w:rPr>
              <w:t>本项目建成后，废活性炭更换后直接由有资质单位运走处置，不在厂区内储存，同时，其余危险废物增加转运次数，全部危废均每半年转运一次，危废间最大利用面积约8</w:t>
            </w:r>
            <w:r>
              <w:rPr>
                <w:rFonts w:hint="default" w:ascii="Times New Roman" w:eastAsia="宋体"/>
                <w:color w:val="000000"/>
                <w:spacing w:val="0"/>
                <w:sz w:val="24"/>
                <w:szCs w:val="24"/>
                <w:highlight w:val="none"/>
                <w:lang w:val="en-US" w:eastAsia="zh-CN"/>
              </w:rPr>
              <w:t>m</w:t>
            </w:r>
            <w:r>
              <w:rPr>
                <w:rFonts w:hint="default" w:ascii="Times New Roman" w:eastAsia="宋体"/>
                <w:color w:val="000000"/>
                <w:spacing w:val="0"/>
                <w:sz w:val="24"/>
                <w:szCs w:val="24"/>
                <w:highlight w:val="none"/>
                <w:vertAlign w:val="superscript"/>
                <w:lang w:val="en-US" w:eastAsia="zh-CN"/>
              </w:rPr>
              <w:t>2</w:t>
            </w:r>
            <w:r>
              <w:rPr>
                <w:rFonts w:hint="eastAsia" w:ascii="Times New Roman" w:eastAsia="宋体"/>
                <w:color w:val="000000"/>
                <w:spacing w:val="0"/>
                <w:sz w:val="24"/>
                <w:szCs w:val="24"/>
                <w:highlight w:val="none"/>
                <w:lang w:val="en-US" w:eastAsia="zh-CN"/>
              </w:rPr>
              <w:t>，可满足需求</w:t>
            </w:r>
            <w:r>
              <w:rPr>
                <w:rFonts w:hint="eastAsia"/>
                <w:color w:val="000000"/>
                <w:spacing w:val="0"/>
                <w:sz w:val="24"/>
                <w:szCs w:val="24"/>
                <w:highlight w:val="none"/>
                <w:lang w:val="en-US" w:eastAsia="zh-CN"/>
              </w:rPr>
              <w:t>。</w:t>
            </w:r>
            <w:r>
              <w:rPr>
                <w:rFonts w:hint="eastAsia"/>
                <w:color w:val="000000"/>
                <w:highlight w:val="none"/>
                <w:lang w:val="en-US" w:eastAsia="zh-CN"/>
              </w:rPr>
              <w:t>现有危废间</w:t>
            </w:r>
            <w:r>
              <w:rPr>
                <w:rFonts w:hint="default"/>
                <w:color w:val="000000"/>
                <w:highlight w:val="none"/>
              </w:rPr>
              <w:t>已参照</w:t>
            </w:r>
            <w:r>
              <w:rPr>
                <w:rFonts w:hint="eastAsia"/>
                <w:color w:val="000000"/>
                <w:highlight w:val="none"/>
                <w:lang w:eastAsia="zh-CN"/>
              </w:rPr>
              <w:t>《危险废物贮存污染控制标准》（GB18597-2023）</w:t>
            </w:r>
            <w:r>
              <w:rPr>
                <w:rFonts w:hint="default"/>
                <w:color w:val="000000"/>
                <w:highlight w:val="none"/>
              </w:rPr>
              <w:t>和《建设项目危险废物环境影响评价指南》的要求设计，已做好防雨、防渗，防止二次污染。地面采用坚固、防渗、耐腐蚀的材料建造，并设计有堵截泄漏的裙脚、围堰等设施</w:t>
            </w:r>
            <w:r>
              <w:rPr>
                <w:rFonts w:ascii="Times New Roman" w:eastAsia="宋体"/>
                <w:snapToGrid w:val="0"/>
                <w:color w:val="000000"/>
                <w:spacing w:val="0"/>
                <w:sz w:val="24"/>
                <w:szCs w:val="24"/>
                <w:highlight w:val="none"/>
              </w:rPr>
              <w:t>。</w:t>
            </w:r>
            <w:r>
              <w:rPr>
                <w:rFonts w:ascii="Times New Roman" w:eastAsia="宋体"/>
                <w:color w:val="000000"/>
                <w:spacing w:val="0"/>
                <w:sz w:val="24"/>
                <w:szCs w:val="24"/>
                <w:highlight w:val="none"/>
              </w:rPr>
              <w:t>危险废</w:t>
            </w:r>
            <w:r>
              <w:rPr>
                <w:rFonts w:hint="eastAsia" w:ascii="Times New Roman" w:eastAsia="宋体"/>
                <w:color w:val="000000"/>
                <w:spacing w:val="0"/>
                <w:sz w:val="24"/>
                <w:szCs w:val="24"/>
                <w:highlight w:val="none"/>
              </w:rPr>
              <w:t>物</w:t>
            </w:r>
            <w:r>
              <w:rPr>
                <w:rFonts w:ascii="Times New Roman" w:eastAsia="宋体"/>
                <w:color w:val="000000"/>
                <w:spacing w:val="0"/>
                <w:sz w:val="24"/>
                <w:szCs w:val="24"/>
                <w:highlight w:val="none"/>
              </w:rPr>
              <w:t>符合《危险废物贮存污染控制标准》（GB18597-20</w:t>
            </w:r>
            <w:r>
              <w:rPr>
                <w:rFonts w:hint="eastAsia" w:ascii="Times New Roman" w:eastAsia="宋体"/>
                <w:color w:val="000000"/>
                <w:spacing w:val="0"/>
                <w:sz w:val="24"/>
                <w:szCs w:val="24"/>
                <w:highlight w:val="none"/>
                <w:lang w:val="en-US" w:eastAsia="zh-CN"/>
              </w:rPr>
              <w:t>23</w:t>
            </w:r>
            <w:r>
              <w:rPr>
                <w:rFonts w:ascii="Times New Roman" w:eastAsia="宋体"/>
                <w:color w:val="000000"/>
                <w:spacing w:val="0"/>
                <w:sz w:val="24"/>
                <w:szCs w:val="24"/>
                <w:highlight w:val="none"/>
              </w:rPr>
              <w:t>）</w:t>
            </w:r>
            <w:r>
              <w:rPr>
                <w:rFonts w:hint="eastAsia" w:ascii="Times New Roman" w:eastAsia="宋体"/>
                <w:color w:val="000000"/>
                <w:spacing w:val="0"/>
                <w:sz w:val="24"/>
                <w:szCs w:val="24"/>
                <w:highlight w:val="none"/>
              </w:rPr>
              <w:t>要求</w:t>
            </w:r>
            <w:r>
              <w:rPr>
                <w:rFonts w:ascii="Times New Roman" w:eastAsia="宋体"/>
                <w:color w:val="000000"/>
                <w:spacing w:val="0"/>
                <w:sz w:val="24"/>
                <w:szCs w:val="24"/>
                <w:highlight w:val="none"/>
              </w:rPr>
              <w:t>。</w:t>
            </w:r>
            <w:r>
              <w:rPr>
                <w:rFonts w:hint="eastAsia"/>
                <w:color w:val="000000"/>
                <w:highlight w:val="none"/>
                <w:lang w:val="en-US" w:eastAsia="zh-CN"/>
              </w:rPr>
              <w:t>因此，</w:t>
            </w:r>
            <w:r>
              <w:rPr>
                <w:rFonts w:hint="default"/>
                <w:color w:val="000000"/>
                <w:highlight w:val="none"/>
              </w:rPr>
              <w:t>本项目依托现有危废暂存间可行</w:t>
            </w:r>
            <w:r>
              <w:rPr>
                <w:rFonts w:hint="default"/>
                <w:color w:val="000000"/>
                <w:sz w:val="24"/>
                <w:szCs w:val="24"/>
                <w:highlight w:val="none"/>
              </w:rPr>
              <w:t>。</w:t>
            </w:r>
          </w:p>
          <w:p>
            <w:pPr>
              <w:bidi w:val="0"/>
              <w:rPr>
                <w:rFonts w:hint="eastAsia"/>
                <w:color w:val="000000"/>
                <w:highlight w:val="none"/>
                <w:lang w:val="en-US" w:eastAsia="zh-CN"/>
              </w:rPr>
            </w:pPr>
            <w:r>
              <w:rPr>
                <w:rFonts w:hint="eastAsia"/>
                <w:color w:val="000000"/>
                <w:highlight w:val="none"/>
                <w:lang w:val="en-US" w:eastAsia="zh-CN"/>
              </w:rPr>
              <w:t>本项目建成后危险废物贮存需满足如下要求：</w:t>
            </w:r>
          </w:p>
          <w:p>
            <w:pPr>
              <w:bidi w:val="0"/>
              <w:rPr>
                <w:rFonts w:hint="eastAsia" w:eastAsia="宋体"/>
                <w:b/>
                <w:bCs/>
                <w:color w:val="000000"/>
                <w:sz w:val="24"/>
                <w:szCs w:val="24"/>
                <w:highlight w:val="none"/>
                <w:lang w:eastAsia="zh-CN"/>
              </w:rPr>
            </w:pPr>
            <w:r>
              <w:rPr>
                <w:rFonts w:hint="default"/>
                <w:color w:val="000000"/>
                <w:highlight w:val="none"/>
                <w:lang w:val="en-US" w:eastAsia="zh-CN"/>
              </w:rPr>
              <w:t>①</w:t>
            </w:r>
            <w:r>
              <w:rPr>
                <w:rFonts w:hint="default"/>
                <w:color w:val="000000"/>
                <w:sz w:val="24"/>
                <w:szCs w:val="24"/>
                <w:highlight w:val="none"/>
              </w:rPr>
              <w:t>禁止将不相容（相互反应）的危险废物在同一容器内混装，不同种类的危险废物在</w:t>
            </w:r>
            <w:r>
              <w:rPr>
                <w:rFonts w:hint="eastAsia"/>
                <w:color w:val="000000"/>
                <w:sz w:val="24"/>
                <w:szCs w:val="24"/>
                <w:highlight w:val="none"/>
              </w:rPr>
              <w:t>危险废物暂存间</w:t>
            </w:r>
            <w:r>
              <w:rPr>
                <w:rFonts w:hint="default"/>
                <w:color w:val="000000"/>
                <w:sz w:val="24"/>
                <w:szCs w:val="24"/>
                <w:highlight w:val="none"/>
              </w:rPr>
              <w:t>内分区存放</w:t>
            </w:r>
            <w:r>
              <w:rPr>
                <w:rFonts w:hint="eastAsia"/>
                <w:color w:val="000000"/>
                <w:sz w:val="24"/>
                <w:szCs w:val="24"/>
                <w:highlight w:val="none"/>
                <w:lang w:eastAsia="zh-CN"/>
              </w:rPr>
              <w:t>。</w:t>
            </w:r>
          </w:p>
          <w:p>
            <w:pPr>
              <w:bidi w:val="0"/>
              <w:rPr>
                <w:rFonts w:hint="default"/>
                <w:color w:val="000000"/>
                <w:sz w:val="24"/>
                <w:szCs w:val="24"/>
                <w:highlight w:val="none"/>
              </w:rPr>
            </w:pPr>
            <w:r>
              <w:rPr>
                <w:rFonts w:hint="default"/>
                <w:color w:val="000000"/>
                <w:sz w:val="24"/>
                <w:szCs w:val="24"/>
                <w:highlight w:val="none"/>
                <w:lang w:val="en-US" w:eastAsia="zh-CN"/>
              </w:rPr>
              <w:t>②</w:t>
            </w:r>
            <w:r>
              <w:rPr>
                <w:rFonts w:hint="default"/>
                <w:color w:val="000000"/>
                <w:sz w:val="24"/>
                <w:szCs w:val="24"/>
                <w:highlight w:val="none"/>
              </w:rPr>
              <w:t>盛装危废的容器要符合标准要求，容器应根据危险废物的不同特性而设计，容器应不易破损、变形、老化，并能有效地防止渗透、扩散。装有危险废物的容器必须贴有符合</w:t>
            </w:r>
            <w:r>
              <w:rPr>
                <w:rFonts w:hint="eastAsia"/>
                <w:color w:val="auto"/>
                <w:highlight w:val="none"/>
                <w:lang w:eastAsia="zh-CN"/>
              </w:rPr>
              <w:t>《危险废物贮存污染控制标准》（GB18597-2023）、《</w:t>
            </w:r>
            <w:r>
              <w:rPr>
                <w:rFonts w:hint="eastAsia"/>
                <w:color w:val="auto"/>
                <w:highlight w:val="none"/>
                <w:lang w:val="en-US" w:eastAsia="zh-CN"/>
              </w:rPr>
              <w:t>危险废物识别标志设置技术规范</w:t>
            </w:r>
            <w:r>
              <w:rPr>
                <w:rFonts w:hint="eastAsia"/>
                <w:color w:val="auto"/>
                <w:highlight w:val="none"/>
                <w:lang w:eastAsia="zh-CN"/>
              </w:rPr>
              <w:t>》（</w:t>
            </w:r>
            <w:r>
              <w:rPr>
                <w:rFonts w:hint="eastAsia"/>
                <w:color w:val="auto"/>
                <w:highlight w:val="none"/>
                <w:lang w:val="en-US" w:eastAsia="zh-CN"/>
              </w:rPr>
              <w:t>HJ 1276</w:t>
            </w:r>
            <w:r>
              <w:rPr>
                <w:rFonts w:hint="eastAsia"/>
                <w:color w:val="auto"/>
                <w:highlight w:val="none"/>
                <w:lang w:eastAsia="zh-CN"/>
              </w:rPr>
              <w:t>-</w:t>
            </w:r>
            <w:r>
              <w:rPr>
                <w:rFonts w:hint="eastAsia"/>
                <w:color w:val="auto"/>
                <w:highlight w:val="none"/>
                <w:lang w:val="en-US" w:eastAsia="zh-CN"/>
              </w:rPr>
              <w:t>2022</w:t>
            </w:r>
            <w:r>
              <w:rPr>
                <w:rFonts w:hint="eastAsia"/>
                <w:color w:val="auto"/>
                <w:highlight w:val="none"/>
                <w:lang w:eastAsia="zh-CN"/>
              </w:rPr>
              <w:t>）</w:t>
            </w:r>
            <w:r>
              <w:rPr>
                <w:rFonts w:hint="eastAsia"/>
                <w:color w:val="auto"/>
                <w:highlight w:val="none"/>
                <w:lang w:val="en-US" w:eastAsia="zh-CN"/>
              </w:rPr>
              <w:t>标准</w:t>
            </w:r>
            <w:r>
              <w:rPr>
                <w:rFonts w:hint="default"/>
                <w:color w:val="000000"/>
                <w:sz w:val="24"/>
                <w:szCs w:val="24"/>
                <w:highlight w:val="none"/>
              </w:rPr>
              <w:t>中所示的标签。</w:t>
            </w:r>
          </w:p>
          <w:p>
            <w:pPr>
              <w:bidi w:val="0"/>
              <w:rPr>
                <w:rFonts w:hint="default"/>
                <w:color w:val="000000"/>
                <w:sz w:val="24"/>
                <w:szCs w:val="24"/>
                <w:highlight w:val="none"/>
              </w:rPr>
            </w:pPr>
            <w:r>
              <w:rPr>
                <w:rFonts w:hint="default"/>
                <w:color w:val="000000"/>
                <w:sz w:val="24"/>
                <w:szCs w:val="24"/>
                <w:highlight w:val="none"/>
                <w:lang w:val="en-US" w:eastAsia="zh-CN"/>
              </w:rPr>
              <w:t>③</w:t>
            </w:r>
            <w:r>
              <w:rPr>
                <w:rFonts w:hint="default"/>
                <w:color w:val="000000"/>
                <w:sz w:val="24"/>
                <w:szCs w:val="24"/>
                <w:highlight w:val="none"/>
              </w:rPr>
              <w:t>装载液体、半固体危险废物的容器内须留</w:t>
            </w:r>
            <w:r>
              <w:rPr>
                <w:rFonts w:hint="eastAsia"/>
                <w:color w:val="000000"/>
                <w:sz w:val="24"/>
                <w:szCs w:val="24"/>
                <w:highlight w:val="none"/>
                <w:lang w:val="en-US" w:eastAsia="zh-CN"/>
              </w:rPr>
              <w:t>有</w:t>
            </w:r>
            <w:r>
              <w:rPr>
                <w:rFonts w:hint="default"/>
                <w:color w:val="000000"/>
                <w:sz w:val="24"/>
                <w:szCs w:val="24"/>
                <w:highlight w:val="none"/>
              </w:rPr>
              <w:t>足够空间，容器顶部与液体表面之间保留100mm以上的空间。</w:t>
            </w:r>
          </w:p>
          <w:p>
            <w:pPr>
              <w:bidi w:val="0"/>
              <w:rPr>
                <w:rFonts w:hint="default"/>
                <w:color w:val="000000"/>
                <w:sz w:val="24"/>
                <w:szCs w:val="24"/>
                <w:highlight w:val="none"/>
              </w:rPr>
            </w:pPr>
            <w:r>
              <w:rPr>
                <w:rFonts w:hint="default"/>
                <w:color w:val="000000"/>
                <w:sz w:val="24"/>
                <w:szCs w:val="24"/>
                <w:highlight w:val="none"/>
                <w:lang w:val="en-US" w:eastAsia="zh-CN"/>
              </w:rPr>
              <w:t>④</w:t>
            </w:r>
            <w:r>
              <w:rPr>
                <w:rFonts w:hint="default"/>
                <w:color w:val="000000"/>
                <w:sz w:val="24"/>
                <w:szCs w:val="24"/>
                <w:highlight w:val="none"/>
              </w:rPr>
              <w:t>盛装危险废物的容器要带盖。</w:t>
            </w:r>
          </w:p>
          <w:p>
            <w:pPr>
              <w:bidi w:val="0"/>
              <w:rPr>
                <w:rFonts w:hint="eastAsia"/>
                <w:color w:val="000000"/>
                <w:highlight w:val="none"/>
                <w:lang w:val="en-US" w:eastAsia="zh-CN"/>
              </w:rPr>
            </w:pPr>
            <w:r>
              <w:rPr>
                <w:rFonts w:hint="default"/>
                <w:color w:val="000000"/>
                <w:highlight w:val="none"/>
              </w:rPr>
              <w:t>⑤建立档案制度，对暂存的废物种类、数量、特性、包装容器类别、存放</w:t>
            </w:r>
            <w:r>
              <w:rPr>
                <w:rFonts w:hint="eastAsia"/>
                <w:color w:val="000000"/>
                <w:highlight w:val="none"/>
                <w:lang w:val="en-US" w:eastAsia="zh-CN"/>
              </w:rPr>
              <w:t>部</w:t>
            </w:r>
            <w:r>
              <w:rPr>
                <w:rFonts w:hint="default"/>
                <w:color w:val="000000"/>
                <w:highlight w:val="none"/>
              </w:rPr>
              <w:t>位、存入日期、运出日期等详细记录在案并长期保存。建立定期巡查、维护制度</w:t>
            </w:r>
            <w:r>
              <w:rPr>
                <w:rFonts w:hint="eastAsia"/>
                <w:color w:val="000000"/>
                <w:highlight w:val="none"/>
              </w:rPr>
              <w:t>。</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480" w:lineRule="exact"/>
              <w:ind w:left="0" w:right="0" w:firstLine="480" w:firstLineChars="200"/>
              <w:textAlignment w:val="auto"/>
              <w:rPr>
                <w:rFonts w:hint="default"/>
                <w:color w:val="auto"/>
                <w:sz w:val="24"/>
                <w:szCs w:val="24"/>
                <w:highlight w:val="none"/>
              </w:rPr>
            </w:pPr>
            <w:r>
              <w:rPr>
                <w:rFonts w:hint="default"/>
                <w:color w:val="auto"/>
                <w:sz w:val="24"/>
                <w:szCs w:val="24"/>
                <w:highlight w:val="none"/>
              </w:rPr>
              <w:t>本项目</w:t>
            </w:r>
            <w:r>
              <w:rPr>
                <w:rFonts w:hint="eastAsia"/>
                <w:color w:val="auto"/>
                <w:sz w:val="24"/>
                <w:szCs w:val="24"/>
                <w:highlight w:val="none"/>
                <w:lang w:val="en-US" w:eastAsia="zh-CN"/>
              </w:rPr>
              <w:t>建成后</w:t>
            </w:r>
            <w:r>
              <w:rPr>
                <w:rFonts w:hint="default"/>
                <w:color w:val="auto"/>
                <w:sz w:val="24"/>
                <w:szCs w:val="24"/>
                <w:highlight w:val="none"/>
              </w:rPr>
              <w:t>危险废物贮存场所基本情况见下表。</w:t>
            </w:r>
          </w:p>
          <w:p>
            <w:pPr>
              <w:pStyle w:val="31"/>
              <w:bidi w:val="0"/>
              <w:rPr>
                <w:rFonts w:hint="eastAsia" w:eastAsia="宋体"/>
                <w:color w:val="auto"/>
                <w:highlight w:val="none"/>
                <w:lang w:val="en-US" w:eastAsia="zh-CN"/>
              </w:rPr>
            </w:pPr>
            <w:r>
              <w:rPr>
                <w:rFonts w:hint="default"/>
                <w:color w:val="auto"/>
                <w:sz w:val="21"/>
                <w:szCs w:val="21"/>
                <w:highlight w:val="none"/>
              </w:rPr>
              <w:t>表</w:t>
            </w:r>
            <w:r>
              <w:rPr>
                <w:rFonts w:hint="eastAsia"/>
                <w:color w:val="auto"/>
                <w:sz w:val="21"/>
                <w:szCs w:val="21"/>
                <w:highlight w:val="none"/>
                <w:lang w:val="en-US" w:eastAsia="zh-CN"/>
              </w:rPr>
              <w:t>42</w:t>
            </w:r>
            <w:r>
              <w:rPr>
                <w:rFonts w:hint="default"/>
                <w:color w:val="auto"/>
                <w:sz w:val="21"/>
                <w:szCs w:val="21"/>
                <w:highlight w:val="none"/>
              </w:rPr>
              <w:t xml:space="preserve">  危险废物贮存场所基本情况表</w:t>
            </w:r>
            <w:r>
              <w:rPr>
                <w:rFonts w:hint="eastAsia"/>
                <w:color w:val="auto"/>
                <w:sz w:val="21"/>
                <w:szCs w:val="21"/>
                <w:highlight w:val="none"/>
                <w:lang w:val="en-US" w:eastAsia="zh-CN"/>
              </w:rPr>
              <w:t>一览表</w:t>
            </w:r>
          </w:p>
          <w:tbl>
            <w:tblPr>
              <w:tblStyle w:val="24"/>
              <w:tblW w:w="827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541"/>
              <w:gridCol w:w="685"/>
              <w:gridCol w:w="1896"/>
              <w:gridCol w:w="751"/>
              <w:gridCol w:w="1141"/>
              <w:gridCol w:w="667"/>
              <w:gridCol w:w="629"/>
              <w:gridCol w:w="1296"/>
              <w:gridCol w:w="67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95" w:hRule="atLeast"/>
                <w:jc w:val="center"/>
              </w:trPr>
              <w:tc>
                <w:tcPr>
                  <w:tcW w:w="548"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color w:val="auto"/>
                      <w:sz w:val="21"/>
                      <w:szCs w:val="21"/>
                      <w:highlight w:val="none"/>
                    </w:rPr>
                  </w:pPr>
                  <w:r>
                    <w:rPr>
                      <w:rFonts w:hint="default"/>
                      <w:color w:val="auto"/>
                      <w:sz w:val="21"/>
                      <w:szCs w:val="21"/>
                      <w:highlight w:val="none"/>
                    </w:rPr>
                    <w:t>序号</w:t>
                  </w:r>
                </w:p>
              </w:tc>
              <w:tc>
                <w:tcPr>
                  <w:tcW w:w="694"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color w:val="auto"/>
                      <w:sz w:val="21"/>
                      <w:szCs w:val="21"/>
                      <w:highlight w:val="none"/>
                    </w:rPr>
                  </w:pPr>
                  <w:r>
                    <w:rPr>
                      <w:rFonts w:hint="default"/>
                      <w:color w:val="auto"/>
                      <w:sz w:val="21"/>
                      <w:szCs w:val="21"/>
                      <w:highlight w:val="none"/>
                    </w:rPr>
                    <w:t>贮存场所名称</w:t>
                  </w:r>
                </w:p>
              </w:tc>
              <w:tc>
                <w:tcPr>
                  <w:tcW w:w="1922"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color w:val="auto"/>
                      <w:sz w:val="21"/>
                      <w:szCs w:val="21"/>
                      <w:highlight w:val="none"/>
                    </w:rPr>
                  </w:pPr>
                  <w:r>
                    <w:rPr>
                      <w:rFonts w:hint="default"/>
                      <w:color w:val="auto"/>
                      <w:sz w:val="21"/>
                      <w:szCs w:val="21"/>
                      <w:highlight w:val="none"/>
                    </w:rPr>
                    <w:t>危险废物名称</w:t>
                  </w:r>
                </w:p>
              </w:tc>
              <w:tc>
                <w:tcPr>
                  <w:tcW w:w="761"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color w:val="auto"/>
                      <w:sz w:val="21"/>
                      <w:szCs w:val="21"/>
                      <w:highlight w:val="none"/>
                    </w:rPr>
                  </w:pPr>
                  <w:r>
                    <w:rPr>
                      <w:rFonts w:hint="default"/>
                      <w:color w:val="auto"/>
                      <w:sz w:val="21"/>
                      <w:szCs w:val="21"/>
                      <w:highlight w:val="none"/>
                    </w:rPr>
                    <w:t>危险废物类别</w:t>
                  </w:r>
                </w:p>
              </w:tc>
              <w:tc>
                <w:tcPr>
                  <w:tcW w:w="1157"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color w:val="auto"/>
                      <w:sz w:val="21"/>
                      <w:szCs w:val="21"/>
                      <w:highlight w:val="none"/>
                    </w:rPr>
                  </w:pPr>
                  <w:r>
                    <w:rPr>
                      <w:rFonts w:hint="default"/>
                      <w:color w:val="auto"/>
                      <w:sz w:val="21"/>
                      <w:szCs w:val="21"/>
                      <w:highlight w:val="none"/>
                    </w:rPr>
                    <w:t>危险废物代码</w:t>
                  </w:r>
                </w:p>
              </w:tc>
              <w:tc>
                <w:tcPr>
                  <w:tcW w:w="676"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color w:val="auto"/>
                      <w:sz w:val="21"/>
                      <w:szCs w:val="21"/>
                      <w:highlight w:val="none"/>
                    </w:rPr>
                  </w:pPr>
                  <w:r>
                    <w:rPr>
                      <w:rFonts w:hint="default"/>
                      <w:color w:val="auto"/>
                      <w:sz w:val="21"/>
                      <w:szCs w:val="21"/>
                      <w:highlight w:val="none"/>
                    </w:rPr>
                    <w:t>位置</w:t>
                  </w:r>
                </w:p>
              </w:tc>
              <w:tc>
                <w:tcPr>
                  <w:tcW w:w="638"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color w:val="auto"/>
                      <w:sz w:val="21"/>
                      <w:szCs w:val="21"/>
                      <w:highlight w:val="none"/>
                    </w:rPr>
                  </w:pPr>
                  <w:r>
                    <w:rPr>
                      <w:rFonts w:hint="default"/>
                      <w:color w:val="auto"/>
                      <w:sz w:val="21"/>
                      <w:szCs w:val="21"/>
                      <w:highlight w:val="none"/>
                    </w:rPr>
                    <w:t>占地面积</w:t>
                  </w:r>
                </w:p>
              </w:tc>
              <w:tc>
                <w:tcPr>
                  <w:tcW w:w="1314"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color w:val="auto"/>
                      <w:sz w:val="21"/>
                      <w:szCs w:val="21"/>
                      <w:highlight w:val="none"/>
                    </w:rPr>
                  </w:pPr>
                  <w:r>
                    <w:rPr>
                      <w:rFonts w:hint="default"/>
                      <w:color w:val="auto"/>
                      <w:sz w:val="21"/>
                      <w:szCs w:val="21"/>
                      <w:highlight w:val="none"/>
                    </w:rPr>
                    <w:t>贮存方式</w:t>
                  </w:r>
                </w:p>
              </w:tc>
              <w:tc>
                <w:tcPr>
                  <w:tcW w:w="680"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color w:val="auto"/>
                      <w:sz w:val="21"/>
                      <w:szCs w:val="21"/>
                      <w:highlight w:val="none"/>
                    </w:rPr>
                  </w:pPr>
                  <w:r>
                    <w:rPr>
                      <w:rFonts w:hint="default"/>
                      <w:color w:val="auto"/>
                      <w:sz w:val="21"/>
                      <w:szCs w:val="21"/>
                      <w:highlight w:val="none"/>
                    </w:rPr>
                    <w:t>贮存</w:t>
                  </w:r>
                </w:p>
                <w:p>
                  <w:pPr>
                    <w:pStyle w:val="32"/>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color w:val="auto"/>
                      <w:sz w:val="21"/>
                      <w:szCs w:val="21"/>
                      <w:highlight w:val="none"/>
                    </w:rPr>
                  </w:pPr>
                  <w:r>
                    <w:rPr>
                      <w:rFonts w:hint="default"/>
                      <w:color w:val="auto"/>
                      <w:sz w:val="21"/>
                      <w:szCs w:val="21"/>
                      <w:highlight w:val="none"/>
                    </w:rPr>
                    <w:t>周期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48" w:type="dxa"/>
                  <w:tcBorders>
                    <w:tl2br w:val="nil"/>
                    <w:tr2bl w:val="nil"/>
                  </w:tcBorders>
                  <w:noWrap w:val="0"/>
                  <w:vAlign w:val="center"/>
                </w:tcPr>
                <w:p>
                  <w:pPr>
                    <w:pStyle w:val="32"/>
                    <w:keepNext w:val="0"/>
                    <w:keepLines w:val="0"/>
                    <w:pageBreakBefore w:val="0"/>
                    <w:widowControl w:val="0"/>
                    <w:numPr>
                      <w:ilvl w:val="0"/>
                      <w:numId w:val="33"/>
                    </w:numPr>
                    <w:kinsoku/>
                    <w:wordWrap/>
                    <w:overflowPunct/>
                    <w:topLinePunct w:val="0"/>
                    <w:autoSpaceDE/>
                    <w:autoSpaceDN/>
                    <w:bidi w:val="0"/>
                    <w:adjustRightInd/>
                    <w:snapToGrid/>
                    <w:spacing w:before="0" w:after="0" w:line="240" w:lineRule="auto"/>
                    <w:ind w:left="0" w:leftChars="0" w:right="0" w:rightChars="0" w:firstLine="0" w:firstLineChars="0"/>
                    <w:textAlignment w:val="auto"/>
                    <w:rPr>
                      <w:rFonts w:hint="eastAsia"/>
                      <w:color w:val="auto"/>
                      <w:sz w:val="21"/>
                      <w:szCs w:val="21"/>
                      <w:highlight w:val="none"/>
                      <w:lang w:eastAsia="zh-CN"/>
                    </w:rPr>
                  </w:pPr>
                </w:p>
              </w:tc>
              <w:tc>
                <w:tcPr>
                  <w:tcW w:w="694" w:type="dxa"/>
                  <w:vMerge w:val="restart"/>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textAlignment w:val="auto"/>
                    <w:rPr>
                      <w:rFonts w:hint="default"/>
                      <w:color w:val="auto"/>
                      <w:sz w:val="21"/>
                      <w:szCs w:val="21"/>
                      <w:highlight w:val="none"/>
                      <w:lang w:val="en-US" w:eastAsia="zh-CN"/>
                    </w:rPr>
                  </w:pPr>
                  <w:r>
                    <w:rPr>
                      <w:rFonts w:hint="eastAsia"/>
                      <w:color w:val="auto"/>
                      <w:sz w:val="21"/>
                      <w:szCs w:val="21"/>
                      <w:highlight w:val="none"/>
                      <w:lang w:val="en-US" w:eastAsia="zh-CN"/>
                    </w:rPr>
                    <w:t>危废间</w:t>
                  </w:r>
                </w:p>
              </w:tc>
              <w:tc>
                <w:tcPr>
                  <w:tcW w:w="192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eastAsia" w:cs="Times New Roman"/>
                      <w:color w:val="auto"/>
                      <w:sz w:val="21"/>
                      <w:szCs w:val="21"/>
                      <w:highlight w:val="none"/>
                      <w:shd w:val="clear" w:color="auto" w:fill="auto"/>
                      <w:lang w:val="en-US" w:eastAsia="zh-CN"/>
                    </w:rPr>
                    <w:t>废润滑油</w:t>
                  </w:r>
                </w:p>
              </w:tc>
              <w:tc>
                <w:tcPr>
                  <w:tcW w:w="761"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HW08</w:t>
                  </w:r>
                </w:p>
              </w:tc>
              <w:tc>
                <w:tcPr>
                  <w:tcW w:w="1157"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900-217-08</w:t>
                  </w:r>
                </w:p>
              </w:tc>
              <w:tc>
                <w:tcPr>
                  <w:tcW w:w="676" w:type="dxa"/>
                  <w:vMerge w:val="restart"/>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textAlignment w:val="auto"/>
                    <w:rPr>
                      <w:rFonts w:hint="default"/>
                      <w:color w:val="auto"/>
                      <w:sz w:val="21"/>
                      <w:szCs w:val="21"/>
                      <w:highlight w:val="none"/>
                      <w:lang w:val="en-US" w:eastAsia="zh-CN"/>
                    </w:rPr>
                  </w:pPr>
                  <w:r>
                    <w:rPr>
                      <w:rFonts w:hint="eastAsia"/>
                      <w:color w:val="auto"/>
                      <w:sz w:val="21"/>
                      <w:szCs w:val="21"/>
                      <w:highlight w:val="none"/>
                      <w:lang w:val="en-US" w:eastAsia="zh-CN"/>
                    </w:rPr>
                    <w:t>生产车间生产区西北侧</w:t>
                  </w:r>
                </w:p>
              </w:tc>
              <w:tc>
                <w:tcPr>
                  <w:tcW w:w="638" w:type="dxa"/>
                  <w:vMerge w:val="restart"/>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firstLineChars="0"/>
                    <w:textAlignment w:val="auto"/>
                    <w:rPr>
                      <w:rFonts w:hint="default"/>
                      <w:color w:val="auto"/>
                      <w:sz w:val="21"/>
                      <w:szCs w:val="21"/>
                      <w:highlight w:val="none"/>
                      <w:lang w:val="en-US" w:eastAsia="zh-CN"/>
                    </w:rPr>
                  </w:pPr>
                  <w:r>
                    <w:rPr>
                      <w:rFonts w:hint="eastAsia"/>
                      <w:color w:val="auto"/>
                      <w:sz w:val="21"/>
                      <w:szCs w:val="21"/>
                      <w:highlight w:val="none"/>
                      <w:lang w:val="en-US" w:eastAsia="zh-CN"/>
                    </w:rPr>
                    <w:t>15m</w:t>
                  </w:r>
                  <w:r>
                    <w:rPr>
                      <w:rFonts w:hint="eastAsia"/>
                      <w:color w:val="auto"/>
                      <w:sz w:val="21"/>
                      <w:szCs w:val="21"/>
                      <w:highlight w:val="none"/>
                      <w:vertAlign w:val="superscript"/>
                      <w:lang w:val="en-US" w:eastAsia="zh-CN"/>
                    </w:rPr>
                    <w:t>2</w:t>
                  </w:r>
                </w:p>
              </w:tc>
              <w:tc>
                <w:tcPr>
                  <w:tcW w:w="1314"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shd w:val="clear" w:color="auto" w:fill="auto"/>
                      <w:lang w:val="en-US" w:eastAsia="zh-CN"/>
                    </w:rPr>
                    <w:t>桶装，</w:t>
                  </w:r>
                  <w:r>
                    <w:rPr>
                      <w:rFonts w:hint="eastAsia" w:ascii="Times New Roman" w:hAnsi="Times New Roman" w:eastAsia="宋体" w:cs="Times New Roman"/>
                      <w:color w:val="auto"/>
                      <w:sz w:val="21"/>
                      <w:szCs w:val="21"/>
                      <w:highlight w:val="none"/>
                      <w:shd w:val="clear" w:color="auto" w:fill="auto"/>
                      <w:lang w:val="en-US" w:eastAsia="zh-CN"/>
                    </w:rPr>
                    <w:t>加盖</w:t>
                  </w:r>
                </w:p>
              </w:tc>
              <w:tc>
                <w:tcPr>
                  <w:tcW w:w="6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半年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48" w:type="dxa"/>
                  <w:tcBorders>
                    <w:tl2br w:val="nil"/>
                    <w:tr2bl w:val="nil"/>
                  </w:tcBorders>
                  <w:noWrap w:val="0"/>
                  <w:vAlign w:val="center"/>
                </w:tcPr>
                <w:p>
                  <w:pPr>
                    <w:pStyle w:val="32"/>
                    <w:keepNext w:val="0"/>
                    <w:keepLines w:val="0"/>
                    <w:pageBreakBefore w:val="0"/>
                    <w:widowControl w:val="0"/>
                    <w:numPr>
                      <w:ilvl w:val="0"/>
                      <w:numId w:val="33"/>
                    </w:numPr>
                    <w:kinsoku/>
                    <w:wordWrap/>
                    <w:overflowPunct/>
                    <w:topLinePunct w:val="0"/>
                    <w:autoSpaceDE/>
                    <w:autoSpaceDN/>
                    <w:bidi w:val="0"/>
                    <w:adjustRightInd/>
                    <w:snapToGrid/>
                    <w:spacing w:before="0" w:after="0" w:line="240" w:lineRule="auto"/>
                    <w:ind w:left="0" w:leftChars="0" w:right="0" w:rightChars="0" w:firstLine="0" w:firstLineChars="0"/>
                    <w:textAlignment w:val="auto"/>
                    <w:rPr>
                      <w:rFonts w:hint="eastAsia"/>
                      <w:color w:val="auto"/>
                      <w:sz w:val="21"/>
                      <w:szCs w:val="21"/>
                      <w:highlight w:val="none"/>
                      <w:lang w:eastAsia="zh-CN"/>
                    </w:rPr>
                  </w:pPr>
                </w:p>
              </w:tc>
              <w:tc>
                <w:tcPr>
                  <w:tcW w:w="694" w:type="dxa"/>
                  <w:vMerge w:val="continue"/>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textAlignment w:val="auto"/>
                    <w:rPr>
                      <w:rFonts w:hint="eastAsia"/>
                      <w:color w:val="auto"/>
                      <w:sz w:val="21"/>
                      <w:szCs w:val="21"/>
                      <w:highlight w:val="none"/>
                      <w:lang w:val="en-US" w:eastAsia="zh-CN"/>
                    </w:rPr>
                  </w:pPr>
                </w:p>
              </w:tc>
              <w:tc>
                <w:tcPr>
                  <w:tcW w:w="192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废</w:t>
                  </w:r>
                  <w:r>
                    <w:rPr>
                      <w:rFonts w:hint="eastAsia" w:ascii="Times New Roman" w:hAnsi="Times New Roman" w:cs="Times New Roman"/>
                      <w:color w:val="auto"/>
                      <w:sz w:val="21"/>
                      <w:szCs w:val="21"/>
                      <w:highlight w:val="none"/>
                      <w:shd w:val="clear" w:color="auto" w:fill="auto"/>
                      <w:lang w:val="en-US" w:eastAsia="zh-CN"/>
                    </w:rPr>
                    <w:t>润滑</w:t>
                  </w:r>
                  <w:r>
                    <w:rPr>
                      <w:rFonts w:hint="eastAsia" w:ascii="Times New Roman" w:hAnsi="Times New Roman" w:eastAsia="宋体" w:cs="Times New Roman"/>
                      <w:color w:val="auto"/>
                      <w:sz w:val="21"/>
                      <w:szCs w:val="21"/>
                      <w:highlight w:val="none"/>
                      <w:shd w:val="clear" w:color="auto" w:fill="auto"/>
                      <w:lang w:val="en-US" w:eastAsia="zh-CN"/>
                    </w:rPr>
                    <w:t>油桶</w:t>
                  </w:r>
                </w:p>
              </w:tc>
              <w:tc>
                <w:tcPr>
                  <w:tcW w:w="761"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HW08</w:t>
                  </w:r>
                </w:p>
              </w:tc>
              <w:tc>
                <w:tcPr>
                  <w:tcW w:w="1157"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900-249-08</w:t>
                  </w:r>
                </w:p>
              </w:tc>
              <w:tc>
                <w:tcPr>
                  <w:tcW w:w="676" w:type="dxa"/>
                  <w:vMerge w:val="continue"/>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textAlignment w:val="auto"/>
                    <w:rPr>
                      <w:rFonts w:hint="eastAsia"/>
                      <w:color w:val="auto"/>
                      <w:sz w:val="21"/>
                      <w:szCs w:val="21"/>
                      <w:highlight w:val="none"/>
                      <w:lang w:val="en-US" w:eastAsia="zh-CN"/>
                    </w:rPr>
                  </w:pPr>
                </w:p>
              </w:tc>
              <w:tc>
                <w:tcPr>
                  <w:tcW w:w="638" w:type="dxa"/>
                  <w:vMerge w:val="continue"/>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firstLineChars="0"/>
                    <w:textAlignment w:val="auto"/>
                    <w:rPr>
                      <w:rFonts w:hint="eastAsia"/>
                      <w:color w:val="auto"/>
                      <w:sz w:val="21"/>
                      <w:szCs w:val="21"/>
                      <w:highlight w:val="none"/>
                      <w:lang w:val="en-US" w:eastAsia="zh-CN"/>
                    </w:rPr>
                  </w:pPr>
                </w:p>
              </w:tc>
              <w:tc>
                <w:tcPr>
                  <w:tcW w:w="1314"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加盖</w:t>
                  </w:r>
                </w:p>
              </w:tc>
              <w:tc>
                <w:tcPr>
                  <w:tcW w:w="6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半年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63" w:hRule="atLeast"/>
                <w:jc w:val="center"/>
              </w:trPr>
              <w:tc>
                <w:tcPr>
                  <w:tcW w:w="548" w:type="dxa"/>
                  <w:tcBorders>
                    <w:tl2br w:val="nil"/>
                    <w:tr2bl w:val="nil"/>
                  </w:tcBorders>
                  <w:noWrap w:val="0"/>
                  <w:vAlign w:val="center"/>
                </w:tcPr>
                <w:p>
                  <w:pPr>
                    <w:pStyle w:val="32"/>
                    <w:keepNext w:val="0"/>
                    <w:keepLines w:val="0"/>
                    <w:pageBreakBefore w:val="0"/>
                    <w:widowControl w:val="0"/>
                    <w:numPr>
                      <w:ilvl w:val="0"/>
                      <w:numId w:val="33"/>
                    </w:numPr>
                    <w:kinsoku/>
                    <w:wordWrap/>
                    <w:overflowPunct/>
                    <w:topLinePunct w:val="0"/>
                    <w:autoSpaceDE/>
                    <w:autoSpaceDN/>
                    <w:bidi w:val="0"/>
                    <w:adjustRightInd/>
                    <w:snapToGrid/>
                    <w:spacing w:before="0" w:after="0" w:line="240" w:lineRule="auto"/>
                    <w:ind w:left="0" w:leftChars="0" w:right="0" w:rightChars="0" w:firstLine="0" w:firstLineChars="0"/>
                    <w:textAlignment w:val="auto"/>
                    <w:rPr>
                      <w:rFonts w:hint="eastAsia"/>
                      <w:color w:val="auto"/>
                      <w:sz w:val="21"/>
                      <w:szCs w:val="21"/>
                      <w:highlight w:val="none"/>
                      <w:lang w:eastAsia="zh-CN"/>
                    </w:rPr>
                  </w:pPr>
                </w:p>
              </w:tc>
              <w:tc>
                <w:tcPr>
                  <w:tcW w:w="694" w:type="dxa"/>
                  <w:vMerge w:val="continue"/>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textAlignment w:val="auto"/>
                    <w:rPr>
                      <w:rFonts w:hint="eastAsia"/>
                      <w:color w:val="auto"/>
                      <w:sz w:val="21"/>
                      <w:szCs w:val="21"/>
                      <w:highlight w:val="none"/>
                      <w:lang w:val="en-US" w:eastAsia="zh-CN"/>
                    </w:rPr>
                  </w:pPr>
                </w:p>
              </w:tc>
              <w:tc>
                <w:tcPr>
                  <w:tcW w:w="192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废包装桶（导电浆料配制原料包装桶）</w:t>
                  </w:r>
                </w:p>
              </w:tc>
              <w:tc>
                <w:tcPr>
                  <w:tcW w:w="761"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HW49</w:t>
                  </w:r>
                </w:p>
              </w:tc>
              <w:tc>
                <w:tcPr>
                  <w:tcW w:w="1157"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900-041-49</w:t>
                  </w:r>
                </w:p>
              </w:tc>
              <w:tc>
                <w:tcPr>
                  <w:tcW w:w="676" w:type="dxa"/>
                  <w:vMerge w:val="continue"/>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textAlignment w:val="auto"/>
                    <w:rPr>
                      <w:rFonts w:hint="eastAsia"/>
                      <w:color w:val="auto"/>
                      <w:sz w:val="21"/>
                      <w:szCs w:val="21"/>
                      <w:highlight w:val="none"/>
                      <w:lang w:val="en-US" w:eastAsia="zh-CN"/>
                    </w:rPr>
                  </w:pPr>
                </w:p>
              </w:tc>
              <w:tc>
                <w:tcPr>
                  <w:tcW w:w="638" w:type="dxa"/>
                  <w:vMerge w:val="continue"/>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firstLineChars="0"/>
                    <w:textAlignment w:val="auto"/>
                    <w:rPr>
                      <w:rFonts w:hint="eastAsia"/>
                      <w:color w:val="auto"/>
                      <w:sz w:val="21"/>
                      <w:szCs w:val="21"/>
                      <w:highlight w:val="none"/>
                      <w:lang w:val="en-US" w:eastAsia="zh-CN"/>
                    </w:rPr>
                  </w:pPr>
                </w:p>
              </w:tc>
              <w:tc>
                <w:tcPr>
                  <w:tcW w:w="1314"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firstLineChars="0"/>
                    <w:textAlignment w:val="auto"/>
                    <w:rPr>
                      <w:rFonts w:hint="default"/>
                      <w:color w:val="auto"/>
                      <w:sz w:val="21"/>
                      <w:szCs w:val="21"/>
                      <w:highlight w:val="none"/>
                      <w:lang w:val="en-US" w:eastAsia="zh-CN"/>
                    </w:rPr>
                  </w:pPr>
                  <w:r>
                    <w:rPr>
                      <w:rFonts w:hint="eastAsia" w:cs="Times New Roman"/>
                      <w:color w:val="auto"/>
                      <w:kern w:val="2"/>
                      <w:sz w:val="21"/>
                      <w:szCs w:val="21"/>
                      <w:highlight w:val="none"/>
                      <w:lang w:val="en-US" w:eastAsia="zh-CN" w:bidi="ar-SA"/>
                    </w:rPr>
                    <w:t>加盖</w:t>
                  </w:r>
                </w:p>
              </w:tc>
              <w:tc>
                <w:tcPr>
                  <w:tcW w:w="6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olor w:val="auto"/>
                      <w:sz w:val="21"/>
                      <w:szCs w:val="21"/>
                      <w:highlight w:val="none"/>
                      <w:lang w:val="en-US" w:eastAsia="zh-CN"/>
                    </w:rPr>
                  </w:pPr>
                  <w:r>
                    <w:rPr>
                      <w:rFonts w:hint="eastAsia" w:cs="Times New Roman"/>
                      <w:color w:val="auto"/>
                      <w:kern w:val="2"/>
                      <w:sz w:val="21"/>
                      <w:szCs w:val="21"/>
                      <w:highlight w:val="none"/>
                      <w:lang w:val="en-US" w:eastAsia="zh-CN" w:bidi="ar-SA"/>
                    </w:rPr>
                    <w:t>半年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06" w:hRule="atLeast"/>
                <w:jc w:val="center"/>
              </w:trPr>
              <w:tc>
                <w:tcPr>
                  <w:tcW w:w="548" w:type="dxa"/>
                  <w:tcBorders>
                    <w:tl2br w:val="nil"/>
                    <w:tr2bl w:val="nil"/>
                  </w:tcBorders>
                  <w:noWrap w:val="0"/>
                  <w:vAlign w:val="center"/>
                </w:tcPr>
                <w:p>
                  <w:pPr>
                    <w:pStyle w:val="32"/>
                    <w:keepNext w:val="0"/>
                    <w:keepLines w:val="0"/>
                    <w:pageBreakBefore w:val="0"/>
                    <w:widowControl w:val="0"/>
                    <w:numPr>
                      <w:ilvl w:val="0"/>
                      <w:numId w:val="33"/>
                    </w:numPr>
                    <w:kinsoku/>
                    <w:wordWrap/>
                    <w:overflowPunct/>
                    <w:topLinePunct w:val="0"/>
                    <w:autoSpaceDE/>
                    <w:autoSpaceDN/>
                    <w:bidi w:val="0"/>
                    <w:adjustRightInd/>
                    <w:snapToGrid/>
                    <w:spacing w:before="0" w:after="0" w:line="240" w:lineRule="auto"/>
                    <w:ind w:left="0" w:leftChars="0" w:right="0" w:rightChars="0" w:firstLine="0" w:firstLineChars="0"/>
                    <w:textAlignment w:val="auto"/>
                    <w:rPr>
                      <w:rFonts w:hint="eastAsia"/>
                      <w:color w:val="auto"/>
                      <w:sz w:val="21"/>
                      <w:szCs w:val="21"/>
                      <w:highlight w:val="none"/>
                      <w:lang w:eastAsia="zh-CN"/>
                    </w:rPr>
                  </w:pPr>
                </w:p>
              </w:tc>
              <w:tc>
                <w:tcPr>
                  <w:tcW w:w="694" w:type="dxa"/>
                  <w:vMerge w:val="continue"/>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textAlignment w:val="auto"/>
                    <w:rPr>
                      <w:rFonts w:hint="eastAsia"/>
                      <w:color w:val="auto"/>
                      <w:sz w:val="21"/>
                      <w:szCs w:val="21"/>
                      <w:highlight w:val="none"/>
                      <w:lang w:val="en-US" w:eastAsia="zh-CN"/>
                    </w:rPr>
                  </w:pPr>
                </w:p>
              </w:tc>
              <w:tc>
                <w:tcPr>
                  <w:tcW w:w="192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喷淋废水</w:t>
                  </w:r>
                </w:p>
              </w:tc>
              <w:tc>
                <w:tcPr>
                  <w:tcW w:w="761"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HW34</w:t>
                  </w:r>
                </w:p>
              </w:tc>
              <w:tc>
                <w:tcPr>
                  <w:tcW w:w="1157"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900-249-34</w:t>
                  </w:r>
                </w:p>
              </w:tc>
              <w:tc>
                <w:tcPr>
                  <w:tcW w:w="676" w:type="dxa"/>
                  <w:vMerge w:val="continue"/>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textAlignment w:val="auto"/>
                    <w:rPr>
                      <w:rFonts w:hint="eastAsia"/>
                      <w:color w:val="auto"/>
                      <w:sz w:val="21"/>
                      <w:szCs w:val="21"/>
                      <w:highlight w:val="none"/>
                      <w:lang w:val="en-US" w:eastAsia="zh-CN"/>
                    </w:rPr>
                  </w:pPr>
                </w:p>
              </w:tc>
              <w:tc>
                <w:tcPr>
                  <w:tcW w:w="638" w:type="dxa"/>
                  <w:vMerge w:val="continue"/>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firstLineChars="0"/>
                    <w:textAlignment w:val="auto"/>
                    <w:rPr>
                      <w:rFonts w:hint="eastAsia"/>
                      <w:color w:val="auto"/>
                      <w:sz w:val="21"/>
                      <w:szCs w:val="21"/>
                      <w:highlight w:val="none"/>
                      <w:lang w:val="en-US" w:eastAsia="zh-CN"/>
                    </w:rPr>
                  </w:pPr>
                </w:p>
              </w:tc>
              <w:tc>
                <w:tcPr>
                  <w:tcW w:w="1314"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firstLineChars="0"/>
                    <w:textAlignment w:val="auto"/>
                    <w:rPr>
                      <w:rFonts w:hint="default"/>
                      <w:color w:val="auto"/>
                      <w:sz w:val="21"/>
                      <w:szCs w:val="21"/>
                      <w:highlight w:val="none"/>
                      <w:lang w:val="en-US" w:eastAsia="zh-CN"/>
                    </w:rPr>
                  </w:pPr>
                  <w:r>
                    <w:rPr>
                      <w:rFonts w:hint="eastAsia" w:cs="Times New Roman"/>
                      <w:color w:val="auto"/>
                      <w:sz w:val="21"/>
                      <w:szCs w:val="21"/>
                      <w:highlight w:val="none"/>
                      <w:shd w:val="clear" w:color="auto" w:fill="auto"/>
                      <w:lang w:val="en-US" w:eastAsia="zh-CN"/>
                    </w:rPr>
                    <w:t>耐腐蚀防渗漏的容器储存</w:t>
                  </w:r>
                </w:p>
              </w:tc>
              <w:tc>
                <w:tcPr>
                  <w:tcW w:w="6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olor w:val="auto"/>
                      <w:sz w:val="21"/>
                      <w:szCs w:val="21"/>
                      <w:highlight w:val="none"/>
                      <w:lang w:val="en-US" w:eastAsia="zh-CN"/>
                    </w:rPr>
                  </w:pPr>
                  <w:r>
                    <w:rPr>
                      <w:rFonts w:hint="eastAsia" w:cs="Times New Roman"/>
                      <w:color w:val="auto"/>
                      <w:kern w:val="2"/>
                      <w:sz w:val="21"/>
                      <w:szCs w:val="21"/>
                      <w:highlight w:val="none"/>
                      <w:lang w:val="en-US" w:eastAsia="zh-CN" w:bidi="ar-SA"/>
                    </w:rPr>
                    <w:t>半年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8" w:hRule="atLeast"/>
                <w:jc w:val="center"/>
              </w:trPr>
              <w:tc>
                <w:tcPr>
                  <w:tcW w:w="548" w:type="dxa"/>
                  <w:tcBorders>
                    <w:tl2br w:val="nil"/>
                    <w:tr2bl w:val="nil"/>
                  </w:tcBorders>
                  <w:noWrap w:val="0"/>
                  <w:vAlign w:val="center"/>
                </w:tcPr>
                <w:p>
                  <w:pPr>
                    <w:pStyle w:val="32"/>
                    <w:keepNext w:val="0"/>
                    <w:keepLines w:val="0"/>
                    <w:pageBreakBefore w:val="0"/>
                    <w:widowControl w:val="0"/>
                    <w:numPr>
                      <w:ilvl w:val="0"/>
                      <w:numId w:val="33"/>
                    </w:numPr>
                    <w:kinsoku/>
                    <w:wordWrap/>
                    <w:overflowPunct/>
                    <w:topLinePunct w:val="0"/>
                    <w:autoSpaceDE/>
                    <w:autoSpaceDN/>
                    <w:bidi w:val="0"/>
                    <w:adjustRightInd/>
                    <w:snapToGrid/>
                    <w:spacing w:before="0" w:after="0" w:line="240" w:lineRule="auto"/>
                    <w:ind w:left="0" w:leftChars="0" w:right="0" w:rightChars="0" w:firstLine="0" w:firstLineChars="0"/>
                    <w:textAlignment w:val="auto"/>
                    <w:rPr>
                      <w:rFonts w:hint="eastAsia"/>
                      <w:color w:val="auto"/>
                      <w:sz w:val="21"/>
                      <w:szCs w:val="21"/>
                      <w:highlight w:val="none"/>
                      <w:lang w:eastAsia="zh-CN"/>
                    </w:rPr>
                  </w:pPr>
                </w:p>
              </w:tc>
              <w:tc>
                <w:tcPr>
                  <w:tcW w:w="694" w:type="dxa"/>
                  <w:vMerge w:val="continue"/>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textAlignment w:val="auto"/>
                    <w:rPr>
                      <w:rFonts w:hint="eastAsia"/>
                      <w:color w:val="auto"/>
                      <w:sz w:val="21"/>
                      <w:szCs w:val="21"/>
                      <w:highlight w:val="none"/>
                      <w:lang w:val="en-US" w:eastAsia="zh-CN"/>
                    </w:rPr>
                  </w:pPr>
                </w:p>
              </w:tc>
              <w:tc>
                <w:tcPr>
                  <w:tcW w:w="192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镀膜液包装桶</w:t>
                  </w:r>
                </w:p>
              </w:tc>
              <w:tc>
                <w:tcPr>
                  <w:tcW w:w="761"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HW49</w:t>
                  </w:r>
                </w:p>
              </w:tc>
              <w:tc>
                <w:tcPr>
                  <w:tcW w:w="1157"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900-041-49</w:t>
                  </w:r>
                </w:p>
              </w:tc>
              <w:tc>
                <w:tcPr>
                  <w:tcW w:w="676" w:type="dxa"/>
                  <w:vMerge w:val="continue"/>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textAlignment w:val="auto"/>
                    <w:rPr>
                      <w:rFonts w:hint="eastAsia"/>
                      <w:color w:val="auto"/>
                      <w:sz w:val="21"/>
                      <w:szCs w:val="21"/>
                      <w:highlight w:val="none"/>
                      <w:lang w:val="en-US" w:eastAsia="zh-CN"/>
                    </w:rPr>
                  </w:pPr>
                </w:p>
              </w:tc>
              <w:tc>
                <w:tcPr>
                  <w:tcW w:w="638" w:type="dxa"/>
                  <w:vMerge w:val="continue"/>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firstLineChars="0"/>
                    <w:textAlignment w:val="auto"/>
                    <w:rPr>
                      <w:rFonts w:hint="eastAsia"/>
                      <w:color w:val="auto"/>
                      <w:sz w:val="21"/>
                      <w:szCs w:val="21"/>
                      <w:highlight w:val="none"/>
                      <w:lang w:val="en-US" w:eastAsia="zh-CN"/>
                    </w:rPr>
                  </w:pPr>
                </w:p>
              </w:tc>
              <w:tc>
                <w:tcPr>
                  <w:tcW w:w="1314"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firstLineChars="0"/>
                    <w:textAlignment w:val="auto"/>
                    <w:rPr>
                      <w:rFonts w:hint="eastAsia"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kern w:val="2"/>
                      <w:sz w:val="21"/>
                      <w:szCs w:val="21"/>
                      <w:highlight w:val="none"/>
                      <w:lang w:val="en-US" w:eastAsia="zh-CN" w:bidi="ar-SA"/>
                    </w:rPr>
                    <w:t>加盖</w:t>
                  </w:r>
                </w:p>
              </w:tc>
              <w:tc>
                <w:tcPr>
                  <w:tcW w:w="6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半年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8" w:hRule="atLeast"/>
                <w:jc w:val="center"/>
              </w:trPr>
              <w:tc>
                <w:tcPr>
                  <w:tcW w:w="548" w:type="dxa"/>
                  <w:tcBorders>
                    <w:tl2br w:val="nil"/>
                    <w:tr2bl w:val="nil"/>
                  </w:tcBorders>
                  <w:noWrap w:val="0"/>
                  <w:vAlign w:val="center"/>
                </w:tcPr>
                <w:p>
                  <w:pPr>
                    <w:pStyle w:val="32"/>
                    <w:keepNext w:val="0"/>
                    <w:keepLines w:val="0"/>
                    <w:pageBreakBefore w:val="0"/>
                    <w:widowControl w:val="0"/>
                    <w:numPr>
                      <w:ilvl w:val="0"/>
                      <w:numId w:val="33"/>
                    </w:numPr>
                    <w:kinsoku/>
                    <w:wordWrap/>
                    <w:overflowPunct/>
                    <w:topLinePunct w:val="0"/>
                    <w:autoSpaceDE/>
                    <w:autoSpaceDN/>
                    <w:bidi w:val="0"/>
                    <w:adjustRightInd/>
                    <w:snapToGrid/>
                    <w:spacing w:before="0" w:after="0" w:line="240" w:lineRule="auto"/>
                    <w:ind w:left="0" w:leftChars="0" w:right="0" w:rightChars="0" w:firstLine="0" w:firstLineChars="0"/>
                    <w:textAlignment w:val="auto"/>
                    <w:rPr>
                      <w:rFonts w:hint="eastAsia"/>
                      <w:color w:val="auto"/>
                      <w:sz w:val="21"/>
                      <w:szCs w:val="21"/>
                      <w:highlight w:val="none"/>
                      <w:lang w:eastAsia="zh-CN"/>
                    </w:rPr>
                  </w:pPr>
                </w:p>
              </w:tc>
              <w:tc>
                <w:tcPr>
                  <w:tcW w:w="694" w:type="dxa"/>
                  <w:vMerge w:val="continue"/>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textAlignment w:val="auto"/>
                    <w:rPr>
                      <w:rFonts w:hint="eastAsia"/>
                      <w:color w:val="auto"/>
                      <w:sz w:val="21"/>
                      <w:szCs w:val="21"/>
                      <w:highlight w:val="none"/>
                      <w:lang w:val="en-US" w:eastAsia="zh-CN"/>
                    </w:rPr>
                  </w:pPr>
                </w:p>
              </w:tc>
              <w:tc>
                <w:tcPr>
                  <w:tcW w:w="192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电极银浆包装罐</w:t>
                  </w:r>
                </w:p>
              </w:tc>
              <w:tc>
                <w:tcPr>
                  <w:tcW w:w="761"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HW49</w:t>
                  </w:r>
                </w:p>
              </w:tc>
              <w:tc>
                <w:tcPr>
                  <w:tcW w:w="1157"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900-041-49</w:t>
                  </w:r>
                </w:p>
              </w:tc>
              <w:tc>
                <w:tcPr>
                  <w:tcW w:w="676" w:type="dxa"/>
                  <w:vMerge w:val="continue"/>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textAlignment w:val="auto"/>
                    <w:rPr>
                      <w:rFonts w:hint="eastAsia"/>
                      <w:color w:val="auto"/>
                      <w:sz w:val="21"/>
                      <w:szCs w:val="21"/>
                      <w:highlight w:val="none"/>
                      <w:lang w:val="en-US" w:eastAsia="zh-CN"/>
                    </w:rPr>
                  </w:pPr>
                </w:p>
              </w:tc>
              <w:tc>
                <w:tcPr>
                  <w:tcW w:w="638" w:type="dxa"/>
                  <w:vMerge w:val="continue"/>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firstLineChars="0"/>
                    <w:textAlignment w:val="auto"/>
                    <w:rPr>
                      <w:rFonts w:hint="eastAsia"/>
                      <w:color w:val="auto"/>
                      <w:sz w:val="21"/>
                      <w:szCs w:val="21"/>
                      <w:highlight w:val="none"/>
                      <w:lang w:val="en-US" w:eastAsia="zh-CN"/>
                    </w:rPr>
                  </w:pPr>
                </w:p>
              </w:tc>
              <w:tc>
                <w:tcPr>
                  <w:tcW w:w="1314" w:type="dxa"/>
                  <w:tcBorders>
                    <w:tl2br w:val="nil"/>
                    <w:tr2bl w:val="nil"/>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firstLineChars="0"/>
                    <w:textAlignment w:val="auto"/>
                    <w:rPr>
                      <w:rFonts w:hint="eastAsia"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kern w:val="2"/>
                      <w:sz w:val="21"/>
                      <w:szCs w:val="21"/>
                      <w:highlight w:val="none"/>
                      <w:lang w:val="en-US" w:eastAsia="zh-CN" w:bidi="ar-SA"/>
                    </w:rPr>
                    <w:t>加盖</w:t>
                  </w:r>
                </w:p>
              </w:tc>
              <w:tc>
                <w:tcPr>
                  <w:tcW w:w="6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半年</w:t>
                  </w:r>
                </w:p>
              </w:tc>
            </w:tr>
          </w:tbl>
          <w:p>
            <w:pPr>
              <w:bidi w:val="0"/>
              <w:rPr>
                <w:rFonts w:hint="default"/>
                <w:color w:val="auto"/>
                <w:highlight w:val="none"/>
              </w:rPr>
            </w:pPr>
            <w:r>
              <w:rPr>
                <w:rFonts w:hint="eastAsia"/>
                <w:color w:val="auto"/>
                <w:highlight w:val="none"/>
                <w:lang w:val="en-US" w:eastAsia="zh-CN"/>
              </w:rPr>
              <w:t>4.2.2.3</w:t>
            </w:r>
            <w:r>
              <w:rPr>
                <w:rFonts w:hint="default"/>
                <w:color w:val="auto"/>
                <w:highlight w:val="none"/>
              </w:rPr>
              <w:t xml:space="preserve">危险废物运输 </w:t>
            </w:r>
          </w:p>
          <w:p>
            <w:pPr>
              <w:bidi w:val="0"/>
              <w:rPr>
                <w:rFonts w:hint="default"/>
                <w:color w:val="auto"/>
                <w:highlight w:val="none"/>
              </w:rPr>
            </w:pPr>
            <w:r>
              <w:rPr>
                <w:rFonts w:hint="default"/>
                <w:color w:val="auto"/>
                <w:highlight w:val="none"/>
              </w:rPr>
              <w:t xml:space="preserve">本项目产生的危险废物按照《危险废物收集、贮存、运输技术规范》 （HJ2025-2012）相关要求进行运输，并按要求填写危险废物的收集记录、厂内转运记录表，并将记录表作为危险废物管理的重要档案妥善保存。 </w:t>
            </w:r>
          </w:p>
          <w:p>
            <w:pPr>
              <w:bidi w:val="0"/>
              <w:rPr>
                <w:rFonts w:hint="default"/>
                <w:color w:val="auto"/>
                <w:highlight w:val="none"/>
              </w:rPr>
            </w:pPr>
            <w:r>
              <w:rPr>
                <w:rFonts w:hint="default"/>
                <w:color w:val="auto"/>
                <w:highlight w:val="none"/>
              </w:rPr>
              <w:t xml:space="preserve">a、运输承运危险废物时，应按照相关标准要求在危险废物包装上设置标志。 </w:t>
            </w:r>
          </w:p>
          <w:p>
            <w:pPr>
              <w:bidi w:val="0"/>
              <w:rPr>
                <w:rFonts w:hint="default"/>
                <w:color w:val="auto"/>
                <w:highlight w:val="none"/>
              </w:rPr>
            </w:pPr>
            <w:r>
              <w:rPr>
                <w:rFonts w:hint="default"/>
                <w:color w:val="auto"/>
                <w:highlight w:val="none"/>
              </w:rPr>
              <w:t xml:space="preserve">b、所有运输车辆按规定的路线运输。 </w:t>
            </w:r>
          </w:p>
          <w:p>
            <w:pPr>
              <w:bidi w:val="0"/>
              <w:rPr>
                <w:rFonts w:hint="default"/>
                <w:color w:val="auto"/>
                <w:highlight w:val="none"/>
              </w:rPr>
            </w:pPr>
            <w:r>
              <w:rPr>
                <w:rFonts w:hint="default"/>
                <w:color w:val="auto"/>
                <w:highlight w:val="none"/>
              </w:rPr>
              <w:t xml:space="preserve">c、运输过程中危险废物应放置在密闭容器中，且运输设施应为封闭结构，具有防臭防遗撒功能，安装行驶及装卸记录仪。 </w:t>
            </w:r>
          </w:p>
          <w:p>
            <w:pPr>
              <w:bidi w:val="0"/>
              <w:rPr>
                <w:rFonts w:hint="default"/>
                <w:color w:val="auto"/>
                <w:highlight w:val="none"/>
              </w:rPr>
            </w:pPr>
            <w:r>
              <w:rPr>
                <w:rFonts w:hint="default"/>
                <w:color w:val="auto"/>
                <w:highlight w:val="none"/>
              </w:rPr>
              <w:t xml:space="preserve">d、危险废物内部转运作业应采用专用的工具，危险废物内部转运应按照标准要求填写《危险废物厂内转运记录表》。 </w:t>
            </w:r>
          </w:p>
          <w:p>
            <w:pPr>
              <w:bidi w:val="0"/>
              <w:rPr>
                <w:rFonts w:hint="default"/>
                <w:color w:val="auto"/>
                <w:highlight w:val="none"/>
              </w:rPr>
            </w:pPr>
            <w:r>
              <w:rPr>
                <w:rFonts w:hint="default"/>
                <w:color w:val="auto"/>
                <w:highlight w:val="none"/>
              </w:rPr>
              <w:t>e、危险废物内部转运结束后，应对转运路线进行检查和清理，</w:t>
            </w:r>
            <w:r>
              <w:rPr>
                <w:rFonts w:hint="eastAsia"/>
                <w:color w:val="auto"/>
                <w:highlight w:val="none"/>
                <w:lang w:val="en-US" w:eastAsia="zh-CN"/>
              </w:rPr>
              <w:t>确保</w:t>
            </w:r>
            <w:r>
              <w:rPr>
                <w:rFonts w:hint="default"/>
                <w:color w:val="auto"/>
                <w:highlight w:val="none"/>
              </w:rPr>
              <w:t>无危险废物遗失在转运路线上。</w:t>
            </w:r>
          </w:p>
          <w:p>
            <w:pPr>
              <w:bidi w:val="0"/>
              <w:rPr>
                <w:rFonts w:hint="default"/>
                <w:color w:val="auto"/>
                <w:highlight w:val="none"/>
              </w:rPr>
            </w:pPr>
            <w:r>
              <w:rPr>
                <w:rFonts w:hint="eastAsia"/>
                <w:color w:val="auto"/>
                <w:highlight w:val="none"/>
                <w:lang w:eastAsia="zh-CN"/>
              </w:rPr>
              <w:t>（</w:t>
            </w:r>
            <w:r>
              <w:rPr>
                <w:rFonts w:hint="eastAsia"/>
                <w:color w:val="auto"/>
                <w:highlight w:val="none"/>
                <w:lang w:val="en-US" w:eastAsia="zh-CN"/>
              </w:rPr>
              <w:t>4</w:t>
            </w:r>
            <w:r>
              <w:rPr>
                <w:rFonts w:hint="eastAsia"/>
                <w:color w:val="auto"/>
                <w:highlight w:val="none"/>
                <w:lang w:eastAsia="zh-CN"/>
              </w:rPr>
              <w:t>）</w:t>
            </w:r>
            <w:r>
              <w:rPr>
                <w:rFonts w:hint="default"/>
                <w:color w:val="auto"/>
                <w:highlight w:val="none"/>
              </w:rPr>
              <w:t xml:space="preserve">危险废物处置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default"/>
                <w:color w:val="auto"/>
                <w:sz w:val="24"/>
                <w:szCs w:val="24"/>
                <w:highlight w:val="none"/>
              </w:rPr>
            </w:pPr>
            <w:r>
              <w:rPr>
                <w:rFonts w:hint="default"/>
                <w:color w:val="auto"/>
                <w:sz w:val="24"/>
                <w:szCs w:val="24"/>
                <w:highlight w:val="none"/>
              </w:rPr>
              <w:t>本项目</w:t>
            </w:r>
            <w:r>
              <w:rPr>
                <w:rFonts w:hint="eastAsia"/>
                <w:color w:val="auto"/>
                <w:sz w:val="24"/>
                <w:szCs w:val="24"/>
                <w:highlight w:val="none"/>
                <w:lang w:val="en-US" w:eastAsia="zh-CN"/>
              </w:rPr>
              <w:t>产生的危险废物均</w:t>
            </w:r>
            <w:r>
              <w:rPr>
                <w:rFonts w:hint="default"/>
                <w:color w:val="auto"/>
                <w:sz w:val="24"/>
                <w:szCs w:val="24"/>
                <w:highlight w:val="none"/>
              </w:rPr>
              <w:t>委托有资质的危险废物处置单位进行处理。</w:t>
            </w:r>
          </w:p>
          <w:p>
            <w:pPr>
              <w:keepNext w:val="0"/>
              <w:keepLines w:val="0"/>
              <w:pageBreakBefore w:val="0"/>
              <w:widowControl w:val="0"/>
              <w:kinsoku/>
              <w:wordWrap/>
              <w:overflowPunct/>
              <w:topLinePunct w:val="0"/>
              <w:autoSpaceDE/>
              <w:autoSpaceDN/>
              <w:bidi w:val="0"/>
              <w:adjustRightInd/>
              <w:snapToGrid/>
              <w:spacing w:line="480" w:lineRule="exact"/>
              <w:ind w:left="0" w:firstLine="482" w:firstLineChars="200"/>
              <w:textAlignment w:val="auto"/>
              <w:outlineLvl w:val="9"/>
              <w:rPr>
                <w:rFonts w:hint="eastAsia" w:ascii="Times New Roman" w:hAnsi="Times New Roman" w:eastAsia="宋体" w:cs="Times New Roman"/>
                <w:b/>
                <w:bCs/>
                <w:color w:val="auto"/>
                <w:sz w:val="24"/>
                <w:szCs w:val="21"/>
                <w:highlight w:val="none"/>
                <w:shd w:val="clear" w:color="auto" w:fill="auto"/>
                <w:lang w:val="en-US" w:eastAsia="zh-CN"/>
              </w:rPr>
            </w:pPr>
            <w:r>
              <w:rPr>
                <w:rFonts w:hint="eastAsia" w:ascii="Times New Roman" w:hAnsi="Times New Roman" w:eastAsia="宋体" w:cs="Times New Roman"/>
                <w:b/>
                <w:bCs/>
                <w:color w:val="auto"/>
                <w:sz w:val="24"/>
                <w:szCs w:val="21"/>
                <w:highlight w:val="none"/>
                <w:shd w:val="clear" w:color="auto" w:fill="auto"/>
                <w:lang w:val="en-US" w:eastAsia="zh-CN"/>
              </w:rPr>
              <w:t>4.</w:t>
            </w:r>
            <w:r>
              <w:rPr>
                <w:rFonts w:hint="eastAsia" w:cs="Times New Roman"/>
                <w:b/>
                <w:bCs/>
                <w:color w:val="auto"/>
                <w:sz w:val="24"/>
                <w:szCs w:val="21"/>
                <w:highlight w:val="none"/>
                <w:shd w:val="clear" w:color="auto" w:fill="auto"/>
                <w:lang w:val="en-US" w:eastAsia="zh-CN"/>
              </w:rPr>
              <w:t>3</w:t>
            </w:r>
            <w:r>
              <w:rPr>
                <w:rFonts w:hint="eastAsia" w:ascii="Times New Roman" w:hAnsi="Times New Roman" w:eastAsia="宋体" w:cs="Times New Roman"/>
                <w:b/>
                <w:bCs/>
                <w:color w:val="auto"/>
                <w:sz w:val="24"/>
                <w:szCs w:val="21"/>
                <w:highlight w:val="none"/>
                <w:shd w:val="clear" w:color="auto" w:fill="auto"/>
                <w:lang w:val="en-US" w:eastAsia="zh-CN"/>
              </w:rPr>
              <w:t>固体废物影响评价结论</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default"/>
                <w:color w:val="auto"/>
                <w:sz w:val="24"/>
                <w:szCs w:val="24"/>
                <w:highlight w:val="none"/>
              </w:rPr>
            </w:pPr>
            <w:r>
              <w:rPr>
                <w:rFonts w:hint="eastAsia"/>
                <w:color w:val="auto"/>
                <w:highlight w:val="none"/>
                <w:lang w:val="en-US" w:eastAsia="zh-CN"/>
              </w:rPr>
              <w:t>采取本项目提出的固体废物处置措施，各固体废物均得到合理处理处置，不会对环境造成二次污染。</w:t>
            </w:r>
          </w:p>
          <w:p>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textAlignment w:val="auto"/>
              <w:rPr>
                <w:rFonts w:hint="default"/>
                <w:b/>
                <w:bCs/>
                <w:color w:val="auto"/>
                <w:highlight w:val="none"/>
                <w:lang w:val="en-US" w:eastAsia="zh-CN"/>
              </w:rPr>
            </w:pPr>
            <w:r>
              <w:rPr>
                <w:rFonts w:hint="eastAsia"/>
                <w:b/>
                <w:bCs/>
                <w:color w:val="auto"/>
                <w:highlight w:val="none"/>
                <w:lang w:val="en-US" w:eastAsia="zh-CN"/>
              </w:rPr>
              <w:t>5、地下水、土壤</w:t>
            </w:r>
          </w:p>
          <w:p>
            <w:pPr>
              <w:bidi w:val="0"/>
              <w:rPr>
                <w:rFonts w:hint="eastAsia" w:ascii="Times New Roman" w:hAnsi="Times New Roman" w:eastAsia="宋体" w:cs="Times New Roman"/>
                <w:color w:val="auto"/>
                <w:sz w:val="24"/>
                <w:szCs w:val="21"/>
                <w:highlight w:val="none"/>
                <w:shd w:val="clear" w:color="auto" w:fill="auto"/>
                <w:lang w:eastAsia="zh-CN"/>
              </w:rPr>
            </w:pPr>
            <w:r>
              <w:rPr>
                <w:rFonts w:hint="eastAsia" w:ascii="Times New Roman" w:hAnsi="Times New Roman" w:eastAsia="宋体" w:cs="Times New Roman"/>
                <w:color w:val="auto"/>
                <w:sz w:val="24"/>
                <w:szCs w:val="21"/>
                <w:highlight w:val="none"/>
                <w:shd w:val="clear" w:color="auto" w:fill="auto"/>
                <w:lang w:eastAsia="zh-CN"/>
              </w:rPr>
              <w:t>本项目生产过程产生的废气</w:t>
            </w:r>
            <w:r>
              <w:rPr>
                <w:rFonts w:hint="eastAsia" w:ascii="Times New Roman" w:hAnsi="Times New Roman" w:eastAsia="宋体" w:cs="Times New Roman"/>
                <w:color w:val="auto"/>
                <w:sz w:val="24"/>
                <w:szCs w:val="21"/>
                <w:highlight w:val="none"/>
                <w:shd w:val="clear" w:color="auto" w:fill="auto"/>
                <w:lang w:val="en-US" w:eastAsia="zh-CN"/>
              </w:rPr>
              <w:t>主要</w:t>
            </w:r>
            <w:r>
              <w:rPr>
                <w:rFonts w:hint="eastAsia" w:ascii="Times New Roman" w:hAnsi="Times New Roman" w:eastAsia="宋体" w:cs="Times New Roman"/>
                <w:color w:val="auto"/>
                <w:sz w:val="24"/>
                <w:szCs w:val="21"/>
                <w:highlight w:val="none"/>
                <w:shd w:val="clear" w:color="auto" w:fill="auto"/>
                <w:lang w:eastAsia="zh-CN"/>
              </w:rPr>
              <w:t>为</w:t>
            </w:r>
            <w:r>
              <w:rPr>
                <w:rFonts w:hint="eastAsia" w:cs="Times New Roman"/>
                <w:color w:val="auto"/>
                <w:sz w:val="24"/>
                <w:szCs w:val="21"/>
                <w:highlight w:val="none"/>
                <w:shd w:val="clear" w:color="auto" w:fill="auto"/>
                <w:lang w:val="en-US" w:eastAsia="zh-CN"/>
              </w:rPr>
              <w:t>非甲烷总烃、氯化氢，</w:t>
            </w:r>
            <w:r>
              <w:rPr>
                <w:rFonts w:hint="eastAsia" w:ascii="Times New Roman" w:hAnsi="Times New Roman" w:eastAsia="宋体" w:cs="Times New Roman"/>
                <w:color w:val="auto"/>
                <w:sz w:val="24"/>
                <w:szCs w:val="21"/>
                <w:highlight w:val="none"/>
                <w:shd w:val="clear" w:color="auto" w:fill="auto"/>
                <w:lang w:eastAsia="zh-CN"/>
              </w:rPr>
              <w:t>排放量较少，</w:t>
            </w:r>
            <w:r>
              <w:rPr>
                <w:rFonts w:hint="eastAsia" w:cs="Times New Roman"/>
                <w:color w:val="auto"/>
                <w:sz w:val="24"/>
                <w:szCs w:val="21"/>
                <w:highlight w:val="none"/>
                <w:shd w:val="clear" w:color="auto" w:fill="auto"/>
                <w:lang w:val="en-US" w:eastAsia="zh-CN"/>
              </w:rPr>
              <w:t>厂区已按照“非硬即绿”的要求进行建设，</w:t>
            </w:r>
            <w:r>
              <w:rPr>
                <w:rFonts w:hint="eastAsia" w:ascii="Times New Roman" w:hAnsi="Times New Roman" w:eastAsia="宋体" w:cs="Times New Roman"/>
                <w:color w:val="auto"/>
                <w:sz w:val="24"/>
                <w:szCs w:val="21"/>
                <w:highlight w:val="none"/>
                <w:shd w:val="clear" w:color="auto" w:fill="auto"/>
                <w:lang w:eastAsia="zh-CN"/>
              </w:rPr>
              <w:t>因此</w:t>
            </w:r>
            <w:r>
              <w:rPr>
                <w:rFonts w:hint="eastAsia" w:cs="Times New Roman"/>
                <w:color w:val="auto"/>
                <w:sz w:val="24"/>
                <w:szCs w:val="21"/>
                <w:highlight w:val="none"/>
                <w:shd w:val="clear" w:color="auto" w:fill="auto"/>
                <w:lang w:eastAsia="zh-CN"/>
              </w:rPr>
              <w:t>，</w:t>
            </w:r>
            <w:r>
              <w:rPr>
                <w:rFonts w:hint="eastAsia" w:ascii="Times New Roman" w:hAnsi="Times New Roman" w:eastAsia="宋体" w:cs="Times New Roman"/>
                <w:color w:val="auto"/>
                <w:sz w:val="24"/>
                <w:szCs w:val="21"/>
                <w:highlight w:val="none"/>
                <w:shd w:val="clear" w:color="auto" w:fill="auto"/>
                <w:lang w:eastAsia="zh-CN"/>
              </w:rPr>
              <w:t>不会</w:t>
            </w:r>
            <w:r>
              <w:rPr>
                <w:rFonts w:hint="eastAsia" w:cs="Times New Roman"/>
                <w:color w:val="auto"/>
                <w:sz w:val="24"/>
                <w:szCs w:val="21"/>
                <w:highlight w:val="none"/>
                <w:shd w:val="clear" w:color="auto" w:fill="auto"/>
                <w:lang w:val="en-US" w:eastAsia="zh-CN"/>
              </w:rPr>
              <w:t>通过大气沉降</w:t>
            </w:r>
            <w:r>
              <w:rPr>
                <w:rFonts w:hint="eastAsia" w:ascii="Times New Roman" w:hAnsi="Times New Roman" w:eastAsia="宋体" w:cs="Times New Roman"/>
                <w:color w:val="auto"/>
                <w:sz w:val="24"/>
                <w:szCs w:val="21"/>
                <w:highlight w:val="none"/>
                <w:shd w:val="clear" w:color="auto" w:fill="auto"/>
                <w:lang w:eastAsia="zh-CN"/>
              </w:rPr>
              <w:t>对土壤环境及地下水环境产生明显不利影响。</w:t>
            </w:r>
          </w:p>
          <w:p>
            <w:pPr>
              <w:bidi w:val="0"/>
              <w:rPr>
                <w:rFonts w:hint="default"/>
                <w:color w:val="auto"/>
                <w:highlight w:val="none"/>
                <w:lang w:eastAsia="zh-CN"/>
              </w:rPr>
            </w:pPr>
            <w:r>
              <w:rPr>
                <w:rFonts w:hint="eastAsia"/>
                <w:color w:val="auto"/>
                <w:highlight w:val="none"/>
                <w:lang w:eastAsia="zh-CN"/>
              </w:rPr>
              <w:t>本项目</w:t>
            </w:r>
            <w:r>
              <w:rPr>
                <w:rFonts w:hint="eastAsia"/>
                <w:color w:val="auto"/>
                <w:highlight w:val="none"/>
                <w:lang w:val="en-US" w:eastAsia="zh-CN"/>
              </w:rPr>
              <w:t>无废水产生，因此，</w:t>
            </w:r>
            <w:r>
              <w:rPr>
                <w:rFonts w:hint="eastAsia"/>
                <w:color w:val="auto"/>
                <w:highlight w:val="none"/>
                <w:lang w:eastAsia="zh-CN"/>
              </w:rPr>
              <w:t>不会</w:t>
            </w:r>
            <w:r>
              <w:rPr>
                <w:rFonts w:hint="eastAsia"/>
                <w:color w:val="auto"/>
                <w:highlight w:val="none"/>
                <w:lang w:val="en-US" w:eastAsia="zh-CN"/>
              </w:rPr>
              <w:t>通过地表漫流</w:t>
            </w:r>
            <w:r>
              <w:rPr>
                <w:rFonts w:hint="eastAsia"/>
                <w:color w:val="auto"/>
                <w:highlight w:val="none"/>
                <w:lang w:eastAsia="zh-CN"/>
              </w:rPr>
              <w:t>对土壤及地下水环境产生明显不利影响。</w:t>
            </w:r>
          </w:p>
          <w:p>
            <w:pPr>
              <w:bidi w:val="0"/>
              <w:rPr>
                <w:rFonts w:hint="eastAsia"/>
                <w:color w:val="auto"/>
                <w:highlight w:val="none"/>
              </w:rPr>
            </w:pPr>
            <w:r>
              <w:rPr>
                <w:rFonts w:hint="eastAsia"/>
                <w:color w:val="auto"/>
                <w:highlight w:val="none"/>
                <w:lang w:eastAsia="zh-CN"/>
              </w:rPr>
              <w:t>本项目</w:t>
            </w:r>
            <w:r>
              <w:rPr>
                <w:rFonts w:hint="eastAsia"/>
                <w:color w:val="auto"/>
                <w:highlight w:val="none"/>
                <w:lang w:val="en-US" w:eastAsia="zh-CN"/>
              </w:rPr>
              <w:t>建成后对地下水、土壤的污染源</w:t>
            </w:r>
            <w:r>
              <w:rPr>
                <w:rFonts w:hint="eastAsia"/>
                <w:color w:val="auto"/>
                <w:highlight w:val="none"/>
                <w:lang w:eastAsia="zh-CN"/>
              </w:rPr>
              <w:t>主要</w:t>
            </w:r>
            <w:r>
              <w:rPr>
                <w:rFonts w:hint="eastAsia"/>
                <w:color w:val="auto"/>
                <w:highlight w:val="none"/>
                <w:lang w:val="en-US" w:eastAsia="zh-CN"/>
              </w:rPr>
              <w:t>为</w:t>
            </w:r>
            <w:r>
              <w:rPr>
                <w:rFonts w:hint="eastAsia"/>
                <w:color w:val="auto"/>
                <w:highlight w:val="none"/>
                <w:lang w:eastAsia="zh-CN"/>
              </w:rPr>
              <w:t>危废间</w:t>
            </w:r>
            <w:r>
              <w:rPr>
                <w:rFonts w:hint="eastAsia"/>
                <w:color w:val="auto"/>
                <w:highlight w:val="none"/>
                <w:lang w:val="en-US" w:eastAsia="zh-CN"/>
              </w:rPr>
              <w:t>储存的危险废物；危险品储存区储存的润滑油、导电浆料原料、电极银浆、镀膜液、氢氧化钠；使用油品的设备；碱液喷淋塔储存的碱液，</w:t>
            </w:r>
            <w:r>
              <w:rPr>
                <w:rFonts w:hint="eastAsia"/>
                <w:color w:val="auto"/>
                <w:highlight w:val="none"/>
                <w:lang w:eastAsia="zh-CN"/>
              </w:rPr>
              <w:t>可能因泄漏导致垂直入渗污染地下水、土壤，本项目</w:t>
            </w:r>
            <w:r>
              <w:rPr>
                <w:rFonts w:hint="eastAsia"/>
                <w:color w:val="auto"/>
                <w:highlight w:val="none"/>
              </w:rPr>
              <w:t>按照“源头控制、分区防治、污染监控、应急响应”相结合的原则，采用源头控制措施、分区防治措施。尽可能从源头上减少污染物的产生，防止环境污染，严格按照国家相关规范要求，对工艺、管道、设备、构建物采取相应措施，以防止和降低污染物的跑、冒、滴、漏</w:t>
            </w:r>
            <w:r>
              <w:rPr>
                <w:rFonts w:hint="eastAsia"/>
                <w:color w:val="auto"/>
                <w:highlight w:val="none"/>
                <w:lang w:eastAsia="zh-CN"/>
              </w:rPr>
              <w:t>，做好防渗措施</w:t>
            </w:r>
            <w:r>
              <w:rPr>
                <w:rFonts w:hint="eastAsia"/>
                <w:color w:val="auto"/>
                <w:highlight w:val="none"/>
              </w:rPr>
              <w:t>，避免由于泄漏造成物料下渗污染地下水。</w:t>
            </w:r>
          </w:p>
          <w:p>
            <w:pPr>
              <w:bidi w:val="0"/>
              <w:rPr>
                <w:rFonts w:hint="eastAsia"/>
                <w:color w:val="auto"/>
                <w:highlight w:val="none"/>
              </w:rPr>
            </w:pPr>
            <w:r>
              <w:rPr>
                <w:rFonts w:hint="eastAsia"/>
                <w:color w:val="auto"/>
                <w:highlight w:val="none"/>
                <w:lang w:val="en-US" w:eastAsia="zh-CN"/>
              </w:rPr>
              <w:t>危废间、危险品储存区、喷淋塔</w:t>
            </w:r>
            <w:r>
              <w:rPr>
                <w:rFonts w:hint="eastAsia"/>
                <w:color w:val="auto"/>
                <w:highlight w:val="none"/>
              </w:rPr>
              <w:t>为重点防渗区，</w:t>
            </w:r>
            <w:r>
              <w:rPr>
                <w:color w:val="auto"/>
                <w:highlight w:val="none"/>
              </w:rPr>
              <w:t>其他</w:t>
            </w:r>
            <w:r>
              <w:rPr>
                <w:rFonts w:hint="eastAsia"/>
                <w:color w:val="auto"/>
                <w:highlight w:val="none"/>
                <w:lang w:val="en-US" w:eastAsia="zh-CN"/>
              </w:rPr>
              <w:t>生产</w:t>
            </w:r>
            <w:r>
              <w:rPr>
                <w:color w:val="auto"/>
                <w:highlight w:val="none"/>
              </w:rPr>
              <w:t>区域</w:t>
            </w:r>
            <w:r>
              <w:rPr>
                <w:rFonts w:hint="eastAsia"/>
                <w:color w:val="auto"/>
                <w:highlight w:val="none"/>
              </w:rPr>
              <w:t>为一般防渗区</w:t>
            </w:r>
            <w:r>
              <w:rPr>
                <w:rFonts w:hint="eastAsia"/>
                <w:color w:val="auto"/>
                <w:highlight w:val="none"/>
                <w:lang w:eastAsia="zh-CN"/>
              </w:rPr>
              <w:t>，</w:t>
            </w:r>
            <w:r>
              <w:rPr>
                <w:rFonts w:hint="eastAsia"/>
                <w:color w:val="auto"/>
                <w:highlight w:val="none"/>
                <w:lang w:val="en-US" w:eastAsia="zh-CN"/>
              </w:rPr>
              <w:t>办公区、厂区地面为简单防渗区</w:t>
            </w:r>
            <w:r>
              <w:rPr>
                <w:rFonts w:hint="eastAsia"/>
                <w:color w:val="auto"/>
                <w:highlight w:val="none"/>
              </w:rPr>
              <w:t>。</w:t>
            </w:r>
          </w:p>
          <w:p>
            <w:pPr>
              <w:bidi w:val="0"/>
              <w:rPr>
                <w:rFonts w:hint="default"/>
                <w:color w:val="auto"/>
                <w:highlight w:val="none"/>
                <w:lang w:val="en-US" w:eastAsia="zh-CN"/>
              </w:rPr>
            </w:pPr>
            <w:r>
              <w:rPr>
                <w:rFonts w:hint="eastAsia" w:ascii="Times New Roman" w:hAnsi="Times New Roman" w:eastAsia="宋体"/>
                <w:color w:val="auto"/>
                <w:sz w:val="24"/>
                <w:szCs w:val="24"/>
                <w:highlight w:val="none"/>
              </w:rPr>
              <w:t>①</w:t>
            </w:r>
            <w:r>
              <w:rPr>
                <w:rFonts w:ascii="Times New Roman" w:hAnsi="Times New Roman" w:eastAsia="宋体"/>
                <w:color w:val="auto"/>
                <w:sz w:val="24"/>
                <w:szCs w:val="24"/>
                <w:highlight w:val="none"/>
              </w:rPr>
              <w:t>重点防渗区：该分区需要做</w:t>
            </w:r>
            <w:r>
              <w:rPr>
                <w:rFonts w:hint="eastAsia" w:ascii="Times New Roman" w:hAnsi="Times New Roman" w:eastAsia="宋体"/>
                <w:color w:val="auto"/>
                <w:sz w:val="24"/>
                <w:szCs w:val="24"/>
                <w:highlight w:val="none"/>
                <w:lang w:val="en-US" w:eastAsia="zh-CN"/>
              </w:rPr>
              <w:t>防</w:t>
            </w:r>
            <w:r>
              <w:rPr>
                <w:rFonts w:ascii="Times New Roman" w:hAnsi="Times New Roman" w:eastAsia="宋体"/>
                <w:color w:val="auto"/>
                <w:sz w:val="24"/>
                <w:szCs w:val="24"/>
                <w:highlight w:val="none"/>
              </w:rPr>
              <w:t>渗处理</w:t>
            </w:r>
            <w:r>
              <w:rPr>
                <w:rFonts w:hint="eastAsia"/>
                <w:color w:val="auto"/>
                <w:highlight w:val="none"/>
                <w:lang w:val="en-US" w:eastAsia="zh-CN"/>
              </w:rPr>
              <w:t>，现有危废间、危险品储存区、碱液喷淋塔</w:t>
            </w:r>
            <w:r>
              <w:rPr>
                <w:rFonts w:hint="eastAsia"/>
                <w:color w:val="auto"/>
                <w:sz w:val="24"/>
                <w:szCs w:val="24"/>
                <w:highlight w:val="none"/>
                <w:lang w:val="en-US" w:eastAsia="zh-CN"/>
              </w:rPr>
              <w:t>，</w:t>
            </w:r>
            <w:r>
              <w:rPr>
                <w:rFonts w:hint="eastAsia"/>
                <w:color w:val="auto"/>
                <w:highlight w:val="none"/>
                <w:lang w:val="en-US" w:eastAsia="zh-CN"/>
              </w:rPr>
              <w:t>已按重点防渗区要求做好防渗，本项目新增润滑油、导电浆料原料均储存于现有危险品储存区，新增危废除活性炭外均储存于现有危废间。</w:t>
            </w:r>
          </w:p>
          <w:p>
            <w:pPr>
              <w:bidi w:val="0"/>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②</w:t>
            </w:r>
            <w:r>
              <w:rPr>
                <w:rFonts w:ascii="Times New Roman" w:hAnsi="Times New Roman" w:eastAsia="宋体"/>
                <w:color w:val="auto"/>
                <w:sz w:val="24"/>
                <w:szCs w:val="24"/>
                <w:highlight w:val="none"/>
              </w:rPr>
              <w:t>一般防渗区：</w:t>
            </w:r>
            <w:r>
              <w:rPr>
                <w:rFonts w:hint="eastAsia" w:ascii="Times New Roman" w:hAnsi="Times New Roman" w:eastAsia="宋体"/>
                <w:color w:val="auto"/>
                <w:sz w:val="24"/>
                <w:szCs w:val="24"/>
                <w:highlight w:val="none"/>
              </w:rPr>
              <w:t>生产车间</w:t>
            </w:r>
            <w:r>
              <w:rPr>
                <w:rFonts w:ascii="Times New Roman" w:hAnsi="Times New Roman" w:eastAsia="宋体"/>
                <w:color w:val="auto"/>
                <w:sz w:val="24"/>
                <w:szCs w:val="24"/>
                <w:highlight w:val="none"/>
              </w:rPr>
              <w:t>其他区域的建设进行基础防渗处理，需满足等效黏土防渗层Mb≥6.0m，K≤1×10</w:t>
            </w:r>
            <w:r>
              <w:rPr>
                <w:rFonts w:ascii="Times New Roman" w:hAnsi="Times New Roman" w:eastAsia="宋体"/>
                <w:color w:val="auto"/>
                <w:sz w:val="24"/>
                <w:szCs w:val="24"/>
                <w:highlight w:val="none"/>
                <w:vertAlign w:val="superscript"/>
              </w:rPr>
              <w:t>-7</w:t>
            </w:r>
            <w:r>
              <w:rPr>
                <w:rFonts w:ascii="Times New Roman" w:hAnsi="Times New Roman" w:eastAsia="宋体"/>
                <w:color w:val="auto"/>
                <w:sz w:val="24"/>
                <w:szCs w:val="24"/>
                <w:highlight w:val="none"/>
              </w:rPr>
              <w:t>cm/s</w:t>
            </w:r>
            <w:r>
              <w:rPr>
                <w:rFonts w:hint="eastAsia"/>
                <w:color w:val="auto"/>
                <w:sz w:val="24"/>
                <w:szCs w:val="24"/>
                <w:highlight w:val="none"/>
                <w:lang w:eastAsia="zh-CN"/>
              </w:rPr>
              <w:t>，</w:t>
            </w:r>
            <w:r>
              <w:rPr>
                <w:rFonts w:hint="eastAsia"/>
                <w:color w:val="auto"/>
                <w:sz w:val="24"/>
                <w:szCs w:val="24"/>
                <w:highlight w:val="none"/>
                <w:lang w:val="en-US" w:eastAsia="zh-CN"/>
              </w:rPr>
              <w:t>使用油品设备区下设防渗托盘，确保废油不落地</w:t>
            </w:r>
            <w:r>
              <w:rPr>
                <w:rFonts w:ascii="Times New Roman" w:hAnsi="Times New Roman" w:eastAsia="宋体"/>
                <w:color w:val="auto"/>
                <w:sz w:val="24"/>
                <w:szCs w:val="24"/>
                <w:highlight w:val="none"/>
              </w:rPr>
              <w:t>。</w:t>
            </w:r>
          </w:p>
          <w:p>
            <w:pPr>
              <w:bidi w:val="0"/>
              <w:rPr>
                <w:rFonts w:hint="default" w:ascii="Times New Roman" w:hAnsi="Times New Roman" w:eastAsia="宋体"/>
                <w:color w:val="auto"/>
                <w:sz w:val="24"/>
                <w:szCs w:val="24"/>
                <w:highlight w:val="none"/>
                <w:lang w:val="en-US" w:eastAsia="zh-CN"/>
              </w:rPr>
            </w:pPr>
            <w:r>
              <w:rPr>
                <w:rFonts w:hint="eastAsia" w:ascii="Times New Roman" w:hAnsi="Times New Roman" w:eastAsia="宋体"/>
                <w:color w:val="auto"/>
                <w:sz w:val="24"/>
                <w:szCs w:val="24"/>
                <w:highlight w:val="none"/>
              </w:rPr>
              <w:t>③</w:t>
            </w:r>
            <w:r>
              <w:rPr>
                <w:rFonts w:hint="eastAsia"/>
                <w:color w:val="auto"/>
                <w:sz w:val="24"/>
                <w:szCs w:val="24"/>
                <w:highlight w:val="none"/>
                <w:lang w:val="en-US" w:eastAsia="zh-CN"/>
              </w:rPr>
              <w:t>简单防渗区：办公区地面硬化，厂区地面非硬即绿。</w:t>
            </w:r>
          </w:p>
          <w:p>
            <w:pPr>
              <w:rPr>
                <w:rFonts w:hint="eastAsia"/>
                <w:color w:val="auto"/>
                <w:highlight w:val="none"/>
              </w:rPr>
            </w:pPr>
            <w:r>
              <w:rPr>
                <w:rFonts w:hint="eastAsia"/>
                <w:color w:val="auto"/>
                <w:highlight w:val="none"/>
                <w:lang w:eastAsia="zh-CN"/>
              </w:rPr>
              <w:t>综上，</w:t>
            </w:r>
            <w:r>
              <w:rPr>
                <w:rFonts w:hint="eastAsia"/>
                <w:color w:val="auto"/>
                <w:highlight w:val="none"/>
              </w:rPr>
              <w:t>本项目</w:t>
            </w:r>
            <w:r>
              <w:rPr>
                <w:rFonts w:hint="eastAsia"/>
                <w:color w:val="auto"/>
                <w:highlight w:val="none"/>
                <w:lang w:eastAsia="zh-CN"/>
              </w:rPr>
              <w:t>采取上述防控措施后，</w:t>
            </w:r>
            <w:r>
              <w:rPr>
                <w:rFonts w:hint="eastAsia"/>
                <w:color w:val="auto"/>
                <w:highlight w:val="none"/>
              </w:rPr>
              <w:t>对区域</w:t>
            </w:r>
            <w:r>
              <w:rPr>
                <w:rFonts w:hint="eastAsia"/>
                <w:color w:val="auto"/>
                <w:highlight w:val="none"/>
                <w:lang w:eastAsia="zh-CN"/>
              </w:rPr>
              <w:t>地下水、土壤</w:t>
            </w:r>
            <w:r>
              <w:rPr>
                <w:rFonts w:hint="eastAsia"/>
                <w:color w:val="auto"/>
                <w:highlight w:val="none"/>
              </w:rPr>
              <w:t>环境影响较小。</w:t>
            </w:r>
          </w:p>
          <w:p>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leftChars="0"/>
              <w:textAlignment w:val="auto"/>
              <w:rPr>
                <w:rFonts w:hint="eastAsia"/>
                <w:b/>
                <w:bCs/>
                <w:color w:val="auto"/>
                <w:highlight w:val="none"/>
                <w:lang w:val="en-US" w:eastAsia="zh-CN"/>
              </w:rPr>
            </w:pPr>
            <w:r>
              <w:rPr>
                <w:rFonts w:hint="eastAsia"/>
                <w:b/>
                <w:bCs/>
                <w:color w:val="auto"/>
                <w:highlight w:val="none"/>
                <w:lang w:val="en-US" w:eastAsia="zh-CN"/>
              </w:rPr>
              <w:t>6、生态</w:t>
            </w:r>
          </w:p>
          <w:p>
            <w:pPr>
              <w:bidi w:val="0"/>
              <w:rPr>
                <w:rFonts w:hint="eastAsia"/>
                <w:color w:val="auto"/>
                <w:highlight w:val="none"/>
                <w:lang w:eastAsia="zh-CN"/>
              </w:rPr>
            </w:pPr>
            <w:r>
              <w:rPr>
                <w:rFonts w:hint="eastAsia"/>
                <w:color w:val="auto"/>
                <w:highlight w:val="none"/>
                <w:lang w:eastAsia="zh-CN"/>
              </w:rPr>
              <w:t>本项目</w:t>
            </w:r>
            <w:r>
              <w:rPr>
                <w:rFonts w:hint="eastAsia"/>
                <w:color w:val="auto"/>
                <w:highlight w:val="none"/>
                <w:lang w:val="en-US" w:eastAsia="zh-CN"/>
              </w:rPr>
              <w:t>在现有厂区内进行建设，不新增占地，</w:t>
            </w:r>
            <w:r>
              <w:rPr>
                <w:rFonts w:hint="eastAsia"/>
                <w:color w:val="auto"/>
                <w:highlight w:val="none"/>
                <w:lang w:eastAsia="zh-CN"/>
              </w:rPr>
              <w:t>用地范围内无生态环境保护目标，</w:t>
            </w:r>
            <w:r>
              <w:rPr>
                <w:rFonts w:hint="eastAsia"/>
                <w:color w:val="auto"/>
                <w:highlight w:val="none"/>
                <w:lang w:val="en-US" w:eastAsia="zh-CN"/>
              </w:rPr>
              <w:t>不会</w:t>
            </w:r>
            <w:r>
              <w:rPr>
                <w:rFonts w:hint="eastAsia"/>
                <w:color w:val="auto"/>
                <w:highlight w:val="none"/>
                <w:lang w:eastAsia="zh-CN"/>
              </w:rPr>
              <w:t>对区域生态环境</w:t>
            </w:r>
            <w:r>
              <w:rPr>
                <w:rFonts w:hint="eastAsia"/>
                <w:color w:val="auto"/>
                <w:highlight w:val="none"/>
                <w:lang w:val="en-US" w:eastAsia="zh-CN"/>
              </w:rPr>
              <w:t>造成明显不利</w:t>
            </w:r>
            <w:r>
              <w:rPr>
                <w:rFonts w:hint="eastAsia"/>
                <w:color w:val="auto"/>
                <w:highlight w:val="none"/>
                <w:lang w:eastAsia="zh-CN"/>
              </w:rPr>
              <w:t>影响。</w:t>
            </w:r>
          </w:p>
          <w:p>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textAlignment w:val="auto"/>
              <w:rPr>
                <w:rFonts w:hint="default"/>
                <w:b/>
                <w:bCs/>
                <w:color w:val="auto"/>
                <w:highlight w:val="none"/>
                <w:lang w:val="en-US" w:eastAsia="zh-CN"/>
              </w:rPr>
            </w:pPr>
            <w:r>
              <w:rPr>
                <w:rFonts w:hint="eastAsia"/>
                <w:b/>
                <w:bCs/>
                <w:color w:val="auto"/>
                <w:highlight w:val="none"/>
                <w:lang w:val="en-US" w:eastAsia="zh-CN"/>
              </w:rPr>
              <w:t>7、环境风险</w:t>
            </w:r>
          </w:p>
          <w:p>
            <w:pPr>
              <w:bidi w:val="0"/>
              <w:rPr>
                <w:rFonts w:hint="eastAsia"/>
                <w:b/>
                <w:bCs/>
                <w:color w:val="auto"/>
                <w:highlight w:val="none"/>
                <w:lang w:val="en-US" w:eastAsia="zh-CN"/>
              </w:rPr>
            </w:pPr>
            <w:r>
              <w:rPr>
                <w:rFonts w:hint="eastAsia"/>
                <w:b/>
                <w:bCs/>
                <w:color w:val="auto"/>
                <w:highlight w:val="none"/>
                <w:lang w:val="en-US" w:eastAsia="zh-CN"/>
              </w:rPr>
              <w:t>7.1环境风险的识别</w:t>
            </w:r>
          </w:p>
          <w:p>
            <w:pPr>
              <w:bidi w:val="0"/>
              <w:rPr>
                <w:rFonts w:hint="default"/>
                <w:color w:val="auto"/>
                <w:highlight w:val="none"/>
                <w:lang w:val="en-US" w:eastAsia="zh-CN"/>
              </w:rPr>
            </w:pPr>
            <w:r>
              <w:rPr>
                <w:rFonts w:hint="default"/>
                <w:color w:val="auto"/>
                <w:highlight w:val="none"/>
                <w:lang w:val="en-US" w:eastAsia="zh-CN"/>
              </w:rPr>
              <w:t>本项目的风险物质主要为</w:t>
            </w:r>
            <w:r>
              <w:rPr>
                <w:rFonts w:hint="eastAsia"/>
                <w:color w:val="auto"/>
                <w:highlight w:val="none"/>
                <w:lang w:val="en-US" w:eastAsia="zh-CN"/>
              </w:rPr>
              <w:t>润滑油、废润滑油、异氰酸酯</w:t>
            </w:r>
            <w:r>
              <w:rPr>
                <w:rFonts w:hint="default"/>
                <w:color w:val="auto"/>
                <w:highlight w:val="none"/>
                <w:lang w:val="en-US" w:eastAsia="zh-CN"/>
              </w:rPr>
              <w:t>，上述物质在储存、使用过程中可能发生泄漏事故。</w:t>
            </w:r>
            <w:r>
              <w:rPr>
                <w:rFonts w:hint="eastAsia"/>
                <w:color w:val="auto"/>
                <w:highlight w:val="none"/>
                <w:lang w:val="en-US" w:eastAsia="zh-CN"/>
              </w:rPr>
              <w:t>润滑油、异氰酸酯密闭桶装储存于危险品储存区，废润滑油桶装加盖储存于危废间。</w:t>
            </w:r>
          </w:p>
          <w:p>
            <w:pPr>
              <w:pStyle w:val="31"/>
              <w:bidi w:val="0"/>
              <w:rPr>
                <w:rFonts w:hint="default" w:ascii="Times New Roman" w:hAnsi="Times New Roman" w:eastAsia="宋体" w:cs="Times New Roman"/>
                <w:b/>
                <w:bCs/>
                <w:color w:val="auto"/>
                <w:szCs w:val="21"/>
                <w:highlight w:val="none"/>
                <w:shd w:val="clear" w:color="auto" w:fill="auto"/>
                <w:lang w:val="en-US" w:eastAsia="zh-CN"/>
              </w:rPr>
            </w:pPr>
            <w:r>
              <w:rPr>
                <w:rFonts w:hint="default"/>
                <w:color w:val="auto"/>
                <w:highlight w:val="none"/>
                <w:lang w:val="zh-CN" w:eastAsia="zh-CN"/>
              </w:rPr>
              <w:t>表</w:t>
            </w:r>
            <w:r>
              <w:rPr>
                <w:rFonts w:hint="eastAsia"/>
                <w:color w:val="auto"/>
                <w:highlight w:val="none"/>
                <w:lang w:val="en-US" w:eastAsia="zh-CN"/>
              </w:rPr>
              <w:t>44  本项目风险物质识别及影响途径</w:t>
            </w:r>
            <w:r>
              <w:rPr>
                <w:rFonts w:hint="eastAsia"/>
                <w:color w:val="auto"/>
                <w:highlight w:val="none"/>
                <w:lang w:val="zh-CN" w:eastAsia="zh-CN"/>
              </w:rPr>
              <w:t>一览</w:t>
            </w:r>
            <w:r>
              <w:rPr>
                <w:rFonts w:hint="default"/>
                <w:color w:val="auto"/>
                <w:highlight w:val="none"/>
                <w:lang w:val="zh-CN" w:eastAsia="zh-CN"/>
              </w:rPr>
              <w:t>表</w:t>
            </w:r>
          </w:p>
          <w:tbl>
            <w:tblPr>
              <w:tblStyle w:val="24"/>
              <w:tblW w:w="827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956"/>
              <w:gridCol w:w="971"/>
              <w:gridCol w:w="953"/>
              <w:gridCol w:w="790"/>
              <w:gridCol w:w="2096"/>
              <w:gridCol w:w="866"/>
              <w:gridCol w:w="164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956"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eastAsia="zh-CN"/>
                    </w:rPr>
                  </w:pPr>
                  <w:r>
                    <w:rPr>
                      <w:rFonts w:hint="eastAsia" w:ascii="Times New Roman" w:hAnsi="Times New Roman" w:eastAsia="宋体" w:cs="Times New Roman"/>
                      <w:color w:val="auto"/>
                      <w:sz w:val="21"/>
                      <w:szCs w:val="21"/>
                      <w:highlight w:val="none"/>
                      <w:shd w:val="clear" w:color="auto" w:fill="auto"/>
                      <w:lang w:eastAsia="zh-CN"/>
                    </w:rPr>
                    <w:t>风险物质名称</w:t>
                  </w:r>
                </w:p>
              </w:tc>
              <w:tc>
                <w:tcPr>
                  <w:tcW w:w="971"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eastAsia="zh-CN"/>
                    </w:rPr>
                  </w:pPr>
                  <w:r>
                    <w:rPr>
                      <w:rFonts w:hint="eastAsia" w:ascii="Times New Roman" w:hAnsi="Times New Roman" w:cs="Times New Roman"/>
                      <w:color w:val="auto"/>
                      <w:sz w:val="21"/>
                      <w:szCs w:val="21"/>
                      <w:highlight w:val="none"/>
                      <w:shd w:val="clear" w:color="auto" w:fill="auto"/>
                      <w:lang w:val="en-US" w:eastAsia="zh-CN"/>
                    </w:rPr>
                    <w:t>贮存</w:t>
                  </w:r>
                  <w:r>
                    <w:rPr>
                      <w:rFonts w:hint="eastAsia" w:ascii="Times New Roman" w:hAnsi="Times New Roman" w:eastAsia="宋体" w:cs="Times New Roman"/>
                      <w:color w:val="auto"/>
                      <w:sz w:val="21"/>
                      <w:szCs w:val="21"/>
                      <w:highlight w:val="none"/>
                      <w:shd w:val="clear" w:color="auto" w:fill="auto"/>
                      <w:lang w:eastAsia="zh-CN"/>
                    </w:rPr>
                    <w:t>场所</w:t>
                  </w:r>
                </w:p>
              </w:tc>
              <w:tc>
                <w:tcPr>
                  <w:tcW w:w="953"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color w:val="auto"/>
                      <w:sz w:val="21"/>
                      <w:szCs w:val="21"/>
                      <w:highlight w:val="none"/>
                      <w:shd w:val="clear" w:color="auto" w:fill="auto"/>
                      <w:lang w:val="en-US"/>
                    </w:rPr>
                  </w:pPr>
                  <w:r>
                    <w:rPr>
                      <w:rFonts w:hint="eastAsia" w:ascii="Times New Roman" w:hAnsi="Times New Roman" w:eastAsia="宋体" w:cs="Times New Roman"/>
                      <w:color w:val="auto"/>
                      <w:sz w:val="21"/>
                      <w:szCs w:val="21"/>
                      <w:highlight w:val="none"/>
                      <w:shd w:val="clear" w:color="auto" w:fill="auto"/>
                      <w:lang w:val="en-US" w:eastAsia="zh-CN"/>
                    </w:rPr>
                    <w:t>最大储存量</w:t>
                  </w:r>
                  <w:r>
                    <w:rPr>
                      <w:rFonts w:hint="eastAsia" w:eastAsia="宋体" w:cs="Times New Roman"/>
                      <w:color w:val="auto"/>
                      <w:sz w:val="21"/>
                      <w:szCs w:val="21"/>
                      <w:highlight w:val="none"/>
                      <w:shd w:val="clear" w:color="auto" w:fill="auto"/>
                      <w:lang w:val="en-US" w:eastAsia="zh-CN"/>
                    </w:rPr>
                    <w:t>（t）</w:t>
                  </w:r>
                </w:p>
              </w:tc>
              <w:tc>
                <w:tcPr>
                  <w:tcW w:w="79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临界量（t）</w:t>
                  </w:r>
                </w:p>
              </w:tc>
              <w:tc>
                <w:tcPr>
                  <w:tcW w:w="2096"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临界量值来源</w:t>
                  </w:r>
                </w:p>
              </w:tc>
              <w:tc>
                <w:tcPr>
                  <w:tcW w:w="866"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Q值</w:t>
                  </w:r>
                </w:p>
              </w:tc>
              <w:tc>
                <w:tcPr>
                  <w:tcW w:w="164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rPr>
                  </w:pPr>
                  <w:r>
                    <w:rPr>
                      <w:rFonts w:hint="eastAsia" w:ascii="Times New Roman" w:hAnsi="Times New Roman" w:eastAsia="宋体" w:cs="Times New Roman"/>
                      <w:color w:val="auto"/>
                      <w:sz w:val="21"/>
                      <w:szCs w:val="21"/>
                      <w:highlight w:val="none"/>
                      <w:shd w:val="clear" w:color="auto" w:fill="auto"/>
                      <w:lang w:val="en-US" w:eastAsia="zh-CN"/>
                    </w:rPr>
                    <w:t>影响途经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2" w:hRule="atLeast"/>
                <w:jc w:val="center"/>
              </w:trPr>
              <w:tc>
                <w:tcPr>
                  <w:tcW w:w="956"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润滑油</w:t>
                  </w:r>
                </w:p>
              </w:tc>
              <w:tc>
                <w:tcPr>
                  <w:tcW w:w="971" w:type="dxa"/>
                  <w:vMerge w:val="restar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危险品储存区</w:t>
                  </w:r>
                </w:p>
              </w:tc>
              <w:tc>
                <w:tcPr>
                  <w:tcW w:w="953"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0.01</w:t>
                  </w:r>
                </w:p>
              </w:tc>
              <w:tc>
                <w:tcPr>
                  <w:tcW w:w="79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2500</w:t>
                  </w:r>
                </w:p>
              </w:tc>
              <w:tc>
                <w:tcPr>
                  <w:tcW w:w="2096"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HJ169-2018中附录B表B.1- 381油类物质</w:t>
                  </w:r>
                </w:p>
              </w:tc>
              <w:tc>
                <w:tcPr>
                  <w:tcW w:w="866"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0.000004</w:t>
                  </w:r>
                </w:p>
              </w:tc>
              <w:tc>
                <w:tcPr>
                  <w:tcW w:w="1645" w:type="dxa"/>
                  <w:vMerge w:val="restart"/>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泄漏漫流至地面下渗影响土壤及地下水环境</w:t>
                  </w:r>
                  <w:r>
                    <w:rPr>
                      <w:rFonts w:hint="eastAsia" w:cs="Times New Roman"/>
                      <w:color w:val="auto"/>
                      <w:sz w:val="21"/>
                      <w:szCs w:val="21"/>
                      <w:highlight w:val="none"/>
                      <w:shd w:val="clear" w:color="auto" w:fill="auto"/>
                      <w:lang w:val="en-US" w:eastAsia="zh-CN"/>
                    </w:rPr>
                    <w:t>；</w:t>
                  </w:r>
                  <w:r>
                    <w:rPr>
                      <w:rFonts w:hint="eastAsia" w:ascii="Times New Roman" w:hAnsi="Times New Roman" w:eastAsia="宋体" w:cs="Times New Roman"/>
                      <w:color w:val="auto"/>
                      <w:sz w:val="21"/>
                      <w:szCs w:val="21"/>
                      <w:highlight w:val="none"/>
                      <w:shd w:val="clear" w:color="auto" w:fill="auto"/>
                      <w:lang w:val="en-US" w:eastAsia="zh-CN"/>
                    </w:rPr>
                    <w:t>引起火灾产生废气、消防废水等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2" w:hRule="atLeast"/>
                <w:jc w:val="center"/>
              </w:trPr>
              <w:tc>
                <w:tcPr>
                  <w:tcW w:w="956"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异氰酸酯</w:t>
                  </w:r>
                </w:p>
              </w:tc>
              <w:tc>
                <w:tcPr>
                  <w:tcW w:w="971" w:type="dxa"/>
                  <w:vMerge w:val="continue"/>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cs="Times New Roman"/>
                      <w:color w:val="auto"/>
                      <w:sz w:val="21"/>
                      <w:szCs w:val="21"/>
                      <w:highlight w:val="none"/>
                      <w:shd w:val="clear" w:color="auto" w:fill="auto"/>
                      <w:lang w:val="en-US" w:eastAsia="zh-CN"/>
                    </w:rPr>
                  </w:pPr>
                </w:p>
              </w:tc>
              <w:tc>
                <w:tcPr>
                  <w:tcW w:w="953"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0.016</w:t>
                  </w:r>
                </w:p>
              </w:tc>
              <w:tc>
                <w:tcPr>
                  <w:tcW w:w="79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0.5</w:t>
                  </w:r>
                </w:p>
              </w:tc>
              <w:tc>
                <w:tcPr>
                  <w:tcW w:w="2096"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HJ169-2018中附录B表B.1 -104油类物质</w:t>
                  </w:r>
                </w:p>
              </w:tc>
              <w:tc>
                <w:tcPr>
                  <w:tcW w:w="866"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0.032</w:t>
                  </w:r>
                </w:p>
              </w:tc>
              <w:tc>
                <w:tcPr>
                  <w:tcW w:w="1645"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2" w:hRule="atLeast"/>
                <w:jc w:val="center"/>
              </w:trPr>
              <w:tc>
                <w:tcPr>
                  <w:tcW w:w="956"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废润滑油</w:t>
                  </w:r>
                </w:p>
              </w:tc>
              <w:tc>
                <w:tcPr>
                  <w:tcW w:w="971"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危废间</w:t>
                  </w:r>
                </w:p>
              </w:tc>
              <w:tc>
                <w:tcPr>
                  <w:tcW w:w="953"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0.0015</w:t>
                  </w:r>
                </w:p>
              </w:tc>
              <w:tc>
                <w:tcPr>
                  <w:tcW w:w="79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100</w:t>
                  </w:r>
                </w:p>
              </w:tc>
              <w:tc>
                <w:tcPr>
                  <w:tcW w:w="2096"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HJ169-2018中附录B表B.2 -3危害水环境物质（急性毒性类别1）</w:t>
                  </w:r>
                </w:p>
              </w:tc>
              <w:tc>
                <w:tcPr>
                  <w:tcW w:w="866"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0.000015</w:t>
                  </w:r>
                </w:p>
              </w:tc>
              <w:tc>
                <w:tcPr>
                  <w:tcW w:w="1645"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27" w:hRule="atLeast"/>
                <w:jc w:val="center"/>
              </w:trPr>
              <w:tc>
                <w:tcPr>
                  <w:tcW w:w="8277" w:type="dxa"/>
                  <w:gridSpan w:val="7"/>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备注：</w:t>
                  </w:r>
                  <w:r>
                    <w:rPr>
                      <w:rFonts w:hint="eastAsia" w:ascii="宋体" w:hAnsi="宋体" w:eastAsia="宋体" w:cs="宋体"/>
                      <w:color w:val="auto"/>
                      <w:kern w:val="0"/>
                      <w:sz w:val="21"/>
                      <w:szCs w:val="21"/>
                      <w:lang w:val="en-US" w:eastAsia="zh-CN" w:bidi="ar"/>
                    </w:rPr>
                    <w:t>异氰酸酯包括甲苯二异氰酸酯（</w:t>
                  </w:r>
                  <w:r>
                    <w:rPr>
                      <w:rFonts w:hint="default" w:ascii="Times New Roman" w:hAnsi="Times New Roman" w:eastAsia="宋体" w:cs="Times New Roman"/>
                      <w:color w:val="auto"/>
                      <w:kern w:val="0"/>
                      <w:sz w:val="21"/>
                      <w:szCs w:val="21"/>
                      <w:lang w:val="en-US" w:eastAsia="zh-CN" w:bidi="ar"/>
                    </w:rPr>
                    <w:t>TDI</w:t>
                  </w:r>
                  <w:r>
                    <w:rPr>
                      <w:rFonts w:hint="eastAsia" w:ascii="宋体" w:hAnsi="宋体" w:eastAsia="宋体" w:cs="宋体"/>
                      <w:color w:val="auto"/>
                      <w:kern w:val="0"/>
                      <w:sz w:val="21"/>
                      <w:szCs w:val="21"/>
                      <w:lang w:val="en-US" w:eastAsia="zh-CN" w:bidi="ar"/>
                    </w:rPr>
                    <w:t>）、二苯基亚甲基二异氰酸酯</w:t>
                  </w:r>
                  <w:r>
                    <w:rPr>
                      <w:rFonts w:hint="default" w:ascii="Times New Roman" w:hAnsi="Times New Roman" w:eastAsia="宋体" w:cs="Times New Roman"/>
                      <w:color w:val="auto"/>
                      <w:kern w:val="0"/>
                      <w:sz w:val="21"/>
                      <w:szCs w:val="21"/>
                      <w:lang w:val="en-US" w:eastAsia="zh-CN" w:bidi="ar"/>
                    </w:rPr>
                    <w:t>（MDI）</w:t>
                  </w:r>
                  <w:r>
                    <w:rPr>
                      <w:rFonts w:hint="eastAsia" w:ascii="宋体" w:hAnsi="宋体" w:eastAsia="宋体" w:cs="宋体"/>
                      <w:color w:val="auto"/>
                      <w:kern w:val="0"/>
                      <w:sz w:val="21"/>
                      <w:szCs w:val="21"/>
                      <w:lang w:val="en-US" w:eastAsia="zh-CN" w:bidi="ar"/>
                    </w:rPr>
                    <w:t>、异佛尔酮二异氰酸酯（</w:t>
                  </w:r>
                  <w:r>
                    <w:rPr>
                      <w:rFonts w:hint="default" w:ascii="Times New Roman" w:hAnsi="Times New Roman" w:eastAsia="宋体" w:cs="Times New Roman"/>
                      <w:color w:val="auto"/>
                      <w:kern w:val="0"/>
                      <w:sz w:val="21"/>
                      <w:szCs w:val="21"/>
                      <w:lang w:val="en-US" w:eastAsia="zh-CN" w:bidi="ar"/>
                    </w:rPr>
                    <w:t>IPDI</w:t>
                  </w:r>
                  <w:r>
                    <w:rPr>
                      <w:rFonts w:hint="eastAsia" w:ascii="宋体" w:hAnsi="宋体" w:eastAsia="宋体" w:cs="宋体"/>
                      <w:color w:val="auto"/>
                      <w:kern w:val="0"/>
                      <w:sz w:val="21"/>
                      <w:szCs w:val="21"/>
                      <w:lang w:val="en-US" w:eastAsia="zh-CN" w:bidi="ar"/>
                    </w:rPr>
                    <w:t>）、多亚甲基多苯基异氰酸酯（</w:t>
                  </w:r>
                  <w:r>
                    <w:rPr>
                      <w:rFonts w:hint="default" w:ascii="Times New Roman" w:hAnsi="Times New Roman" w:eastAsia="宋体" w:cs="Times New Roman"/>
                      <w:color w:val="auto"/>
                      <w:kern w:val="0"/>
                      <w:sz w:val="21"/>
                      <w:szCs w:val="21"/>
                      <w:lang w:val="en-US" w:eastAsia="zh-CN" w:bidi="ar"/>
                    </w:rPr>
                    <w:t>PAPI</w:t>
                  </w:r>
                  <w:r>
                    <w:rPr>
                      <w:rFonts w:hint="eastAsia" w:ascii="宋体" w:hAnsi="宋体" w:eastAsia="宋体" w:cs="宋体"/>
                      <w:color w:val="auto"/>
                      <w:kern w:val="0"/>
                      <w:sz w:val="21"/>
                      <w:szCs w:val="21"/>
                      <w:lang w:val="en-US" w:eastAsia="zh-CN" w:bidi="ar"/>
                    </w:rPr>
                    <w:t>）等，本次评价按临界量值中最小的二苯基亚甲基二异氰酸酯</w:t>
                  </w:r>
                  <w:r>
                    <w:rPr>
                      <w:rFonts w:hint="default" w:ascii="Times New Roman" w:hAnsi="Times New Roman" w:eastAsia="宋体" w:cs="Times New Roman"/>
                      <w:color w:val="auto"/>
                      <w:kern w:val="0"/>
                      <w:sz w:val="21"/>
                      <w:szCs w:val="21"/>
                      <w:lang w:val="en-US" w:eastAsia="zh-CN" w:bidi="ar"/>
                    </w:rPr>
                    <w:t>（MDI）</w:t>
                  </w:r>
                  <w:r>
                    <w:rPr>
                      <w:rFonts w:hint="eastAsia" w:ascii="Times New Roman" w:hAnsi="Times New Roman" w:eastAsia="宋体" w:cs="Times New Roman"/>
                      <w:color w:val="auto"/>
                      <w:kern w:val="0"/>
                      <w:sz w:val="21"/>
                      <w:szCs w:val="21"/>
                      <w:lang w:val="en-US" w:eastAsia="zh-CN" w:bidi="ar"/>
                    </w:rPr>
                    <w:t>计。</w:t>
                  </w:r>
                </w:p>
              </w:tc>
            </w:tr>
          </w:tbl>
          <w:p>
            <w:pPr>
              <w:bidi w:val="0"/>
              <w:rPr>
                <w:rFonts w:hint="default"/>
                <w:color w:val="auto"/>
                <w:highlight w:val="none"/>
                <w:lang w:val="en-US" w:eastAsia="zh-CN"/>
              </w:rPr>
            </w:pPr>
            <w:r>
              <w:rPr>
                <w:rFonts w:hint="eastAsia"/>
                <w:color w:val="auto"/>
                <w:highlight w:val="none"/>
                <w:lang w:val="en-US" w:eastAsia="zh-CN"/>
              </w:rPr>
              <w:t>本项目</w:t>
            </w:r>
            <w:r>
              <w:rPr>
                <w:rFonts w:hint="default"/>
                <w:color w:val="auto"/>
                <w:highlight w:val="none"/>
              </w:rPr>
              <w:t>风险物质</w:t>
            </w:r>
            <w:r>
              <w:rPr>
                <w:rFonts w:hint="eastAsia"/>
                <w:color w:val="auto"/>
                <w:highlight w:val="none"/>
                <w:lang w:val="en-US" w:eastAsia="zh-CN"/>
              </w:rPr>
              <w:t>最大储存量</w:t>
            </w:r>
            <w:r>
              <w:rPr>
                <w:rFonts w:hint="default"/>
                <w:color w:val="auto"/>
                <w:highlight w:val="none"/>
              </w:rPr>
              <w:t>与临界量比值Q值</w:t>
            </w:r>
            <w:r>
              <w:rPr>
                <w:rFonts w:hint="eastAsia"/>
                <w:color w:val="auto"/>
                <w:highlight w:val="none"/>
                <w:lang w:val="en-US" w:eastAsia="zh-CN"/>
              </w:rPr>
              <w:t>﹤1。</w:t>
            </w:r>
          </w:p>
          <w:p>
            <w:pPr>
              <w:bidi w:val="0"/>
              <w:rPr>
                <w:rFonts w:hint="default"/>
                <w:color w:val="auto"/>
                <w:highlight w:val="none"/>
                <w:lang w:val="en-US" w:eastAsia="zh-CN"/>
              </w:rPr>
            </w:pPr>
            <w:r>
              <w:rPr>
                <w:rFonts w:hint="eastAsia"/>
                <w:color w:val="auto"/>
                <w:highlight w:val="none"/>
                <w:lang w:val="en-US" w:eastAsia="zh-CN"/>
              </w:rPr>
              <w:t>风险物质</w:t>
            </w:r>
            <w:r>
              <w:rPr>
                <w:rFonts w:hint="eastAsia"/>
                <w:color w:val="auto"/>
                <w:highlight w:val="none"/>
                <w:lang w:eastAsia="zh-CN"/>
              </w:rPr>
              <w:t>理化性质见下表。</w:t>
            </w:r>
          </w:p>
          <w:p>
            <w:pPr>
              <w:pStyle w:val="31"/>
              <w:bidi w:val="0"/>
              <w:rPr>
                <w:rFonts w:hint="default" w:ascii="Times New Roman" w:hAnsi="Times New Roman" w:eastAsia="宋体" w:cs="Times New Roman"/>
                <w:b/>
                <w:bCs/>
                <w:color w:val="auto"/>
                <w:szCs w:val="21"/>
                <w:highlight w:val="none"/>
                <w:shd w:val="clear" w:color="auto" w:fill="auto"/>
                <w:lang w:val="en-US" w:eastAsia="zh-CN"/>
              </w:rPr>
            </w:pPr>
            <w:r>
              <w:rPr>
                <w:rFonts w:hint="eastAsia"/>
                <w:color w:val="auto"/>
                <w:highlight w:val="none"/>
                <w:lang w:val="en-US" w:eastAsia="zh-CN"/>
              </w:rPr>
              <w:t>表45  润滑油的理化性质及危险性识别一览表</w:t>
            </w:r>
          </w:p>
          <w:tbl>
            <w:tblPr>
              <w:tblStyle w:val="24"/>
              <w:tblW w:w="827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793"/>
              <w:gridCol w:w="1843"/>
              <w:gridCol w:w="1457"/>
              <w:gridCol w:w="1702"/>
              <w:gridCol w:w="148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1798"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物质名称</w:t>
                  </w:r>
                </w:p>
              </w:tc>
              <w:tc>
                <w:tcPr>
                  <w:tcW w:w="1848"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分子式</w:t>
                  </w:r>
                </w:p>
              </w:tc>
              <w:tc>
                <w:tcPr>
                  <w:tcW w:w="1461"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分子量</w:t>
                  </w:r>
                </w:p>
              </w:tc>
              <w:tc>
                <w:tcPr>
                  <w:tcW w:w="1707"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沸点</w:t>
                  </w:r>
                </w:p>
              </w:tc>
              <w:tc>
                <w:tcPr>
                  <w:tcW w:w="1486"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自燃点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1798"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润滑油</w:t>
                  </w:r>
                </w:p>
              </w:tc>
              <w:tc>
                <w:tcPr>
                  <w:tcW w:w="1848"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w:t>
                  </w:r>
                </w:p>
              </w:tc>
              <w:tc>
                <w:tcPr>
                  <w:tcW w:w="1461"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w:t>
                  </w:r>
                </w:p>
              </w:tc>
              <w:tc>
                <w:tcPr>
                  <w:tcW w:w="1707"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150</w:t>
                  </w:r>
                  <w:r>
                    <w:rPr>
                      <w:rFonts w:hint="default" w:ascii="Times New Roman" w:hAnsi="Times New Roman" w:eastAsia="宋体" w:cs="Times New Roman"/>
                      <w:color w:val="auto"/>
                      <w:sz w:val="21"/>
                      <w:szCs w:val="21"/>
                      <w:highlight w:val="none"/>
                      <w:shd w:val="clear" w:color="auto" w:fill="auto"/>
                      <w:lang w:val="en-US" w:eastAsia="zh-CN"/>
                    </w:rPr>
                    <w:t>℃</w:t>
                  </w:r>
                </w:p>
              </w:tc>
              <w:tc>
                <w:tcPr>
                  <w:tcW w:w="1486"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300-350</w:t>
                  </w:r>
                  <w:r>
                    <w:rPr>
                      <w:rFonts w:hint="default" w:ascii="Times New Roman" w:hAnsi="Times New Roman" w:eastAsia="宋体" w:cs="Times New Roman"/>
                      <w:color w:val="auto"/>
                      <w:sz w:val="21"/>
                      <w:szCs w:val="21"/>
                      <w:highlight w:val="none"/>
                      <w:shd w:val="clear" w:color="auto" w:fill="auto"/>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1798"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闪点（开口）</w:t>
                  </w:r>
                </w:p>
              </w:tc>
              <w:tc>
                <w:tcPr>
                  <w:tcW w:w="1848"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蒸汽压（145.8</w:t>
                  </w:r>
                  <w:r>
                    <w:rPr>
                      <w:rFonts w:hint="default" w:ascii="Times New Roman" w:hAnsi="Times New Roman" w:eastAsia="宋体" w:cs="Times New Roman"/>
                      <w:color w:val="auto"/>
                      <w:sz w:val="21"/>
                      <w:szCs w:val="21"/>
                      <w:highlight w:val="none"/>
                      <w:shd w:val="clear" w:color="auto" w:fill="auto"/>
                      <w:lang w:val="en-US" w:eastAsia="zh-CN"/>
                    </w:rPr>
                    <w:t>℃</w:t>
                  </w:r>
                  <w:r>
                    <w:rPr>
                      <w:rFonts w:hint="eastAsia" w:ascii="Times New Roman" w:hAnsi="Times New Roman" w:eastAsia="宋体" w:cs="Times New Roman"/>
                      <w:color w:val="auto"/>
                      <w:sz w:val="21"/>
                      <w:szCs w:val="21"/>
                      <w:highlight w:val="none"/>
                      <w:shd w:val="clear" w:color="auto" w:fill="auto"/>
                      <w:lang w:val="en-US" w:eastAsia="zh-CN"/>
                    </w:rPr>
                    <w:t>）</w:t>
                  </w:r>
                </w:p>
              </w:tc>
              <w:tc>
                <w:tcPr>
                  <w:tcW w:w="1461"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引燃温度</w:t>
                  </w:r>
                </w:p>
              </w:tc>
              <w:tc>
                <w:tcPr>
                  <w:tcW w:w="1707"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密度（水=1）</w:t>
                  </w:r>
                </w:p>
              </w:tc>
              <w:tc>
                <w:tcPr>
                  <w:tcW w:w="1486"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爆炸下限</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1798"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22</w:t>
                  </w:r>
                  <w:r>
                    <w:rPr>
                      <w:rFonts w:hint="default" w:ascii="Times New Roman" w:hAnsi="Times New Roman" w:eastAsia="宋体" w:cs="Times New Roman"/>
                      <w:color w:val="auto"/>
                      <w:sz w:val="21"/>
                      <w:szCs w:val="21"/>
                      <w:highlight w:val="none"/>
                      <w:shd w:val="clear" w:color="auto" w:fill="auto"/>
                      <w:lang w:val="en-US" w:eastAsia="zh-CN"/>
                    </w:rPr>
                    <w:t>0℃</w:t>
                  </w:r>
                </w:p>
              </w:tc>
              <w:tc>
                <w:tcPr>
                  <w:tcW w:w="1848"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0.13Pa</w:t>
                  </w:r>
                </w:p>
              </w:tc>
              <w:tc>
                <w:tcPr>
                  <w:tcW w:w="1461"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w:t>
                  </w:r>
                </w:p>
              </w:tc>
              <w:tc>
                <w:tcPr>
                  <w:tcW w:w="1707"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0.91</w:t>
                  </w:r>
                </w:p>
              </w:tc>
              <w:tc>
                <w:tcPr>
                  <w:tcW w:w="1486"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1798"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性</w:t>
                  </w:r>
                  <w:r>
                    <w:rPr>
                      <w:rFonts w:hint="eastAsia" w:ascii="Times New Roman" w:hAnsi="Times New Roman" w:eastAsia="宋体" w:cs="Times New Roman"/>
                      <w:color w:val="auto"/>
                      <w:sz w:val="21"/>
                      <w:szCs w:val="21"/>
                      <w:highlight w:val="none"/>
                      <w:shd w:val="clear" w:color="auto" w:fill="auto"/>
                      <w:lang w:val="en-US" w:eastAsia="zh-CN"/>
                    </w:rPr>
                    <w:t>状和溶解性</w:t>
                  </w:r>
                </w:p>
              </w:tc>
              <w:tc>
                <w:tcPr>
                  <w:tcW w:w="6502" w:type="dxa"/>
                  <w:gridSpan w:val="4"/>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淡黄色粘稠液体，溶于苯、乙醇、乙醚、氯仿、丙酮等多数有机溶剂。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1798"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储存注意</w:t>
                  </w:r>
                </w:p>
              </w:tc>
              <w:tc>
                <w:tcPr>
                  <w:tcW w:w="6502" w:type="dxa"/>
                  <w:gridSpan w:val="4"/>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储存于阴凉、通风的库房。远离火种、热源。应与氧化剂分开存放，切忌混储。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98" w:hRule="atLeast"/>
                <w:jc w:val="center"/>
              </w:trPr>
              <w:tc>
                <w:tcPr>
                  <w:tcW w:w="1798"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健康危害</w:t>
                  </w:r>
                </w:p>
              </w:tc>
              <w:tc>
                <w:tcPr>
                  <w:tcW w:w="6502" w:type="dxa"/>
                  <w:gridSpan w:val="4"/>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急性吸入可出现乏力、头痛、头晕、恶心，严重者可引起油脂性肺炎。慢接触者，暴露部位可发生油性痤疮和接触性皮炎，可引发神经衰弱综合征，呼吸道和眼刺激症状及慢性油脂性肺炎。</w:t>
                  </w:r>
                </w:p>
              </w:tc>
            </w:tr>
          </w:tbl>
          <w:p>
            <w:pPr>
              <w:pStyle w:val="31"/>
              <w:bidi w:val="0"/>
              <w:rPr>
                <w:rFonts w:hint="eastAsia"/>
                <w:color w:val="auto"/>
                <w:highlight w:val="none"/>
                <w:lang w:val="en-US" w:eastAsia="zh-CN"/>
              </w:rPr>
            </w:pPr>
          </w:p>
          <w:p>
            <w:pPr>
              <w:pStyle w:val="31"/>
              <w:bidi w:val="0"/>
              <w:rPr>
                <w:rFonts w:hint="default" w:ascii="Times New Roman" w:hAnsi="Times New Roman" w:eastAsia="宋体" w:cs="Times New Roman"/>
                <w:b/>
                <w:bCs/>
                <w:color w:val="auto"/>
                <w:szCs w:val="21"/>
                <w:highlight w:val="none"/>
                <w:shd w:val="clear" w:color="auto" w:fill="auto"/>
                <w:lang w:val="en-US" w:eastAsia="zh-CN"/>
              </w:rPr>
            </w:pPr>
            <w:r>
              <w:rPr>
                <w:rFonts w:hint="eastAsia"/>
                <w:color w:val="auto"/>
                <w:highlight w:val="none"/>
                <w:lang w:val="en-US" w:eastAsia="zh-CN"/>
              </w:rPr>
              <w:t>表46  异氰酸酯的理化性质及危险性识别一览表</w:t>
            </w:r>
          </w:p>
          <w:tbl>
            <w:tblPr>
              <w:tblStyle w:val="24"/>
              <w:tblW w:w="827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793"/>
              <w:gridCol w:w="1843"/>
              <w:gridCol w:w="1457"/>
              <w:gridCol w:w="1702"/>
              <w:gridCol w:w="148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438" w:hRule="atLeast"/>
                <w:jc w:val="center"/>
              </w:trPr>
              <w:tc>
                <w:tcPr>
                  <w:tcW w:w="1798"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物质名称</w:t>
                  </w:r>
                </w:p>
              </w:tc>
              <w:tc>
                <w:tcPr>
                  <w:tcW w:w="1848"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分子式</w:t>
                  </w:r>
                </w:p>
              </w:tc>
              <w:tc>
                <w:tcPr>
                  <w:tcW w:w="1461"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分子量</w:t>
                  </w:r>
                </w:p>
              </w:tc>
              <w:tc>
                <w:tcPr>
                  <w:tcW w:w="1707"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沸点</w:t>
                  </w:r>
                </w:p>
              </w:tc>
              <w:tc>
                <w:tcPr>
                  <w:tcW w:w="1486"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自燃点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1798"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异氰酸酯</w:t>
                  </w:r>
                </w:p>
              </w:tc>
              <w:tc>
                <w:tcPr>
                  <w:tcW w:w="1848"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w:t>
                  </w:r>
                </w:p>
              </w:tc>
              <w:tc>
                <w:tcPr>
                  <w:tcW w:w="1461"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w:t>
                  </w:r>
                </w:p>
              </w:tc>
              <w:tc>
                <w:tcPr>
                  <w:tcW w:w="1707"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39.1</w:t>
                  </w:r>
                  <w:r>
                    <w:rPr>
                      <w:rFonts w:hint="default" w:ascii="Times New Roman" w:hAnsi="Times New Roman" w:eastAsia="宋体" w:cs="Times New Roman"/>
                      <w:color w:val="auto"/>
                      <w:sz w:val="21"/>
                      <w:szCs w:val="21"/>
                      <w:highlight w:val="none"/>
                      <w:shd w:val="clear" w:color="auto" w:fill="auto"/>
                      <w:lang w:val="en-US" w:eastAsia="zh-CN"/>
                    </w:rPr>
                    <w:t>℃</w:t>
                  </w:r>
                </w:p>
              </w:tc>
              <w:tc>
                <w:tcPr>
                  <w:tcW w:w="1486"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534</w:t>
                  </w:r>
                  <w:r>
                    <w:rPr>
                      <w:rFonts w:hint="default" w:ascii="Times New Roman" w:hAnsi="Times New Roman" w:eastAsia="宋体" w:cs="Times New Roman"/>
                      <w:color w:val="auto"/>
                      <w:sz w:val="21"/>
                      <w:szCs w:val="21"/>
                      <w:highlight w:val="none"/>
                      <w:shd w:val="clear" w:color="auto" w:fill="auto"/>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1798"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闪点（开口）</w:t>
                  </w:r>
                </w:p>
              </w:tc>
              <w:tc>
                <w:tcPr>
                  <w:tcW w:w="1848"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蒸汽压（</w:t>
                  </w:r>
                  <w:r>
                    <w:rPr>
                      <w:rFonts w:hint="eastAsia" w:ascii="Times New Roman" w:hAnsi="Times New Roman" w:cs="Times New Roman"/>
                      <w:color w:val="auto"/>
                      <w:sz w:val="21"/>
                      <w:szCs w:val="21"/>
                      <w:highlight w:val="none"/>
                      <w:shd w:val="clear" w:color="auto" w:fill="auto"/>
                      <w:lang w:val="en-US" w:eastAsia="zh-CN"/>
                    </w:rPr>
                    <w:t>25</w:t>
                  </w:r>
                  <w:r>
                    <w:rPr>
                      <w:rFonts w:hint="default" w:ascii="Times New Roman" w:hAnsi="Times New Roman" w:eastAsia="宋体" w:cs="Times New Roman"/>
                      <w:color w:val="auto"/>
                      <w:sz w:val="21"/>
                      <w:szCs w:val="21"/>
                      <w:highlight w:val="none"/>
                      <w:shd w:val="clear" w:color="auto" w:fill="auto"/>
                      <w:lang w:val="en-US" w:eastAsia="zh-CN"/>
                    </w:rPr>
                    <w:t>℃</w:t>
                  </w:r>
                  <w:r>
                    <w:rPr>
                      <w:rFonts w:hint="eastAsia" w:ascii="Times New Roman" w:hAnsi="Times New Roman" w:eastAsia="宋体" w:cs="Times New Roman"/>
                      <w:color w:val="auto"/>
                      <w:sz w:val="21"/>
                      <w:szCs w:val="21"/>
                      <w:highlight w:val="none"/>
                      <w:shd w:val="clear" w:color="auto" w:fill="auto"/>
                      <w:lang w:val="en-US" w:eastAsia="zh-CN"/>
                    </w:rPr>
                    <w:t>）</w:t>
                  </w:r>
                </w:p>
              </w:tc>
              <w:tc>
                <w:tcPr>
                  <w:tcW w:w="1461"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引燃温度</w:t>
                  </w:r>
                </w:p>
              </w:tc>
              <w:tc>
                <w:tcPr>
                  <w:tcW w:w="1707"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密度</w:t>
                  </w:r>
                </w:p>
              </w:tc>
              <w:tc>
                <w:tcPr>
                  <w:tcW w:w="1486"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爆炸下限</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1798"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&lt;-15℃(闭杯)</w:t>
                  </w:r>
                </w:p>
              </w:tc>
              <w:tc>
                <w:tcPr>
                  <w:tcW w:w="1848"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6750mmHg</w:t>
                  </w:r>
                </w:p>
              </w:tc>
              <w:tc>
                <w:tcPr>
                  <w:tcW w:w="1461"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w:t>
                  </w:r>
                </w:p>
              </w:tc>
              <w:tc>
                <w:tcPr>
                  <w:tcW w:w="1707"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lang w:val="en-US" w:eastAsia="zh-CN"/>
                    </w:rPr>
                    <w:t>1.04g/cm</w:t>
                  </w:r>
                  <w:r>
                    <w:rPr>
                      <w:rFonts w:hint="default" w:ascii="Times New Roman" w:hAnsi="Times New Roman" w:eastAsia="宋体" w:cs="Times New Roman"/>
                      <w:color w:val="auto"/>
                      <w:sz w:val="21"/>
                      <w:szCs w:val="21"/>
                      <w:highlight w:val="none"/>
                      <w:shd w:val="clear" w:color="auto" w:fill="auto"/>
                      <w:vertAlign w:val="superscript"/>
                      <w:lang w:val="en-US" w:eastAsia="zh-CN"/>
                    </w:rPr>
                    <w:t>3</w:t>
                  </w:r>
                </w:p>
              </w:tc>
              <w:tc>
                <w:tcPr>
                  <w:tcW w:w="1486"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1798"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性</w:t>
                  </w:r>
                  <w:r>
                    <w:rPr>
                      <w:rFonts w:hint="eastAsia" w:ascii="Times New Roman" w:hAnsi="Times New Roman" w:eastAsia="宋体" w:cs="Times New Roman"/>
                      <w:color w:val="auto"/>
                      <w:sz w:val="21"/>
                      <w:szCs w:val="21"/>
                      <w:highlight w:val="none"/>
                      <w:shd w:val="clear" w:color="auto" w:fill="auto"/>
                      <w:lang w:val="en-US" w:eastAsia="zh-CN"/>
                    </w:rPr>
                    <w:t>状和溶解性</w:t>
                  </w:r>
                </w:p>
              </w:tc>
              <w:tc>
                <w:tcPr>
                  <w:tcW w:w="6502" w:type="dxa"/>
                  <w:gridSpan w:val="4"/>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无色清亮液体, 有强刺激性</w:t>
                  </w:r>
                  <w:r>
                    <w:rPr>
                      <w:rFonts w:hint="eastAsia" w:ascii="Times New Roman" w:hAnsi="Times New Roman" w:cs="Times New Roman"/>
                      <w:color w:val="auto"/>
                      <w:sz w:val="21"/>
                      <w:szCs w:val="21"/>
                      <w:highlight w:val="none"/>
                      <w:shd w:val="clear" w:color="auto" w:fill="auto"/>
                      <w:lang w:val="en-US" w:eastAsia="zh-CN"/>
                    </w:rPr>
                    <w:t>，15℃时水中</w:t>
                  </w:r>
                  <w:r>
                    <w:rPr>
                      <w:rFonts w:hint="eastAsia" w:ascii="Times New Roman" w:hAnsi="Times New Roman" w:cs="Times New Roman"/>
                      <w:color w:val="auto"/>
                      <w:sz w:val="21"/>
                      <w:szCs w:val="21"/>
                      <w:highlight w:val="none"/>
                      <w:shd w:val="clear" w:color="auto" w:fill="auto"/>
                      <w:lang w:val="en-US" w:eastAsia="zh-CN"/>
                    </w:rPr>
                    <w:fldChar w:fldCharType="begin"/>
                  </w:r>
                  <w:r>
                    <w:rPr>
                      <w:rFonts w:hint="eastAsia" w:ascii="Times New Roman" w:hAnsi="Times New Roman" w:cs="Times New Roman"/>
                      <w:color w:val="auto"/>
                      <w:sz w:val="21"/>
                      <w:szCs w:val="21"/>
                      <w:highlight w:val="none"/>
                      <w:shd w:val="clear" w:color="auto" w:fill="auto"/>
                      <w:lang w:val="en-US" w:eastAsia="zh-CN"/>
                    </w:rPr>
                    <w:instrText xml:space="preserve"> HYPERLINK "https://baike.baidu.com/item/%E6%BA%B6%E8%A7%A3%E5%BA%A6/438206?fromModule=lemma_inlink" \t "https://baike.baidu.com/item/%E5%BC%82%E6%B0%B0%E9%85%B8%E9%85%AF/_blank" </w:instrText>
                  </w:r>
                  <w:r>
                    <w:rPr>
                      <w:rFonts w:hint="eastAsia" w:ascii="Times New Roman" w:hAnsi="Times New Roman" w:cs="Times New Roman"/>
                      <w:color w:val="auto"/>
                      <w:sz w:val="21"/>
                      <w:szCs w:val="21"/>
                      <w:highlight w:val="none"/>
                      <w:shd w:val="clear" w:color="auto" w:fill="auto"/>
                      <w:lang w:val="en-US" w:eastAsia="zh-CN"/>
                    </w:rPr>
                    <w:fldChar w:fldCharType="separate"/>
                  </w:r>
                  <w:r>
                    <w:rPr>
                      <w:rFonts w:hint="eastAsia" w:ascii="Times New Roman" w:hAnsi="Times New Roman" w:cs="Times New Roman"/>
                      <w:color w:val="auto"/>
                      <w:sz w:val="21"/>
                      <w:szCs w:val="21"/>
                      <w:highlight w:val="none"/>
                      <w:shd w:val="clear" w:color="auto" w:fill="auto"/>
                      <w:lang w:val="en-US" w:eastAsia="zh-CN"/>
                    </w:rPr>
                    <w:t>溶解度</w:t>
                  </w:r>
                  <w:r>
                    <w:rPr>
                      <w:rFonts w:hint="eastAsia" w:ascii="Times New Roman" w:hAnsi="Times New Roman" w:cs="Times New Roman"/>
                      <w:color w:val="auto"/>
                      <w:sz w:val="21"/>
                      <w:szCs w:val="21"/>
                      <w:highlight w:val="none"/>
                      <w:shd w:val="clear" w:color="auto" w:fill="auto"/>
                      <w:lang w:val="en-US" w:eastAsia="zh-CN"/>
                    </w:rPr>
                    <w:fldChar w:fldCharType="end"/>
                  </w:r>
                  <w:r>
                    <w:rPr>
                      <w:rFonts w:hint="eastAsia" w:ascii="Times New Roman" w:hAnsi="Times New Roman" w:cs="Times New Roman"/>
                      <w:color w:val="auto"/>
                      <w:sz w:val="21"/>
                      <w:szCs w:val="21"/>
                      <w:highlight w:val="none"/>
                      <w:shd w:val="clear" w:color="auto" w:fill="auto"/>
                      <w:lang w:val="en-US" w:eastAsia="zh-CN"/>
                    </w:rPr>
                    <w:t>：1%；20℃时6.7%</w:t>
                  </w:r>
                  <w:r>
                    <w:rPr>
                      <w:rFonts w:hint="eastAsia" w:ascii="Times New Roman" w:hAnsi="Times New Roman" w:eastAsia="宋体" w:cs="Times New Roman"/>
                      <w:color w:val="auto"/>
                      <w:sz w:val="21"/>
                      <w:szCs w:val="21"/>
                      <w:highlight w:val="none"/>
                      <w:shd w:val="clear" w:color="auto" w:fill="auto"/>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1798"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储存注意</w:t>
                  </w:r>
                </w:p>
              </w:tc>
              <w:tc>
                <w:tcPr>
                  <w:tcW w:w="6502" w:type="dxa"/>
                  <w:gridSpan w:val="4"/>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低温、无光照条件下储存</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98" w:hRule="atLeast"/>
                <w:jc w:val="center"/>
              </w:trPr>
              <w:tc>
                <w:tcPr>
                  <w:tcW w:w="1798"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健康危害</w:t>
                  </w:r>
                </w:p>
              </w:tc>
              <w:tc>
                <w:tcPr>
                  <w:tcW w:w="6502" w:type="dxa"/>
                  <w:gridSpan w:val="4"/>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对眼</w:t>
                  </w:r>
                  <w:r>
                    <w:rPr>
                      <w:rFonts w:hint="eastAsia" w:ascii="Times New Roman" w:hAnsi="Times New Roman" w:eastAsia="宋体" w:cs="Times New Roman"/>
                      <w:color w:val="auto"/>
                      <w:sz w:val="21"/>
                      <w:szCs w:val="21"/>
                      <w:highlight w:val="none"/>
                      <w:shd w:val="clear" w:color="auto" w:fill="auto"/>
                      <w:lang w:val="en-US" w:eastAsia="zh-CN"/>
                    </w:rPr>
                    <w:t>和上呼吸道的刺激和损伤：低浓度引起流泪和咳嗽，高浓度可引起眼红肿和化学性灼伤。也能破坏鼻粘膜，使嗅觉丧失，上呼吸道粘膜也可致化学损伤。超过50mg/m</w:t>
                  </w:r>
                  <w:r>
                    <w:rPr>
                      <w:rFonts w:hint="eastAsia" w:ascii="Times New Roman" w:hAnsi="Times New Roman" w:eastAsia="宋体" w:cs="Times New Roman"/>
                      <w:color w:val="auto"/>
                      <w:sz w:val="21"/>
                      <w:szCs w:val="21"/>
                      <w:highlight w:val="none"/>
                      <w:shd w:val="clear" w:color="auto" w:fill="auto"/>
                      <w:vertAlign w:val="superscript"/>
                      <w:lang w:val="en-US" w:eastAsia="zh-CN"/>
                    </w:rPr>
                    <w:t>3</w:t>
                  </w:r>
                  <w:r>
                    <w:rPr>
                      <w:rFonts w:hint="eastAsia" w:ascii="Times New Roman" w:hAnsi="Times New Roman" w:eastAsia="宋体" w:cs="Times New Roman"/>
                      <w:color w:val="auto"/>
                      <w:sz w:val="21"/>
                      <w:szCs w:val="21"/>
                      <w:highlight w:val="none"/>
                      <w:shd w:val="clear" w:color="auto" w:fill="auto"/>
                      <w:lang w:val="en-US" w:eastAsia="zh-CN"/>
                    </w:rPr>
                    <w:t>的浓度，可引起皮肤水肿，组织坏死。对肺的损害：浓度超过50mg/m</w:t>
                  </w:r>
                  <w:r>
                    <w:rPr>
                      <w:rFonts w:hint="eastAsia" w:ascii="Times New Roman" w:hAnsi="Times New Roman" w:eastAsia="宋体" w:cs="Times New Roman"/>
                      <w:color w:val="auto"/>
                      <w:sz w:val="21"/>
                      <w:szCs w:val="21"/>
                      <w:highlight w:val="none"/>
                      <w:shd w:val="clear" w:color="auto" w:fill="auto"/>
                      <w:vertAlign w:val="superscript"/>
                      <w:lang w:val="en-US" w:eastAsia="zh-CN"/>
                    </w:rPr>
                    <w:t>3</w:t>
                  </w:r>
                  <w:r>
                    <w:rPr>
                      <w:rFonts w:hint="eastAsia" w:ascii="Times New Roman" w:hAnsi="Times New Roman" w:eastAsia="宋体" w:cs="Times New Roman"/>
                      <w:color w:val="auto"/>
                      <w:sz w:val="21"/>
                      <w:szCs w:val="21"/>
                      <w:highlight w:val="none"/>
                      <w:shd w:val="clear" w:color="auto" w:fill="auto"/>
                      <w:lang w:val="en-US" w:eastAsia="zh-CN"/>
                    </w:rPr>
                    <w:t>时</w:t>
                  </w:r>
                  <w:r>
                    <w:rPr>
                      <w:rFonts w:hint="eastAsia" w:ascii="Times New Roman" w:hAnsi="Times New Roman" w:cs="Times New Roman"/>
                      <w:color w:val="auto"/>
                      <w:sz w:val="21"/>
                      <w:szCs w:val="21"/>
                      <w:highlight w:val="none"/>
                      <w:shd w:val="clear" w:color="auto" w:fill="auto"/>
                      <w:lang w:val="en-US" w:eastAsia="zh-CN"/>
                    </w:rPr>
                    <w:t>，</w:t>
                  </w:r>
                  <w:r>
                    <w:rPr>
                      <w:rFonts w:hint="eastAsia" w:ascii="Times New Roman" w:hAnsi="Times New Roman" w:eastAsia="宋体" w:cs="Times New Roman"/>
                      <w:color w:val="auto"/>
                      <w:sz w:val="21"/>
                      <w:szCs w:val="21"/>
                      <w:highlight w:val="none"/>
                      <w:shd w:val="clear" w:color="auto" w:fill="auto"/>
                      <w:lang w:val="en-US" w:eastAsia="zh-CN"/>
                    </w:rPr>
                    <w:t>还可导致化学性肺炎与肺水肿,甚至引起ARDS。未死者常伴继发感染致呼吸窨迫，肺功能受损，日久尚可形成肺纤维化。浓度很高时，也可因支气管痉挛致窒息。 此外，尚可引起呼吸道过敏反应，加重呼吸困难和肺水肿</w:t>
                  </w:r>
                  <w:r>
                    <w:rPr>
                      <w:rFonts w:hint="eastAsia" w:ascii="Times New Roman" w:hAnsi="Times New Roman" w:cs="Times New Roman"/>
                      <w:color w:val="auto"/>
                      <w:sz w:val="21"/>
                      <w:szCs w:val="21"/>
                      <w:highlight w:val="none"/>
                      <w:shd w:val="clear" w:color="auto" w:fill="auto"/>
                      <w:lang w:val="en-US" w:eastAsia="zh-CN"/>
                    </w:rPr>
                    <w:t>。</w:t>
                  </w:r>
                </w:p>
              </w:tc>
            </w:tr>
          </w:tbl>
          <w:p>
            <w:pPr>
              <w:numPr>
                <w:ilvl w:val="0"/>
                <w:numId w:val="0"/>
              </w:numPr>
              <w:ind w:leftChars="200"/>
              <w:rPr>
                <w:rFonts w:hint="default"/>
                <w:b/>
                <w:bCs/>
                <w:color w:val="auto"/>
                <w:highlight w:val="none"/>
                <w:lang w:val="en-US" w:eastAsia="zh-CN"/>
              </w:rPr>
            </w:pPr>
            <w:r>
              <w:rPr>
                <w:rFonts w:hint="eastAsia"/>
                <w:b/>
                <w:bCs/>
                <w:color w:val="auto"/>
                <w:highlight w:val="none"/>
                <w:lang w:val="en-US" w:eastAsia="zh-CN"/>
              </w:rPr>
              <w:t>7.2环境影响途径</w:t>
            </w:r>
          </w:p>
          <w:p>
            <w:pPr>
              <w:spacing w:line="480" w:lineRule="exact"/>
              <w:ind w:firstLine="480" w:firstLineChars="200"/>
              <w:rPr>
                <w:rFonts w:hint="default" w:ascii="Times New Roman" w:hAnsi="Times New Roman" w:eastAsia="宋体" w:cs="Times New Roman"/>
                <w:b w:val="0"/>
                <w:bCs w:val="0"/>
                <w:smallCaps w:val="0"/>
                <w:color w:val="auto"/>
                <w:spacing w:val="0"/>
                <w:position w:val="0"/>
                <w:sz w:val="24"/>
                <w:szCs w:val="24"/>
                <w:highlight w:val="none"/>
              </w:rPr>
            </w:pPr>
            <w:r>
              <w:rPr>
                <w:rFonts w:hint="default" w:ascii="Times New Roman" w:hAnsi="Times New Roman" w:eastAsia="宋体" w:cs="Times New Roman"/>
                <w:b w:val="0"/>
                <w:bCs w:val="0"/>
                <w:smallCaps w:val="0"/>
                <w:color w:val="auto"/>
                <w:spacing w:val="0"/>
                <w:position w:val="0"/>
                <w:sz w:val="24"/>
                <w:szCs w:val="24"/>
                <w:highlight w:val="none"/>
              </w:rPr>
              <w:t>本项目可能影响环境的途径分别为：</w:t>
            </w:r>
          </w:p>
          <w:p>
            <w:pPr>
              <w:pStyle w:val="44"/>
              <w:keepNext w:val="0"/>
              <w:keepLines w:val="0"/>
              <w:suppressLineNumbers w:val="0"/>
              <w:spacing w:before="0" w:beforeAutospacing="0" w:after="0" w:afterAutospacing="0"/>
              <w:ind w:left="0" w:right="0" w:firstLine="480"/>
              <w:rPr>
                <w:rFonts w:hint="default" w:ascii="Times New Roman" w:hAnsi="Times New Roman" w:eastAsia="宋体"/>
                <w:color w:val="auto"/>
                <w:kern w:val="2"/>
                <w:sz w:val="24"/>
                <w:szCs w:val="24"/>
                <w:highlight w:val="none"/>
                <w:lang w:val="en-US" w:eastAsia="zh-CN" w:bidi="ar-SA"/>
              </w:rPr>
            </w:pPr>
            <w:r>
              <w:rPr>
                <w:rFonts w:hint="default" w:ascii="Times New Roman" w:hAnsi="Times New Roman" w:eastAsia="宋体"/>
                <w:color w:val="auto"/>
                <w:kern w:val="2"/>
                <w:sz w:val="24"/>
                <w:szCs w:val="24"/>
                <w:highlight w:val="none"/>
                <w:lang w:val="en-US" w:eastAsia="zh-CN" w:bidi="ar-SA"/>
              </w:rPr>
              <w:t>泄漏事故：</w:t>
            </w:r>
            <w:r>
              <w:rPr>
                <w:rFonts w:hint="eastAsia" w:eastAsia="宋体"/>
                <w:color w:val="auto"/>
                <w:kern w:val="2"/>
                <w:sz w:val="24"/>
                <w:szCs w:val="24"/>
                <w:highlight w:val="none"/>
                <w:lang w:val="en-US" w:eastAsia="zh-CN" w:bidi="ar-SA"/>
              </w:rPr>
              <w:t>润滑油、废润滑油、异氰酸酯泄漏，</w:t>
            </w:r>
            <w:r>
              <w:rPr>
                <w:rFonts w:hint="default" w:ascii="Times New Roman" w:hAnsi="Times New Roman" w:eastAsia="宋体"/>
                <w:color w:val="auto"/>
                <w:kern w:val="2"/>
                <w:sz w:val="24"/>
                <w:szCs w:val="24"/>
                <w:highlight w:val="none"/>
                <w:lang w:val="en-US" w:eastAsia="zh-CN" w:bidi="ar-SA"/>
              </w:rPr>
              <w:t>主要为因碰撞</w:t>
            </w:r>
            <w:r>
              <w:rPr>
                <w:rFonts w:hint="eastAsia" w:eastAsia="宋体"/>
                <w:color w:val="auto"/>
                <w:kern w:val="2"/>
                <w:sz w:val="24"/>
                <w:szCs w:val="24"/>
                <w:highlight w:val="none"/>
                <w:lang w:val="en-US" w:eastAsia="zh-CN" w:bidi="ar-SA"/>
              </w:rPr>
              <w:t>、包装损坏</w:t>
            </w:r>
            <w:r>
              <w:rPr>
                <w:rFonts w:hint="default" w:ascii="Times New Roman" w:hAnsi="Times New Roman" w:eastAsia="宋体"/>
                <w:color w:val="auto"/>
                <w:kern w:val="2"/>
                <w:sz w:val="24"/>
                <w:szCs w:val="24"/>
                <w:highlight w:val="none"/>
                <w:lang w:val="en-US" w:eastAsia="zh-CN" w:bidi="ar-SA"/>
              </w:rPr>
              <w:t>等原因导致泄漏，并且未及时收集处理，导致风险物质在生产使用区及厂区地面溢流，污染地下水；因碰撞、包装不合格等原因导致</w:t>
            </w:r>
            <w:r>
              <w:rPr>
                <w:rFonts w:hint="eastAsia" w:eastAsia="宋体"/>
                <w:color w:val="auto"/>
                <w:kern w:val="2"/>
                <w:sz w:val="24"/>
                <w:szCs w:val="24"/>
                <w:highlight w:val="none"/>
                <w:lang w:val="en-US" w:eastAsia="zh-CN" w:bidi="ar-SA"/>
              </w:rPr>
              <w:t>异氰酸酯</w:t>
            </w:r>
            <w:r>
              <w:rPr>
                <w:rFonts w:hint="default" w:ascii="Times New Roman" w:hAnsi="Times New Roman" w:eastAsia="宋体"/>
                <w:color w:val="auto"/>
                <w:kern w:val="2"/>
                <w:sz w:val="24"/>
                <w:szCs w:val="24"/>
                <w:highlight w:val="none"/>
                <w:lang w:val="en-US" w:eastAsia="zh-CN" w:bidi="ar-SA"/>
              </w:rPr>
              <w:t>发生泄漏，有害物质挥发到大气中，对环境空气造成影响</w:t>
            </w:r>
            <w:r>
              <w:rPr>
                <w:rFonts w:hint="eastAsia" w:eastAsia="宋体"/>
                <w:color w:val="auto"/>
                <w:kern w:val="2"/>
                <w:sz w:val="24"/>
                <w:szCs w:val="24"/>
                <w:highlight w:val="none"/>
                <w:lang w:val="en-US" w:eastAsia="zh-CN" w:bidi="ar-SA"/>
              </w:rPr>
              <w:t>；</w:t>
            </w:r>
            <w:r>
              <w:rPr>
                <w:rFonts w:hint="default" w:ascii="Times New Roman" w:hAnsi="Times New Roman" w:eastAsia="宋体"/>
                <w:color w:val="auto"/>
                <w:kern w:val="2"/>
                <w:sz w:val="24"/>
                <w:szCs w:val="24"/>
                <w:highlight w:val="none"/>
                <w:lang w:val="en-US" w:eastAsia="zh-CN" w:bidi="ar-SA"/>
              </w:rPr>
              <w:t>或于雨天发生泄漏，随雨水散排流出厂界，对外界环境造成影响</w:t>
            </w:r>
            <w:r>
              <w:rPr>
                <w:rFonts w:hint="eastAsia" w:eastAsia="宋体"/>
                <w:color w:val="auto"/>
                <w:kern w:val="2"/>
                <w:sz w:val="24"/>
                <w:szCs w:val="24"/>
                <w:highlight w:val="none"/>
                <w:lang w:val="en-US" w:eastAsia="zh-CN" w:bidi="ar-SA"/>
              </w:rPr>
              <w:t>，液化石油气</w:t>
            </w:r>
            <w:r>
              <w:rPr>
                <w:rFonts w:hint="default" w:ascii="Times New Roman" w:hAnsi="Times New Roman" w:eastAsia="宋体"/>
                <w:color w:val="auto"/>
                <w:kern w:val="2"/>
                <w:sz w:val="24"/>
                <w:szCs w:val="24"/>
                <w:highlight w:val="none"/>
                <w:lang w:val="en-US" w:eastAsia="zh-CN" w:bidi="ar-SA"/>
              </w:rPr>
              <w:t>因碰撞</w:t>
            </w:r>
            <w:r>
              <w:rPr>
                <w:rFonts w:hint="eastAsia" w:eastAsia="宋体"/>
                <w:color w:val="auto"/>
                <w:kern w:val="2"/>
                <w:sz w:val="24"/>
                <w:szCs w:val="24"/>
                <w:highlight w:val="none"/>
                <w:lang w:val="en-US" w:eastAsia="zh-CN" w:bidi="ar-SA"/>
              </w:rPr>
              <w:t>、包装损坏</w:t>
            </w:r>
            <w:r>
              <w:rPr>
                <w:rFonts w:hint="default" w:ascii="Times New Roman" w:hAnsi="Times New Roman" w:eastAsia="宋体"/>
                <w:color w:val="auto"/>
                <w:kern w:val="2"/>
                <w:sz w:val="24"/>
                <w:szCs w:val="24"/>
                <w:highlight w:val="none"/>
                <w:lang w:val="en-US" w:eastAsia="zh-CN" w:bidi="ar-SA"/>
              </w:rPr>
              <w:t>等原因导致泄漏。</w:t>
            </w:r>
          </w:p>
          <w:p>
            <w:pPr>
              <w:bidi w:val="0"/>
              <w:rPr>
                <w:rFonts w:hint="default" w:ascii="Times New Roman" w:hAnsi="Times New Roman" w:eastAsia="宋体"/>
                <w:color w:val="auto"/>
                <w:kern w:val="2"/>
                <w:sz w:val="24"/>
                <w:szCs w:val="24"/>
                <w:highlight w:val="none"/>
                <w:lang w:val="en-US" w:eastAsia="zh-CN" w:bidi="ar-SA"/>
              </w:rPr>
            </w:pPr>
            <w:r>
              <w:rPr>
                <w:rFonts w:hint="default" w:ascii="Times New Roman" w:hAnsi="Times New Roman" w:eastAsia="宋体"/>
                <w:color w:val="auto"/>
                <w:kern w:val="2"/>
                <w:sz w:val="24"/>
                <w:szCs w:val="24"/>
                <w:highlight w:val="none"/>
                <w:lang w:val="en-US" w:eastAsia="zh-CN" w:bidi="ar-SA"/>
              </w:rPr>
              <w:t>火灾事故次生环境风险事故：火灾事故对环境的危害主要为有毒烟雾和灭火过程中产生的消防废水散流造成的次生环境污染问题，同时消防水中携带了一定量的风险物质，若不能及时收集可能排出厂界，对外界水环境造成影响。</w:t>
            </w:r>
          </w:p>
          <w:p>
            <w:pPr>
              <w:numPr>
                <w:ilvl w:val="0"/>
                <w:numId w:val="0"/>
              </w:numPr>
              <w:ind w:leftChars="200"/>
              <w:rPr>
                <w:rFonts w:hint="eastAsia"/>
                <w:b/>
                <w:bCs/>
                <w:color w:val="auto"/>
                <w:sz w:val="24"/>
                <w:szCs w:val="24"/>
                <w:highlight w:val="none"/>
                <w:lang w:val="en-US" w:eastAsia="zh-CN"/>
              </w:rPr>
            </w:pPr>
            <w:r>
              <w:rPr>
                <w:rFonts w:hint="eastAsia"/>
                <w:b/>
                <w:bCs/>
                <w:color w:val="auto"/>
                <w:sz w:val="24"/>
                <w:szCs w:val="24"/>
                <w:highlight w:val="none"/>
                <w:lang w:val="en-US" w:eastAsia="zh-CN"/>
              </w:rPr>
              <w:t>7.3环境风险分析</w:t>
            </w:r>
          </w:p>
          <w:p>
            <w:pPr>
              <w:pStyle w:val="9"/>
              <w:rPr>
                <w:rFonts w:hint="default" w:ascii="Times New Roman" w:hAnsi="Times New Roman" w:eastAsia="宋体"/>
                <w:color w:val="auto"/>
                <w:kern w:val="2"/>
                <w:sz w:val="24"/>
                <w:szCs w:val="24"/>
                <w:highlight w:val="none"/>
                <w:lang w:val="en-US" w:eastAsia="zh-CN" w:bidi="ar-SA"/>
              </w:rPr>
            </w:pPr>
            <w:r>
              <w:rPr>
                <w:rFonts w:hint="default" w:ascii="Times New Roman" w:hAnsi="Times New Roman" w:eastAsia="宋体"/>
                <w:color w:val="auto"/>
                <w:kern w:val="2"/>
                <w:sz w:val="24"/>
                <w:szCs w:val="24"/>
                <w:highlight w:val="none"/>
                <w:lang w:val="en-US" w:eastAsia="zh-CN" w:bidi="ar-SA"/>
              </w:rPr>
              <w:t>泄漏事故：</w:t>
            </w:r>
            <w:r>
              <w:rPr>
                <w:rFonts w:hint="eastAsia"/>
                <w:color w:val="auto"/>
                <w:highlight w:val="none"/>
                <w:lang w:val="en-US" w:eastAsia="zh-CN"/>
              </w:rPr>
              <w:t>本项目风险物质储存量较小，异氰酸酯发生</w:t>
            </w:r>
            <w:r>
              <w:rPr>
                <w:rFonts w:hint="default"/>
                <w:color w:val="auto"/>
                <w:highlight w:val="none"/>
                <w:lang w:val="en-US" w:eastAsia="zh-CN"/>
              </w:rPr>
              <w:t>泄漏，</w:t>
            </w:r>
            <w:r>
              <w:rPr>
                <w:rFonts w:hint="eastAsia"/>
                <w:color w:val="auto"/>
                <w:highlight w:val="none"/>
                <w:lang w:val="en-US" w:eastAsia="zh-CN"/>
              </w:rPr>
              <w:t>导致有害物质挥发到大气中的量很低，对环境空气影响不大；</w:t>
            </w:r>
            <w:r>
              <w:rPr>
                <w:rFonts w:hint="default" w:ascii="Times New Roman" w:hAnsi="Times New Roman" w:eastAsia="宋体"/>
                <w:color w:val="auto"/>
                <w:kern w:val="2"/>
                <w:sz w:val="24"/>
                <w:szCs w:val="24"/>
                <w:highlight w:val="none"/>
                <w:lang w:val="en-US" w:eastAsia="zh-CN" w:bidi="ar-SA"/>
              </w:rPr>
              <w:t>风险物质在</w:t>
            </w:r>
            <w:r>
              <w:rPr>
                <w:rFonts w:hint="eastAsia" w:ascii="Times New Roman" w:hAnsi="Times New Roman" w:eastAsia="宋体"/>
                <w:color w:val="auto"/>
                <w:kern w:val="2"/>
                <w:sz w:val="24"/>
                <w:szCs w:val="24"/>
                <w:highlight w:val="none"/>
                <w:lang w:val="en-US" w:eastAsia="zh-CN" w:bidi="ar-SA"/>
              </w:rPr>
              <w:t>储存区、</w:t>
            </w:r>
            <w:r>
              <w:rPr>
                <w:rFonts w:hint="default" w:ascii="Times New Roman" w:hAnsi="Times New Roman" w:eastAsia="宋体"/>
                <w:color w:val="auto"/>
                <w:kern w:val="2"/>
                <w:sz w:val="24"/>
                <w:szCs w:val="24"/>
                <w:highlight w:val="none"/>
                <w:lang w:val="en-US" w:eastAsia="zh-CN" w:bidi="ar-SA"/>
              </w:rPr>
              <w:t>生产使用区泄漏时，</w:t>
            </w:r>
            <w:r>
              <w:rPr>
                <w:rFonts w:hint="eastAsia" w:ascii="Times New Roman" w:hAnsi="Times New Roman" w:eastAsia="宋体"/>
                <w:color w:val="auto"/>
                <w:kern w:val="2"/>
                <w:sz w:val="24"/>
                <w:szCs w:val="24"/>
                <w:highlight w:val="none"/>
                <w:lang w:val="en-US" w:eastAsia="zh-CN" w:bidi="ar-SA"/>
              </w:rPr>
              <w:t>储存区、</w:t>
            </w:r>
            <w:r>
              <w:rPr>
                <w:rFonts w:hint="default" w:ascii="Times New Roman" w:hAnsi="Times New Roman" w:eastAsia="宋体"/>
                <w:color w:val="auto"/>
                <w:kern w:val="2"/>
                <w:sz w:val="24"/>
                <w:szCs w:val="24"/>
                <w:highlight w:val="none"/>
                <w:lang w:val="en-US" w:eastAsia="zh-CN" w:bidi="ar-SA"/>
              </w:rPr>
              <w:t>生产使用区设置防渗、防流失措施，不会溢流出</w:t>
            </w:r>
            <w:r>
              <w:rPr>
                <w:rFonts w:hint="eastAsia"/>
                <w:color w:val="auto"/>
                <w:kern w:val="2"/>
                <w:sz w:val="24"/>
                <w:szCs w:val="24"/>
                <w:highlight w:val="none"/>
                <w:lang w:val="en-US" w:eastAsia="zh-CN" w:bidi="ar-SA"/>
              </w:rPr>
              <w:t>储存区、</w:t>
            </w:r>
            <w:r>
              <w:rPr>
                <w:rFonts w:hint="default" w:ascii="Times New Roman" w:hAnsi="Times New Roman" w:eastAsia="宋体"/>
                <w:color w:val="auto"/>
                <w:kern w:val="2"/>
                <w:sz w:val="24"/>
                <w:szCs w:val="24"/>
                <w:highlight w:val="none"/>
                <w:lang w:val="en-US" w:eastAsia="zh-CN" w:bidi="ar-SA"/>
              </w:rPr>
              <w:t>生产使用区，不会对外界环境产生影响。风险物质在厂区运输过程泄漏，泄漏量较小，能够将泄漏物围堵在厂区范围内，基本不会对外部水环境产生影响</w:t>
            </w:r>
            <w:r>
              <w:rPr>
                <w:rFonts w:hint="eastAsia" w:eastAsia="宋体"/>
                <w:color w:val="auto"/>
                <w:highlight w:val="none"/>
                <w:lang w:val="en-US" w:eastAsia="zh-CN"/>
              </w:rPr>
              <w:t>。</w:t>
            </w:r>
          </w:p>
          <w:p>
            <w:pPr>
              <w:bidi w:val="0"/>
              <w:rPr>
                <w:rFonts w:hint="default" w:ascii="Times New Roman" w:hAnsi="Times New Roman" w:eastAsia="宋体"/>
                <w:color w:val="auto"/>
                <w:kern w:val="2"/>
                <w:sz w:val="24"/>
                <w:szCs w:val="24"/>
                <w:highlight w:val="none"/>
                <w:lang w:val="en-US" w:eastAsia="zh-CN" w:bidi="ar-SA"/>
              </w:rPr>
            </w:pPr>
            <w:r>
              <w:rPr>
                <w:rFonts w:hint="default" w:ascii="Times New Roman" w:hAnsi="Times New Roman" w:eastAsia="宋体"/>
                <w:color w:val="auto"/>
                <w:kern w:val="2"/>
                <w:sz w:val="24"/>
                <w:szCs w:val="24"/>
                <w:highlight w:val="none"/>
                <w:lang w:val="en-US" w:eastAsia="zh-CN" w:bidi="ar-SA"/>
              </w:rPr>
              <w:t>火灾本身是安全事故，但会产生消防废水，最坏情景是消防废水未控制住溢漏出厂外，本项目泄漏量小，对环境影响不大。</w:t>
            </w:r>
          </w:p>
          <w:p>
            <w:pPr>
              <w:bidi w:val="0"/>
              <w:rPr>
                <w:rFonts w:hint="default" w:eastAsia="宋体"/>
                <w:color w:val="auto"/>
                <w:sz w:val="24"/>
                <w:szCs w:val="24"/>
                <w:highlight w:val="none"/>
                <w:lang w:val="en-US" w:eastAsia="zh-CN"/>
              </w:rPr>
            </w:pPr>
            <w:r>
              <w:rPr>
                <w:rFonts w:hint="eastAsia"/>
                <w:b/>
                <w:bCs/>
                <w:color w:val="auto"/>
                <w:sz w:val="24"/>
                <w:szCs w:val="24"/>
                <w:highlight w:val="none"/>
                <w:lang w:val="en-US" w:eastAsia="zh-CN"/>
              </w:rPr>
              <w:t>7.4环境风险防范措施及应急措施</w:t>
            </w:r>
          </w:p>
          <w:p>
            <w:pPr>
              <w:pStyle w:val="44"/>
              <w:keepNext w:val="0"/>
              <w:keepLines w:val="0"/>
              <w:suppressLineNumbers w:val="0"/>
              <w:spacing w:before="0" w:beforeAutospacing="0" w:after="0" w:afterAutospacing="0"/>
              <w:ind w:left="0" w:right="0" w:firstLine="480"/>
              <w:rPr>
                <w:rFonts w:hint="eastAsia" w:eastAsia="宋体"/>
                <w:color w:val="auto"/>
                <w:kern w:val="2"/>
                <w:sz w:val="24"/>
                <w:szCs w:val="24"/>
                <w:highlight w:val="none"/>
                <w:lang w:val="en-US" w:eastAsia="zh-CN" w:bidi="ar-SA"/>
              </w:rPr>
            </w:pPr>
            <w:r>
              <w:rPr>
                <w:rFonts w:hint="eastAsia" w:eastAsia="宋体"/>
                <w:color w:val="auto"/>
                <w:kern w:val="2"/>
                <w:sz w:val="24"/>
                <w:szCs w:val="24"/>
                <w:highlight w:val="none"/>
                <w:lang w:val="en-US" w:eastAsia="zh-CN" w:bidi="ar-SA"/>
              </w:rPr>
              <w:t>（1）风险防范措施</w:t>
            </w:r>
          </w:p>
          <w:p>
            <w:pPr>
              <w:pStyle w:val="44"/>
              <w:keepNext w:val="0"/>
              <w:keepLines w:val="0"/>
              <w:suppressLineNumbers w:val="0"/>
              <w:spacing w:before="0" w:beforeAutospacing="0" w:after="0" w:afterAutospacing="0"/>
              <w:ind w:left="0" w:right="0" w:firstLine="480"/>
              <w:rPr>
                <w:rFonts w:hint="default" w:ascii="Times New Roman" w:hAnsi="Times New Roman" w:eastAsia="宋体"/>
                <w:color w:val="auto"/>
                <w:kern w:val="2"/>
                <w:sz w:val="24"/>
                <w:szCs w:val="24"/>
                <w:highlight w:val="none"/>
                <w:lang w:val="en-US" w:eastAsia="zh-CN" w:bidi="ar-SA"/>
              </w:rPr>
            </w:pPr>
            <w:r>
              <w:rPr>
                <w:rFonts w:hint="eastAsia" w:eastAsia="宋体"/>
                <w:color w:val="auto"/>
                <w:kern w:val="2"/>
                <w:sz w:val="24"/>
                <w:szCs w:val="24"/>
                <w:highlight w:val="none"/>
                <w:lang w:val="en-US" w:eastAsia="zh-CN" w:bidi="ar-SA"/>
              </w:rPr>
              <w:t>企业储存的润滑油、异氰酸酯密闭桶装储存于危险品储存区，废润滑油桶装加盖，储存于危废间，</w:t>
            </w:r>
            <w:r>
              <w:rPr>
                <w:rFonts w:hint="eastAsia" w:ascii="Times New Roman" w:hAnsi="Times New Roman" w:eastAsia="宋体" w:cs="Times New Roman"/>
                <w:color w:val="auto"/>
                <w:sz w:val="24"/>
                <w:szCs w:val="21"/>
                <w:highlight w:val="none"/>
                <w:shd w:val="clear" w:color="auto" w:fill="auto"/>
                <w:lang w:val="en-US" w:eastAsia="zh-CN"/>
              </w:rPr>
              <w:t>使用</w:t>
            </w:r>
            <w:r>
              <w:rPr>
                <w:rFonts w:hint="eastAsia" w:eastAsia="宋体" w:cs="Times New Roman"/>
                <w:color w:val="auto"/>
                <w:sz w:val="24"/>
                <w:szCs w:val="21"/>
                <w:highlight w:val="none"/>
                <w:shd w:val="clear" w:color="auto" w:fill="auto"/>
                <w:lang w:val="en-US" w:eastAsia="zh-CN"/>
              </w:rPr>
              <w:t>润滑</w:t>
            </w:r>
            <w:r>
              <w:rPr>
                <w:rFonts w:hint="eastAsia" w:ascii="Times New Roman" w:hAnsi="Times New Roman" w:eastAsia="宋体" w:cs="Times New Roman"/>
                <w:color w:val="auto"/>
                <w:sz w:val="24"/>
                <w:szCs w:val="21"/>
                <w:highlight w:val="none"/>
                <w:shd w:val="clear" w:color="auto" w:fill="auto"/>
                <w:lang w:val="en-US" w:eastAsia="zh-CN"/>
              </w:rPr>
              <w:t>油</w:t>
            </w:r>
            <w:r>
              <w:rPr>
                <w:rFonts w:hint="eastAsia" w:eastAsia="宋体" w:cs="Times New Roman"/>
                <w:color w:val="auto"/>
                <w:sz w:val="24"/>
                <w:szCs w:val="21"/>
                <w:highlight w:val="none"/>
                <w:shd w:val="clear" w:color="auto" w:fill="auto"/>
                <w:lang w:val="en-US" w:eastAsia="zh-CN"/>
              </w:rPr>
              <w:t>维护保养</w:t>
            </w:r>
            <w:r>
              <w:rPr>
                <w:rFonts w:hint="eastAsia" w:ascii="Times New Roman" w:hAnsi="Times New Roman" w:eastAsia="宋体" w:cs="Times New Roman"/>
                <w:color w:val="auto"/>
                <w:sz w:val="24"/>
                <w:szCs w:val="21"/>
                <w:highlight w:val="none"/>
                <w:shd w:val="clear" w:color="auto" w:fill="auto"/>
                <w:lang w:val="en-US" w:eastAsia="zh-CN"/>
              </w:rPr>
              <w:t>的</w:t>
            </w:r>
            <w:r>
              <w:rPr>
                <w:rFonts w:hint="eastAsia" w:ascii="Times New Roman" w:hAnsi="Times New Roman" w:eastAsia="宋体" w:cs="Times New Roman"/>
                <w:color w:val="auto"/>
                <w:sz w:val="24"/>
                <w:szCs w:val="21"/>
                <w:highlight w:val="none"/>
                <w:shd w:val="clear" w:color="auto" w:fill="auto"/>
                <w:lang w:eastAsia="zh-CN"/>
              </w:rPr>
              <w:t>设备下设托盘</w:t>
            </w:r>
            <w:r>
              <w:rPr>
                <w:rFonts w:hint="eastAsia" w:eastAsia="宋体"/>
                <w:color w:val="auto"/>
                <w:kern w:val="2"/>
                <w:sz w:val="24"/>
                <w:szCs w:val="24"/>
                <w:highlight w:val="none"/>
                <w:lang w:val="en-US" w:eastAsia="zh-CN" w:bidi="ar-SA"/>
              </w:rPr>
              <w:t>，并</w:t>
            </w:r>
            <w:r>
              <w:rPr>
                <w:rFonts w:hint="default" w:ascii="Times New Roman" w:hAnsi="Times New Roman" w:eastAsia="宋体"/>
                <w:color w:val="auto"/>
                <w:kern w:val="2"/>
                <w:sz w:val="24"/>
                <w:szCs w:val="24"/>
                <w:highlight w:val="none"/>
                <w:lang w:val="en-US" w:eastAsia="zh-CN" w:bidi="ar-SA"/>
              </w:rPr>
              <w:t>配备相应的设备和抢险设施</w:t>
            </w:r>
            <w:r>
              <w:rPr>
                <w:rFonts w:hint="eastAsia" w:eastAsia="宋体"/>
                <w:color w:val="auto"/>
                <w:kern w:val="2"/>
                <w:sz w:val="24"/>
                <w:szCs w:val="24"/>
                <w:highlight w:val="none"/>
                <w:lang w:val="en-US" w:eastAsia="zh-CN" w:bidi="ar-SA"/>
              </w:rPr>
              <w:t>，</w:t>
            </w:r>
            <w:r>
              <w:rPr>
                <w:rFonts w:hint="default" w:ascii="Times New Roman" w:hAnsi="Times New Roman" w:eastAsia="宋体"/>
                <w:color w:val="auto"/>
                <w:kern w:val="2"/>
                <w:sz w:val="24"/>
                <w:szCs w:val="24"/>
                <w:highlight w:val="none"/>
                <w:lang w:val="en-US" w:eastAsia="zh-CN" w:bidi="ar-SA"/>
              </w:rPr>
              <w:t>风险物质</w:t>
            </w:r>
            <w:r>
              <w:rPr>
                <w:rFonts w:hint="eastAsia" w:eastAsia="宋体"/>
                <w:color w:val="auto"/>
                <w:kern w:val="2"/>
                <w:sz w:val="24"/>
                <w:szCs w:val="24"/>
                <w:highlight w:val="none"/>
                <w:lang w:val="en-US" w:eastAsia="zh-CN" w:bidi="ar-SA"/>
              </w:rPr>
              <w:t>使用</w:t>
            </w:r>
            <w:r>
              <w:rPr>
                <w:rFonts w:hint="default" w:ascii="Times New Roman" w:hAnsi="Times New Roman" w:eastAsia="宋体"/>
                <w:color w:val="auto"/>
                <w:kern w:val="2"/>
                <w:sz w:val="24"/>
                <w:szCs w:val="24"/>
                <w:highlight w:val="none"/>
                <w:lang w:val="en-US" w:eastAsia="zh-CN" w:bidi="ar-SA"/>
              </w:rPr>
              <w:t>区有防扬散、防流失、防渗漏等防治措施并参照国家标准《危险废物贮存污染控制标准》</w:t>
            </w:r>
            <w:r>
              <w:rPr>
                <w:rFonts w:hint="eastAsia" w:ascii="Times New Roman" w:hAnsi="Times New Roman" w:eastAsia="宋体"/>
                <w:color w:val="auto"/>
                <w:kern w:val="2"/>
                <w:sz w:val="24"/>
                <w:szCs w:val="24"/>
                <w:highlight w:val="none"/>
                <w:lang w:val="en-US" w:eastAsia="zh-CN" w:bidi="ar-SA"/>
              </w:rPr>
              <w:t>（</w:t>
            </w:r>
            <w:r>
              <w:rPr>
                <w:rFonts w:hint="default" w:ascii="Times New Roman" w:hAnsi="Times New Roman" w:eastAsia="宋体"/>
                <w:color w:val="auto"/>
                <w:kern w:val="2"/>
                <w:sz w:val="24"/>
                <w:szCs w:val="24"/>
                <w:highlight w:val="none"/>
                <w:lang w:val="en-US" w:eastAsia="zh-CN" w:bidi="ar-SA"/>
              </w:rPr>
              <w:t>GB</w:t>
            </w:r>
            <w:r>
              <w:rPr>
                <w:rFonts w:hint="eastAsia" w:ascii="Times New Roman" w:hAnsi="Times New Roman" w:eastAsia="宋体"/>
                <w:color w:val="auto"/>
                <w:kern w:val="2"/>
                <w:sz w:val="24"/>
                <w:szCs w:val="24"/>
                <w:highlight w:val="none"/>
                <w:lang w:val="en-US" w:eastAsia="zh-CN" w:bidi="ar-SA"/>
              </w:rPr>
              <w:t xml:space="preserve"> </w:t>
            </w:r>
            <w:r>
              <w:rPr>
                <w:rFonts w:hint="default" w:ascii="Times New Roman" w:hAnsi="Times New Roman" w:eastAsia="宋体"/>
                <w:color w:val="auto"/>
                <w:kern w:val="2"/>
                <w:sz w:val="24"/>
                <w:szCs w:val="24"/>
                <w:highlight w:val="none"/>
                <w:lang w:val="en-US" w:eastAsia="zh-CN" w:bidi="ar-SA"/>
              </w:rPr>
              <w:t>18597-20</w:t>
            </w:r>
            <w:r>
              <w:rPr>
                <w:rFonts w:hint="eastAsia" w:eastAsia="宋体"/>
                <w:color w:val="auto"/>
                <w:kern w:val="2"/>
                <w:sz w:val="24"/>
                <w:szCs w:val="24"/>
                <w:highlight w:val="none"/>
                <w:lang w:val="en-US" w:eastAsia="zh-CN" w:bidi="ar-SA"/>
              </w:rPr>
              <w:t>23</w:t>
            </w:r>
            <w:r>
              <w:rPr>
                <w:rFonts w:hint="eastAsia" w:ascii="Times New Roman" w:hAnsi="Times New Roman" w:eastAsia="宋体"/>
                <w:color w:val="auto"/>
                <w:kern w:val="2"/>
                <w:sz w:val="24"/>
                <w:szCs w:val="24"/>
                <w:highlight w:val="none"/>
                <w:lang w:val="en-US" w:eastAsia="zh-CN" w:bidi="ar-SA"/>
              </w:rPr>
              <w:t>）</w:t>
            </w:r>
            <w:r>
              <w:rPr>
                <w:rFonts w:hint="default" w:ascii="Times New Roman" w:hAnsi="Times New Roman" w:eastAsia="宋体"/>
                <w:color w:val="auto"/>
                <w:kern w:val="2"/>
                <w:sz w:val="24"/>
                <w:szCs w:val="24"/>
                <w:highlight w:val="none"/>
                <w:lang w:val="en-US" w:eastAsia="zh-CN" w:bidi="ar-SA"/>
              </w:rPr>
              <w:t>和《危险废物收集贮存运输技术规范》</w:t>
            </w:r>
            <w:r>
              <w:rPr>
                <w:rFonts w:hint="eastAsia" w:ascii="Times New Roman" w:hAnsi="Times New Roman" w:eastAsia="宋体"/>
                <w:color w:val="auto"/>
                <w:kern w:val="2"/>
                <w:sz w:val="24"/>
                <w:szCs w:val="24"/>
                <w:highlight w:val="none"/>
                <w:lang w:val="en-US" w:eastAsia="zh-CN" w:bidi="ar-SA"/>
              </w:rPr>
              <w:t>（</w:t>
            </w:r>
            <w:r>
              <w:rPr>
                <w:rFonts w:hint="default" w:ascii="Times New Roman" w:hAnsi="Times New Roman" w:eastAsia="宋体"/>
                <w:color w:val="auto"/>
                <w:kern w:val="2"/>
                <w:sz w:val="24"/>
                <w:szCs w:val="24"/>
                <w:highlight w:val="none"/>
                <w:lang w:val="en-US" w:eastAsia="zh-CN" w:bidi="ar-SA"/>
              </w:rPr>
              <w:t>HJ</w:t>
            </w:r>
            <w:r>
              <w:rPr>
                <w:rFonts w:hint="eastAsia" w:ascii="Times New Roman" w:hAnsi="Times New Roman" w:eastAsia="宋体"/>
                <w:color w:val="auto"/>
                <w:kern w:val="2"/>
                <w:sz w:val="24"/>
                <w:szCs w:val="24"/>
                <w:highlight w:val="none"/>
                <w:lang w:val="en-US" w:eastAsia="zh-CN" w:bidi="ar-SA"/>
              </w:rPr>
              <w:t xml:space="preserve"> </w:t>
            </w:r>
            <w:r>
              <w:rPr>
                <w:rFonts w:hint="default" w:ascii="Times New Roman" w:hAnsi="Times New Roman" w:eastAsia="宋体"/>
                <w:color w:val="auto"/>
                <w:kern w:val="2"/>
                <w:sz w:val="24"/>
                <w:szCs w:val="24"/>
                <w:highlight w:val="none"/>
                <w:lang w:val="en-US" w:eastAsia="zh-CN" w:bidi="ar-SA"/>
              </w:rPr>
              <w:t>2025-2012</w:t>
            </w:r>
            <w:r>
              <w:rPr>
                <w:rFonts w:hint="eastAsia" w:ascii="Times New Roman" w:hAnsi="Times New Roman" w:eastAsia="宋体"/>
                <w:color w:val="auto"/>
                <w:kern w:val="2"/>
                <w:sz w:val="24"/>
                <w:szCs w:val="24"/>
                <w:highlight w:val="none"/>
                <w:lang w:val="en-US" w:eastAsia="zh-CN" w:bidi="ar-SA"/>
              </w:rPr>
              <w:t>）</w:t>
            </w:r>
            <w:r>
              <w:rPr>
                <w:rFonts w:hint="default" w:ascii="Times New Roman" w:hAnsi="Times New Roman" w:eastAsia="宋体"/>
                <w:color w:val="auto"/>
                <w:kern w:val="2"/>
                <w:sz w:val="24"/>
                <w:szCs w:val="24"/>
                <w:highlight w:val="none"/>
                <w:lang w:val="en-US" w:eastAsia="zh-CN" w:bidi="ar-SA"/>
              </w:rPr>
              <w:t>的要求进行设计。门口设置围挡或斜坡，如果发生泄漏事故，确保风险物质不会溢流出上述区域，避免对水环境、土壤和大气环境造成影响。</w:t>
            </w:r>
          </w:p>
          <w:p>
            <w:pPr>
              <w:bidi w:val="0"/>
              <w:rPr>
                <w:rFonts w:hint="default"/>
                <w:color w:val="auto"/>
                <w:highlight w:val="none"/>
                <w:lang w:val="en-US" w:eastAsia="zh-CN"/>
              </w:rPr>
            </w:pPr>
            <w:r>
              <w:rPr>
                <w:rFonts w:hint="default"/>
                <w:color w:val="auto"/>
                <w:highlight w:val="none"/>
                <w:lang w:val="en-US" w:eastAsia="zh-CN"/>
              </w:rPr>
              <w:t>当发生事故时，为不使事故扩大，防止二次灾害的发生，要求及时抢险抢修，必须对各种险情进行事故前预测，保证抢险队伍的素质，遇险时应及时与当地消防部门取得联系，以获得有力支持。</w:t>
            </w:r>
          </w:p>
          <w:p>
            <w:pPr>
              <w:bidi w:val="0"/>
              <w:rPr>
                <w:rFonts w:hint="default"/>
                <w:color w:val="auto"/>
                <w:highlight w:val="none"/>
                <w:lang w:val="en-US" w:eastAsia="zh-CN"/>
              </w:rPr>
            </w:pPr>
            <w:r>
              <w:rPr>
                <w:rFonts w:hint="default"/>
                <w:color w:val="auto"/>
                <w:highlight w:val="none"/>
                <w:lang w:val="en-US" w:eastAsia="zh-CN"/>
              </w:rPr>
              <w:t>项目在运营中应确保正确操作和正常运行，在操作运行方面要求工作人员必须进行岗前专业培训，严格执行安全生产操作规程，进行安全性专业维护和保养，对安全设备进行定期校验，确保安全生产。同时建立夜间值班巡查制度、安全奖惩制度等。</w:t>
            </w:r>
          </w:p>
          <w:p>
            <w:pPr>
              <w:bidi w:val="0"/>
              <w:rPr>
                <w:rFonts w:hint="default"/>
                <w:color w:val="auto"/>
                <w:highlight w:val="none"/>
                <w:lang w:val="en-US" w:eastAsia="zh-CN"/>
              </w:rPr>
            </w:pPr>
            <w:r>
              <w:rPr>
                <w:rFonts w:hint="default"/>
                <w:color w:val="auto"/>
                <w:highlight w:val="none"/>
                <w:lang w:val="en-US" w:eastAsia="zh-CN"/>
              </w:rPr>
              <w:t>企业应建立健全防范制度，加强监督管理，规范操作，这类事故发生的概率处于可接受范围内。</w:t>
            </w:r>
          </w:p>
          <w:p>
            <w:pPr>
              <w:bidi w:val="0"/>
              <w:rPr>
                <w:rFonts w:hint="default"/>
                <w:color w:val="auto"/>
                <w:highlight w:val="none"/>
                <w:lang w:val="en-US" w:eastAsia="zh-CN"/>
              </w:rPr>
            </w:pPr>
            <w:r>
              <w:rPr>
                <w:rFonts w:hint="eastAsia"/>
                <w:color w:val="auto"/>
                <w:highlight w:val="none"/>
                <w:lang w:val="en-US" w:eastAsia="zh-CN"/>
              </w:rPr>
              <w:t>（2）</w:t>
            </w:r>
            <w:r>
              <w:rPr>
                <w:rFonts w:hint="default"/>
                <w:color w:val="auto"/>
                <w:highlight w:val="none"/>
                <w:lang w:val="en-US" w:eastAsia="zh-CN"/>
              </w:rPr>
              <w:t>应急措施</w:t>
            </w:r>
          </w:p>
          <w:p>
            <w:pPr>
              <w:bidi w:val="0"/>
              <w:rPr>
                <w:rFonts w:hint="default"/>
                <w:color w:val="auto"/>
                <w:highlight w:val="none"/>
                <w:lang w:val="en-US" w:eastAsia="zh-CN"/>
              </w:rPr>
            </w:pPr>
            <w:r>
              <w:rPr>
                <w:rFonts w:hint="eastAsia"/>
                <w:color w:val="auto"/>
                <w:highlight w:val="none"/>
                <w:lang w:val="en-US" w:eastAsia="zh-CN"/>
              </w:rPr>
              <w:t>润滑油、废润滑油、异氰酸酯</w:t>
            </w:r>
            <w:r>
              <w:rPr>
                <w:rFonts w:hint="default"/>
                <w:color w:val="auto"/>
                <w:highlight w:val="none"/>
                <w:lang w:val="en-US" w:eastAsia="zh-CN"/>
              </w:rPr>
              <w:t>发生</w:t>
            </w:r>
            <w:r>
              <w:rPr>
                <w:rFonts w:hint="eastAsia"/>
                <w:color w:val="auto"/>
                <w:highlight w:val="none"/>
                <w:lang w:val="en-US" w:eastAsia="zh-CN"/>
              </w:rPr>
              <w:t>泄漏</w:t>
            </w:r>
            <w:r>
              <w:rPr>
                <w:rFonts w:hint="default"/>
                <w:color w:val="auto"/>
                <w:highlight w:val="none"/>
                <w:lang w:val="en-US" w:eastAsia="zh-CN"/>
              </w:rPr>
              <w:t>，通过工作人员或视频监控人员预警，根据现场情况将沙土</w:t>
            </w:r>
            <w:r>
              <w:rPr>
                <w:rFonts w:hint="eastAsia"/>
                <w:color w:val="auto"/>
                <w:highlight w:val="none"/>
                <w:lang w:val="en-US" w:eastAsia="zh-CN"/>
              </w:rPr>
              <w:t>、</w:t>
            </w:r>
            <w:r>
              <w:rPr>
                <w:rFonts w:hint="default"/>
                <w:color w:val="auto"/>
                <w:highlight w:val="none"/>
                <w:lang w:val="en-US" w:eastAsia="zh-CN"/>
              </w:rPr>
              <w:t>沙袋等运至</w:t>
            </w:r>
            <w:r>
              <w:rPr>
                <w:rFonts w:hint="eastAsia"/>
                <w:color w:val="auto"/>
                <w:highlight w:val="none"/>
                <w:lang w:val="en-US" w:eastAsia="zh-CN"/>
              </w:rPr>
              <w:t>事</w:t>
            </w:r>
            <w:r>
              <w:rPr>
                <w:rFonts w:hint="default"/>
                <w:color w:val="auto"/>
                <w:highlight w:val="none"/>
                <w:lang w:val="en-US" w:eastAsia="zh-CN"/>
              </w:rPr>
              <w:t>发现场进行现场环境应急处置，利用沙袋先进行溢流的围堵，避免污染面积扩散，用吸附材料吸收泄漏液体，然后移至安全地区，能够有效防止事故扩大。当风险物质泄漏至雨水管网时，应急组对厂区雨水排口进行封堵，防止泄漏物泄漏</w:t>
            </w:r>
            <w:r>
              <w:rPr>
                <w:rFonts w:hint="eastAsia"/>
                <w:color w:val="auto"/>
                <w:highlight w:val="none"/>
                <w:lang w:val="en-US" w:eastAsia="zh-CN"/>
              </w:rPr>
              <w:t>至</w:t>
            </w:r>
            <w:r>
              <w:rPr>
                <w:rFonts w:hint="default"/>
                <w:color w:val="auto"/>
                <w:highlight w:val="none"/>
                <w:lang w:val="en-US" w:eastAsia="zh-CN"/>
              </w:rPr>
              <w:t>厂区外。一旦泄漏</w:t>
            </w:r>
            <w:r>
              <w:rPr>
                <w:rFonts w:hint="eastAsia"/>
                <w:color w:val="auto"/>
                <w:highlight w:val="none"/>
                <w:lang w:val="en-US" w:eastAsia="zh-CN"/>
              </w:rPr>
              <w:t>至</w:t>
            </w:r>
            <w:r>
              <w:rPr>
                <w:rFonts w:hint="default"/>
                <w:color w:val="auto"/>
                <w:highlight w:val="none"/>
                <w:lang w:val="en-US" w:eastAsia="zh-CN"/>
              </w:rPr>
              <w:t>厂区外，企业应告知当地政府、生态环境局、环境保护监测站等进行处理。</w:t>
            </w:r>
          </w:p>
          <w:p>
            <w:pPr>
              <w:bidi w:val="0"/>
              <w:rPr>
                <w:rFonts w:hint="default"/>
                <w:color w:val="auto"/>
                <w:highlight w:val="none"/>
                <w:lang w:val="en-US" w:eastAsia="zh-CN"/>
              </w:rPr>
            </w:pPr>
            <w:r>
              <w:rPr>
                <w:rFonts w:hint="eastAsia"/>
                <w:color w:val="auto"/>
                <w:highlight w:val="none"/>
                <w:lang w:val="en-US" w:eastAsia="zh-CN"/>
              </w:rPr>
              <w:t>根据收集资料和调查可知，唐山烯彤科技有限公司的突发环境事件应急预案已于2021年01月21日完成备案，唐山市生态环境局高新技术产业开发区分局予以备案，备案编号为130262-2021-002-L。现有工程厂区内的环境风险防范措施及应急措施总体可行，建设单位应结合本项目存在的环境风险，新增的环境风险物质、储存情况、影响途径以及风险防范措施和应急措施对突发环境应急预案进行修编。</w:t>
            </w:r>
          </w:p>
          <w:p>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textAlignment w:val="auto"/>
              <w:rPr>
                <w:rFonts w:hint="default"/>
                <w:b/>
                <w:bCs/>
                <w:color w:val="auto"/>
                <w:highlight w:val="none"/>
                <w:lang w:val="en-US" w:eastAsia="zh-CN"/>
              </w:rPr>
            </w:pPr>
            <w:r>
              <w:rPr>
                <w:rFonts w:hint="eastAsia"/>
                <w:b/>
                <w:bCs/>
                <w:color w:val="auto"/>
                <w:highlight w:val="none"/>
                <w:lang w:val="en-US" w:eastAsia="zh-CN"/>
              </w:rPr>
              <w:t>8、电磁辐射</w:t>
            </w:r>
          </w:p>
          <w:p>
            <w:pPr>
              <w:rPr>
                <w:rFonts w:hint="default"/>
                <w:color w:val="auto"/>
                <w:highlight w:val="none"/>
                <w:lang w:val="en-US" w:eastAsia="zh-CN"/>
              </w:rPr>
            </w:pPr>
            <w:r>
              <w:rPr>
                <w:rFonts w:hint="default"/>
                <w:color w:val="auto"/>
                <w:highlight w:val="none"/>
                <w:lang w:val="en-US" w:eastAsia="zh-CN"/>
              </w:rPr>
              <w:t>本项目不涉及电磁辐射源，即不会对项目所在区环境产生相应的电磁辐射影响。</w:t>
            </w: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tc>
      </w:tr>
    </w:tbl>
    <w:p>
      <w:pPr>
        <w:pStyle w:val="21"/>
        <w:keepNext w:val="0"/>
        <w:keepLines w:val="0"/>
        <w:pageBreakBefore w:val="0"/>
        <w:widowControl/>
        <w:kinsoku/>
        <w:wordWrap/>
        <w:overflowPunct/>
        <w:topLinePunct w:val="0"/>
        <w:autoSpaceDE/>
        <w:autoSpaceDN/>
        <w:bidi w:val="0"/>
        <w:adjustRightInd/>
        <w:snapToGrid/>
        <w:ind w:firstLine="0" w:firstLineChars="0"/>
        <w:jc w:val="center"/>
        <w:textAlignment w:val="auto"/>
        <w:outlineLvl w:val="0"/>
        <w:rPr>
          <w:rFonts w:ascii="黑体" w:hAnsi="黑体" w:eastAsia="黑体"/>
          <w:snapToGrid w:val="0"/>
          <w:color w:val="auto"/>
          <w:sz w:val="24"/>
          <w:szCs w:val="24"/>
          <w:highlight w:val="none"/>
        </w:rPr>
      </w:pPr>
      <w:r>
        <w:rPr>
          <w:rFonts w:hint="eastAsia" w:ascii="黑体" w:hAnsi="黑体" w:eastAsia="黑体"/>
          <w:snapToGrid w:val="0"/>
          <w:color w:val="auto"/>
          <w:sz w:val="24"/>
          <w:szCs w:val="24"/>
          <w:highlight w:val="none"/>
        </w:rPr>
        <w:t>五、</w:t>
      </w:r>
      <w:bookmarkStart w:id="7" w:name="_Hlk54167917"/>
      <w:r>
        <w:rPr>
          <w:rFonts w:hint="eastAsia" w:ascii="黑体" w:hAnsi="黑体" w:eastAsia="黑体"/>
          <w:snapToGrid w:val="0"/>
          <w:color w:val="auto"/>
          <w:sz w:val="24"/>
          <w:szCs w:val="24"/>
          <w:highlight w:val="none"/>
        </w:rPr>
        <w:t>环境保护措施监督检查清单</w:t>
      </w:r>
      <w:bookmarkEnd w:id="7"/>
    </w:p>
    <w:tbl>
      <w:tblPr>
        <w:tblStyle w:val="24"/>
        <w:tblW w:w="974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1549"/>
        <w:gridCol w:w="1159"/>
        <w:gridCol w:w="2817"/>
        <w:gridCol w:w="311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1113" w:type="dxa"/>
            <w:tcBorders>
              <w:tl2br w:val="single" w:color="auto" w:sz="4" w:space="0"/>
            </w:tcBorders>
            <w:noWrap w:val="0"/>
            <w:vAlign w:val="top"/>
          </w:tcPr>
          <w:p>
            <w:pPr>
              <w:pStyle w:val="32"/>
              <w:bidi w:val="0"/>
              <w:rPr>
                <w:rFonts w:hint="eastAsia"/>
                <w:color w:val="auto"/>
                <w:sz w:val="24"/>
                <w:szCs w:val="24"/>
                <w:highlight w:val="none"/>
              </w:rPr>
            </w:pPr>
            <w:r>
              <w:rPr>
                <w:rFonts w:hint="eastAsia"/>
                <w:color w:val="auto"/>
                <w:sz w:val="24"/>
                <w:szCs w:val="24"/>
                <w:highlight w:val="none"/>
                <w:lang w:val="en-US" w:eastAsia="zh-CN"/>
              </w:rPr>
              <w:t xml:space="preserve">  </w:t>
            </w:r>
            <w:r>
              <w:rPr>
                <w:rFonts w:hint="eastAsia"/>
                <w:color w:val="auto"/>
                <w:sz w:val="24"/>
                <w:szCs w:val="24"/>
                <w:highlight w:val="none"/>
              </w:rPr>
              <w:t>内容</w:t>
            </w:r>
          </w:p>
          <w:p>
            <w:pPr>
              <w:pStyle w:val="32"/>
              <w:bidi w:val="0"/>
              <w:jc w:val="both"/>
              <w:rPr>
                <w:rFonts w:hint="eastAsia"/>
                <w:color w:val="auto"/>
                <w:sz w:val="24"/>
                <w:szCs w:val="24"/>
                <w:highlight w:val="none"/>
              </w:rPr>
            </w:pPr>
          </w:p>
          <w:p>
            <w:pPr>
              <w:pStyle w:val="32"/>
              <w:bidi w:val="0"/>
              <w:jc w:val="both"/>
              <w:rPr>
                <w:rFonts w:hint="eastAsia"/>
                <w:color w:val="auto"/>
                <w:sz w:val="24"/>
                <w:szCs w:val="24"/>
                <w:highlight w:val="none"/>
              </w:rPr>
            </w:pPr>
            <w:r>
              <w:rPr>
                <w:rFonts w:hint="eastAsia"/>
                <w:color w:val="auto"/>
                <w:sz w:val="24"/>
                <w:szCs w:val="24"/>
                <w:highlight w:val="none"/>
              </w:rPr>
              <w:t>要素</w:t>
            </w:r>
          </w:p>
        </w:tc>
        <w:tc>
          <w:tcPr>
            <w:tcW w:w="1549" w:type="dxa"/>
            <w:noWrap w:val="0"/>
            <w:vAlign w:val="center"/>
          </w:tcPr>
          <w:p>
            <w:pPr>
              <w:pStyle w:val="32"/>
              <w:bidi w:val="0"/>
              <w:rPr>
                <w:rFonts w:hint="eastAsia"/>
                <w:color w:val="auto"/>
                <w:sz w:val="24"/>
                <w:szCs w:val="24"/>
                <w:highlight w:val="none"/>
              </w:rPr>
            </w:pPr>
            <w:r>
              <w:rPr>
                <w:rFonts w:hint="eastAsia"/>
                <w:color w:val="auto"/>
                <w:sz w:val="24"/>
                <w:szCs w:val="24"/>
                <w:highlight w:val="none"/>
              </w:rPr>
              <w:t>排放口</w:t>
            </w:r>
            <w:r>
              <w:rPr>
                <w:rFonts w:hint="eastAsia"/>
                <w:color w:val="auto"/>
                <w:sz w:val="24"/>
                <w:szCs w:val="24"/>
                <w:highlight w:val="none"/>
                <w:lang w:eastAsia="zh-CN"/>
              </w:rPr>
              <w:t>（</w:t>
            </w:r>
            <w:r>
              <w:rPr>
                <w:rFonts w:hint="eastAsia"/>
                <w:color w:val="auto"/>
                <w:sz w:val="24"/>
                <w:szCs w:val="24"/>
                <w:highlight w:val="none"/>
              </w:rPr>
              <w:t>编号、名称</w:t>
            </w:r>
            <w:r>
              <w:rPr>
                <w:rFonts w:hint="eastAsia"/>
                <w:color w:val="auto"/>
                <w:sz w:val="24"/>
                <w:szCs w:val="24"/>
                <w:highlight w:val="none"/>
                <w:lang w:eastAsia="zh-CN"/>
              </w:rPr>
              <w:t>）</w:t>
            </w:r>
            <w:r>
              <w:rPr>
                <w:rFonts w:hint="eastAsia"/>
                <w:color w:val="auto"/>
                <w:sz w:val="24"/>
                <w:szCs w:val="24"/>
                <w:highlight w:val="none"/>
              </w:rPr>
              <w:t>/污染源</w:t>
            </w:r>
          </w:p>
        </w:tc>
        <w:tc>
          <w:tcPr>
            <w:tcW w:w="1159" w:type="dxa"/>
            <w:noWrap w:val="0"/>
            <w:vAlign w:val="center"/>
          </w:tcPr>
          <w:p>
            <w:pPr>
              <w:pStyle w:val="32"/>
              <w:bidi w:val="0"/>
              <w:rPr>
                <w:rFonts w:hint="eastAsia"/>
                <w:color w:val="auto"/>
                <w:sz w:val="24"/>
                <w:szCs w:val="24"/>
                <w:highlight w:val="none"/>
              </w:rPr>
            </w:pPr>
            <w:r>
              <w:rPr>
                <w:rFonts w:hint="eastAsia"/>
                <w:color w:val="auto"/>
                <w:sz w:val="24"/>
                <w:szCs w:val="24"/>
                <w:highlight w:val="none"/>
              </w:rPr>
              <w:t>污染物项目</w:t>
            </w:r>
          </w:p>
        </w:tc>
        <w:tc>
          <w:tcPr>
            <w:tcW w:w="2817" w:type="dxa"/>
            <w:noWrap w:val="0"/>
            <w:vAlign w:val="center"/>
          </w:tcPr>
          <w:p>
            <w:pPr>
              <w:pStyle w:val="32"/>
              <w:bidi w:val="0"/>
              <w:rPr>
                <w:rFonts w:hint="eastAsia"/>
                <w:color w:val="auto"/>
                <w:sz w:val="24"/>
                <w:szCs w:val="24"/>
                <w:highlight w:val="none"/>
              </w:rPr>
            </w:pPr>
            <w:r>
              <w:rPr>
                <w:rFonts w:hint="eastAsia"/>
                <w:color w:val="auto"/>
                <w:sz w:val="24"/>
                <w:szCs w:val="24"/>
                <w:highlight w:val="none"/>
              </w:rPr>
              <w:t>环境保护措施</w:t>
            </w:r>
          </w:p>
        </w:tc>
        <w:tc>
          <w:tcPr>
            <w:tcW w:w="3110" w:type="dxa"/>
            <w:noWrap w:val="0"/>
            <w:vAlign w:val="center"/>
          </w:tcPr>
          <w:p>
            <w:pPr>
              <w:pStyle w:val="32"/>
              <w:bidi w:val="0"/>
              <w:rPr>
                <w:rFonts w:hint="eastAsia"/>
                <w:color w:val="auto"/>
                <w:sz w:val="24"/>
                <w:szCs w:val="24"/>
                <w:highlight w:val="none"/>
              </w:rPr>
            </w:pPr>
            <w:r>
              <w:rPr>
                <w:rFonts w:hint="eastAsia"/>
                <w:color w:val="auto"/>
                <w:sz w:val="24"/>
                <w:szCs w:val="24"/>
                <w:highlight w:val="none"/>
              </w:rPr>
              <w:t>执行标准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1113" w:type="dxa"/>
            <w:vMerge w:val="restart"/>
            <w:noWrap w:val="0"/>
            <w:vAlign w:val="center"/>
          </w:tcPr>
          <w:p>
            <w:pPr>
              <w:pStyle w:val="32"/>
              <w:keepNext w:val="0"/>
              <w:keepLines w:val="0"/>
              <w:pageBreakBefore w:val="0"/>
              <w:widowControl w:val="0"/>
              <w:kinsoku/>
              <w:wordWrap/>
              <w:overflowPunct/>
              <w:topLinePunct w:val="0"/>
              <w:autoSpaceDE/>
              <w:autoSpaceDN/>
              <w:bidi w:val="0"/>
              <w:adjustRightInd/>
              <w:snapToGrid/>
              <w:spacing w:line="264" w:lineRule="auto"/>
              <w:textAlignment w:val="auto"/>
              <w:rPr>
                <w:rFonts w:hint="default" w:eastAsia="宋体"/>
                <w:color w:val="auto"/>
                <w:sz w:val="24"/>
                <w:szCs w:val="24"/>
                <w:highlight w:val="none"/>
                <w:lang w:val="en-US" w:eastAsia="zh-CN"/>
              </w:rPr>
            </w:pPr>
            <w:r>
              <w:rPr>
                <w:rFonts w:hint="eastAsia"/>
                <w:color w:val="auto"/>
                <w:sz w:val="24"/>
                <w:szCs w:val="24"/>
                <w:highlight w:val="none"/>
                <w:lang w:val="en-US" w:eastAsia="zh-CN"/>
              </w:rPr>
              <w:t>大气环境</w:t>
            </w:r>
          </w:p>
        </w:tc>
        <w:tc>
          <w:tcPr>
            <w:tcW w:w="1549" w:type="dxa"/>
            <w:vMerge w:val="restart"/>
            <w:noWrap w:val="0"/>
            <w:vAlign w:val="center"/>
          </w:tcPr>
          <w:p>
            <w:pPr>
              <w:pStyle w:val="32"/>
              <w:keepNext w:val="0"/>
              <w:keepLines w:val="0"/>
              <w:pageBreakBefore w:val="0"/>
              <w:widowControl w:val="0"/>
              <w:kinsoku/>
              <w:wordWrap/>
              <w:overflowPunct/>
              <w:topLinePunct w:val="0"/>
              <w:autoSpaceDE/>
              <w:autoSpaceDN/>
              <w:bidi w:val="0"/>
              <w:adjustRightInd/>
              <w:snapToGrid/>
              <w:spacing w:line="264" w:lineRule="auto"/>
              <w:textAlignment w:val="auto"/>
              <w:rPr>
                <w:rFonts w:hint="default" w:eastAsia="宋体"/>
                <w:color w:val="auto"/>
                <w:sz w:val="24"/>
                <w:szCs w:val="24"/>
                <w:highlight w:val="none"/>
                <w:lang w:val="en-US" w:eastAsia="zh-CN"/>
              </w:rPr>
            </w:pPr>
            <w:r>
              <w:rPr>
                <w:rFonts w:hint="default" w:eastAsia="宋体"/>
                <w:color w:val="auto"/>
                <w:sz w:val="24"/>
                <w:szCs w:val="24"/>
                <w:highlight w:val="none"/>
                <w:lang w:val="en-US" w:eastAsia="zh-CN"/>
              </w:rPr>
              <w:t>电发热元件生产废气排放口（DA001）</w:t>
            </w:r>
          </w:p>
        </w:tc>
        <w:tc>
          <w:tcPr>
            <w:tcW w:w="1159" w:type="dxa"/>
            <w:noWrap w:val="0"/>
            <w:vAlign w:val="center"/>
          </w:tcPr>
          <w:p>
            <w:pPr>
              <w:pStyle w:val="32"/>
              <w:keepNext w:val="0"/>
              <w:keepLines w:val="0"/>
              <w:pageBreakBefore w:val="0"/>
              <w:widowControl w:val="0"/>
              <w:kinsoku/>
              <w:wordWrap/>
              <w:overflowPunct/>
              <w:topLinePunct w:val="0"/>
              <w:autoSpaceDE/>
              <w:autoSpaceDN/>
              <w:bidi w:val="0"/>
              <w:adjustRightInd/>
              <w:snapToGrid/>
              <w:spacing w:line="264" w:lineRule="auto"/>
              <w:textAlignment w:val="auto"/>
              <w:rPr>
                <w:rFonts w:hint="default"/>
                <w:color w:val="auto"/>
                <w:sz w:val="24"/>
                <w:szCs w:val="24"/>
                <w:highlight w:val="none"/>
                <w:lang w:val="en-US" w:eastAsia="zh-CN"/>
              </w:rPr>
            </w:pPr>
            <w:r>
              <w:rPr>
                <w:rFonts w:hint="eastAsia"/>
                <w:color w:val="auto"/>
                <w:sz w:val="24"/>
                <w:szCs w:val="24"/>
                <w:highlight w:val="none"/>
                <w:lang w:val="en-US" w:eastAsia="zh-CN"/>
              </w:rPr>
              <w:t>非甲烷总烃</w:t>
            </w:r>
          </w:p>
        </w:tc>
        <w:tc>
          <w:tcPr>
            <w:tcW w:w="2817" w:type="dxa"/>
            <w:vMerge w:val="restart"/>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line="264" w:lineRule="auto"/>
              <w:textAlignment w:val="auto"/>
              <w:rPr>
                <w:rFonts w:hint="default"/>
                <w:color w:val="auto"/>
                <w:sz w:val="24"/>
                <w:szCs w:val="24"/>
                <w:highlight w:val="none"/>
                <w:lang w:val="en-US" w:eastAsia="zh-CN"/>
              </w:rPr>
            </w:pPr>
            <w:r>
              <w:rPr>
                <w:rFonts w:hint="default" w:ascii="Times New Roman" w:hAnsi="Times New Roman" w:eastAsia="宋体" w:cs="Times New Roman"/>
                <w:color w:val="auto"/>
                <w:kern w:val="2"/>
                <w:sz w:val="24"/>
                <w:szCs w:val="24"/>
                <w:highlight w:val="none"/>
                <w:lang w:val="en-US" w:eastAsia="zh-CN" w:bidi="ar-SA"/>
              </w:rPr>
              <w:t>镀膜机采取封闭措施，并在设备上方设置引风管道，通过风机将废气引入1套三级串联的碱液喷淋塔</w:t>
            </w:r>
            <w:r>
              <w:rPr>
                <w:rFonts w:hint="eastAsia" w:cs="Times New Roman"/>
                <w:color w:val="auto"/>
                <w:kern w:val="2"/>
                <w:sz w:val="24"/>
                <w:szCs w:val="24"/>
                <w:highlight w:val="none"/>
                <w:lang w:val="en-US" w:eastAsia="zh-CN" w:bidi="ar-SA"/>
              </w:rPr>
              <w:t>（TA001）</w:t>
            </w:r>
            <w:r>
              <w:rPr>
                <w:rFonts w:hint="default" w:ascii="Times New Roman" w:hAnsi="Times New Roman" w:eastAsia="宋体" w:cs="Times New Roman"/>
                <w:color w:val="auto"/>
                <w:kern w:val="2"/>
                <w:sz w:val="24"/>
                <w:szCs w:val="24"/>
                <w:highlight w:val="none"/>
                <w:lang w:val="en-US" w:eastAsia="zh-CN" w:bidi="ar-SA"/>
              </w:rPr>
              <w:t>进行净化处理</w:t>
            </w:r>
            <w:r>
              <w:rPr>
                <w:rFonts w:hint="eastAsia" w:cs="Times New Roman"/>
                <w:color w:val="auto"/>
                <w:kern w:val="2"/>
                <w:sz w:val="24"/>
                <w:szCs w:val="24"/>
                <w:highlight w:val="none"/>
                <w:lang w:val="en-US" w:eastAsia="zh-CN" w:bidi="ar-SA"/>
              </w:rPr>
              <w:t>；烘</w:t>
            </w:r>
            <w:r>
              <w:rPr>
                <w:rFonts w:hint="default" w:ascii="Times New Roman" w:hAnsi="Times New Roman" w:eastAsia="宋体" w:cs="Times New Roman"/>
                <w:color w:val="auto"/>
                <w:kern w:val="2"/>
                <w:sz w:val="24"/>
                <w:szCs w:val="24"/>
                <w:highlight w:val="none"/>
                <w:lang w:val="en-US" w:eastAsia="zh-CN" w:bidi="ar-SA"/>
              </w:rPr>
              <w:t>干和烧结还原过程</w:t>
            </w:r>
            <w:r>
              <w:rPr>
                <w:rFonts w:hint="eastAsia" w:cs="Times New Roman"/>
                <w:color w:val="auto"/>
                <w:kern w:val="2"/>
                <w:sz w:val="24"/>
                <w:szCs w:val="24"/>
                <w:highlight w:val="none"/>
                <w:lang w:val="en-US" w:eastAsia="zh-CN" w:bidi="ar-SA"/>
              </w:rPr>
              <w:t>设备密闭</w:t>
            </w:r>
            <w:r>
              <w:rPr>
                <w:rFonts w:hint="default" w:ascii="Times New Roman" w:hAnsi="Times New Roman" w:eastAsia="宋体" w:cs="Times New Roman"/>
                <w:color w:val="auto"/>
                <w:kern w:val="2"/>
                <w:sz w:val="24"/>
                <w:szCs w:val="24"/>
                <w:highlight w:val="none"/>
                <w:lang w:val="en-US" w:eastAsia="zh-CN" w:bidi="ar-SA"/>
              </w:rPr>
              <w:t>，在各烘干</w:t>
            </w:r>
            <w:r>
              <w:rPr>
                <w:rFonts w:hint="eastAsia" w:cs="Times New Roman"/>
                <w:color w:val="auto"/>
                <w:kern w:val="2"/>
                <w:sz w:val="24"/>
                <w:szCs w:val="24"/>
                <w:highlight w:val="none"/>
                <w:lang w:val="en-US" w:eastAsia="zh-CN" w:bidi="ar-SA"/>
              </w:rPr>
              <w:t>炉</w:t>
            </w:r>
            <w:r>
              <w:rPr>
                <w:rFonts w:hint="default" w:ascii="Times New Roman" w:hAnsi="Times New Roman" w:eastAsia="宋体" w:cs="Times New Roman"/>
                <w:color w:val="auto"/>
                <w:kern w:val="2"/>
                <w:sz w:val="24"/>
                <w:szCs w:val="24"/>
                <w:highlight w:val="none"/>
                <w:lang w:val="en-US" w:eastAsia="zh-CN" w:bidi="ar-SA"/>
              </w:rPr>
              <w:t>和烧熔炉的出口上方设置集气罩</w:t>
            </w:r>
            <w:r>
              <w:rPr>
                <w:rFonts w:hint="eastAsia" w:cs="Times New Roman"/>
                <w:color w:val="auto"/>
                <w:kern w:val="2"/>
                <w:sz w:val="24"/>
                <w:szCs w:val="24"/>
                <w:highlight w:val="none"/>
                <w:lang w:val="en-US" w:eastAsia="zh-CN" w:bidi="ar-SA"/>
              </w:rPr>
              <w:t>；覆膜印刷机、覆膜烘干机封闭，在设备上方设置集气管道；自动覆膜机上方设置集气罩，采用风量为15000m</w:t>
            </w:r>
            <w:r>
              <w:rPr>
                <w:rFonts w:hint="eastAsia" w:cs="Times New Roman"/>
                <w:color w:val="auto"/>
                <w:kern w:val="2"/>
                <w:sz w:val="24"/>
                <w:szCs w:val="24"/>
                <w:highlight w:val="none"/>
                <w:vertAlign w:val="superscript"/>
                <w:lang w:val="en-US" w:eastAsia="zh-CN" w:bidi="ar-SA"/>
              </w:rPr>
              <w:t>3</w:t>
            </w:r>
            <w:r>
              <w:rPr>
                <w:rFonts w:hint="eastAsia" w:cs="Times New Roman"/>
                <w:color w:val="auto"/>
                <w:kern w:val="2"/>
                <w:sz w:val="24"/>
                <w:szCs w:val="24"/>
                <w:highlight w:val="none"/>
                <w:lang w:val="en-US" w:eastAsia="zh-CN" w:bidi="ar-SA"/>
              </w:rPr>
              <w:t>/h的</w:t>
            </w:r>
            <w:r>
              <w:rPr>
                <w:rFonts w:hint="default" w:ascii="Times New Roman" w:hAnsi="Times New Roman" w:eastAsia="宋体" w:cs="Times New Roman"/>
                <w:color w:val="auto"/>
                <w:kern w:val="2"/>
                <w:sz w:val="24"/>
                <w:szCs w:val="24"/>
                <w:highlight w:val="none"/>
                <w:lang w:val="en-US" w:eastAsia="zh-CN" w:bidi="ar-SA"/>
              </w:rPr>
              <w:t>风机将</w:t>
            </w:r>
            <w:r>
              <w:rPr>
                <w:rFonts w:hint="eastAsia" w:cs="Times New Roman"/>
                <w:color w:val="auto"/>
                <w:kern w:val="2"/>
                <w:sz w:val="24"/>
                <w:szCs w:val="24"/>
                <w:highlight w:val="none"/>
                <w:lang w:val="en-US" w:eastAsia="zh-CN" w:bidi="ar-SA"/>
              </w:rPr>
              <w:t>印刷、印刷烘干、覆膜、烘干及烧结还原过程产生的废气</w:t>
            </w:r>
            <w:r>
              <w:rPr>
                <w:rFonts w:hint="default" w:ascii="Times New Roman" w:hAnsi="Times New Roman" w:eastAsia="宋体" w:cs="Times New Roman"/>
                <w:color w:val="auto"/>
                <w:kern w:val="2"/>
                <w:sz w:val="24"/>
                <w:szCs w:val="24"/>
                <w:highlight w:val="none"/>
                <w:lang w:val="en-US" w:eastAsia="zh-CN" w:bidi="ar-SA"/>
              </w:rPr>
              <w:t>引入1套</w:t>
            </w:r>
            <w:r>
              <w:rPr>
                <w:rFonts w:hint="eastAsia" w:cs="Times New Roman"/>
                <w:color w:val="auto"/>
                <w:kern w:val="2"/>
                <w:sz w:val="24"/>
                <w:szCs w:val="24"/>
                <w:highlight w:val="none"/>
                <w:lang w:val="en-US" w:eastAsia="zh-CN" w:bidi="ar-SA"/>
              </w:rPr>
              <w:t>两级</w:t>
            </w:r>
            <w:r>
              <w:rPr>
                <w:rFonts w:hint="default" w:ascii="Times New Roman" w:hAnsi="Times New Roman" w:eastAsia="宋体" w:cs="Times New Roman"/>
                <w:color w:val="auto"/>
                <w:kern w:val="2"/>
                <w:sz w:val="24"/>
                <w:szCs w:val="24"/>
                <w:highlight w:val="none"/>
                <w:lang w:val="en-US" w:eastAsia="zh-CN" w:bidi="ar-SA"/>
              </w:rPr>
              <w:t>活性炭吸附装置</w:t>
            </w:r>
            <w:r>
              <w:rPr>
                <w:rFonts w:hint="eastAsia" w:cs="Times New Roman"/>
                <w:color w:val="auto"/>
                <w:kern w:val="2"/>
                <w:sz w:val="24"/>
                <w:szCs w:val="24"/>
                <w:highlight w:val="none"/>
                <w:lang w:val="en-US" w:eastAsia="zh-CN" w:bidi="ar-SA"/>
              </w:rPr>
              <w:t>（TA002）</w:t>
            </w:r>
            <w:r>
              <w:rPr>
                <w:rFonts w:hint="default" w:ascii="Times New Roman" w:hAnsi="Times New Roman" w:eastAsia="宋体" w:cs="Times New Roman"/>
                <w:color w:val="auto"/>
                <w:kern w:val="2"/>
                <w:sz w:val="24"/>
                <w:szCs w:val="24"/>
                <w:highlight w:val="none"/>
                <w:lang w:val="en-US" w:eastAsia="zh-CN" w:bidi="ar-SA"/>
              </w:rPr>
              <w:t>进行净化处理</w:t>
            </w:r>
            <w:r>
              <w:rPr>
                <w:rFonts w:hint="eastAsia" w:ascii="Times New Roman" w:hAnsi="Times New Roman" w:cs="Times New Roman"/>
                <w:color w:val="auto"/>
                <w:kern w:val="2"/>
                <w:sz w:val="24"/>
                <w:szCs w:val="24"/>
                <w:highlight w:val="none"/>
                <w:lang w:val="en-US" w:eastAsia="zh-CN" w:bidi="ar-SA"/>
              </w:rPr>
              <w:t>，</w:t>
            </w:r>
            <w:r>
              <w:rPr>
                <w:rFonts w:hint="eastAsia" w:cs="Times New Roman"/>
                <w:color w:val="auto"/>
                <w:kern w:val="2"/>
                <w:sz w:val="24"/>
                <w:szCs w:val="24"/>
                <w:highlight w:val="none"/>
                <w:lang w:val="en-US" w:eastAsia="zh-CN" w:bidi="ar-SA"/>
              </w:rPr>
              <w:t>经TA001、TA002处理的废气</w:t>
            </w:r>
            <w:r>
              <w:rPr>
                <w:rFonts w:hint="eastAsia" w:ascii="Times New Roman" w:hAnsi="Times New Roman" w:cs="Times New Roman"/>
                <w:color w:val="auto"/>
                <w:kern w:val="2"/>
                <w:sz w:val="24"/>
                <w:szCs w:val="24"/>
                <w:highlight w:val="none"/>
                <w:lang w:val="en-US" w:eastAsia="zh-CN" w:bidi="ar-SA"/>
              </w:rPr>
              <w:t>一起通过1根30m高排气筒</w:t>
            </w:r>
            <w:r>
              <w:rPr>
                <w:rFonts w:hint="eastAsia" w:cs="Times New Roman"/>
                <w:color w:val="auto"/>
                <w:kern w:val="2"/>
                <w:sz w:val="24"/>
                <w:szCs w:val="24"/>
                <w:highlight w:val="none"/>
                <w:lang w:val="en-US" w:eastAsia="zh-CN" w:bidi="ar-SA"/>
              </w:rPr>
              <w:t>（DA001）</w:t>
            </w:r>
            <w:r>
              <w:rPr>
                <w:rFonts w:hint="eastAsia" w:ascii="Times New Roman" w:hAnsi="Times New Roman" w:cs="Times New Roman"/>
                <w:color w:val="auto"/>
                <w:kern w:val="2"/>
                <w:sz w:val="24"/>
                <w:szCs w:val="24"/>
                <w:highlight w:val="none"/>
                <w:lang w:val="en-US" w:eastAsia="zh-CN" w:bidi="ar-SA"/>
              </w:rPr>
              <w:t>排放至大气中</w:t>
            </w:r>
          </w:p>
        </w:tc>
        <w:tc>
          <w:tcPr>
            <w:tcW w:w="311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4"/>
                <w:szCs w:val="24"/>
                <w:highlight w:val="none"/>
              </w:rPr>
            </w:pPr>
            <w:r>
              <w:rPr>
                <w:rFonts w:hint="eastAsia"/>
                <w:b w:val="0"/>
                <w:bCs w:val="0"/>
                <w:color w:val="auto"/>
                <w:sz w:val="24"/>
                <w:szCs w:val="24"/>
                <w:highlight w:val="none"/>
                <w:lang w:val="en-US" w:eastAsia="zh-CN"/>
              </w:rPr>
              <w:t>工业企业挥发性有机物排放控制标准》（DB13 2322-2016）表1中其他行业最高允许排放浓度：非甲烷总烃80mg/m</w:t>
            </w:r>
            <w:r>
              <w:rPr>
                <w:rFonts w:hint="eastAsia"/>
                <w:b w:val="0"/>
                <w:bCs w:val="0"/>
                <w:color w:val="auto"/>
                <w:sz w:val="24"/>
                <w:szCs w:val="24"/>
                <w:highlight w:val="none"/>
                <w:vertAlign w:val="superscript"/>
                <w:lang w:val="en-US" w:eastAsia="zh-CN"/>
              </w:rPr>
              <w:t>3</w:t>
            </w:r>
            <w:r>
              <w:rPr>
                <w:rFonts w:hint="eastAsia"/>
                <w:b w:val="0"/>
                <w:bCs w:val="0"/>
                <w:color w:val="auto"/>
                <w:sz w:val="24"/>
                <w:szCs w:val="24"/>
                <w:highlight w:val="none"/>
                <w:vertAlign w:val="baseline"/>
                <w:lang w:val="en-US" w:eastAsia="zh-CN"/>
              </w:rPr>
              <w:t>，同时执行企业承诺限值：非甲烷总烃排放浓度不高于50mg/m</w:t>
            </w:r>
            <w:r>
              <w:rPr>
                <w:rFonts w:hint="eastAsia"/>
                <w:b w:val="0"/>
                <w:bCs w:val="0"/>
                <w:color w:val="auto"/>
                <w:sz w:val="24"/>
                <w:szCs w:val="24"/>
                <w:highlight w:val="none"/>
                <w:vertAlign w:val="superscript"/>
                <w:lang w:val="en-US" w:eastAsia="zh-CN"/>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1113" w:type="dxa"/>
            <w:vMerge w:val="continue"/>
            <w:noWrap w:val="0"/>
            <w:vAlign w:val="center"/>
          </w:tcPr>
          <w:p>
            <w:pPr>
              <w:pStyle w:val="32"/>
              <w:keepNext w:val="0"/>
              <w:keepLines w:val="0"/>
              <w:pageBreakBefore w:val="0"/>
              <w:widowControl w:val="0"/>
              <w:kinsoku/>
              <w:wordWrap/>
              <w:overflowPunct/>
              <w:topLinePunct w:val="0"/>
              <w:autoSpaceDE/>
              <w:autoSpaceDN/>
              <w:bidi w:val="0"/>
              <w:adjustRightInd/>
              <w:snapToGrid/>
              <w:spacing w:line="264" w:lineRule="auto"/>
              <w:textAlignment w:val="auto"/>
              <w:rPr>
                <w:color w:val="auto"/>
                <w:sz w:val="24"/>
                <w:szCs w:val="24"/>
              </w:rPr>
            </w:pPr>
          </w:p>
        </w:tc>
        <w:tc>
          <w:tcPr>
            <w:tcW w:w="1549" w:type="dxa"/>
            <w:vMerge w:val="continue"/>
            <w:noWrap w:val="0"/>
            <w:vAlign w:val="center"/>
          </w:tcPr>
          <w:p>
            <w:pPr>
              <w:pStyle w:val="32"/>
              <w:keepNext w:val="0"/>
              <w:keepLines w:val="0"/>
              <w:pageBreakBefore w:val="0"/>
              <w:widowControl w:val="0"/>
              <w:kinsoku/>
              <w:wordWrap/>
              <w:overflowPunct/>
              <w:topLinePunct w:val="0"/>
              <w:autoSpaceDE/>
              <w:autoSpaceDN/>
              <w:bidi w:val="0"/>
              <w:adjustRightInd/>
              <w:snapToGrid/>
              <w:spacing w:line="264" w:lineRule="auto"/>
              <w:textAlignment w:val="auto"/>
              <w:rPr>
                <w:color w:val="auto"/>
                <w:sz w:val="24"/>
                <w:szCs w:val="24"/>
              </w:rPr>
            </w:pPr>
          </w:p>
        </w:tc>
        <w:tc>
          <w:tcPr>
            <w:tcW w:w="1159" w:type="dxa"/>
            <w:noWrap w:val="0"/>
            <w:vAlign w:val="center"/>
          </w:tcPr>
          <w:p>
            <w:pPr>
              <w:pStyle w:val="32"/>
              <w:keepNext w:val="0"/>
              <w:keepLines w:val="0"/>
              <w:pageBreakBefore w:val="0"/>
              <w:widowControl w:val="0"/>
              <w:kinsoku/>
              <w:wordWrap/>
              <w:overflowPunct/>
              <w:topLinePunct w:val="0"/>
              <w:autoSpaceDE/>
              <w:autoSpaceDN/>
              <w:bidi w:val="0"/>
              <w:adjustRightInd/>
              <w:snapToGrid/>
              <w:spacing w:line="264" w:lineRule="auto"/>
              <w:textAlignment w:val="auto"/>
              <w:rPr>
                <w:rFonts w:hint="default"/>
                <w:color w:val="auto"/>
                <w:sz w:val="24"/>
                <w:szCs w:val="24"/>
                <w:highlight w:val="none"/>
                <w:lang w:val="en-US" w:eastAsia="zh-CN"/>
              </w:rPr>
            </w:pPr>
            <w:r>
              <w:rPr>
                <w:rFonts w:hint="eastAsia"/>
                <w:color w:val="auto"/>
                <w:sz w:val="24"/>
                <w:szCs w:val="24"/>
                <w:highlight w:val="none"/>
                <w:lang w:val="en-US" w:eastAsia="zh-CN"/>
              </w:rPr>
              <w:t>氯化氢</w:t>
            </w:r>
          </w:p>
        </w:tc>
        <w:tc>
          <w:tcPr>
            <w:tcW w:w="2817" w:type="dxa"/>
            <w:vMerge w:val="continue"/>
            <w:noWrap w:val="0"/>
            <w:vAlign w:val="center"/>
          </w:tcPr>
          <w:p>
            <w:pPr>
              <w:pStyle w:val="32"/>
              <w:keepNext w:val="0"/>
              <w:keepLines w:val="0"/>
              <w:pageBreakBefore w:val="0"/>
              <w:widowControl w:val="0"/>
              <w:kinsoku/>
              <w:wordWrap/>
              <w:overflowPunct/>
              <w:topLinePunct w:val="0"/>
              <w:autoSpaceDE/>
              <w:autoSpaceDN/>
              <w:bidi w:val="0"/>
              <w:adjustRightInd/>
              <w:snapToGrid/>
              <w:spacing w:line="264" w:lineRule="auto"/>
              <w:textAlignment w:val="auto"/>
              <w:rPr>
                <w:rFonts w:hint="eastAsia"/>
                <w:color w:val="auto"/>
                <w:sz w:val="24"/>
                <w:szCs w:val="24"/>
                <w:highlight w:val="none"/>
                <w:lang w:val="en-US" w:eastAsia="zh-CN"/>
              </w:rPr>
            </w:pPr>
          </w:p>
        </w:tc>
        <w:tc>
          <w:tcPr>
            <w:tcW w:w="3110" w:type="dxa"/>
            <w:noWrap w:val="0"/>
            <w:vAlign w:val="center"/>
          </w:tcPr>
          <w:p>
            <w:pPr>
              <w:pStyle w:val="32"/>
              <w:keepNext w:val="0"/>
              <w:keepLines w:val="0"/>
              <w:pageBreakBefore w:val="0"/>
              <w:widowControl w:val="0"/>
              <w:kinsoku/>
              <w:wordWrap/>
              <w:overflowPunct/>
              <w:topLinePunct w:val="0"/>
              <w:autoSpaceDE/>
              <w:autoSpaceDN/>
              <w:bidi w:val="0"/>
              <w:adjustRightInd/>
              <w:snapToGrid/>
              <w:spacing w:line="264" w:lineRule="auto"/>
              <w:textAlignment w:val="auto"/>
              <w:rPr>
                <w:rFonts w:hint="eastAsia"/>
                <w:color w:val="auto"/>
                <w:sz w:val="24"/>
                <w:szCs w:val="24"/>
                <w:highlight w:val="none"/>
                <w:lang w:val="en-US" w:eastAsia="zh-CN"/>
              </w:rPr>
            </w:pPr>
            <w:r>
              <w:rPr>
                <w:rFonts w:hint="eastAsia"/>
                <w:color w:val="auto"/>
                <w:sz w:val="24"/>
                <w:szCs w:val="24"/>
                <w:lang w:val="en-US" w:eastAsia="zh-CN"/>
              </w:rPr>
              <w:t>《大气污染物综合排放标准》（GB16297-1996）中相关限值：氯化物最高允许排放浓度100mg/m</w:t>
            </w:r>
            <w:r>
              <w:rPr>
                <w:rFonts w:hint="eastAsia"/>
                <w:color w:val="auto"/>
                <w:sz w:val="24"/>
                <w:szCs w:val="24"/>
                <w:vertAlign w:val="superscript"/>
                <w:lang w:val="en-US" w:eastAsia="zh-CN"/>
              </w:rPr>
              <w:t>3</w:t>
            </w:r>
            <w:r>
              <w:rPr>
                <w:rFonts w:hint="eastAsia"/>
                <w:color w:val="auto"/>
                <w:sz w:val="24"/>
                <w:szCs w:val="24"/>
                <w:lang w:val="en-US" w:eastAsia="zh-CN"/>
              </w:rPr>
              <w:t>，最高允许排放速率1.4kg/h，氯化氢排放浓度不高于10mg/m</w:t>
            </w:r>
            <w:r>
              <w:rPr>
                <w:rFonts w:hint="eastAsia"/>
                <w:color w:val="auto"/>
                <w:sz w:val="24"/>
                <w:szCs w:val="24"/>
                <w:vertAlign w:val="superscript"/>
                <w:lang w:val="en-US" w:eastAsia="zh-CN"/>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1113" w:type="dxa"/>
            <w:vMerge w:val="continue"/>
            <w:noWrap w:val="0"/>
            <w:vAlign w:val="center"/>
          </w:tcPr>
          <w:p>
            <w:pPr>
              <w:pStyle w:val="32"/>
              <w:keepNext w:val="0"/>
              <w:keepLines w:val="0"/>
              <w:pageBreakBefore w:val="0"/>
              <w:widowControl w:val="0"/>
              <w:kinsoku/>
              <w:wordWrap/>
              <w:overflowPunct/>
              <w:topLinePunct w:val="0"/>
              <w:autoSpaceDE/>
              <w:autoSpaceDN/>
              <w:bidi w:val="0"/>
              <w:adjustRightInd/>
              <w:snapToGrid/>
              <w:spacing w:line="264" w:lineRule="auto"/>
              <w:textAlignment w:val="auto"/>
              <w:rPr>
                <w:rFonts w:hint="eastAsia"/>
                <w:color w:val="auto"/>
                <w:sz w:val="24"/>
                <w:szCs w:val="24"/>
                <w:highlight w:val="none"/>
                <w:lang w:val="en-US" w:eastAsia="zh-CN"/>
              </w:rPr>
            </w:pPr>
          </w:p>
        </w:tc>
        <w:tc>
          <w:tcPr>
            <w:tcW w:w="1549" w:type="dxa"/>
            <w:vMerge w:val="continue"/>
            <w:noWrap w:val="0"/>
            <w:vAlign w:val="center"/>
          </w:tcPr>
          <w:p>
            <w:pPr>
              <w:pStyle w:val="32"/>
              <w:keepNext w:val="0"/>
              <w:keepLines w:val="0"/>
              <w:pageBreakBefore w:val="0"/>
              <w:widowControl w:val="0"/>
              <w:kinsoku/>
              <w:wordWrap/>
              <w:overflowPunct/>
              <w:topLinePunct w:val="0"/>
              <w:autoSpaceDE/>
              <w:autoSpaceDN/>
              <w:bidi w:val="0"/>
              <w:adjustRightInd/>
              <w:snapToGrid/>
              <w:spacing w:line="264" w:lineRule="auto"/>
              <w:textAlignment w:val="auto"/>
              <w:rPr>
                <w:rFonts w:hint="eastAsia"/>
                <w:color w:val="auto"/>
                <w:sz w:val="24"/>
                <w:szCs w:val="24"/>
                <w:highlight w:val="none"/>
                <w:lang w:val="en-US" w:eastAsia="zh-CN"/>
              </w:rPr>
            </w:pPr>
          </w:p>
        </w:tc>
        <w:tc>
          <w:tcPr>
            <w:tcW w:w="1159" w:type="dxa"/>
            <w:noWrap w:val="0"/>
            <w:vAlign w:val="center"/>
          </w:tcPr>
          <w:p>
            <w:pPr>
              <w:pStyle w:val="32"/>
              <w:keepNext w:val="0"/>
              <w:keepLines w:val="0"/>
              <w:pageBreakBefore w:val="0"/>
              <w:widowControl w:val="0"/>
              <w:kinsoku/>
              <w:wordWrap/>
              <w:overflowPunct/>
              <w:topLinePunct w:val="0"/>
              <w:autoSpaceDE/>
              <w:autoSpaceDN/>
              <w:bidi w:val="0"/>
              <w:adjustRightInd/>
              <w:snapToGrid/>
              <w:spacing w:line="264" w:lineRule="auto"/>
              <w:textAlignment w:val="auto"/>
              <w:rPr>
                <w:rFonts w:hint="default"/>
                <w:color w:val="auto"/>
                <w:sz w:val="24"/>
                <w:szCs w:val="24"/>
                <w:highlight w:val="none"/>
                <w:lang w:val="en-US" w:eastAsia="zh-CN"/>
              </w:rPr>
            </w:pPr>
            <w:r>
              <w:rPr>
                <w:rFonts w:hint="eastAsia"/>
                <w:color w:val="auto"/>
                <w:sz w:val="24"/>
                <w:szCs w:val="24"/>
                <w:highlight w:val="none"/>
                <w:lang w:val="en-US" w:eastAsia="zh-CN"/>
              </w:rPr>
              <w:t>氟化物</w:t>
            </w:r>
          </w:p>
        </w:tc>
        <w:tc>
          <w:tcPr>
            <w:tcW w:w="2817" w:type="dxa"/>
            <w:vMerge w:val="continue"/>
            <w:noWrap w:val="0"/>
            <w:vAlign w:val="center"/>
          </w:tcPr>
          <w:p>
            <w:pPr>
              <w:pStyle w:val="32"/>
              <w:keepNext w:val="0"/>
              <w:keepLines w:val="0"/>
              <w:pageBreakBefore w:val="0"/>
              <w:widowControl w:val="0"/>
              <w:kinsoku/>
              <w:wordWrap/>
              <w:overflowPunct/>
              <w:topLinePunct w:val="0"/>
              <w:autoSpaceDE/>
              <w:autoSpaceDN/>
              <w:bidi w:val="0"/>
              <w:adjustRightInd/>
              <w:snapToGrid/>
              <w:spacing w:line="264" w:lineRule="auto"/>
              <w:textAlignment w:val="auto"/>
              <w:rPr>
                <w:rFonts w:hint="eastAsia"/>
                <w:color w:val="auto"/>
                <w:sz w:val="24"/>
                <w:szCs w:val="24"/>
                <w:highlight w:val="none"/>
                <w:lang w:val="en-US" w:eastAsia="zh-CN"/>
              </w:rPr>
            </w:pPr>
          </w:p>
        </w:tc>
        <w:tc>
          <w:tcPr>
            <w:tcW w:w="3110" w:type="dxa"/>
            <w:noWrap w:val="0"/>
            <w:vAlign w:val="center"/>
          </w:tcPr>
          <w:p>
            <w:pPr>
              <w:pStyle w:val="32"/>
              <w:keepNext w:val="0"/>
              <w:keepLines w:val="0"/>
              <w:pageBreakBefore w:val="0"/>
              <w:widowControl w:val="0"/>
              <w:kinsoku/>
              <w:wordWrap/>
              <w:overflowPunct/>
              <w:topLinePunct w:val="0"/>
              <w:autoSpaceDE/>
              <w:autoSpaceDN/>
              <w:bidi w:val="0"/>
              <w:adjustRightInd/>
              <w:snapToGrid/>
              <w:spacing w:line="264" w:lineRule="auto"/>
              <w:textAlignment w:val="auto"/>
              <w:rPr>
                <w:rFonts w:hint="eastAsia"/>
                <w:color w:val="auto"/>
                <w:sz w:val="24"/>
                <w:szCs w:val="24"/>
                <w:highlight w:val="none"/>
                <w:lang w:val="en-US" w:eastAsia="zh-CN"/>
              </w:rPr>
            </w:pPr>
            <w:r>
              <w:rPr>
                <w:rFonts w:hint="eastAsia"/>
                <w:color w:val="auto"/>
                <w:sz w:val="24"/>
                <w:szCs w:val="24"/>
                <w:lang w:val="en-US" w:eastAsia="zh-CN"/>
              </w:rPr>
              <w:t>《大气污染物综合排放标准》（GB16297-1996）中相关限值：氟化物最高允许排放浓度9.0mg/m</w:t>
            </w:r>
            <w:r>
              <w:rPr>
                <w:rFonts w:hint="eastAsia"/>
                <w:color w:val="auto"/>
                <w:sz w:val="24"/>
                <w:szCs w:val="24"/>
                <w:vertAlign w:val="superscript"/>
                <w:lang w:val="en-US" w:eastAsia="zh-CN"/>
              </w:rPr>
              <w:t>3</w:t>
            </w:r>
            <w:r>
              <w:rPr>
                <w:rFonts w:hint="eastAsia"/>
                <w:color w:val="auto"/>
                <w:sz w:val="24"/>
                <w:szCs w:val="24"/>
                <w:lang w:val="en-US" w:eastAsia="zh-CN"/>
              </w:rPr>
              <w:t>，最高允许排放速率0.59kg/h，</w:t>
            </w:r>
            <w:r>
              <w:rPr>
                <w:rFonts w:hint="eastAsia"/>
                <w:b w:val="0"/>
                <w:bCs w:val="0"/>
                <w:color w:val="auto"/>
                <w:sz w:val="24"/>
                <w:szCs w:val="24"/>
                <w:highlight w:val="none"/>
                <w:vertAlign w:val="baseline"/>
                <w:lang w:val="en-US" w:eastAsia="zh-CN"/>
              </w:rPr>
              <w:t>同时执行企业承诺限值：氟化物排放浓度不高于3mg/m</w:t>
            </w:r>
            <w:r>
              <w:rPr>
                <w:rFonts w:hint="eastAsia"/>
                <w:b w:val="0"/>
                <w:bCs w:val="0"/>
                <w:color w:val="auto"/>
                <w:sz w:val="24"/>
                <w:szCs w:val="24"/>
                <w:highlight w:val="none"/>
                <w:vertAlign w:val="superscript"/>
                <w:lang w:val="en-US" w:eastAsia="zh-CN"/>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1113" w:type="dxa"/>
            <w:vMerge w:val="continue"/>
            <w:noWrap w:val="0"/>
            <w:vAlign w:val="center"/>
          </w:tcPr>
          <w:p>
            <w:pPr>
              <w:pStyle w:val="32"/>
              <w:keepNext w:val="0"/>
              <w:keepLines w:val="0"/>
              <w:pageBreakBefore w:val="0"/>
              <w:widowControl w:val="0"/>
              <w:kinsoku/>
              <w:wordWrap/>
              <w:overflowPunct/>
              <w:topLinePunct w:val="0"/>
              <w:autoSpaceDE/>
              <w:autoSpaceDN/>
              <w:bidi w:val="0"/>
              <w:adjustRightInd/>
              <w:snapToGrid/>
              <w:spacing w:line="264" w:lineRule="auto"/>
              <w:textAlignment w:val="auto"/>
              <w:rPr>
                <w:rFonts w:hint="eastAsia"/>
                <w:color w:val="auto"/>
                <w:sz w:val="24"/>
                <w:szCs w:val="24"/>
                <w:highlight w:val="none"/>
                <w:lang w:val="en-US" w:eastAsia="zh-CN"/>
              </w:rPr>
            </w:pPr>
          </w:p>
        </w:tc>
        <w:tc>
          <w:tcPr>
            <w:tcW w:w="1549" w:type="dxa"/>
            <w:noWrap w:val="0"/>
            <w:vAlign w:val="center"/>
          </w:tcPr>
          <w:p>
            <w:pPr>
              <w:pStyle w:val="32"/>
              <w:keepNext w:val="0"/>
              <w:keepLines w:val="0"/>
              <w:pageBreakBefore w:val="0"/>
              <w:widowControl w:val="0"/>
              <w:kinsoku/>
              <w:wordWrap/>
              <w:overflowPunct/>
              <w:topLinePunct w:val="0"/>
              <w:autoSpaceDE/>
              <w:autoSpaceDN/>
              <w:bidi w:val="0"/>
              <w:adjustRightInd/>
              <w:snapToGrid/>
              <w:spacing w:line="264" w:lineRule="auto"/>
              <w:textAlignment w:val="auto"/>
              <w:rPr>
                <w:rFonts w:hint="default"/>
                <w:color w:val="auto"/>
                <w:sz w:val="24"/>
                <w:szCs w:val="24"/>
                <w:highlight w:val="none"/>
                <w:lang w:val="en-US" w:eastAsia="zh-CN"/>
              </w:rPr>
            </w:pPr>
            <w:r>
              <w:rPr>
                <w:rFonts w:hint="eastAsia" w:cs="Times New Roman"/>
                <w:bCs/>
                <w:caps w:val="0"/>
                <w:color w:val="auto"/>
                <w:spacing w:val="0"/>
                <w:position w:val="0"/>
                <w:sz w:val="24"/>
                <w:szCs w:val="24"/>
                <w:highlight w:val="none"/>
                <w:lang w:val="en-US" w:eastAsia="zh-CN"/>
              </w:rPr>
              <w:t>印刷、印刷烘干、覆膜过程和烘干及烧结还原过程未捕集废气</w:t>
            </w:r>
          </w:p>
        </w:tc>
        <w:tc>
          <w:tcPr>
            <w:tcW w:w="1159" w:type="dxa"/>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line="264" w:lineRule="auto"/>
              <w:textAlignment w:val="auto"/>
              <w:rPr>
                <w:rFonts w:hint="eastAsia"/>
                <w:color w:val="auto"/>
                <w:sz w:val="24"/>
                <w:szCs w:val="24"/>
                <w:highlight w:val="none"/>
                <w:lang w:val="en-US" w:eastAsia="zh-CN"/>
              </w:rPr>
            </w:pPr>
            <w:r>
              <w:rPr>
                <w:rFonts w:hint="eastAsia"/>
                <w:color w:val="auto"/>
                <w:sz w:val="24"/>
                <w:szCs w:val="24"/>
                <w:highlight w:val="none"/>
                <w:lang w:val="en-US" w:eastAsia="zh-CN"/>
              </w:rPr>
              <w:t>非甲烷总烃</w:t>
            </w:r>
          </w:p>
        </w:tc>
        <w:tc>
          <w:tcPr>
            <w:tcW w:w="2817" w:type="dxa"/>
            <w:vMerge w:val="restart"/>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line="264" w:lineRule="auto"/>
              <w:textAlignment w:val="auto"/>
              <w:rPr>
                <w:rFonts w:hint="default"/>
                <w:color w:val="auto"/>
                <w:sz w:val="24"/>
                <w:szCs w:val="24"/>
                <w:highlight w:val="none"/>
                <w:lang w:val="en-US" w:eastAsia="zh-CN"/>
              </w:rPr>
            </w:pPr>
            <w:r>
              <w:rPr>
                <w:rFonts w:hint="eastAsia"/>
                <w:color w:val="auto"/>
                <w:sz w:val="24"/>
                <w:szCs w:val="24"/>
                <w:highlight w:val="none"/>
                <w:lang w:val="en-US" w:eastAsia="zh-CN"/>
              </w:rPr>
              <w:t>车间内无组织排放</w:t>
            </w:r>
          </w:p>
        </w:tc>
        <w:tc>
          <w:tcPr>
            <w:tcW w:w="3110" w:type="dxa"/>
            <w:vMerge w:val="restart"/>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line="264" w:lineRule="auto"/>
              <w:textAlignment w:val="auto"/>
              <w:rPr>
                <w:rFonts w:hint="eastAsia" w:eastAsia="宋体"/>
                <w:color w:val="auto"/>
                <w:sz w:val="24"/>
                <w:szCs w:val="24"/>
                <w:vertAlign w:val="baseline"/>
                <w:lang w:val="en-US" w:eastAsia="zh-CN"/>
              </w:rPr>
            </w:pPr>
            <w:r>
              <w:rPr>
                <w:color w:val="auto"/>
                <w:sz w:val="24"/>
                <w:szCs w:val="24"/>
                <w:highlight w:val="none"/>
              </w:rPr>
              <w:t>《工业企业挥发性有机物排放控制标准》（DB13/2322-2016）</w:t>
            </w:r>
            <w:r>
              <w:rPr>
                <w:rFonts w:hint="eastAsia"/>
                <w:color w:val="auto"/>
                <w:sz w:val="24"/>
                <w:szCs w:val="24"/>
                <w:highlight w:val="none"/>
              </w:rPr>
              <w:t>表</w:t>
            </w:r>
            <w:r>
              <w:rPr>
                <w:color w:val="auto"/>
                <w:sz w:val="24"/>
                <w:szCs w:val="24"/>
                <w:highlight w:val="none"/>
              </w:rPr>
              <w:t>2</w:t>
            </w:r>
            <w:r>
              <w:rPr>
                <w:rFonts w:hint="eastAsia"/>
                <w:color w:val="auto"/>
                <w:sz w:val="24"/>
                <w:szCs w:val="24"/>
                <w:highlight w:val="none"/>
              </w:rPr>
              <w:t>企业边界大气污染物浓度限值中其他企业：非甲烷总烃</w:t>
            </w:r>
            <w:r>
              <w:rPr>
                <w:color w:val="auto"/>
                <w:sz w:val="24"/>
                <w:szCs w:val="24"/>
                <w:highlight w:val="none"/>
              </w:rPr>
              <w:t>2.0mg/m</w:t>
            </w:r>
            <w:r>
              <w:rPr>
                <w:color w:val="auto"/>
                <w:sz w:val="24"/>
                <w:szCs w:val="24"/>
                <w:highlight w:val="none"/>
                <w:vertAlign w:val="superscript"/>
              </w:rPr>
              <w:t>3</w:t>
            </w:r>
            <w:r>
              <w:rPr>
                <w:rFonts w:hint="eastAsia"/>
                <w:color w:val="auto"/>
                <w:sz w:val="24"/>
                <w:szCs w:val="24"/>
                <w:highlight w:val="none"/>
                <w:vertAlign w:val="baseline"/>
                <w:lang w:eastAsia="zh-CN"/>
              </w:rPr>
              <w:t>；</w:t>
            </w:r>
            <w:r>
              <w:rPr>
                <w:rFonts w:hint="eastAsia"/>
                <w:color w:val="auto"/>
                <w:sz w:val="24"/>
                <w:szCs w:val="24"/>
                <w:lang w:val="en-US" w:eastAsia="zh-CN"/>
              </w:rPr>
              <w:t>《挥发性有机物无组织排放控制标准》（GB37822-2019）附录A表A.1厂区内VOCs无组织排放限值中厂房外监控点1h平均浓度限值：非甲烷总烃6mg/m</w:t>
            </w:r>
            <w:r>
              <w:rPr>
                <w:rFonts w:hint="eastAsia"/>
                <w:color w:val="auto"/>
                <w:sz w:val="24"/>
                <w:szCs w:val="24"/>
                <w:vertAlign w:val="superscript"/>
                <w:lang w:val="en-US" w:eastAsia="zh-CN"/>
              </w:rPr>
              <w:t>3</w:t>
            </w:r>
            <w:r>
              <w:rPr>
                <w:rFonts w:hint="eastAsia"/>
                <w:color w:val="auto"/>
                <w:sz w:val="24"/>
                <w:szCs w:val="24"/>
                <w:lang w:val="en-US" w:eastAsia="zh-CN"/>
              </w:rPr>
              <w:t>，任意一次浓度限值：非甲烷总烃20mg/m</w:t>
            </w:r>
            <w:r>
              <w:rPr>
                <w:rFonts w:hint="eastAsia"/>
                <w:color w:val="auto"/>
                <w:sz w:val="24"/>
                <w:szCs w:val="24"/>
                <w:vertAlign w:val="superscript"/>
                <w:lang w:val="en-US" w:eastAsia="zh-CN"/>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124" w:hRule="atLeast"/>
          <w:jc w:val="center"/>
        </w:trPr>
        <w:tc>
          <w:tcPr>
            <w:tcW w:w="1113" w:type="dxa"/>
            <w:vMerge w:val="continue"/>
            <w:noWrap w:val="0"/>
            <w:vAlign w:val="center"/>
          </w:tcPr>
          <w:p>
            <w:pPr>
              <w:pStyle w:val="32"/>
              <w:keepNext w:val="0"/>
              <w:keepLines w:val="0"/>
              <w:pageBreakBefore w:val="0"/>
              <w:widowControl w:val="0"/>
              <w:kinsoku/>
              <w:wordWrap/>
              <w:overflowPunct/>
              <w:topLinePunct w:val="0"/>
              <w:autoSpaceDE/>
              <w:autoSpaceDN/>
              <w:bidi w:val="0"/>
              <w:adjustRightInd/>
              <w:snapToGrid/>
              <w:spacing w:line="264" w:lineRule="auto"/>
              <w:textAlignment w:val="auto"/>
              <w:rPr>
                <w:color w:val="auto"/>
                <w:sz w:val="24"/>
                <w:szCs w:val="24"/>
                <w:highlight w:val="none"/>
              </w:rPr>
            </w:pPr>
          </w:p>
        </w:tc>
        <w:tc>
          <w:tcPr>
            <w:tcW w:w="1549"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eastAsia="宋体"/>
                <w:color w:val="auto"/>
                <w:sz w:val="24"/>
                <w:szCs w:val="24"/>
                <w:highlight w:val="none"/>
                <w:lang w:val="en-US" w:eastAsia="zh-CN"/>
              </w:rPr>
            </w:pPr>
            <w:r>
              <w:rPr>
                <w:rFonts w:hint="default"/>
                <w:color w:val="auto"/>
                <w:sz w:val="24"/>
                <w:szCs w:val="24"/>
                <w:highlight w:val="none"/>
                <w:lang w:val="en-US" w:eastAsia="zh-CN"/>
              </w:rPr>
              <w:t>导电浆料混合分散</w:t>
            </w:r>
            <w:r>
              <w:rPr>
                <w:rFonts w:hint="eastAsia"/>
                <w:color w:val="auto"/>
                <w:sz w:val="24"/>
                <w:szCs w:val="24"/>
                <w:highlight w:val="none"/>
                <w:lang w:val="en-US" w:eastAsia="zh-CN"/>
              </w:rPr>
              <w:t>过程</w:t>
            </w:r>
          </w:p>
        </w:tc>
        <w:tc>
          <w:tcPr>
            <w:tcW w:w="1159" w:type="dxa"/>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line="264" w:lineRule="auto"/>
              <w:ind w:firstLine="0" w:firstLineChars="0"/>
              <w:textAlignment w:val="auto"/>
              <w:rPr>
                <w:rFonts w:hint="default"/>
                <w:color w:val="auto"/>
                <w:sz w:val="24"/>
                <w:szCs w:val="24"/>
                <w:highlight w:val="none"/>
                <w:lang w:val="en-US" w:eastAsia="zh-CN"/>
              </w:rPr>
            </w:pPr>
            <w:r>
              <w:rPr>
                <w:rFonts w:hint="eastAsia"/>
                <w:color w:val="auto"/>
                <w:sz w:val="24"/>
                <w:szCs w:val="24"/>
                <w:highlight w:val="none"/>
                <w:lang w:val="en-US" w:eastAsia="zh-CN"/>
              </w:rPr>
              <w:t>非甲烷总烃</w:t>
            </w:r>
          </w:p>
        </w:tc>
        <w:tc>
          <w:tcPr>
            <w:tcW w:w="2817" w:type="dxa"/>
            <w:vMerge w:val="continue"/>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line="264" w:lineRule="auto"/>
              <w:textAlignment w:val="auto"/>
              <w:rPr>
                <w:rFonts w:hint="default"/>
                <w:color w:val="auto"/>
                <w:sz w:val="24"/>
                <w:szCs w:val="24"/>
                <w:highlight w:val="none"/>
                <w:lang w:val="en-US" w:eastAsia="zh-CN"/>
              </w:rPr>
            </w:pPr>
          </w:p>
        </w:tc>
        <w:tc>
          <w:tcPr>
            <w:tcW w:w="3110" w:type="dxa"/>
            <w:vMerge w:val="continue"/>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line="264" w:lineRule="auto"/>
              <w:textAlignment w:val="auto"/>
              <w:rPr>
                <w:rFonts w:hint="default"/>
                <w:color w:val="auto"/>
                <w:sz w:val="24"/>
                <w:szCs w:val="24"/>
                <w:highlight w:val="none"/>
                <w:vertAlign w:val="baseline"/>
                <w:lang w:val="en-US"/>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1113" w:type="dxa"/>
            <w:vMerge w:val="restart"/>
            <w:noWrap w:val="0"/>
            <w:vAlign w:val="center"/>
          </w:tcPr>
          <w:p>
            <w:pPr>
              <w:pStyle w:val="32"/>
              <w:keepNext w:val="0"/>
              <w:keepLines w:val="0"/>
              <w:pageBreakBefore w:val="0"/>
              <w:widowControl w:val="0"/>
              <w:kinsoku/>
              <w:wordWrap/>
              <w:overflowPunct/>
              <w:topLinePunct w:val="0"/>
              <w:autoSpaceDE/>
              <w:autoSpaceDN/>
              <w:bidi w:val="0"/>
              <w:adjustRightInd/>
              <w:snapToGrid/>
              <w:spacing w:line="264" w:lineRule="auto"/>
              <w:textAlignment w:val="auto"/>
              <w:rPr>
                <w:color w:val="auto"/>
                <w:sz w:val="24"/>
                <w:szCs w:val="24"/>
                <w:highlight w:val="none"/>
              </w:rPr>
            </w:pPr>
          </w:p>
        </w:tc>
        <w:tc>
          <w:tcPr>
            <w:tcW w:w="1549"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color w:val="auto"/>
                <w:sz w:val="24"/>
                <w:szCs w:val="24"/>
                <w:highlight w:val="none"/>
                <w:lang w:val="en-US" w:eastAsia="zh-CN"/>
              </w:rPr>
            </w:pPr>
            <w:r>
              <w:rPr>
                <w:rFonts w:hint="eastAsia"/>
                <w:color w:val="auto"/>
                <w:sz w:val="24"/>
                <w:szCs w:val="24"/>
                <w:highlight w:val="none"/>
                <w:lang w:val="en-US" w:eastAsia="zh-CN"/>
              </w:rPr>
              <w:t>PVC膜封边过程</w:t>
            </w:r>
          </w:p>
        </w:tc>
        <w:tc>
          <w:tcPr>
            <w:tcW w:w="1159" w:type="dxa"/>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line="264" w:lineRule="auto"/>
              <w:ind w:firstLine="0" w:firstLineChars="0"/>
              <w:textAlignment w:val="auto"/>
              <w:rPr>
                <w:rFonts w:hint="default"/>
                <w:color w:val="auto"/>
                <w:sz w:val="24"/>
                <w:szCs w:val="24"/>
                <w:highlight w:val="none"/>
                <w:lang w:val="en-US" w:eastAsia="zh-CN"/>
              </w:rPr>
            </w:pPr>
            <w:r>
              <w:rPr>
                <w:rFonts w:hint="eastAsia"/>
                <w:color w:val="auto"/>
                <w:sz w:val="24"/>
                <w:szCs w:val="24"/>
                <w:highlight w:val="none"/>
                <w:lang w:val="en-US" w:eastAsia="zh-CN"/>
              </w:rPr>
              <w:t>非甲烷总烃</w:t>
            </w:r>
          </w:p>
        </w:tc>
        <w:tc>
          <w:tcPr>
            <w:tcW w:w="2817" w:type="dxa"/>
            <w:vMerge w:val="continue"/>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line="264" w:lineRule="auto"/>
              <w:textAlignment w:val="auto"/>
              <w:rPr>
                <w:rFonts w:hint="eastAsia"/>
                <w:b w:val="0"/>
                <w:bCs w:val="0"/>
                <w:color w:val="auto"/>
                <w:sz w:val="24"/>
                <w:szCs w:val="24"/>
                <w:highlight w:val="none"/>
                <w:lang w:val="en-US" w:eastAsia="zh-CN"/>
              </w:rPr>
            </w:pPr>
          </w:p>
        </w:tc>
        <w:tc>
          <w:tcPr>
            <w:tcW w:w="3110" w:type="dxa"/>
            <w:vMerge w:val="continue"/>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line="264" w:lineRule="auto"/>
              <w:textAlignment w:val="auto"/>
              <w:rPr>
                <w:rFonts w:hint="eastAsia"/>
                <w:b w:val="0"/>
                <w:bCs w:val="0"/>
                <w:color w:val="auto"/>
                <w:sz w:val="24"/>
                <w:szCs w:val="24"/>
                <w:highlight w:val="none"/>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57" w:hRule="atLeast"/>
          <w:jc w:val="center"/>
        </w:trPr>
        <w:tc>
          <w:tcPr>
            <w:tcW w:w="1113" w:type="dxa"/>
            <w:vMerge w:val="continue"/>
            <w:noWrap w:val="0"/>
            <w:vAlign w:val="center"/>
          </w:tcPr>
          <w:p>
            <w:pPr>
              <w:pStyle w:val="32"/>
              <w:keepNext w:val="0"/>
              <w:keepLines w:val="0"/>
              <w:pageBreakBefore w:val="0"/>
              <w:widowControl w:val="0"/>
              <w:kinsoku/>
              <w:wordWrap/>
              <w:overflowPunct/>
              <w:topLinePunct w:val="0"/>
              <w:autoSpaceDE/>
              <w:autoSpaceDN/>
              <w:bidi w:val="0"/>
              <w:adjustRightInd/>
              <w:snapToGrid/>
              <w:spacing w:line="264" w:lineRule="auto"/>
              <w:ind w:firstLine="0" w:firstLineChars="0"/>
              <w:textAlignment w:val="auto"/>
              <w:rPr>
                <w:color w:val="auto"/>
                <w:sz w:val="24"/>
                <w:szCs w:val="24"/>
              </w:rPr>
            </w:pPr>
          </w:p>
        </w:tc>
        <w:tc>
          <w:tcPr>
            <w:tcW w:w="1549" w:type="dxa"/>
            <w:vMerge w:val="continue"/>
            <w:noWrap w:val="0"/>
            <w:vAlign w:val="center"/>
          </w:tcPr>
          <w:p>
            <w:pPr>
              <w:pStyle w:val="32"/>
              <w:keepNext w:val="0"/>
              <w:keepLines w:val="0"/>
              <w:pageBreakBefore w:val="0"/>
              <w:widowControl w:val="0"/>
              <w:kinsoku/>
              <w:wordWrap/>
              <w:overflowPunct/>
              <w:topLinePunct w:val="0"/>
              <w:autoSpaceDE/>
              <w:autoSpaceDN/>
              <w:bidi w:val="0"/>
              <w:adjustRightInd/>
              <w:snapToGrid/>
              <w:spacing w:line="264" w:lineRule="auto"/>
              <w:ind w:firstLine="0" w:firstLineChars="0"/>
              <w:textAlignment w:val="auto"/>
              <w:rPr>
                <w:color w:val="auto"/>
                <w:sz w:val="24"/>
                <w:szCs w:val="24"/>
              </w:rPr>
            </w:pPr>
          </w:p>
        </w:tc>
        <w:tc>
          <w:tcPr>
            <w:tcW w:w="1159" w:type="dxa"/>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line="264" w:lineRule="auto"/>
              <w:ind w:firstLine="0" w:firstLineChars="0"/>
              <w:textAlignment w:val="auto"/>
              <w:rPr>
                <w:rFonts w:hint="default"/>
                <w:color w:val="auto"/>
                <w:sz w:val="24"/>
                <w:szCs w:val="24"/>
                <w:highlight w:val="none"/>
                <w:lang w:val="en-US" w:eastAsia="zh-CN"/>
              </w:rPr>
            </w:pPr>
            <w:r>
              <w:rPr>
                <w:rFonts w:hint="eastAsia"/>
                <w:color w:val="auto"/>
                <w:sz w:val="24"/>
                <w:szCs w:val="24"/>
                <w:highlight w:val="none"/>
                <w:lang w:val="en-US" w:eastAsia="zh-CN"/>
              </w:rPr>
              <w:t>氯化氢</w:t>
            </w:r>
          </w:p>
        </w:tc>
        <w:tc>
          <w:tcPr>
            <w:tcW w:w="2817" w:type="dxa"/>
            <w:vMerge w:val="continue"/>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line="264" w:lineRule="auto"/>
              <w:ind w:firstLine="0" w:firstLineChars="0"/>
              <w:textAlignment w:val="auto"/>
              <w:rPr>
                <w:rFonts w:hint="default"/>
                <w:color w:val="auto"/>
                <w:sz w:val="24"/>
                <w:szCs w:val="24"/>
                <w:highlight w:val="none"/>
                <w:lang w:val="en-US" w:eastAsia="zh-CN"/>
              </w:rPr>
            </w:pPr>
          </w:p>
        </w:tc>
        <w:tc>
          <w:tcPr>
            <w:tcW w:w="3110" w:type="dxa"/>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line="264" w:lineRule="auto"/>
              <w:ind w:firstLine="0" w:firstLineChars="0"/>
              <w:textAlignment w:val="auto"/>
              <w:rPr>
                <w:rFonts w:hint="default"/>
                <w:b/>
                <w:bCs/>
                <w:color w:val="auto"/>
                <w:sz w:val="24"/>
                <w:szCs w:val="24"/>
                <w:highlight w:val="none"/>
                <w:lang w:val="en-US" w:eastAsia="zh-CN"/>
              </w:rPr>
            </w:pPr>
            <w:r>
              <w:rPr>
                <w:rFonts w:hint="eastAsia"/>
                <w:b w:val="0"/>
                <w:bCs w:val="0"/>
                <w:color w:val="auto"/>
                <w:sz w:val="24"/>
                <w:szCs w:val="24"/>
                <w:highlight w:val="none"/>
                <w:lang w:val="en-US" w:eastAsia="zh-CN"/>
              </w:rPr>
              <w:t>《大气污染物综合排放标准》（GB16297-1996）表2中无组织排放监控浓度相关限值要求：氯化氢0.20mg/m</w:t>
            </w:r>
            <w:r>
              <w:rPr>
                <w:rFonts w:hint="eastAsia"/>
                <w:b w:val="0"/>
                <w:bCs w:val="0"/>
                <w:color w:val="auto"/>
                <w:sz w:val="24"/>
                <w:szCs w:val="24"/>
                <w:highlight w:val="none"/>
                <w:vertAlign w:val="superscript"/>
                <w:lang w:val="en-US" w:eastAsia="zh-CN"/>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1113" w:type="dxa"/>
            <w:noWrap w:val="0"/>
            <w:vAlign w:val="center"/>
          </w:tcPr>
          <w:p>
            <w:pPr>
              <w:pStyle w:val="32"/>
              <w:bidi w:val="0"/>
              <w:rPr>
                <w:rFonts w:hint="eastAsia"/>
                <w:color w:val="auto"/>
                <w:sz w:val="24"/>
                <w:szCs w:val="24"/>
                <w:highlight w:val="none"/>
              </w:rPr>
            </w:pPr>
            <w:r>
              <w:rPr>
                <w:rFonts w:hint="eastAsia"/>
                <w:color w:val="auto"/>
                <w:sz w:val="24"/>
                <w:szCs w:val="24"/>
                <w:highlight w:val="none"/>
              </w:rPr>
              <w:t>地表水环境</w:t>
            </w:r>
          </w:p>
        </w:tc>
        <w:tc>
          <w:tcPr>
            <w:tcW w:w="1549" w:type="dxa"/>
            <w:noWrap w:val="0"/>
            <w:vAlign w:val="center"/>
          </w:tcPr>
          <w:p>
            <w:pPr>
              <w:pStyle w:val="32"/>
              <w:keepNext w:val="0"/>
              <w:keepLines w:val="0"/>
              <w:pageBreakBefore w:val="0"/>
              <w:widowControl w:val="0"/>
              <w:kinsoku/>
              <w:wordWrap/>
              <w:overflowPunct/>
              <w:topLinePunct w:val="0"/>
              <w:autoSpaceDE/>
              <w:autoSpaceDN/>
              <w:bidi w:val="0"/>
              <w:adjustRightInd/>
              <w:snapToGrid/>
              <w:spacing w:line="264" w:lineRule="auto"/>
              <w:ind w:firstLine="0" w:firstLineChars="0"/>
              <w:textAlignment w:val="auto"/>
              <w:rPr>
                <w:rFonts w:hint="default"/>
                <w:color w:val="auto"/>
                <w:sz w:val="24"/>
                <w:szCs w:val="24"/>
                <w:highlight w:val="none"/>
                <w:lang w:val="en-US" w:eastAsia="zh-CN"/>
              </w:rPr>
            </w:pPr>
            <w:r>
              <w:rPr>
                <w:rFonts w:hint="eastAsia" w:ascii="宋体" w:hAnsi="宋体" w:eastAsia="宋体" w:cs="宋体"/>
                <w:color w:val="auto"/>
                <w:sz w:val="24"/>
                <w:szCs w:val="24"/>
                <w:highlight w:val="none"/>
                <w:lang w:val="en-US" w:eastAsia="zh-CN"/>
              </w:rPr>
              <w:t>－</w:t>
            </w:r>
          </w:p>
        </w:tc>
        <w:tc>
          <w:tcPr>
            <w:tcW w:w="1159" w:type="dxa"/>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line="264" w:lineRule="auto"/>
              <w:ind w:firstLine="0" w:firstLineChars="0"/>
              <w:textAlignment w:val="auto"/>
              <w:rPr>
                <w:rFonts w:hint="default"/>
                <w:color w:val="auto"/>
                <w:sz w:val="24"/>
                <w:szCs w:val="24"/>
                <w:highlight w:val="none"/>
                <w:lang w:val="en-US" w:eastAsia="zh-CN"/>
              </w:rPr>
            </w:pPr>
            <w:r>
              <w:rPr>
                <w:rFonts w:hint="eastAsia" w:ascii="宋体" w:hAnsi="宋体" w:eastAsia="宋体" w:cs="宋体"/>
                <w:color w:val="auto"/>
                <w:sz w:val="24"/>
                <w:szCs w:val="24"/>
                <w:highlight w:val="none"/>
                <w:lang w:val="en-US" w:eastAsia="zh-CN"/>
              </w:rPr>
              <w:t>－</w:t>
            </w:r>
          </w:p>
        </w:tc>
        <w:tc>
          <w:tcPr>
            <w:tcW w:w="2817" w:type="dxa"/>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line="264" w:lineRule="auto"/>
              <w:ind w:firstLine="0" w:firstLineChars="0"/>
              <w:textAlignment w:val="auto"/>
              <w:rPr>
                <w:rFonts w:hint="default"/>
                <w:color w:val="auto"/>
                <w:sz w:val="24"/>
                <w:szCs w:val="24"/>
                <w:highlight w:val="none"/>
                <w:lang w:val="en-US" w:eastAsia="zh-CN"/>
              </w:rPr>
            </w:pPr>
            <w:r>
              <w:rPr>
                <w:rFonts w:hint="eastAsia" w:ascii="宋体" w:hAnsi="宋体" w:eastAsia="宋体" w:cs="宋体"/>
                <w:color w:val="auto"/>
                <w:sz w:val="24"/>
                <w:szCs w:val="24"/>
                <w:highlight w:val="none"/>
                <w:lang w:val="en-US" w:eastAsia="zh-CN"/>
              </w:rPr>
              <w:t>－</w:t>
            </w:r>
          </w:p>
        </w:tc>
        <w:tc>
          <w:tcPr>
            <w:tcW w:w="3110" w:type="dxa"/>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line="264" w:lineRule="auto"/>
              <w:ind w:firstLine="0" w:firstLineChars="0"/>
              <w:textAlignment w:val="auto"/>
              <w:rPr>
                <w:rFonts w:hint="default"/>
                <w:color w:val="auto"/>
                <w:sz w:val="24"/>
                <w:szCs w:val="24"/>
                <w:highlight w:val="none"/>
                <w:lang w:val="en-US"/>
              </w:rPr>
            </w:pPr>
            <w:r>
              <w:rPr>
                <w:rFonts w:hint="eastAsia" w:ascii="宋体" w:hAnsi="宋体" w:eastAsia="宋体" w:cs="宋体"/>
                <w:color w:val="auto"/>
                <w:sz w:val="24"/>
                <w:szCs w:val="24"/>
                <w:highlight w:val="none"/>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1113" w:type="dxa"/>
            <w:noWrap w:val="0"/>
            <w:vAlign w:val="center"/>
          </w:tcPr>
          <w:p>
            <w:pPr>
              <w:pStyle w:val="32"/>
              <w:bidi w:val="0"/>
              <w:rPr>
                <w:rFonts w:hint="eastAsia"/>
                <w:color w:val="auto"/>
                <w:sz w:val="24"/>
                <w:szCs w:val="24"/>
                <w:highlight w:val="none"/>
              </w:rPr>
            </w:pPr>
            <w:r>
              <w:rPr>
                <w:rFonts w:hint="eastAsia"/>
                <w:color w:val="auto"/>
                <w:sz w:val="24"/>
                <w:szCs w:val="24"/>
                <w:highlight w:val="none"/>
              </w:rPr>
              <w:t>声环境</w:t>
            </w:r>
          </w:p>
        </w:tc>
        <w:tc>
          <w:tcPr>
            <w:tcW w:w="1549" w:type="dxa"/>
            <w:noWrap w:val="0"/>
            <w:vAlign w:val="center"/>
          </w:tcPr>
          <w:p>
            <w:pPr>
              <w:pStyle w:val="32"/>
              <w:keepNext w:val="0"/>
              <w:keepLines w:val="0"/>
              <w:pageBreakBefore w:val="0"/>
              <w:widowControl w:val="0"/>
              <w:kinsoku/>
              <w:wordWrap/>
              <w:overflowPunct/>
              <w:topLinePunct w:val="0"/>
              <w:autoSpaceDE/>
              <w:autoSpaceDN/>
              <w:bidi w:val="0"/>
              <w:adjustRightInd/>
              <w:snapToGrid/>
              <w:spacing w:line="264" w:lineRule="auto"/>
              <w:textAlignment w:val="auto"/>
              <w:rPr>
                <w:rFonts w:hint="default"/>
                <w:color w:val="auto"/>
                <w:sz w:val="24"/>
                <w:szCs w:val="24"/>
                <w:highlight w:val="none"/>
                <w:lang w:val="en-US" w:eastAsia="zh-CN"/>
              </w:rPr>
            </w:pPr>
            <w:r>
              <w:rPr>
                <w:rFonts w:hint="eastAsia"/>
                <w:color w:val="auto"/>
                <w:sz w:val="24"/>
                <w:szCs w:val="24"/>
                <w:highlight w:val="none"/>
                <w:lang w:val="en-US" w:eastAsia="zh-CN"/>
              </w:rPr>
              <w:t>生产设备运行</w:t>
            </w:r>
          </w:p>
        </w:tc>
        <w:tc>
          <w:tcPr>
            <w:tcW w:w="1159" w:type="dxa"/>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line="264" w:lineRule="auto"/>
              <w:textAlignment w:val="auto"/>
              <w:rPr>
                <w:rFonts w:hint="eastAsia"/>
                <w:color w:val="auto"/>
                <w:sz w:val="24"/>
                <w:szCs w:val="24"/>
                <w:highlight w:val="none"/>
                <w:lang w:val="en-US" w:eastAsia="zh-CN"/>
              </w:rPr>
            </w:pPr>
            <w:r>
              <w:rPr>
                <w:rFonts w:hint="eastAsia"/>
                <w:color w:val="auto"/>
                <w:sz w:val="24"/>
                <w:szCs w:val="24"/>
                <w:highlight w:val="none"/>
                <w:lang w:val="en-US" w:eastAsia="zh-CN"/>
              </w:rPr>
              <w:t>噪声</w:t>
            </w:r>
          </w:p>
        </w:tc>
        <w:tc>
          <w:tcPr>
            <w:tcW w:w="2817" w:type="dxa"/>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line="264" w:lineRule="auto"/>
              <w:textAlignment w:val="auto"/>
              <w:rPr>
                <w:rFonts w:hint="default" w:eastAsia="宋体"/>
                <w:color w:val="auto"/>
                <w:sz w:val="24"/>
                <w:szCs w:val="24"/>
                <w:highlight w:val="none"/>
                <w:lang w:val="en-US" w:eastAsia="zh-CN"/>
              </w:rPr>
            </w:pPr>
            <w:r>
              <w:rPr>
                <w:rFonts w:hint="eastAsia"/>
                <w:color w:val="auto"/>
                <w:sz w:val="24"/>
                <w:szCs w:val="24"/>
                <w:highlight w:val="none"/>
                <w:lang w:val="en-US" w:eastAsia="zh-CN"/>
              </w:rPr>
              <w:t>基础减振，厂房隔声</w:t>
            </w:r>
          </w:p>
        </w:tc>
        <w:tc>
          <w:tcPr>
            <w:tcW w:w="3110" w:type="dxa"/>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line="264" w:lineRule="auto"/>
              <w:textAlignment w:val="auto"/>
              <w:rPr>
                <w:rFonts w:hint="default" w:eastAsia="宋体"/>
                <w:color w:val="auto"/>
                <w:sz w:val="24"/>
                <w:szCs w:val="24"/>
                <w:highlight w:val="none"/>
                <w:lang w:val="en-US" w:eastAsia="zh-CN"/>
              </w:rPr>
            </w:pPr>
            <w:r>
              <w:rPr>
                <w:rFonts w:hint="default"/>
                <w:color w:val="auto"/>
                <w:sz w:val="24"/>
                <w:szCs w:val="24"/>
                <w:highlight w:val="none"/>
              </w:rPr>
              <w:t>《工业企业厂界环境噪声排放标准》（GB12348-2008）中</w:t>
            </w:r>
            <w:r>
              <w:rPr>
                <w:rFonts w:hint="eastAsia"/>
                <w:color w:val="auto"/>
                <w:sz w:val="24"/>
                <w:szCs w:val="24"/>
                <w:highlight w:val="none"/>
                <w:lang w:val="en-US" w:eastAsia="zh-CN"/>
              </w:rPr>
              <w:t>2类标准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1113" w:type="dxa"/>
            <w:noWrap w:val="0"/>
            <w:vAlign w:val="center"/>
          </w:tcPr>
          <w:p>
            <w:pPr>
              <w:pStyle w:val="32"/>
              <w:bidi w:val="0"/>
              <w:rPr>
                <w:rFonts w:hint="eastAsia"/>
                <w:color w:val="auto"/>
                <w:sz w:val="24"/>
                <w:szCs w:val="24"/>
                <w:highlight w:val="none"/>
              </w:rPr>
            </w:pPr>
            <w:r>
              <w:rPr>
                <w:rFonts w:hint="eastAsia"/>
                <w:color w:val="auto"/>
                <w:sz w:val="24"/>
                <w:szCs w:val="24"/>
                <w:highlight w:val="none"/>
              </w:rPr>
              <w:t>电磁辐射</w:t>
            </w:r>
          </w:p>
        </w:tc>
        <w:tc>
          <w:tcPr>
            <w:tcW w:w="1549" w:type="dxa"/>
            <w:noWrap w:val="0"/>
            <w:vAlign w:val="center"/>
          </w:tcPr>
          <w:p>
            <w:pPr>
              <w:pStyle w:val="32"/>
              <w:keepNext w:val="0"/>
              <w:keepLines w:val="0"/>
              <w:pageBreakBefore w:val="0"/>
              <w:widowControl w:val="0"/>
              <w:kinsoku/>
              <w:wordWrap/>
              <w:overflowPunct/>
              <w:topLinePunct w:val="0"/>
              <w:autoSpaceDE/>
              <w:autoSpaceDN/>
              <w:bidi w:val="0"/>
              <w:adjustRightInd/>
              <w:snapToGrid/>
              <w:spacing w:line="264" w:lineRule="auto"/>
              <w:ind w:firstLine="0" w:firstLineChars="0"/>
              <w:textAlignment w:val="auto"/>
              <w:rPr>
                <w:rFonts w:hint="eastAsia"/>
                <w:color w:val="auto"/>
                <w:sz w:val="24"/>
                <w:szCs w:val="24"/>
                <w:highlight w:val="none"/>
                <w:lang w:val="en-US" w:eastAsia="zh-CN"/>
              </w:rPr>
            </w:pPr>
            <w:r>
              <w:rPr>
                <w:rFonts w:hint="eastAsia" w:ascii="宋体" w:hAnsi="宋体" w:eastAsia="宋体" w:cs="宋体"/>
                <w:color w:val="auto"/>
                <w:sz w:val="24"/>
                <w:szCs w:val="24"/>
                <w:highlight w:val="none"/>
                <w:lang w:val="en-US" w:eastAsia="zh-CN"/>
              </w:rPr>
              <w:t>－</w:t>
            </w:r>
          </w:p>
        </w:tc>
        <w:tc>
          <w:tcPr>
            <w:tcW w:w="1159" w:type="dxa"/>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line="264" w:lineRule="auto"/>
              <w:ind w:firstLine="0" w:firstLineChars="0"/>
              <w:textAlignment w:val="auto"/>
              <w:rPr>
                <w:rFonts w:hint="eastAsia"/>
                <w:color w:val="auto"/>
                <w:sz w:val="24"/>
                <w:szCs w:val="24"/>
                <w:highlight w:val="none"/>
                <w:lang w:val="en-US" w:eastAsia="zh-CN"/>
              </w:rPr>
            </w:pPr>
            <w:r>
              <w:rPr>
                <w:rFonts w:hint="eastAsia" w:ascii="宋体" w:hAnsi="宋体" w:eastAsia="宋体" w:cs="宋体"/>
                <w:color w:val="auto"/>
                <w:sz w:val="24"/>
                <w:szCs w:val="24"/>
                <w:highlight w:val="none"/>
                <w:lang w:val="en-US" w:eastAsia="zh-CN"/>
              </w:rPr>
              <w:t>－</w:t>
            </w:r>
          </w:p>
        </w:tc>
        <w:tc>
          <w:tcPr>
            <w:tcW w:w="2817" w:type="dxa"/>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line="264" w:lineRule="auto"/>
              <w:ind w:firstLine="0" w:firstLineChars="0"/>
              <w:textAlignment w:val="auto"/>
              <w:rPr>
                <w:rFonts w:hint="eastAsia"/>
                <w:color w:val="auto"/>
                <w:sz w:val="24"/>
                <w:szCs w:val="24"/>
                <w:highlight w:val="none"/>
                <w:lang w:val="en-US" w:eastAsia="zh-CN"/>
              </w:rPr>
            </w:pPr>
            <w:r>
              <w:rPr>
                <w:rFonts w:hint="eastAsia" w:ascii="宋体" w:hAnsi="宋体" w:eastAsia="宋体" w:cs="宋体"/>
                <w:color w:val="auto"/>
                <w:sz w:val="24"/>
                <w:szCs w:val="24"/>
                <w:highlight w:val="none"/>
                <w:lang w:val="en-US" w:eastAsia="zh-CN"/>
              </w:rPr>
              <w:t>－</w:t>
            </w:r>
          </w:p>
        </w:tc>
        <w:tc>
          <w:tcPr>
            <w:tcW w:w="3110" w:type="dxa"/>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line="264" w:lineRule="auto"/>
              <w:ind w:firstLine="0" w:firstLineChars="0"/>
              <w:textAlignment w:val="auto"/>
              <w:rPr>
                <w:rFonts w:hint="eastAsia"/>
                <w:color w:val="auto"/>
                <w:sz w:val="24"/>
                <w:szCs w:val="24"/>
                <w:highlight w:val="none"/>
                <w:lang w:val="en-US" w:eastAsia="zh-CN"/>
              </w:rPr>
            </w:pPr>
            <w:r>
              <w:rPr>
                <w:rFonts w:hint="eastAsia" w:ascii="宋体" w:hAnsi="宋体" w:eastAsia="宋体" w:cs="宋体"/>
                <w:color w:val="auto"/>
                <w:sz w:val="24"/>
                <w:szCs w:val="24"/>
                <w:highlight w:val="none"/>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67" w:hRule="atLeast"/>
          <w:jc w:val="center"/>
        </w:trPr>
        <w:tc>
          <w:tcPr>
            <w:tcW w:w="1113" w:type="dxa"/>
            <w:vMerge w:val="restart"/>
            <w:noWrap w:val="0"/>
            <w:vAlign w:val="center"/>
          </w:tcPr>
          <w:p>
            <w:pPr>
              <w:pStyle w:val="32"/>
              <w:bidi w:val="0"/>
              <w:ind w:firstLine="0" w:firstLineChars="0"/>
              <w:rPr>
                <w:rFonts w:hint="eastAsia"/>
                <w:color w:val="auto"/>
                <w:sz w:val="24"/>
                <w:szCs w:val="24"/>
                <w:highlight w:val="none"/>
              </w:rPr>
            </w:pPr>
            <w:r>
              <w:rPr>
                <w:rFonts w:hint="eastAsia"/>
                <w:color w:val="auto"/>
                <w:sz w:val="24"/>
                <w:szCs w:val="24"/>
                <w:highlight w:val="none"/>
              </w:rPr>
              <w:t>固体废物</w:t>
            </w:r>
          </w:p>
        </w:tc>
        <w:tc>
          <w:tcPr>
            <w:tcW w:w="1549" w:type="dxa"/>
            <w:noWrap w:val="0"/>
            <w:vAlign w:val="center"/>
          </w:tcPr>
          <w:p>
            <w:pPr>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default"/>
                <w:color w:val="auto"/>
                <w:sz w:val="24"/>
                <w:szCs w:val="24"/>
                <w:highlight w:val="none"/>
                <w:lang w:val="en-US" w:eastAsia="zh-CN"/>
              </w:rPr>
            </w:pPr>
            <w:r>
              <w:rPr>
                <w:rFonts w:hint="eastAsia"/>
                <w:color w:val="auto"/>
                <w:sz w:val="24"/>
                <w:szCs w:val="24"/>
                <w:highlight w:val="none"/>
                <w:lang w:val="en-US" w:eastAsia="zh-CN"/>
              </w:rPr>
              <w:t>一般工业固体废物</w:t>
            </w:r>
          </w:p>
        </w:tc>
        <w:tc>
          <w:tcPr>
            <w:tcW w:w="7086"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color w:val="auto"/>
                <w:sz w:val="24"/>
                <w:szCs w:val="24"/>
                <w:highlight w:val="none"/>
                <w:lang w:val="en-US" w:eastAsia="zh-CN"/>
              </w:rPr>
            </w:pPr>
            <w:r>
              <w:rPr>
                <w:rFonts w:hint="default"/>
                <w:color w:val="auto"/>
                <w:sz w:val="24"/>
                <w:szCs w:val="24"/>
                <w:highlight w:val="none"/>
                <w:lang w:val="en-US" w:eastAsia="zh-CN"/>
              </w:rPr>
              <w:t>生产过程产生的废包装物；裁切过程产生的PET膜边角料、PVC膜边角料</w:t>
            </w:r>
            <w:r>
              <w:rPr>
                <w:rFonts w:hint="eastAsia"/>
                <w:color w:val="auto"/>
                <w:sz w:val="24"/>
                <w:szCs w:val="24"/>
                <w:highlight w:val="none"/>
                <w:lang w:val="en-US" w:eastAsia="zh-CN"/>
              </w:rPr>
              <w:t>，暂存于一般固废储存区，外售废品回收站。</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1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color w:val="auto"/>
                <w:sz w:val="24"/>
                <w:szCs w:val="24"/>
                <w:highlight w:val="none"/>
                <w:lang w:val="en-US" w:eastAsia="zh-CN"/>
              </w:rPr>
            </w:pPr>
          </w:p>
        </w:tc>
        <w:tc>
          <w:tcPr>
            <w:tcW w:w="1549" w:type="dxa"/>
            <w:noWrap w:val="0"/>
            <w:vAlign w:val="center"/>
          </w:tcPr>
          <w:p>
            <w:pPr>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default"/>
                <w:color w:val="auto"/>
                <w:sz w:val="24"/>
                <w:szCs w:val="24"/>
                <w:highlight w:val="none"/>
                <w:lang w:val="en-US" w:eastAsia="zh-CN"/>
              </w:rPr>
            </w:pPr>
            <w:r>
              <w:rPr>
                <w:rFonts w:hint="eastAsia"/>
                <w:color w:val="auto"/>
                <w:sz w:val="24"/>
                <w:szCs w:val="24"/>
                <w:highlight w:val="none"/>
                <w:lang w:val="en-US" w:eastAsia="zh-CN"/>
              </w:rPr>
              <w:t>危险废物</w:t>
            </w:r>
          </w:p>
        </w:tc>
        <w:tc>
          <w:tcPr>
            <w:tcW w:w="7086"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eastAsia="宋体"/>
                <w:b/>
                <w:bCs/>
                <w:color w:val="auto"/>
                <w:sz w:val="24"/>
                <w:szCs w:val="24"/>
                <w:highlight w:val="none"/>
                <w:lang w:val="en-US" w:eastAsia="zh-CN"/>
              </w:rPr>
            </w:pPr>
            <w:r>
              <w:rPr>
                <w:rFonts w:hint="eastAsia"/>
                <w:color w:val="auto"/>
                <w:sz w:val="24"/>
                <w:szCs w:val="24"/>
                <w:highlight w:val="none"/>
                <w:lang w:val="en-US" w:eastAsia="zh-CN"/>
              </w:rPr>
              <w:t>设备维护保养过程产生的废润滑油、废润滑油桶；生产过程中产生的</w:t>
            </w:r>
            <w:r>
              <w:rPr>
                <w:rFonts w:hint="eastAsia"/>
                <w:color w:val="auto"/>
                <w:lang w:val="en-US" w:eastAsia="zh-CN"/>
              </w:rPr>
              <w:t>废包装桶（导电浆料配制原料包装桶），暂存于危废间，定期委托有资质单位运走处置。废气治理设施定期更换的废活性炭，直接由有资质单位运走处置，不在厂区内储存</w:t>
            </w:r>
            <w:r>
              <w:rPr>
                <w:rFonts w:hint="eastAsia"/>
                <w:color w:val="auto"/>
                <w:sz w:val="24"/>
                <w:szCs w:val="24"/>
                <w:highlight w:val="none"/>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13" w:type="dxa"/>
            <w:noWrap w:val="0"/>
            <w:vAlign w:val="center"/>
          </w:tcPr>
          <w:p>
            <w:pPr>
              <w:pStyle w:val="32"/>
              <w:bidi w:val="0"/>
              <w:rPr>
                <w:rFonts w:hint="eastAsia" w:ascii="Times New Roman" w:hAnsi="Times New Roman" w:eastAsia="宋体" w:cs="Times New Roman"/>
                <w:color w:val="auto"/>
                <w:kern w:val="2"/>
                <w:sz w:val="24"/>
                <w:szCs w:val="24"/>
                <w:highlight w:val="none"/>
                <w:lang w:val="en-US" w:eastAsia="zh-CN" w:bidi="ar-SA"/>
              </w:rPr>
            </w:pPr>
            <w:r>
              <w:rPr>
                <w:rFonts w:hint="eastAsia"/>
                <w:color w:val="auto"/>
                <w:sz w:val="24"/>
                <w:szCs w:val="24"/>
                <w:highlight w:val="none"/>
              </w:rPr>
              <w:t>土壤及地下水污染防治措施</w:t>
            </w:r>
          </w:p>
        </w:tc>
        <w:tc>
          <w:tcPr>
            <w:tcW w:w="8635" w:type="dxa"/>
            <w:gridSpan w:val="4"/>
            <w:noWrap w:val="0"/>
            <w:vAlign w:val="center"/>
          </w:tcPr>
          <w:p>
            <w:pPr>
              <w:bidi w:val="0"/>
              <w:rPr>
                <w:rFonts w:hint="eastAsia"/>
                <w:color w:val="auto"/>
                <w:highlight w:val="none"/>
              </w:rPr>
            </w:pPr>
            <w:r>
              <w:rPr>
                <w:rFonts w:hint="eastAsia"/>
                <w:color w:val="auto"/>
                <w:highlight w:val="none"/>
                <w:lang w:eastAsia="zh-CN"/>
              </w:rPr>
              <w:t>本项目</w:t>
            </w:r>
            <w:r>
              <w:rPr>
                <w:rFonts w:hint="eastAsia"/>
                <w:color w:val="auto"/>
                <w:highlight w:val="none"/>
                <w:lang w:val="en-US" w:eastAsia="zh-CN"/>
              </w:rPr>
              <w:t>建成后对地下水、土壤的污染源</w:t>
            </w:r>
            <w:r>
              <w:rPr>
                <w:rFonts w:hint="eastAsia"/>
                <w:color w:val="auto"/>
                <w:highlight w:val="none"/>
                <w:lang w:eastAsia="zh-CN"/>
              </w:rPr>
              <w:t>主要</w:t>
            </w:r>
            <w:r>
              <w:rPr>
                <w:rFonts w:hint="eastAsia"/>
                <w:color w:val="auto"/>
                <w:highlight w:val="none"/>
                <w:lang w:val="en-US" w:eastAsia="zh-CN"/>
              </w:rPr>
              <w:t>为</w:t>
            </w:r>
            <w:r>
              <w:rPr>
                <w:rFonts w:hint="eastAsia"/>
                <w:color w:val="auto"/>
                <w:highlight w:val="none"/>
                <w:lang w:eastAsia="zh-CN"/>
              </w:rPr>
              <w:t>危废间</w:t>
            </w:r>
            <w:r>
              <w:rPr>
                <w:rFonts w:hint="eastAsia"/>
                <w:color w:val="auto"/>
                <w:highlight w:val="none"/>
                <w:lang w:val="en-US" w:eastAsia="zh-CN"/>
              </w:rPr>
              <w:t>储存的危险废物；危险品储存区储存的润滑油、导电浆料原料、电极银浆、镀膜液、氢氧化钠；使用油品的设备；碱液喷淋塔储存的碱液，</w:t>
            </w:r>
            <w:r>
              <w:rPr>
                <w:rFonts w:hint="eastAsia"/>
                <w:color w:val="auto"/>
                <w:highlight w:val="none"/>
                <w:lang w:eastAsia="zh-CN"/>
              </w:rPr>
              <w:t>可能因泄漏导致垂直入渗污染地下水、土壤，本项目</w:t>
            </w:r>
            <w:r>
              <w:rPr>
                <w:rFonts w:hint="eastAsia"/>
                <w:color w:val="auto"/>
                <w:highlight w:val="none"/>
              </w:rPr>
              <w:t>按照“源头控制、分区防治、污染监控、应急响应”相结合的原则，采用源头控制措施、分区防治措施。尽可能从源头上减少污染物的产生，防止环境污染，严格按照国家相关规范要求，对工艺、管道、设备、构建物采取相应措施，以防止和降低污染物的跑、冒、滴、漏</w:t>
            </w:r>
            <w:r>
              <w:rPr>
                <w:rFonts w:hint="eastAsia"/>
                <w:color w:val="auto"/>
                <w:highlight w:val="none"/>
                <w:lang w:eastAsia="zh-CN"/>
              </w:rPr>
              <w:t>，做好防渗措施</w:t>
            </w:r>
            <w:r>
              <w:rPr>
                <w:rFonts w:hint="eastAsia"/>
                <w:color w:val="auto"/>
                <w:highlight w:val="none"/>
              </w:rPr>
              <w:t>，避免由于泄漏造成物料下渗污染地下水。</w:t>
            </w:r>
          </w:p>
          <w:p>
            <w:pPr>
              <w:bidi w:val="0"/>
              <w:rPr>
                <w:rFonts w:hint="eastAsia"/>
                <w:color w:val="auto"/>
                <w:highlight w:val="none"/>
              </w:rPr>
            </w:pPr>
            <w:r>
              <w:rPr>
                <w:rFonts w:hint="eastAsia"/>
                <w:color w:val="auto"/>
                <w:highlight w:val="none"/>
                <w:lang w:val="en-US" w:eastAsia="zh-CN"/>
              </w:rPr>
              <w:t>危废间、危险品储存区、喷淋塔</w:t>
            </w:r>
            <w:r>
              <w:rPr>
                <w:rFonts w:hint="eastAsia"/>
                <w:color w:val="auto"/>
                <w:highlight w:val="none"/>
              </w:rPr>
              <w:t>为重点防渗区，</w:t>
            </w:r>
            <w:r>
              <w:rPr>
                <w:color w:val="auto"/>
                <w:highlight w:val="none"/>
              </w:rPr>
              <w:t>其他</w:t>
            </w:r>
            <w:r>
              <w:rPr>
                <w:rFonts w:hint="eastAsia"/>
                <w:color w:val="auto"/>
                <w:highlight w:val="none"/>
                <w:lang w:val="en-US" w:eastAsia="zh-CN"/>
              </w:rPr>
              <w:t>生产</w:t>
            </w:r>
            <w:r>
              <w:rPr>
                <w:color w:val="auto"/>
                <w:highlight w:val="none"/>
              </w:rPr>
              <w:t>区域</w:t>
            </w:r>
            <w:r>
              <w:rPr>
                <w:rFonts w:hint="eastAsia"/>
                <w:color w:val="auto"/>
                <w:highlight w:val="none"/>
              </w:rPr>
              <w:t>为一般防渗区</w:t>
            </w:r>
            <w:r>
              <w:rPr>
                <w:rFonts w:hint="eastAsia"/>
                <w:color w:val="auto"/>
                <w:highlight w:val="none"/>
                <w:lang w:eastAsia="zh-CN"/>
              </w:rPr>
              <w:t>，</w:t>
            </w:r>
            <w:r>
              <w:rPr>
                <w:rFonts w:hint="eastAsia"/>
                <w:color w:val="auto"/>
                <w:highlight w:val="none"/>
                <w:lang w:val="en-US" w:eastAsia="zh-CN"/>
              </w:rPr>
              <w:t>办公区、厂区地面为简单防渗区</w:t>
            </w:r>
            <w:r>
              <w:rPr>
                <w:rFonts w:hint="eastAsia"/>
                <w:color w:val="auto"/>
                <w:highlight w:val="none"/>
              </w:rPr>
              <w:t>。</w:t>
            </w:r>
          </w:p>
          <w:p>
            <w:pPr>
              <w:bidi w:val="0"/>
              <w:rPr>
                <w:rFonts w:hint="default"/>
                <w:color w:val="auto"/>
                <w:highlight w:val="none"/>
                <w:lang w:val="en-US" w:eastAsia="zh-CN"/>
              </w:rPr>
            </w:pPr>
            <w:r>
              <w:rPr>
                <w:rFonts w:hint="eastAsia" w:ascii="Times New Roman" w:hAnsi="Times New Roman" w:eastAsia="宋体"/>
                <w:color w:val="auto"/>
                <w:sz w:val="24"/>
                <w:szCs w:val="24"/>
                <w:highlight w:val="none"/>
              </w:rPr>
              <w:t>①</w:t>
            </w:r>
            <w:r>
              <w:rPr>
                <w:rFonts w:ascii="Times New Roman" w:hAnsi="Times New Roman" w:eastAsia="宋体"/>
                <w:color w:val="auto"/>
                <w:sz w:val="24"/>
                <w:szCs w:val="24"/>
                <w:highlight w:val="none"/>
              </w:rPr>
              <w:t>重点防渗区：该分区需要做</w:t>
            </w:r>
            <w:r>
              <w:rPr>
                <w:rFonts w:hint="eastAsia" w:ascii="Times New Roman" w:hAnsi="Times New Roman" w:eastAsia="宋体"/>
                <w:color w:val="auto"/>
                <w:sz w:val="24"/>
                <w:szCs w:val="24"/>
                <w:highlight w:val="none"/>
                <w:lang w:val="en-US" w:eastAsia="zh-CN"/>
              </w:rPr>
              <w:t>防</w:t>
            </w:r>
            <w:r>
              <w:rPr>
                <w:rFonts w:ascii="Times New Roman" w:hAnsi="Times New Roman" w:eastAsia="宋体"/>
                <w:color w:val="auto"/>
                <w:sz w:val="24"/>
                <w:szCs w:val="24"/>
                <w:highlight w:val="none"/>
              </w:rPr>
              <w:t>渗处理</w:t>
            </w:r>
            <w:r>
              <w:rPr>
                <w:rFonts w:hint="eastAsia"/>
                <w:color w:val="auto"/>
                <w:highlight w:val="none"/>
                <w:lang w:val="en-US" w:eastAsia="zh-CN"/>
              </w:rPr>
              <w:t>，现有危废间、危险品储存区、碱液喷淋塔</w:t>
            </w:r>
            <w:r>
              <w:rPr>
                <w:rFonts w:hint="eastAsia"/>
                <w:color w:val="auto"/>
                <w:sz w:val="24"/>
                <w:szCs w:val="24"/>
                <w:highlight w:val="none"/>
                <w:lang w:val="en-US" w:eastAsia="zh-CN"/>
              </w:rPr>
              <w:t>，</w:t>
            </w:r>
            <w:r>
              <w:rPr>
                <w:rFonts w:hint="eastAsia"/>
                <w:color w:val="auto"/>
                <w:highlight w:val="none"/>
                <w:lang w:val="en-US" w:eastAsia="zh-CN"/>
              </w:rPr>
              <w:t>已按重点防渗区要求做好防渗，本项目新增润滑油、导电浆料原料均储存于现有危险品储存区，新增危废除活性炭外均储存于现有危废间。</w:t>
            </w:r>
          </w:p>
          <w:p>
            <w:pPr>
              <w:bidi w:val="0"/>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②</w:t>
            </w:r>
            <w:r>
              <w:rPr>
                <w:rFonts w:ascii="Times New Roman" w:hAnsi="Times New Roman" w:eastAsia="宋体"/>
                <w:color w:val="auto"/>
                <w:sz w:val="24"/>
                <w:szCs w:val="24"/>
                <w:highlight w:val="none"/>
              </w:rPr>
              <w:t>一般防渗区：</w:t>
            </w:r>
            <w:r>
              <w:rPr>
                <w:rFonts w:hint="eastAsia" w:ascii="Times New Roman" w:hAnsi="Times New Roman" w:eastAsia="宋体"/>
                <w:color w:val="auto"/>
                <w:sz w:val="24"/>
                <w:szCs w:val="24"/>
                <w:highlight w:val="none"/>
              </w:rPr>
              <w:t>生产车间</w:t>
            </w:r>
            <w:r>
              <w:rPr>
                <w:rFonts w:ascii="Times New Roman" w:hAnsi="Times New Roman" w:eastAsia="宋体"/>
                <w:color w:val="auto"/>
                <w:sz w:val="24"/>
                <w:szCs w:val="24"/>
                <w:highlight w:val="none"/>
              </w:rPr>
              <w:t>其他区域的建设进行基础防渗处理，需满足等效黏土防渗层Mb≥6.0m，K≤1×10</w:t>
            </w:r>
            <w:r>
              <w:rPr>
                <w:rFonts w:ascii="Times New Roman" w:hAnsi="Times New Roman" w:eastAsia="宋体"/>
                <w:color w:val="auto"/>
                <w:sz w:val="24"/>
                <w:szCs w:val="24"/>
                <w:highlight w:val="none"/>
                <w:vertAlign w:val="superscript"/>
              </w:rPr>
              <w:t>-7</w:t>
            </w:r>
            <w:r>
              <w:rPr>
                <w:rFonts w:ascii="Times New Roman" w:hAnsi="Times New Roman" w:eastAsia="宋体"/>
                <w:color w:val="auto"/>
                <w:sz w:val="24"/>
                <w:szCs w:val="24"/>
                <w:highlight w:val="none"/>
              </w:rPr>
              <w:t>cm/s</w:t>
            </w:r>
            <w:r>
              <w:rPr>
                <w:rFonts w:hint="eastAsia"/>
                <w:color w:val="auto"/>
                <w:sz w:val="24"/>
                <w:szCs w:val="24"/>
                <w:highlight w:val="none"/>
                <w:lang w:eastAsia="zh-CN"/>
              </w:rPr>
              <w:t>，</w:t>
            </w:r>
            <w:r>
              <w:rPr>
                <w:rFonts w:hint="eastAsia"/>
                <w:color w:val="auto"/>
                <w:sz w:val="24"/>
                <w:szCs w:val="24"/>
                <w:highlight w:val="none"/>
                <w:lang w:val="en-US" w:eastAsia="zh-CN"/>
              </w:rPr>
              <w:t>使用油品设备区下设防渗托盘，确保废油不落地</w:t>
            </w:r>
            <w:r>
              <w:rPr>
                <w:rFonts w:ascii="Times New Roman" w:hAnsi="Times New Roman" w:eastAsia="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jc w:val="left"/>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olor w:val="auto"/>
                <w:sz w:val="24"/>
                <w:szCs w:val="24"/>
                <w:highlight w:val="none"/>
              </w:rPr>
              <w:t>③</w:t>
            </w:r>
            <w:r>
              <w:rPr>
                <w:rFonts w:hint="eastAsia"/>
                <w:color w:val="auto"/>
                <w:sz w:val="24"/>
                <w:szCs w:val="24"/>
                <w:highlight w:val="none"/>
                <w:lang w:val="en-US" w:eastAsia="zh-CN"/>
              </w:rPr>
              <w:t>简单防渗区：办公区地面硬化，厂区地面非硬即绿。</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35" w:hRule="atLeast"/>
          <w:jc w:val="center"/>
        </w:trPr>
        <w:tc>
          <w:tcPr>
            <w:tcW w:w="1113" w:type="dxa"/>
            <w:noWrap w:val="0"/>
            <w:vAlign w:val="center"/>
          </w:tcPr>
          <w:p>
            <w:pPr>
              <w:pStyle w:val="32"/>
              <w:bidi w:val="0"/>
              <w:ind w:firstLine="0" w:firstLineChars="0"/>
              <w:rPr>
                <w:rFonts w:hint="eastAsia" w:ascii="Times New Roman" w:hAnsi="Times New Roman" w:eastAsia="宋体" w:cs="Times New Roman"/>
                <w:color w:val="auto"/>
                <w:kern w:val="2"/>
                <w:sz w:val="24"/>
                <w:szCs w:val="24"/>
                <w:highlight w:val="none"/>
                <w:lang w:val="en-US" w:eastAsia="zh-CN" w:bidi="ar-SA"/>
              </w:rPr>
            </w:pPr>
            <w:r>
              <w:rPr>
                <w:rFonts w:hint="eastAsia"/>
                <w:color w:val="auto"/>
                <w:sz w:val="24"/>
                <w:szCs w:val="24"/>
                <w:highlight w:val="none"/>
              </w:rPr>
              <w:t>生态保护措施</w:t>
            </w:r>
          </w:p>
        </w:tc>
        <w:tc>
          <w:tcPr>
            <w:tcW w:w="8635" w:type="dxa"/>
            <w:gridSpan w:val="4"/>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480" w:firstLineChars="200"/>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color w:val="auto"/>
                <w:sz w:val="24"/>
                <w:szCs w:val="24"/>
                <w:highlight w:val="none"/>
                <w:lang w:eastAsia="zh-CN"/>
              </w:rPr>
              <w:t>本项目</w:t>
            </w:r>
            <w:r>
              <w:rPr>
                <w:rFonts w:hint="eastAsia"/>
                <w:color w:val="auto"/>
                <w:sz w:val="24"/>
                <w:szCs w:val="24"/>
                <w:highlight w:val="none"/>
                <w:lang w:val="en-US" w:eastAsia="zh-CN"/>
              </w:rPr>
              <w:t>在现有厂区内进行技术改造，不新增占地，</w:t>
            </w:r>
            <w:r>
              <w:rPr>
                <w:rFonts w:hint="eastAsia"/>
                <w:color w:val="auto"/>
                <w:sz w:val="24"/>
                <w:szCs w:val="24"/>
                <w:highlight w:val="none"/>
                <w:lang w:eastAsia="zh-CN"/>
              </w:rPr>
              <w:t>用地范围内无生态环境保护目标，</w:t>
            </w:r>
            <w:r>
              <w:rPr>
                <w:rFonts w:hint="eastAsia"/>
                <w:color w:val="auto"/>
                <w:sz w:val="24"/>
                <w:szCs w:val="24"/>
                <w:highlight w:val="none"/>
                <w:lang w:val="en-US" w:eastAsia="zh-CN"/>
              </w:rPr>
              <w:t>不会</w:t>
            </w:r>
            <w:r>
              <w:rPr>
                <w:rFonts w:hint="eastAsia"/>
                <w:color w:val="auto"/>
                <w:sz w:val="24"/>
                <w:szCs w:val="24"/>
                <w:highlight w:val="none"/>
                <w:lang w:eastAsia="zh-CN"/>
              </w:rPr>
              <w:t>对区域生态环境</w:t>
            </w:r>
            <w:r>
              <w:rPr>
                <w:rFonts w:hint="eastAsia"/>
                <w:color w:val="auto"/>
                <w:sz w:val="24"/>
                <w:szCs w:val="24"/>
                <w:highlight w:val="none"/>
                <w:lang w:val="en-US" w:eastAsia="zh-CN"/>
              </w:rPr>
              <w:t>造成明显不利</w:t>
            </w:r>
            <w:r>
              <w:rPr>
                <w:rFonts w:hint="eastAsia"/>
                <w:color w:val="auto"/>
                <w:sz w:val="24"/>
                <w:szCs w:val="24"/>
                <w:highlight w:val="none"/>
                <w:lang w:eastAsia="zh-CN"/>
              </w:rPr>
              <w:t>影响。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26" w:hRule="atLeast"/>
          <w:jc w:val="center"/>
        </w:trPr>
        <w:tc>
          <w:tcPr>
            <w:tcW w:w="1113" w:type="dxa"/>
            <w:noWrap w:val="0"/>
            <w:vAlign w:val="center"/>
          </w:tcPr>
          <w:p>
            <w:pPr>
              <w:pStyle w:val="32"/>
              <w:bidi w:val="0"/>
              <w:rPr>
                <w:rFonts w:hint="eastAsia" w:ascii="Times New Roman" w:hAnsi="Times New Roman" w:eastAsia="宋体" w:cs="Times New Roman"/>
                <w:color w:val="auto"/>
                <w:kern w:val="2"/>
                <w:sz w:val="24"/>
                <w:szCs w:val="24"/>
                <w:highlight w:val="none"/>
                <w:lang w:val="en-US" w:eastAsia="zh-CN" w:bidi="ar-SA"/>
              </w:rPr>
            </w:pPr>
            <w:r>
              <w:rPr>
                <w:rFonts w:hint="eastAsia"/>
                <w:color w:val="auto"/>
                <w:sz w:val="24"/>
                <w:szCs w:val="24"/>
                <w:highlight w:val="none"/>
              </w:rPr>
              <w:t>环境风险防范措施</w:t>
            </w:r>
          </w:p>
        </w:tc>
        <w:tc>
          <w:tcPr>
            <w:tcW w:w="8635" w:type="dxa"/>
            <w:gridSpan w:val="4"/>
            <w:noWrap w:val="0"/>
            <w:vAlign w:val="center"/>
          </w:tcPr>
          <w:p>
            <w:pPr>
              <w:pStyle w:val="44"/>
              <w:keepNext w:val="0"/>
              <w:keepLines w:val="0"/>
              <w:suppressLineNumbers w:val="0"/>
              <w:spacing w:before="0" w:beforeAutospacing="0" w:after="0" w:afterAutospacing="0"/>
              <w:ind w:left="0" w:right="0" w:firstLine="480"/>
              <w:rPr>
                <w:rFonts w:hint="eastAsia" w:eastAsia="宋体"/>
                <w:color w:val="auto"/>
                <w:kern w:val="2"/>
                <w:sz w:val="24"/>
                <w:szCs w:val="24"/>
                <w:highlight w:val="none"/>
                <w:lang w:val="en-US" w:eastAsia="zh-CN" w:bidi="ar-SA"/>
              </w:rPr>
            </w:pPr>
            <w:r>
              <w:rPr>
                <w:rFonts w:hint="eastAsia" w:eastAsia="宋体"/>
                <w:color w:val="auto"/>
                <w:kern w:val="2"/>
                <w:sz w:val="24"/>
                <w:szCs w:val="24"/>
                <w:highlight w:val="none"/>
                <w:lang w:val="en-US" w:eastAsia="zh-CN" w:bidi="ar-SA"/>
              </w:rPr>
              <w:t>（1）风险防范措施</w:t>
            </w:r>
          </w:p>
          <w:p>
            <w:pPr>
              <w:pStyle w:val="44"/>
              <w:keepNext w:val="0"/>
              <w:keepLines w:val="0"/>
              <w:suppressLineNumbers w:val="0"/>
              <w:spacing w:before="0" w:beforeAutospacing="0" w:after="0" w:afterAutospacing="0"/>
              <w:ind w:left="0" w:right="0" w:firstLine="480"/>
              <w:rPr>
                <w:rFonts w:hint="default" w:ascii="Times New Roman" w:hAnsi="Times New Roman" w:eastAsia="宋体"/>
                <w:color w:val="auto"/>
                <w:kern w:val="2"/>
                <w:sz w:val="24"/>
                <w:szCs w:val="24"/>
                <w:highlight w:val="none"/>
                <w:lang w:val="en-US" w:eastAsia="zh-CN" w:bidi="ar-SA"/>
              </w:rPr>
            </w:pPr>
            <w:r>
              <w:rPr>
                <w:rFonts w:hint="eastAsia" w:eastAsia="宋体"/>
                <w:color w:val="auto"/>
                <w:kern w:val="2"/>
                <w:sz w:val="24"/>
                <w:szCs w:val="24"/>
                <w:highlight w:val="none"/>
                <w:lang w:val="en-US" w:eastAsia="zh-CN" w:bidi="ar-SA"/>
              </w:rPr>
              <w:t>企业储存的润滑油、异氰酸酯密闭桶装储存于危险品储存区，废润滑油桶装加盖，储存于危废间，</w:t>
            </w:r>
            <w:r>
              <w:rPr>
                <w:rFonts w:hint="eastAsia" w:ascii="Times New Roman" w:hAnsi="Times New Roman" w:eastAsia="宋体" w:cs="Times New Roman"/>
                <w:color w:val="auto"/>
                <w:sz w:val="24"/>
                <w:szCs w:val="21"/>
                <w:highlight w:val="none"/>
                <w:shd w:val="clear" w:color="auto" w:fill="auto"/>
                <w:lang w:val="en-US" w:eastAsia="zh-CN"/>
              </w:rPr>
              <w:t>使用</w:t>
            </w:r>
            <w:r>
              <w:rPr>
                <w:rFonts w:hint="eastAsia" w:eastAsia="宋体" w:cs="Times New Roman"/>
                <w:color w:val="auto"/>
                <w:sz w:val="24"/>
                <w:szCs w:val="21"/>
                <w:highlight w:val="none"/>
                <w:shd w:val="clear" w:color="auto" w:fill="auto"/>
                <w:lang w:val="en-US" w:eastAsia="zh-CN"/>
              </w:rPr>
              <w:t>润滑</w:t>
            </w:r>
            <w:r>
              <w:rPr>
                <w:rFonts w:hint="eastAsia" w:ascii="Times New Roman" w:hAnsi="Times New Roman" w:eastAsia="宋体" w:cs="Times New Roman"/>
                <w:color w:val="auto"/>
                <w:sz w:val="24"/>
                <w:szCs w:val="21"/>
                <w:highlight w:val="none"/>
                <w:shd w:val="clear" w:color="auto" w:fill="auto"/>
                <w:lang w:val="en-US" w:eastAsia="zh-CN"/>
              </w:rPr>
              <w:t>油</w:t>
            </w:r>
            <w:r>
              <w:rPr>
                <w:rFonts w:hint="eastAsia" w:eastAsia="宋体" w:cs="Times New Roman"/>
                <w:color w:val="auto"/>
                <w:sz w:val="24"/>
                <w:szCs w:val="21"/>
                <w:highlight w:val="none"/>
                <w:shd w:val="clear" w:color="auto" w:fill="auto"/>
                <w:lang w:val="en-US" w:eastAsia="zh-CN"/>
              </w:rPr>
              <w:t>维护保养</w:t>
            </w:r>
            <w:r>
              <w:rPr>
                <w:rFonts w:hint="eastAsia" w:ascii="Times New Roman" w:hAnsi="Times New Roman" w:eastAsia="宋体" w:cs="Times New Roman"/>
                <w:color w:val="auto"/>
                <w:sz w:val="24"/>
                <w:szCs w:val="21"/>
                <w:highlight w:val="none"/>
                <w:shd w:val="clear" w:color="auto" w:fill="auto"/>
                <w:lang w:val="en-US" w:eastAsia="zh-CN"/>
              </w:rPr>
              <w:t>的</w:t>
            </w:r>
            <w:r>
              <w:rPr>
                <w:rFonts w:hint="eastAsia" w:ascii="Times New Roman" w:hAnsi="Times New Roman" w:eastAsia="宋体" w:cs="Times New Roman"/>
                <w:color w:val="auto"/>
                <w:sz w:val="24"/>
                <w:szCs w:val="21"/>
                <w:highlight w:val="none"/>
                <w:shd w:val="clear" w:color="auto" w:fill="auto"/>
                <w:lang w:eastAsia="zh-CN"/>
              </w:rPr>
              <w:t>设备下设托盘</w:t>
            </w:r>
            <w:r>
              <w:rPr>
                <w:rFonts w:hint="eastAsia" w:eastAsia="宋体"/>
                <w:color w:val="auto"/>
                <w:kern w:val="2"/>
                <w:sz w:val="24"/>
                <w:szCs w:val="24"/>
                <w:highlight w:val="none"/>
                <w:lang w:val="en-US" w:eastAsia="zh-CN" w:bidi="ar-SA"/>
              </w:rPr>
              <w:t>，并</w:t>
            </w:r>
            <w:r>
              <w:rPr>
                <w:rFonts w:hint="default" w:ascii="Times New Roman" w:hAnsi="Times New Roman" w:eastAsia="宋体"/>
                <w:color w:val="auto"/>
                <w:kern w:val="2"/>
                <w:sz w:val="24"/>
                <w:szCs w:val="24"/>
                <w:highlight w:val="none"/>
                <w:lang w:val="en-US" w:eastAsia="zh-CN" w:bidi="ar-SA"/>
              </w:rPr>
              <w:t>配备相应的设备和抢险设施</w:t>
            </w:r>
            <w:r>
              <w:rPr>
                <w:rFonts w:hint="eastAsia" w:eastAsia="宋体"/>
                <w:color w:val="auto"/>
                <w:kern w:val="2"/>
                <w:sz w:val="24"/>
                <w:szCs w:val="24"/>
                <w:highlight w:val="none"/>
                <w:lang w:val="en-US" w:eastAsia="zh-CN" w:bidi="ar-SA"/>
              </w:rPr>
              <w:t>，</w:t>
            </w:r>
            <w:r>
              <w:rPr>
                <w:rFonts w:hint="default" w:ascii="Times New Roman" w:hAnsi="Times New Roman" w:eastAsia="宋体"/>
                <w:color w:val="auto"/>
                <w:kern w:val="2"/>
                <w:sz w:val="24"/>
                <w:szCs w:val="24"/>
                <w:highlight w:val="none"/>
                <w:lang w:val="en-US" w:eastAsia="zh-CN" w:bidi="ar-SA"/>
              </w:rPr>
              <w:t>风险物质</w:t>
            </w:r>
            <w:r>
              <w:rPr>
                <w:rFonts w:hint="eastAsia" w:eastAsia="宋体"/>
                <w:color w:val="auto"/>
                <w:kern w:val="2"/>
                <w:sz w:val="24"/>
                <w:szCs w:val="24"/>
                <w:highlight w:val="none"/>
                <w:lang w:val="en-US" w:eastAsia="zh-CN" w:bidi="ar-SA"/>
              </w:rPr>
              <w:t>使用</w:t>
            </w:r>
            <w:r>
              <w:rPr>
                <w:rFonts w:hint="default" w:ascii="Times New Roman" w:hAnsi="Times New Roman" w:eastAsia="宋体"/>
                <w:color w:val="auto"/>
                <w:kern w:val="2"/>
                <w:sz w:val="24"/>
                <w:szCs w:val="24"/>
                <w:highlight w:val="none"/>
                <w:lang w:val="en-US" w:eastAsia="zh-CN" w:bidi="ar-SA"/>
              </w:rPr>
              <w:t>区有防扬散、防流失、防渗漏等防治措施并参照国家标准《危险废物贮存污染控制标准》</w:t>
            </w:r>
            <w:r>
              <w:rPr>
                <w:rFonts w:hint="eastAsia" w:ascii="Times New Roman" w:hAnsi="Times New Roman" w:eastAsia="宋体"/>
                <w:color w:val="auto"/>
                <w:kern w:val="2"/>
                <w:sz w:val="24"/>
                <w:szCs w:val="24"/>
                <w:highlight w:val="none"/>
                <w:lang w:val="en-US" w:eastAsia="zh-CN" w:bidi="ar-SA"/>
              </w:rPr>
              <w:t>（</w:t>
            </w:r>
            <w:r>
              <w:rPr>
                <w:rFonts w:hint="default" w:ascii="Times New Roman" w:hAnsi="Times New Roman" w:eastAsia="宋体"/>
                <w:color w:val="auto"/>
                <w:kern w:val="2"/>
                <w:sz w:val="24"/>
                <w:szCs w:val="24"/>
                <w:highlight w:val="none"/>
                <w:lang w:val="en-US" w:eastAsia="zh-CN" w:bidi="ar-SA"/>
              </w:rPr>
              <w:t>GB</w:t>
            </w:r>
            <w:r>
              <w:rPr>
                <w:rFonts w:hint="eastAsia" w:ascii="Times New Roman" w:hAnsi="Times New Roman" w:eastAsia="宋体"/>
                <w:color w:val="auto"/>
                <w:kern w:val="2"/>
                <w:sz w:val="24"/>
                <w:szCs w:val="24"/>
                <w:highlight w:val="none"/>
                <w:lang w:val="en-US" w:eastAsia="zh-CN" w:bidi="ar-SA"/>
              </w:rPr>
              <w:t xml:space="preserve"> </w:t>
            </w:r>
            <w:r>
              <w:rPr>
                <w:rFonts w:hint="default" w:ascii="Times New Roman" w:hAnsi="Times New Roman" w:eastAsia="宋体"/>
                <w:color w:val="auto"/>
                <w:kern w:val="2"/>
                <w:sz w:val="24"/>
                <w:szCs w:val="24"/>
                <w:highlight w:val="none"/>
                <w:lang w:val="en-US" w:eastAsia="zh-CN" w:bidi="ar-SA"/>
              </w:rPr>
              <w:t>18597-20</w:t>
            </w:r>
            <w:r>
              <w:rPr>
                <w:rFonts w:hint="eastAsia" w:eastAsia="宋体"/>
                <w:color w:val="auto"/>
                <w:kern w:val="2"/>
                <w:sz w:val="24"/>
                <w:szCs w:val="24"/>
                <w:highlight w:val="none"/>
                <w:lang w:val="en-US" w:eastAsia="zh-CN" w:bidi="ar-SA"/>
              </w:rPr>
              <w:t>23</w:t>
            </w:r>
            <w:r>
              <w:rPr>
                <w:rFonts w:hint="eastAsia" w:ascii="Times New Roman" w:hAnsi="Times New Roman" w:eastAsia="宋体"/>
                <w:color w:val="auto"/>
                <w:kern w:val="2"/>
                <w:sz w:val="24"/>
                <w:szCs w:val="24"/>
                <w:highlight w:val="none"/>
                <w:lang w:val="en-US" w:eastAsia="zh-CN" w:bidi="ar-SA"/>
              </w:rPr>
              <w:t>）</w:t>
            </w:r>
            <w:r>
              <w:rPr>
                <w:rFonts w:hint="default" w:ascii="Times New Roman" w:hAnsi="Times New Roman" w:eastAsia="宋体"/>
                <w:color w:val="auto"/>
                <w:kern w:val="2"/>
                <w:sz w:val="24"/>
                <w:szCs w:val="24"/>
                <w:highlight w:val="none"/>
                <w:lang w:val="en-US" w:eastAsia="zh-CN" w:bidi="ar-SA"/>
              </w:rPr>
              <w:t>和《危险废物收集贮存运输技术规范》</w:t>
            </w:r>
            <w:r>
              <w:rPr>
                <w:rFonts w:hint="eastAsia" w:ascii="Times New Roman" w:hAnsi="Times New Roman" w:eastAsia="宋体"/>
                <w:color w:val="auto"/>
                <w:kern w:val="2"/>
                <w:sz w:val="24"/>
                <w:szCs w:val="24"/>
                <w:highlight w:val="none"/>
                <w:lang w:val="en-US" w:eastAsia="zh-CN" w:bidi="ar-SA"/>
              </w:rPr>
              <w:t>（</w:t>
            </w:r>
            <w:r>
              <w:rPr>
                <w:rFonts w:hint="default" w:ascii="Times New Roman" w:hAnsi="Times New Roman" w:eastAsia="宋体"/>
                <w:color w:val="auto"/>
                <w:kern w:val="2"/>
                <w:sz w:val="24"/>
                <w:szCs w:val="24"/>
                <w:highlight w:val="none"/>
                <w:lang w:val="en-US" w:eastAsia="zh-CN" w:bidi="ar-SA"/>
              </w:rPr>
              <w:t>HJ</w:t>
            </w:r>
            <w:r>
              <w:rPr>
                <w:rFonts w:hint="eastAsia" w:ascii="Times New Roman" w:hAnsi="Times New Roman" w:eastAsia="宋体"/>
                <w:color w:val="auto"/>
                <w:kern w:val="2"/>
                <w:sz w:val="24"/>
                <w:szCs w:val="24"/>
                <w:highlight w:val="none"/>
                <w:lang w:val="en-US" w:eastAsia="zh-CN" w:bidi="ar-SA"/>
              </w:rPr>
              <w:t xml:space="preserve"> </w:t>
            </w:r>
            <w:r>
              <w:rPr>
                <w:rFonts w:hint="default" w:ascii="Times New Roman" w:hAnsi="Times New Roman" w:eastAsia="宋体"/>
                <w:color w:val="auto"/>
                <w:kern w:val="2"/>
                <w:sz w:val="24"/>
                <w:szCs w:val="24"/>
                <w:highlight w:val="none"/>
                <w:lang w:val="en-US" w:eastAsia="zh-CN" w:bidi="ar-SA"/>
              </w:rPr>
              <w:t>2025-2012</w:t>
            </w:r>
            <w:r>
              <w:rPr>
                <w:rFonts w:hint="eastAsia" w:ascii="Times New Roman" w:hAnsi="Times New Roman" w:eastAsia="宋体"/>
                <w:color w:val="auto"/>
                <w:kern w:val="2"/>
                <w:sz w:val="24"/>
                <w:szCs w:val="24"/>
                <w:highlight w:val="none"/>
                <w:lang w:val="en-US" w:eastAsia="zh-CN" w:bidi="ar-SA"/>
              </w:rPr>
              <w:t>）</w:t>
            </w:r>
            <w:r>
              <w:rPr>
                <w:rFonts w:hint="default" w:ascii="Times New Roman" w:hAnsi="Times New Roman" w:eastAsia="宋体"/>
                <w:color w:val="auto"/>
                <w:kern w:val="2"/>
                <w:sz w:val="24"/>
                <w:szCs w:val="24"/>
                <w:highlight w:val="none"/>
                <w:lang w:val="en-US" w:eastAsia="zh-CN" w:bidi="ar-SA"/>
              </w:rPr>
              <w:t>的要求进行设计。门口设置围挡或斜坡，如果发生泄漏事故，确保风险物质不会溢流出上述区域，避免对水环境、土壤和大气环境造成影响。</w:t>
            </w:r>
          </w:p>
          <w:p>
            <w:pPr>
              <w:bidi w:val="0"/>
              <w:rPr>
                <w:rFonts w:hint="default"/>
                <w:color w:val="auto"/>
                <w:highlight w:val="none"/>
                <w:lang w:val="en-US" w:eastAsia="zh-CN"/>
              </w:rPr>
            </w:pPr>
            <w:r>
              <w:rPr>
                <w:rFonts w:hint="default"/>
                <w:color w:val="auto"/>
                <w:highlight w:val="none"/>
                <w:lang w:val="en-US" w:eastAsia="zh-CN"/>
              </w:rPr>
              <w:t>当发生事故时，为不使事故扩大，防止二次灾害的发生，要求及时抢险抢修，必须对各种险情进行事故前预测，保证抢险队伍的素质，遇险时应及时与当地消防部门取得联系，以获得有力支持。</w:t>
            </w:r>
          </w:p>
          <w:p>
            <w:pPr>
              <w:bidi w:val="0"/>
              <w:rPr>
                <w:rFonts w:hint="default"/>
                <w:color w:val="auto"/>
                <w:highlight w:val="none"/>
                <w:lang w:val="en-US" w:eastAsia="zh-CN"/>
              </w:rPr>
            </w:pPr>
            <w:r>
              <w:rPr>
                <w:rFonts w:hint="default"/>
                <w:color w:val="auto"/>
                <w:highlight w:val="none"/>
                <w:lang w:val="en-US" w:eastAsia="zh-CN"/>
              </w:rPr>
              <w:t>项目在运营中应确保正确操作和正常运行，在操作运行方面要求工作人员必须进行岗前专业培训，严格执行安全生产操作规程，进行安全性专业维护和保养，对安全设备进行定期校验，确保安全生产。同时建立夜间值班巡查制度、安全奖惩制度等。</w:t>
            </w:r>
          </w:p>
          <w:p>
            <w:pPr>
              <w:bidi w:val="0"/>
              <w:rPr>
                <w:rFonts w:hint="default"/>
                <w:color w:val="auto"/>
                <w:highlight w:val="none"/>
                <w:lang w:val="en-US" w:eastAsia="zh-CN"/>
              </w:rPr>
            </w:pPr>
            <w:r>
              <w:rPr>
                <w:rFonts w:hint="default"/>
                <w:color w:val="auto"/>
                <w:highlight w:val="none"/>
                <w:lang w:val="en-US" w:eastAsia="zh-CN"/>
              </w:rPr>
              <w:t>企业应建立健全防范制度，加强监督管理，规范操作，这类事故发生的概率处于可接受范围内。</w:t>
            </w:r>
          </w:p>
          <w:p>
            <w:pPr>
              <w:bidi w:val="0"/>
              <w:rPr>
                <w:rFonts w:hint="default"/>
                <w:color w:val="auto"/>
                <w:highlight w:val="none"/>
                <w:lang w:val="en-US" w:eastAsia="zh-CN"/>
              </w:rPr>
            </w:pPr>
            <w:r>
              <w:rPr>
                <w:rFonts w:hint="eastAsia"/>
                <w:color w:val="auto"/>
                <w:highlight w:val="none"/>
                <w:lang w:val="en-US" w:eastAsia="zh-CN"/>
              </w:rPr>
              <w:t>（2）</w:t>
            </w:r>
            <w:r>
              <w:rPr>
                <w:rFonts w:hint="default"/>
                <w:color w:val="auto"/>
                <w:highlight w:val="none"/>
                <w:lang w:val="en-US" w:eastAsia="zh-CN"/>
              </w:rPr>
              <w:t>应急措施</w:t>
            </w:r>
          </w:p>
          <w:p>
            <w:pPr>
              <w:bidi w:val="0"/>
              <w:rPr>
                <w:rFonts w:hint="default"/>
                <w:color w:val="auto"/>
                <w:highlight w:val="none"/>
                <w:lang w:val="en-US" w:eastAsia="zh-CN"/>
              </w:rPr>
            </w:pPr>
            <w:r>
              <w:rPr>
                <w:rFonts w:hint="eastAsia"/>
                <w:color w:val="auto"/>
                <w:highlight w:val="none"/>
                <w:lang w:val="en-US" w:eastAsia="zh-CN"/>
              </w:rPr>
              <w:t>润滑油、废润滑油、异氰酸酯</w:t>
            </w:r>
            <w:r>
              <w:rPr>
                <w:rFonts w:hint="default"/>
                <w:color w:val="auto"/>
                <w:highlight w:val="none"/>
                <w:lang w:val="en-US" w:eastAsia="zh-CN"/>
              </w:rPr>
              <w:t>发生</w:t>
            </w:r>
            <w:r>
              <w:rPr>
                <w:rFonts w:hint="eastAsia"/>
                <w:color w:val="auto"/>
                <w:highlight w:val="none"/>
                <w:lang w:val="en-US" w:eastAsia="zh-CN"/>
              </w:rPr>
              <w:t>泄漏</w:t>
            </w:r>
            <w:r>
              <w:rPr>
                <w:rFonts w:hint="default"/>
                <w:color w:val="auto"/>
                <w:highlight w:val="none"/>
                <w:lang w:val="en-US" w:eastAsia="zh-CN"/>
              </w:rPr>
              <w:t>，通过工作人员或视频监控人员预警，根据现场情况将沙土</w:t>
            </w:r>
            <w:r>
              <w:rPr>
                <w:rFonts w:hint="eastAsia"/>
                <w:color w:val="auto"/>
                <w:highlight w:val="none"/>
                <w:lang w:val="en-US" w:eastAsia="zh-CN"/>
              </w:rPr>
              <w:t>、</w:t>
            </w:r>
            <w:r>
              <w:rPr>
                <w:rFonts w:hint="default"/>
                <w:color w:val="auto"/>
                <w:highlight w:val="none"/>
                <w:lang w:val="en-US" w:eastAsia="zh-CN"/>
              </w:rPr>
              <w:t>沙袋等运至</w:t>
            </w:r>
            <w:r>
              <w:rPr>
                <w:rFonts w:hint="eastAsia"/>
                <w:color w:val="auto"/>
                <w:highlight w:val="none"/>
                <w:lang w:val="en-US" w:eastAsia="zh-CN"/>
              </w:rPr>
              <w:t>事</w:t>
            </w:r>
            <w:r>
              <w:rPr>
                <w:rFonts w:hint="default"/>
                <w:color w:val="auto"/>
                <w:highlight w:val="none"/>
                <w:lang w:val="en-US" w:eastAsia="zh-CN"/>
              </w:rPr>
              <w:t>发现场进行现场环境应急处置，利用沙袋先进行溢流的围堵，避免污染面积扩散，用吸附材料吸收泄漏液体，然后移至安全地区，能够有效防止事故扩大。当风险物质泄漏至雨水管网时，应急组对厂区雨水排口进行封堵，防止泄漏物泄漏</w:t>
            </w:r>
            <w:r>
              <w:rPr>
                <w:rFonts w:hint="eastAsia"/>
                <w:color w:val="auto"/>
                <w:highlight w:val="none"/>
                <w:lang w:val="en-US" w:eastAsia="zh-CN"/>
              </w:rPr>
              <w:t>至</w:t>
            </w:r>
            <w:r>
              <w:rPr>
                <w:rFonts w:hint="default"/>
                <w:color w:val="auto"/>
                <w:highlight w:val="none"/>
                <w:lang w:val="en-US" w:eastAsia="zh-CN"/>
              </w:rPr>
              <w:t>厂区外。一旦泄漏</w:t>
            </w:r>
            <w:r>
              <w:rPr>
                <w:rFonts w:hint="eastAsia"/>
                <w:color w:val="auto"/>
                <w:highlight w:val="none"/>
                <w:lang w:val="en-US" w:eastAsia="zh-CN"/>
              </w:rPr>
              <w:t>至</w:t>
            </w:r>
            <w:r>
              <w:rPr>
                <w:rFonts w:hint="default"/>
                <w:color w:val="auto"/>
                <w:highlight w:val="none"/>
                <w:lang w:val="en-US" w:eastAsia="zh-CN"/>
              </w:rPr>
              <w:t>厂区外，企业应告知当地政府、生态环境局、环境保护监测站等进行处理。</w:t>
            </w:r>
          </w:p>
          <w:p>
            <w:pPr>
              <w:bidi w:val="0"/>
              <w:rPr>
                <w:rFonts w:hint="eastAsia" w:ascii="Times New Roman" w:hAnsi="Times New Roman" w:eastAsia="宋体"/>
                <w:color w:val="auto"/>
                <w:kern w:val="2"/>
                <w:sz w:val="24"/>
                <w:szCs w:val="24"/>
                <w:highlight w:val="none"/>
                <w:lang w:val="en-US" w:eastAsia="zh-CN" w:bidi="ar-SA"/>
              </w:rPr>
            </w:pPr>
            <w:r>
              <w:rPr>
                <w:rFonts w:hint="eastAsia"/>
                <w:color w:val="auto"/>
                <w:highlight w:val="none"/>
                <w:lang w:val="en-US" w:eastAsia="zh-CN"/>
              </w:rPr>
              <w:t>根据收集资料和调查可知，唐山烯彤科技有限公司的突发环境事件应急预案已于2021年01月21日完成备案，唐山市生态环境局高新技术产业开发区分局予以备案，备案编号为130262-2021-002-L。现有工程厂区内的环境风险防范措施及应急措施总体可行，建设单位应结合本项目存在的环境风险，新增的环境风险物质、储存情况、影响途径以及风险防范措施和应急措施对突发环境应急预案进行修编。</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1113" w:type="dxa"/>
            <w:noWrap w:val="0"/>
            <w:vAlign w:val="center"/>
          </w:tcPr>
          <w:p>
            <w:pPr>
              <w:pStyle w:val="32"/>
              <w:bidi w:val="0"/>
              <w:rPr>
                <w:rFonts w:hint="eastAsia" w:ascii="Times New Roman" w:hAnsi="Times New Roman" w:eastAsia="宋体" w:cs="Times New Roman"/>
                <w:color w:val="auto"/>
                <w:kern w:val="2"/>
                <w:sz w:val="24"/>
                <w:szCs w:val="24"/>
                <w:highlight w:val="none"/>
                <w:lang w:val="en-US" w:eastAsia="zh-CN" w:bidi="ar-SA"/>
              </w:rPr>
            </w:pPr>
            <w:r>
              <w:rPr>
                <w:rFonts w:hint="eastAsia"/>
                <w:color w:val="auto"/>
                <w:sz w:val="24"/>
                <w:szCs w:val="24"/>
                <w:highlight w:val="none"/>
              </w:rPr>
              <w:t>其他环境管理要求</w:t>
            </w:r>
          </w:p>
        </w:tc>
        <w:tc>
          <w:tcPr>
            <w:tcW w:w="8635" w:type="dxa"/>
            <w:gridSpan w:val="4"/>
            <w:noWrap w:val="0"/>
            <w:vAlign w:val="center"/>
          </w:tcPr>
          <w:p>
            <w:pPr>
              <w:pStyle w:val="32"/>
              <w:keepNext w:val="0"/>
              <w:keepLines w:val="0"/>
              <w:pageBreakBefore w:val="0"/>
              <w:widowControl w:val="0"/>
              <w:kinsoku/>
              <w:wordWrap/>
              <w:overflowPunct/>
              <w:topLinePunct w:val="0"/>
              <w:autoSpaceDE/>
              <w:autoSpaceDN/>
              <w:bidi w:val="0"/>
              <w:adjustRightInd/>
              <w:snapToGrid/>
              <w:spacing w:before="0" w:after="0" w:line="440" w:lineRule="exact"/>
              <w:ind w:firstLine="480" w:firstLineChars="200"/>
              <w:jc w:val="left"/>
              <w:textAlignment w:val="auto"/>
              <w:rPr>
                <w:rFonts w:hint="default"/>
                <w:color w:val="auto"/>
                <w:sz w:val="24"/>
                <w:szCs w:val="24"/>
                <w:highlight w:val="none"/>
                <w:lang w:val="en-US" w:eastAsia="zh-CN"/>
              </w:rPr>
            </w:pPr>
            <w:r>
              <w:rPr>
                <w:rFonts w:hint="eastAsia"/>
                <w:color w:val="auto"/>
                <w:sz w:val="24"/>
                <w:szCs w:val="24"/>
                <w:highlight w:val="none"/>
                <w:lang w:val="en-US" w:eastAsia="zh-CN"/>
              </w:rPr>
              <w:t>1、环境管理及监测计划</w:t>
            </w:r>
          </w:p>
          <w:p>
            <w:pPr>
              <w:pStyle w:val="32"/>
              <w:keepNext w:val="0"/>
              <w:keepLines w:val="0"/>
              <w:pageBreakBefore w:val="0"/>
              <w:widowControl w:val="0"/>
              <w:kinsoku/>
              <w:wordWrap/>
              <w:overflowPunct/>
              <w:topLinePunct w:val="0"/>
              <w:autoSpaceDE/>
              <w:autoSpaceDN/>
              <w:bidi w:val="0"/>
              <w:adjustRightInd/>
              <w:snapToGrid/>
              <w:spacing w:before="0" w:after="0" w:line="440" w:lineRule="exact"/>
              <w:ind w:firstLine="480" w:firstLineChars="200"/>
              <w:jc w:val="left"/>
              <w:textAlignment w:val="auto"/>
              <w:rPr>
                <w:rFonts w:hint="default"/>
                <w:color w:val="auto"/>
                <w:sz w:val="24"/>
                <w:szCs w:val="24"/>
                <w:highlight w:val="none"/>
              </w:rPr>
            </w:pPr>
            <w:r>
              <w:rPr>
                <w:rFonts w:hint="eastAsia"/>
                <w:color w:val="auto"/>
                <w:sz w:val="24"/>
                <w:szCs w:val="24"/>
                <w:highlight w:val="none"/>
                <w:lang w:val="en-US" w:eastAsia="zh-CN"/>
              </w:rPr>
              <w:t>（1）</w:t>
            </w:r>
            <w:r>
              <w:rPr>
                <w:rFonts w:hint="default"/>
                <w:color w:val="auto"/>
                <w:sz w:val="24"/>
                <w:szCs w:val="24"/>
                <w:highlight w:val="none"/>
              </w:rPr>
              <w:t>环境管理措施</w:t>
            </w:r>
          </w:p>
          <w:p>
            <w:pPr>
              <w:pStyle w:val="32"/>
              <w:keepNext w:val="0"/>
              <w:keepLines w:val="0"/>
              <w:pageBreakBefore w:val="0"/>
              <w:widowControl w:val="0"/>
              <w:kinsoku/>
              <w:wordWrap/>
              <w:overflowPunct/>
              <w:topLinePunct w:val="0"/>
              <w:autoSpaceDE/>
              <w:autoSpaceDN/>
              <w:bidi w:val="0"/>
              <w:adjustRightInd/>
              <w:snapToGrid/>
              <w:spacing w:before="0" w:after="0" w:line="440" w:lineRule="exact"/>
              <w:ind w:firstLine="480" w:firstLineChars="200"/>
              <w:jc w:val="left"/>
              <w:textAlignment w:val="auto"/>
              <w:rPr>
                <w:rFonts w:hint="default"/>
                <w:color w:val="auto"/>
                <w:sz w:val="24"/>
                <w:szCs w:val="24"/>
                <w:highlight w:val="none"/>
              </w:rPr>
            </w:pPr>
            <w:r>
              <w:rPr>
                <w:rFonts w:hint="default"/>
                <w:color w:val="auto"/>
                <w:sz w:val="24"/>
                <w:szCs w:val="24"/>
                <w:highlight w:val="none"/>
              </w:rPr>
              <w:t>本项目实行厂长主管环保工作的领导体制，全面负责环保和安全工作。</w:t>
            </w:r>
          </w:p>
          <w:p>
            <w:pPr>
              <w:pStyle w:val="32"/>
              <w:keepNext w:val="0"/>
              <w:keepLines w:val="0"/>
              <w:pageBreakBefore w:val="0"/>
              <w:widowControl w:val="0"/>
              <w:kinsoku/>
              <w:wordWrap/>
              <w:overflowPunct/>
              <w:topLinePunct w:val="0"/>
              <w:autoSpaceDE/>
              <w:autoSpaceDN/>
              <w:bidi w:val="0"/>
              <w:adjustRightInd/>
              <w:snapToGrid/>
              <w:spacing w:before="0" w:after="0" w:line="440" w:lineRule="exact"/>
              <w:ind w:firstLine="480" w:firstLineChars="200"/>
              <w:jc w:val="left"/>
              <w:textAlignment w:val="auto"/>
              <w:rPr>
                <w:rFonts w:hint="default"/>
                <w:color w:val="auto"/>
                <w:sz w:val="24"/>
                <w:szCs w:val="24"/>
                <w:highlight w:val="none"/>
              </w:rPr>
            </w:pPr>
            <w:r>
              <w:rPr>
                <w:rFonts w:hint="default"/>
                <w:color w:val="auto"/>
                <w:sz w:val="24"/>
                <w:szCs w:val="24"/>
                <w:highlight w:val="none"/>
              </w:rPr>
              <w:t>①机构组成</w:t>
            </w:r>
          </w:p>
          <w:p>
            <w:pPr>
              <w:pStyle w:val="32"/>
              <w:keepNext w:val="0"/>
              <w:keepLines w:val="0"/>
              <w:pageBreakBefore w:val="0"/>
              <w:widowControl w:val="0"/>
              <w:kinsoku/>
              <w:wordWrap/>
              <w:overflowPunct/>
              <w:topLinePunct w:val="0"/>
              <w:autoSpaceDE/>
              <w:autoSpaceDN/>
              <w:bidi w:val="0"/>
              <w:adjustRightInd/>
              <w:snapToGrid/>
              <w:spacing w:before="0" w:after="0" w:line="440" w:lineRule="exact"/>
              <w:ind w:firstLine="480" w:firstLineChars="200"/>
              <w:jc w:val="left"/>
              <w:textAlignment w:val="auto"/>
              <w:rPr>
                <w:rFonts w:hint="default"/>
                <w:color w:val="auto"/>
                <w:sz w:val="24"/>
                <w:szCs w:val="24"/>
                <w:highlight w:val="none"/>
              </w:rPr>
            </w:pPr>
            <w:r>
              <w:rPr>
                <w:rFonts w:hint="default"/>
                <w:color w:val="auto"/>
                <w:sz w:val="24"/>
                <w:szCs w:val="24"/>
                <w:highlight w:val="none"/>
              </w:rPr>
              <w:t>该厂实行厂长负责主管环保工作的领导体制。</w:t>
            </w:r>
          </w:p>
          <w:p>
            <w:pPr>
              <w:pStyle w:val="32"/>
              <w:keepNext w:val="0"/>
              <w:keepLines w:val="0"/>
              <w:pageBreakBefore w:val="0"/>
              <w:widowControl w:val="0"/>
              <w:kinsoku/>
              <w:wordWrap/>
              <w:overflowPunct/>
              <w:topLinePunct w:val="0"/>
              <w:autoSpaceDE/>
              <w:autoSpaceDN/>
              <w:bidi w:val="0"/>
              <w:adjustRightInd/>
              <w:snapToGrid/>
              <w:spacing w:before="0" w:after="0" w:line="440" w:lineRule="exact"/>
              <w:ind w:firstLine="480" w:firstLineChars="200"/>
              <w:jc w:val="left"/>
              <w:textAlignment w:val="auto"/>
              <w:rPr>
                <w:rFonts w:hint="default"/>
                <w:color w:val="auto"/>
                <w:sz w:val="24"/>
                <w:szCs w:val="24"/>
                <w:highlight w:val="none"/>
              </w:rPr>
            </w:pPr>
            <w:r>
              <w:rPr>
                <w:rFonts w:hint="default"/>
                <w:color w:val="auto"/>
                <w:sz w:val="24"/>
                <w:szCs w:val="24"/>
                <w:highlight w:val="none"/>
              </w:rPr>
              <w:t>②机构职责</w:t>
            </w:r>
          </w:p>
          <w:p>
            <w:pPr>
              <w:pStyle w:val="32"/>
              <w:keepNext w:val="0"/>
              <w:keepLines w:val="0"/>
              <w:pageBreakBefore w:val="0"/>
              <w:widowControl w:val="0"/>
              <w:kinsoku/>
              <w:wordWrap/>
              <w:overflowPunct/>
              <w:topLinePunct w:val="0"/>
              <w:autoSpaceDE/>
              <w:autoSpaceDN/>
              <w:bidi w:val="0"/>
              <w:adjustRightInd/>
              <w:snapToGrid/>
              <w:spacing w:before="0" w:after="0" w:line="440" w:lineRule="exact"/>
              <w:ind w:firstLine="480" w:firstLineChars="200"/>
              <w:jc w:val="left"/>
              <w:textAlignment w:val="auto"/>
              <w:rPr>
                <w:rFonts w:hint="default"/>
                <w:color w:val="auto"/>
                <w:sz w:val="24"/>
                <w:szCs w:val="24"/>
                <w:highlight w:val="none"/>
              </w:rPr>
            </w:pPr>
            <w:r>
              <w:rPr>
                <w:rFonts w:hint="eastAsia"/>
                <w:color w:val="auto"/>
                <w:sz w:val="24"/>
                <w:szCs w:val="24"/>
                <w:highlight w:val="none"/>
                <w:lang w:val="en-US" w:eastAsia="zh-CN"/>
              </w:rPr>
              <w:t>a.</w:t>
            </w:r>
            <w:r>
              <w:rPr>
                <w:rFonts w:hint="default"/>
                <w:color w:val="auto"/>
                <w:sz w:val="24"/>
                <w:szCs w:val="24"/>
                <w:highlight w:val="none"/>
              </w:rPr>
              <w:t>贯彻执行环境保护法规及环境保护标准；</w:t>
            </w:r>
          </w:p>
          <w:p>
            <w:pPr>
              <w:pStyle w:val="32"/>
              <w:keepNext w:val="0"/>
              <w:keepLines w:val="0"/>
              <w:pageBreakBefore w:val="0"/>
              <w:widowControl w:val="0"/>
              <w:kinsoku/>
              <w:wordWrap/>
              <w:overflowPunct/>
              <w:topLinePunct w:val="0"/>
              <w:autoSpaceDE/>
              <w:autoSpaceDN/>
              <w:bidi w:val="0"/>
              <w:adjustRightInd/>
              <w:snapToGrid/>
              <w:spacing w:before="0" w:after="0" w:line="440" w:lineRule="exact"/>
              <w:ind w:firstLine="480" w:firstLineChars="200"/>
              <w:jc w:val="left"/>
              <w:textAlignment w:val="auto"/>
              <w:rPr>
                <w:rFonts w:hint="default"/>
                <w:color w:val="auto"/>
                <w:sz w:val="24"/>
                <w:szCs w:val="24"/>
                <w:highlight w:val="none"/>
              </w:rPr>
            </w:pPr>
            <w:r>
              <w:rPr>
                <w:rFonts w:hint="eastAsia"/>
                <w:color w:val="auto"/>
                <w:sz w:val="24"/>
                <w:szCs w:val="24"/>
                <w:highlight w:val="none"/>
                <w:lang w:val="en-US" w:eastAsia="zh-CN"/>
              </w:rPr>
              <w:t>b.</w:t>
            </w:r>
            <w:r>
              <w:rPr>
                <w:rFonts w:hint="default"/>
                <w:color w:val="auto"/>
                <w:sz w:val="24"/>
                <w:szCs w:val="24"/>
                <w:highlight w:val="none"/>
              </w:rPr>
              <w:t>建立完善的本企业环境保护管理制度，经常监督检查车间执行环保法规情况；</w:t>
            </w:r>
          </w:p>
          <w:p>
            <w:pPr>
              <w:pStyle w:val="32"/>
              <w:keepNext w:val="0"/>
              <w:keepLines w:val="0"/>
              <w:pageBreakBefore w:val="0"/>
              <w:widowControl w:val="0"/>
              <w:kinsoku/>
              <w:wordWrap/>
              <w:overflowPunct/>
              <w:topLinePunct w:val="0"/>
              <w:autoSpaceDE/>
              <w:autoSpaceDN/>
              <w:bidi w:val="0"/>
              <w:adjustRightInd/>
              <w:snapToGrid/>
              <w:spacing w:before="0" w:after="0" w:line="440" w:lineRule="exact"/>
              <w:ind w:firstLine="480" w:firstLineChars="200"/>
              <w:jc w:val="left"/>
              <w:textAlignment w:val="auto"/>
              <w:rPr>
                <w:rFonts w:hint="default"/>
                <w:color w:val="auto"/>
                <w:sz w:val="24"/>
                <w:szCs w:val="24"/>
                <w:highlight w:val="none"/>
              </w:rPr>
            </w:pPr>
            <w:r>
              <w:rPr>
                <w:rFonts w:hint="eastAsia"/>
                <w:color w:val="auto"/>
                <w:sz w:val="24"/>
                <w:szCs w:val="24"/>
                <w:highlight w:val="none"/>
                <w:lang w:val="en-US" w:eastAsia="zh-CN"/>
              </w:rPr>
              <w:t>c.</w:t>
            </w:r>
            <w:r>
              <w:rPr>
                <w:rFonts w:hint="default"/>
                <w:color w:val="auto"/>
                <w:sz w:val="24"/>
                <w:szCs w:val="24"/>
                <w:highlight w:val="none"/>
              </w:rPr>
              <w:t>搞好环境保护教育和宣传，提高职工的环境保护意识；</w:t>
            </w:r>
          </w:p>
          <w:p>
            <w:pPr>
              <w:pStyle w:val="32"/>
              <w:keepNext w:val="0"/>
              <w:keepLines w:val="0"/>
              <w:pageBreakBefore w:val="0"/>
              <w:widowControl w:val="0"/>
              <w:kinsoku/>
              <w:wordWrap/>
              <w:overflowPunct/>
              <w:topLinePunct w:val="0"/>
              <w:autoSpaceDE/>
              <w:autoSpaceDN/>
              <w:bidi w:val="0"/>
              <w:adjustRightInd/>
              <w:snapToGrid/>
              <w:spacing w:before="0" w:after="0" w:line="440" w:lineRule="exact"/>
              <w:ind w:firstLine="480" w:firstLineChars="200"/>
              <w:jc w:val="left"/>
              <w:textAlignment w:val="auto"/>
              <w:rPr>
                <w:rFonts w:hint="default"/>
                <w:color w:val="auto"/>
                <w:sz w:val="24"/>
                <w:szCs w:val="24"/>
                <w:highlight w:val="none"/>
              </w:rPr>
            </w:pPr>
            <w:r>
              <w:rPr>
                <w:rFonts w:hint="eastAsia"/>
                <w:color w:val="auto"/>
                <w:sz w:val="24"/>
                <w:szCs w:val="24"/>
                <w:highlight w:val="none"/>
                <w:lang w:val="en-US" w:eastAsia="zh-CN"/>
              </w:rPr>
              <w:t>d.</w:t>
            </w:r>
            <w:r>
              <w:rPr>
                <w:rFonts w:hint="default"/>
                <w:color w:val="auto"/>
                <w:sz w:val="24"/>
                <w:szCs w:val="24"/>
                <w:highlight w:val="none"/>
              </w:rPr>
              <w:t>组织对基层环保员的培训，提高工作素质；</w:t>
            </w:r>
          </w:p>
          <w:p>
            <w:pPr>
              <w:pStyle w:val="32"/>
              <w:keepNext w:val="0"/>
              <w:keepLines w:val="0"/>
              <w:pageBreakBefore w:val="0"/>
              <w:widowControl w:val="0"/>
              <w:kinsoku/>
              <w:wordWrap/>
              <w:overflowPunct/>
              <w:topLinePunct w:val="0"/>
              <w:autoSpaceDE/>
              <w:autoSpaceDN/>
              <w:bidi w:val="0"/>
              <w:adjustRightInd/>
              <w:snapToGrid/>
              <w:spacing w:before="0" w:after="0" w:line="440" w:lineRule="exact"/>
              <w:ind w:firstLine="480" w:firstLineChars="200"/>
              <w:jc w:val="left"/>
              <w:textAlignment w:val="auto"/>
              <w:rPr>
                <w:rFonts w:hint="default"/>
                <w:color w:val="auto"/>
                <w:sz w:val="24"/>
                <w:szCs w:val="24"/>
                <w:highlight w:val="none"/>
              </w:rPr>
            </w:pPr>
            <w:r>
              <w:rPr>
                <w:rFonts w:hint="eastAsia"/>
                <w:color w:val="auto"/>
                <w:sz w:val="24"/>
                <w:szCs w:val="24"/>
                <w:highlight w:val="none"/>
                <w:lang w:val="en-US" w:eastAsia="zh-CN"/>
              </w:rPr>
              <w:t>e.</w:t>
            </w:r>
            <w:r>
              <w:rPr>
                <w:rFonts w:hint="default"/>
                <w:color w:val="auto"/>
                <w:sz w:val="24"/>
                <w:szCs w:val="24"/>
                <w:highlight w:val="none"/>
              </w:rPr>
              <w:t>定时考核和统计，以保证各项环保设施常年处于良好运行状态，确保全厂污染物排放达到国家排放标准或总量控制指标。</w:t>
            </w:r>
          </w:p>
          <w:p>
            <w:pPr>
              <w:pStyle w:val="32"/>
              <w:keepNext w:val="0"/>
              <w:keepLines w:val="0"/>
              <w:pageBreakBefore w:val="0"/>
              <w:widowControl w:val="0"/>
              <w:kinsoku/>
              <w:wordWrap/>
              <w:overflowPunct/>
              <w:topLinePunct w:val="0"/>
              <w:autoSpaceDE/>
              <w:autoSpaceDN/>
              <w:bidi w:val="0"/>
              <w:adjustRightInd/>
              <w:snapToGrid/>
              <w:spacing w:before="0" w:after="0" w:line="440" w:lineRule="exact"/>
              <w:ind w:firstLine="480" w:firstLineChars="200"/>
              <w:jc w:val="left"/>
              <w:textAlignment w:val="auto"/>
              <w:rPr>
                <w:rFonts w:hint="default"/>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2</w:t>
            </w:r>
            <w:r>
              <w:rPr>
                <w:rFonts w:hint="eastAsia"/>
                <w:color w:val="auto"/>
                <w:sz w:val="24"/>
                <w:szCs w:val="24"/>
                <w:highlight w:val="none"/>
                <w:lang w:eastAsia="zh-CN"/>
              </w:rPr>
              <w:t>）</w:t>
            </w:r>
            <w:r>
              <w:rPr>
                <w:rFonts w:hint="default"/>
                <w:color w:val="auto"/>
                <w:sz w:val="24"/>
                <w:szCs w:val="24"/>
                <w:highlight w:val="none"/>
              </w:rPr>
              <w:t>监测制度</w:t>
            </w:r>
          </w:p>
          <w:p>
            <w:pPr>
              <w:pStyle w:val="32"/>
              <w:keepNext w:val="0"/>
              <w:keepLines w:val="0"/>
              <w:pageBreakBefore w:val="0"/>
              <w:widowControl w:val="0"/>
              <w:kinsoku/>
              <w:wordWrap/>
              <w:overflowPunct/>
              <w:topLinePunct w:val="0"/>
              <w:autoSpaceDE/>
              <w:autoSpaceDN/>
              <w:bidi w:val="0"/>
              <w:adjustRightInd/>
              <w:snapToGrid/>
              <w:spacing w:before="0" w:after="0" w:line="440" w:lineRule="exact"/>
              <w:ind w:firstLine="480" w:firstLineChars="200"/>
              <w:jc w:val="left"/>
              <w:textAlignment w:val="auto"/>
              <w:rPr>
                <w:rFonts w:hint="default"/>
                <w:color w:val="auto"/>
                <w:sz w:val="24"/>
                <w:szCs w:val="24"/>
                <w:highlight w:val="none"/>
              </w:rPr>
            </w:pPr>
            <w:r>
              <w:rPr>
                <w:rFonts w:hint="default"/>
                <w:color w:val="auto"/>
                <w:sz w:val="24"/>
                <w:szCs w:val="24"/>
                <w:highlight w:val="none"/>
              </w:rPr>
              <w:t>环境监测是环境保护的基础，是进行污染源治理及环保设施运行管理的依据，因而企业应定期对废气、废水、噪声等环保设施运行情况进行监测。</w:t>
            </w:r>
          </w:p>
          <w:p>
            <w:pPr>
              <w:pStyle w:val="32"/>
              <w:keepNext w:val="0"/>
              <w:keepLines w:val="0"/>
              <w:pageBreakBefore w:val="0"/>
              <w:widowControl w:val="0"/>
              <w:kinsoku/>
              <w:wordWrap/>
              <w:overflowPunct/>
              <w:topLinePunct w:val="0"/>
              <w:autoSpaceDE/>
              <w:autoSpaceDN/>
              <w:bidi w:val="0"/>
              <w:adjustRightInd/>
              <w:snapToGrid/>
              <w:spacing w:before="0" w:after="0" w:line="440" w:lineRule="exact"/>
              <w:ind w:firstLine="480" w:firstLineChars="200"/>
              <w:jc w:val="left"/>
              <w:textAlignment w:val="auto"/>
              <w:rPr>
                <w:rFonts w:hint="default"/>
                <w:color w:val="auto"/>
                <w:sz w:val="24"/>
                <w:szCs w:val="24"/>
                <w:highlight w:val="none"/>
              </w:rPr>
            </w:pPr>
            <w:r>
              <w:rPr>
                <w:rFonts w:hint="default"/>
                <w:color w:val="auto"/>
                <w:sz w:val="24"/>
                <w:szCs w:val="24"/>
                <w:highlight w:val="none"/>
              </w:rPr>
              <w:t>通过对项目运行中环保设施进行监控，掌握废气、</w:t>
            </w:r>
            <w:r>
              <w:rPr>
                <w:rFonts w:hint="eastAsia"/>
                <w:color w:val="auto"/>
                <w:sz w:val="24"/>
                <w:szCs w:val="24"/>
                <w:highlight w:val="none"/>
                <w:lang w:val="en-US" w:eastAsia="zh-CN"/>
              </w:rPr>
              <w:t>废水、</w:t>
            </w:r>
            <w:r>
              <w:rPr>
                <w:rFonts w:hint="default"/>
                <w:color w:val="auto"/>
                <w:sz w:val="24"/>
                <w:szCs w:val="24"/>
                <w:highlight w:val="none"/>
              </w:rPr>
              <w:t>噪声等污染源排放是否符合国家或地方排放标准的要求，做到达标排放，同时对废气、</w:t>
            </w:r>
            <w:r>
              <w:rPr>
                <w:rFonts w:hint="eastAsia"/>
                <w:color w:val="auto"/>
                <w:sz w:val="24"/>
                <w:szCs w:val="24"/>
                <w:highlight w:val="none"/>
                <w:lang w:val="en-US" w:eastAsia="zh-CN"/>
              </w:rPr>
              <w:t>废水、</w:t>
            </w:r>
            <w:r>
              <w:rPr>
                <w:rFonts w:hint="default"/>
                <w:color w:val="auto"/>
                <w:sz w:val="24"/>
                <w:szCs w:val="24"/>
                <w:highlight w:val="none"/>
              </w:rPr>
              <w:t>固体废物及噪声防治设施进行监督检查，保证正常运行。</w:t>
            </w:r>
          </w:p>
          <w:p>
            <w:pPr>
              <w:pStyle w:val="32"/>
              <w:keepNext w:val="0"/>
              <w:keepLines w:val="0"/>
              <w:pageBreakBefore w:val="0"/>
              <w:widowControl w:val="0"/>
              <w:kinsoku/>
              <w:wordWrap/>
              <w:overflowPunct/>
              <w:topLinePunct w:val="0"/>
              <w:autoSpaceDE/>
              <w:autoSpaceDN/>
              <w:bidi w:val="0"/>
              <w:adjustRightInd/>
              <w:snapToGrid/>
              <w:spacing w:before="0" w:after="0" w:line="440" w:lineRule="exact"/>
              <w:ind w:firstLine="480" w:firstLineChars="200"/>
              <w:jc w:val="left"/>
              <w:textAlignment w:val="auto"/>
              <w:rPr>
                <w:rFonts w:hint="default"/>
                <w:color w:val="auto"/>
                <w:sz w:val="24"/>
                <w:szCs w:val="24"/>
                <w:highlight w:val="none"/>
              </w:rPr>
            </w:pPr>
            <w:r>
              <w:rPr>
                <w:rFonts w:hint="eastAsia"/>
                <w:color w:val="auto"/>
                <w:sz w:val="24"/>
                <w:szCs w:val="24"/>
                <w:highlight w:val="none"/>
                <w:lang w:val="en-US" w:eastAsia="zh-CN"/>
              </w:rPr>
              <w:t>（3）</w:t>
            </w:r>
            <w:r>
              <w:rPr>
                <w:rFonts w:hint="default"/>
                <w:color w:val="auto"/>
                <w:sz w:val="24"/>
                <w:szCs w:val="24"/>
                <w:highlight w:val="none"/>
              </w:rPr>
              <w:t>环境监测机构及设备配置</w:t>
            </w:r>
          </w:p>
          <w:p>
            <w:pPr>
              <w:pStyle w:val="32"/>
              <w:keepNext w:val="0"/>
              <w:keepLines w:val="0"/>
              <w:pageBreakBefore w:val="0"/>
              <w:widowControl w:val="0"/>
              <w:kinsoku/>
              <w:wordWrap/>
              <w:overflowPunct/>
              <w:topLinePunct w:val="0"/>
              <w:autoSpaceDE/>
              <w:autoSpaceDN/>
              <w:bidi w:val="0"/>
              <w:adjustRightInd/>
              <w:snapToGrid/>
              <w:spacing w:before="0" w:after="0" w:line="440" w:lineRule="exact"/>
              <w:ind w:firstLine="480" w:firstLineChars="200"/>
              <w:jc w:val="left"/>
              <w:textAlignment w:val="auto"/>
              <w:rPr>
                <w:rFonts w:hint="default"/>
                <w:color w:val="auto"/>
                <w:sz w:val="24"/>
                <w:szCs w:val="24"/>
                <w:highlight w:val="none"/>
              </w:rPr>
            </w:pPr>
            <w:r>
              <w:rPr>
                <w:rFonts w:hint="default"/>
                <w:color w:val="auto"/>
                <w:sz w:val="24"/>
                <w:szCs w:val="24"/>
                <w:highlight w:val="none"/>
              </w:rPr>
              <w:t>环境监测是环境保护的基础，是进行污染治理和监督管理的依据。根据《排污单位自行监测技术指南 总则》（HJ 819-2017）要求，本评价建议企业环境监测工作委托当地有资质的环境监测机构承担。</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color w:val="auto"/>
                <w:sz w:val="24"/>
                <w:szCs w:val="24"/>
                <w:highlight w:val="none"/>
              </w:rPr>
            </w:pPr>
            <w:r>
              <w:rPr>
                <w:rFonts w:hint="eastAsia"/>
                <w:color w:val="auto"/>
                <w:sz w:val="24"/>
                <w:szCs w:val="24"/>
                <w:highlight w:val="none"/>
                <w:lang w:val="en-US" w:eastAsia="zh-CN"/>
              </w:rPr>
              <w:t>（4）</w:t>
            </w:r>
            <w:r>
              <w:rPr>
                <w:rFonts w:hint="default"/>
                <w:color w:val="auto"/>
                <w:sz w:val="24"/>
                <w:szCs w:val="24"/>
                <w:highlight w:val="none"/>
              </w:rPr>
              <w:t>监测计划</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color w:val="auto"/>
                <w:sz w:val="24"/>
                <w:szCs w:val="24"/>
                <w:highlight w:val="none"/>
              </w:rPr>
            </w:pPr>
            <w:r>
              <w:rPr>
                <w:rFonts w:hint="default"/>
                <w:color w:val="auto"/>
                <w:sz w:val="24"/>
                <w:szCs w:val="24"/>
                <w:highlight w:val="none"/>
              </w:rPr>
              <w:t>根据污染物排放特征，依据国家颁布的环境质量标准、污染物排放标准及地方环保部门的要求，制定项目的监测计划和工作方案，监测工作可委托有资质的环境监测部门承担。企业投入运行后，各污染源</w:t>
            </w:r>
            <w:r>
              <w:rPr>
                <w:rFonts w:hint="eastAsia"/>
                <w:color w:val="auto"/>
                <w:sz w:val="24"/>
                <w:szCs w:val="24"/>
                <w:highlight w:val="none"/>
                <w:lang w:val="en-US" w:eastAsia="zh-CN"/>
              </w:rPr>
              <w:t>按</w:t>
            </w:r>
            <w:r>
              <w:rPr>
                <w:rFonts w:hint="default"/>
                <w:color w:val="auto"/>
                <w:sz w:val="24"/>
                <w:szCs w:val="24"/>
                <w:highlight w:val="none"/>
              </w:rPr>
              <w:t>监测计划</w:t>
            </w:r>
            <w:r>
              <w:rPr>
                <w:rFonts w:hint="eastAsia"/>
                <w:color w:val="auto"/>
                <w:sz w:val="24"/>
                <w:szCs w:val="24"/>
                <w:highlight w:val="none"/>
                <w:lang w:val="en-US" w:eastAsia="zh-CN"/>
              </w:rPr>
              <w:t>进行检测</w:t>
            </w:r>
            <w:r>
              <w:rPr>
                <w:rFonts w:hint="default"/>
                <w:color w:val="auto"/>
                <w:sz w:val="24"/>
                <w:szCs w:val="24"/>
                <w:highlight w:val="none"/>
              </w:rPr>
              <w:t>。</w:t>
            </w:r>
          </w:p>
          <w:p>
            <w:pPr>
              <w:pStyle w:val="23"/>
              <w:keepNext w:val="0"/>
              <w:keepLines w:val="0"/>
              <w:pageBreakBefore w:val="0"/>
              <w:widowControl w:val="0"/>
              <w:kinsoku/>
              <w:wordWrap/>
              <w:overflowPunct/>
              <w:topLinePunct w:val="0"/>
              <w:autoSpaceDE/>
              <w:autoSpaceDN/>
              <w:bidi w:val="0"/>
              <w:adjustRightInd/>
              <w:snapToGrid/>
              <w:spacing w:before="0" w:after="0" w:line="440" w:lineRule="exact"/>
              <w:ind w:left="0" w:leftChars="0" w:firstLine="480" w:firstLineChars="200"/>
              <w:textAlignment w:val="auto"/>
              <w:rPr>
                <w:rFonts w:hint="default"/>
                <w:color w:val="auto"/>
                <w:sz w:val="24"/>
                <w:szCs w:val="24"/>
                <w:highlight w:val="none"/>
                <w:lang w:val="en-US" w:eastAsia="zh-CN"/>
              </w:rPr>
            </w:pPr>
            <w:r>
              <w:rPr>
                <w:rFonts w:hint="eastAsia"/>
                <w:color w:val="auto"/>
                <w:sz w:val="24"/>
                <w:szCs w:val="24"/>
                <w:highlight w:val="none"/>
                <w:lang w:val="en-US" w:eastAsia="zh-CN"/>
              </w:rPr>
              <w:t>2、企业环境信息公开要求</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color w:val="auto"/>
                <w:sz w:val="24"/>
                <w:szCs w:val="24"/>
                <w:highlight w:val="none"/>
                <w:lang w:val="en-US" w:eastAsia="zh-CN"/>
              </w:rPr>
            </w:pPr>
            <w:r>
              <w:rPr>
                <w:rFonts w:hint="eastAsia"/>
                <w:color w:val="auto"/>
                <w:sz w:val="24"/>
                <w:szCs w:val="24"/>
                <w:highlight w:val="none"/>
                <w:lang w:val="en-US" w:eastAsia="zh-CN"/>
              </w:rPr>
              <w:t>（1）企业环境信息公开</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color w:val="auto"/>
                <w:sz w:val="24"/>
                <w:szCs w:val="24"/>
                <w:highlight w:val="none"/>
                <w:lang w:val="en-US" w:eastAsia="zh-CN"/>
              </w:rPr>
            </w:pPr>
            <w:r>
              <w:rPr>
                <w:rFonts w:hint="eastAsia"/>
                <w:color w:val="auto"/>
                <w:sz w:val="24"/>
                <w:szCs w:val="24"/>
                <w:highlight w:val="none"/>
                <w:lang w:val="en-US" w:eastAsia="zh-CN"/>
              </w:rPr>
              <w:t>根据《企业环境信息依法披露管理办法》（部令第24号）的规定，企业事业单位应当按照强制公开和自愿公开相结合的原则，及时、如实地公开其环境信息。如环境信息涉及国家秘密、商业秘密或者个人隐私的，依法可以不公开；法律、法规另有规定的，从其规定。</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color w:val="auto"/>
                <w:sz w:val="24"/>
                <w:szCs w:val="24"/>
                <w:highlight w:val="none"/>
                <w:lang w:val="en-US" w:eastAsia="zh-CN"/>
              </w:rPr>
            </w:pPr>
            <w:r>
              <w:rPr>
                <w:rFonts w:hint="eastAsia"/>
                <w:color w:val="auto"/>
                <w:sz w:val="24"/>
                <w:szCs w:val="24"/>
                <w:highlight w:val="none"/>
                <w:lang w:val="en-US" w:eastAsia="zh-CN"/>
              </w:rPr>
              <w:t>该企业应当建立健全本单位环境信息公开制度，指定机构负责本单位环境信息公开日常工作。</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color w:val="auto"/>
                <w:sz w:val="24"/>
                <w:szCs w:val="24"/>
                <w:highlight w:val="none"/>
                <w:lang w:val="en-US" w:eastAsia="zh-CN"/>
              </w:rPr>
            </w:pPr>
            <w:r>
              <w:rPr>
                <w:rFonts w:hint="eastAsia"/>
                <w:color w:val="auto"/>
                <w:sz w:val="24"/>
                <w:szCs w:val="24"/>
                <w:highlight w:val="none"/>
                <w:lang w:val="en-US" w:eastAsia="zh-CN"/>
              </w:rPr>
              <w:t>（2）建设单位应当公开下列信息内容</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color w:val="auto"/>
                <w:sz w:val="24"/>
                <w:szCs w:val="24"/>
                <w:highlight w:val="none"/>
                <w:lang w:val="en-US" w:eastAsia="zh-CN"/>
              </w:rPr>
            </w:pPr>
            <w:r>
              <w:rPr>
                <w:rFonts w:hint="eastAsia"/>
                <w:color w:val="auto"/>
                <w:sz w:val="24"/>
                <w:szCs w:val="24"/>
                <w:highlight w:val="none"/>
                <w:lang w:val="en-US" w:eastAsia="zh-CN"/>
              </w:rPr>
              <w:t>该企业应当公开信息内容如下：</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color w:val="auto"/>
                <w:sz w:val="24"/>
                <w:szCs w:val="24"/>
                <w:highlight w:val="none"/>
                <w:lang w:val="en-US" w:eastAsia="zh-CN"/>
              </w:rPr>
            </w:pPr>
            <w:r>
              <w:rPr>
                <w:rFonts w:hint="eastAsia"/>
                <w:color w:val="auto"/>
                <w:sz w:val="24"/>
                <w:szCs w:val="24"/>
                <w:highlight w:val="none"/>
                <w:lang w:val="en-US" w:eastAsia="zh-CN"/>
              </w:rPr>
              <w:t>①基础信息：包括单位名称、组织机构代码、法定代表人、生产地址、联系方式，以及生产经营和管理服务的主要内容、产品及规模；</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color w:val="auto"/>
                <w:sz w:val="24"/>
                <w:szCs w:val="24"/>
                <w:highlight w:val="none"/>
                <w:lang w:val="en-US" w:eastAsia="zh-CN"/>
              </w:rPr>
            </w:pPr>
            <w:r>
              <w:rPr>
                <w:rFonts w:hint="eastAsia"/>
                <w:color w:val="auto"/>
                <w:sz w:val="24"/>
                <w:szCs w:val="24"/>
                <w:highlight w:val="none"/>
                <w:lang w:val="en-US" w:eastAsia="zh-CN"/>
              </w:rPr>
              <w:t>②排污信息：包括主要污染物及特征污染物的名称、排放方式、排放口数量和分布情况、排放浓度和总量、超标情况，以及执行的污染物排放标准、核定的排放总量；</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color w:val="auto"/>
                <w:sz w:val="24"/>
                <w:szCs w:val="24"/>
                <w:highlight w:val="none"/>
                <w:lang w:val="en-US" w:eastAsia="zh-CN"/>
              </w:rPr>
            </w:pPr>
            <w:r>
              <w:rPr>
                <w:rFonts w:hint="eastAsia"/>
                <w:color w:val="auto"/>
                <w:sz w:val="24"/>
                <w:szCs w:val="24"/>
                <w:highlight w:val="none"/>
                <w:lang w:val="en-US" w:eastAsia="zh-CN"/>
              </w:rPr>
              <w:t>③防治污染设施的建设和运行情况；</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color w:val="auto"/>
                <w:sz w:val="24"/>
                <w:szCs w:val="24"/>
                <w:highlight w:val="none"/>
                <w:lang w:val="en-US" w:eastAsia="zh-CN"/>
              </w:rPr>
            </w:pPr>
            <w:r>
              <w:rPr>
                <w:rFonts w:hint="eastAsia"/>
                <w:color w:val="auto"/>
                <w:sz w:val="24"/>
                <w:szCs w:val="24"/>
                <w:highlight w:val="none"/>
                <w:lang w:val="en-US" w:eastAsia="zh-CN"/>
              </w:rPr>
              <w:t>④建设项目环境影响评价及其他环境保护行政许可情况；</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color w:val="auto"/>
                <w:sz w:val="24"/>
                <w:szCs w:val="24"/>
                <w:highlight w:val="none"/>
                <w:lang w:val="en-US" w:eastAsia="zh-CN"/>
              </w:rPr>
            </w:pPr>
            <w:r>
              <w:rPr>
                <w:rFonts w:hint="eastAsia"/>
                <w:color w:val="auto"/>
                <w:sz w:val="24"/>
                <w:szCs w:val="24"/>
                <w:highlight w:val="none"/>
                <w:lang w:val="en-US" w:eastAsia="zh-CN"/>
              </w:rPr>
              <w:t>⑤其他应当公开的环境信息。</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color w:val="auto"/>
                <w:sz w:val="24"/>
                <w:szCs w:val="24"/>
                <w:highlight w:val="none"/>
                <w:lang w:val="en-US" w:eastAsia="zh-CN"/>
              </w:rPr>
            </w:pPr>
            <w:r>
              <w:rPr>
                <w:rFonts w:hint="eastAsia"/>
                <w:color w:val="auto"/>
                <w:sz w:val="24"/>
                <w:szCs w:val="24"/>
                <w:highlight w:val="none"/>
                <w:lang w:val="en-US" w:eastAsia="zh-CN"/>
              </w:rPr>
              <w:t>（3）信息公开方式</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color w:val="auto"/>
                <w:sz w:val="24"/>
                <w:szCs w:val="24"/>
                <w:highlight w:val="none"/>
                <w:lang w:val="en-US" w:eastAsia="zh-CN"/>
              </w:rPr>
            </w:pPr>
            <w:r>
              <w:rPr>
                <w:rFonts w:hint="eastAsia"/>
                <w:color w:val="auto"/>
                <w:sz w:val="24"/>
                <w:szCs w:val="24"/>
                <w:highlight w:val="none"/>
                <w:lang w:val="en-US" w:eastAsia="zh-CN"/>
              </w:rPr>
              <w:t>该企业采取信息公开栏方式公开相关信息；</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color w:val="auto"/>
                <w:sz w:val="24"/>
                <w:szCs w:val="24"/>
                <w:highlight w:val="none"/>
                <w:lang w:val="en-US" w:eastAsia="zh-CN"/>
              </w:rPr>
            </w:pPr>
            <w:r>
              <w:rPr>
                <w:rFonts w:hint="eastAsia"/>
                <w:color w:val="auto"/>
                <w:sz w:val="24"/>
                <w:szCs w:val="24"/>
                <w:highlight w:val="none"/>
                <w:lang w:val="en-US" w:eastAsia="zh-CN"/>
              </w:rPr>
              <w:t>3、排污许可规范化管理要求</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color w:val="auto"/>
                <w:sz w:val="24"/>
                <w:szCs w:val="24"/>
                <w:highlight w:val="none"/>
                <w:lang w:val="en-US" w:eastAsia="zh-CN"/>
              </w:rPr>
            </w:pPr>
            <w:r>
              <w:rPr>
                <w:rFonts w:hint="eastAsia"/>
                <w:color w:val="auto"/>
                <w:sz w:val="24"/>
                <w:szCs w:val="24"/>
                <w:highlight w:val="none"/>
                <w:lang w:val="en-US" w:eastAsia="zh-CN"/>
              </w:rPr>
              <w:t>国家实行排污许可制度，环境保护部门通过对企事业单位发放排污许可证并依证监管实施排污许可制。实行排污许可管理的企业事业单位和其他生产经营者应当按照排污许可证的要求排放污染物；未取得排污许可证的，不得排放污染物。</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color w:val="auto"/>
                <w:sz w:val="24"/>
                <w:szCs w:val="24"/>
                <w:highlight w:val="none"/>
                <w:lang w:val="en-US" w:eastAsia="zh-CN"/>
              </w:rPr>
            </w:pPr>
            <w:r>
              <w:rPr>
                <w:rFonts w:hint="eastAsia"/>
                <w:color w:val="auto"/>
                <w:sz w:val="24"/>
                <w:szCs w:val="24"/>
                <w:highlight w:val="none"/>
                <w:lang w:val="en-US" w:eastAsia="zh-CN"/>
              </w:rPr>
              <w:t>根据《国务院办公厅关于印发控制污染物排放许可制实施方案的通知》（国办发[2016]81号）、《关于做好环境影响评价制度与排污许可制衔接相关工作的通知》（环办环评[2017]84号）和《固定污染源排污许可分类管理名录（2019 年版）》等相关文件要求，企业事业单位和其他生产经营者应该按照名录的规定，在实施时限内申请排污许可证。</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color w:val="auto"/>
                <w:sz w:val="24"/>
                <w:szCs w:val="24"/>
                <w:highlight w:val="none"/>
                <w:lang w:val="en-US" w:eastAsia="zh-CN"/>
              </w:rPr>
            </w:pPr>
            <w:r>
              <w:rPr>
                <w:rFonts w:hint="eastAsia"/>
                <w:color w:val="auto"/>
                <w:sz w:val="24"/>
                <w:szCs w:val="24"/>
                <w:highlight w:val="none"/>
                <w:lang w:val="en-US" w:eastAsia="zh-CN"/>
              </w:rPr>
              <w:t>本项目经对照《固定污染源排污许可分类管理名录（2019 年版）》已纳入名录管理的行业，应及时申请取得排污许可证或填报排污登记表。本项目属于“三十三、电气机械和器材制造业38—87.家用电力器具制造385—“其他”，本公司属于登记。现有工程已进行排污登记，应当在本项目启动生产设施或者发生实际排污之前，进行排污登记变更。并且在国家及地方环保监管部门有要求的情况下实施监测。</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color w:val="auto"/>
                <w:sz w:val="24"/>
                <w:szCs w:val="24"/>
                <w:highlight w:val="none"/>
                <w:lang w:val="en-US" w:eastAsia="zh-CN"/>
              </w:rPr>
            </w:pPr>
            <w:r>
              <w:rPr>
                <w:rFonts w:hint="eastAsia"/>
                <w:color w:val="auto"/>
                <w:sz w:val="24"/>
                <w:szCs w:val="24"/>
                <w:highlight w:val="none"/>
                <w:lang w:val="en-US" w:eastAsia="zh-CN"/>
              </w:rPr>
              <w:t>4、环保竣工验收管理</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color w:val="auto"/>
                <w:sz w:val="24"/>
                <w:szCs w:val="24"/>
                <w:highlight w:val="none"/>
                <w:lang w:val="en-US" w:eastAsia="zh-CN"/>
              </w:rPr>
            </w:pPr>
            <w:r>
              <w:rPr>
                <w:rFonts w:hint="eastAsia"/>
                <w:color w:val="auto"/>
                <w:sz w:val="24"/>
                <w:szCs w:val="24"/>
                <w:highlight w:val="none"/>
                <w:lang w:val="en-US" w:eastAsia="zh-CN"/>
              </w:rPr>
              <w:t>建设单位是建设项目竣工环境保护验收的责任主体，应当按照《建设项目竣工环境保护验收暂行办法》（国环规环评[2017]4号）、《建设项目竣工环境保护验收技术指南污染影响类》（生态环境部办公厅2018 年5月16日印发）规定的程序和标准，组织对配套建设的环境保护设施进行验收，编制验收报告，公开相关信息，接受社会监督，确保建设项目需要配套建设的环境保护设施与主体工程同时投产或者使用，并对验收内容、结论和所公开信息的真实性、准确性和完整性负责，不得在验收中弄虚作假。</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color w:val="auto"/>
                <w:sz w:val="24"/>
                <w:szCs w:val="24"/>
                <w:highlight w:val="none"/>
                <w:lang w:val="en-US"/>
              </w:rPr>
            </w:pPr>
            <w:r>
              <w:rPr>
                <w:rFonts w:hint="eastAsia"/>
                <w:color w:val="auto"/>
                <w:sz w:val="24"/>
                <w:szCs w:val="24"/>
                <w:highlight w:val="none"/>
                <w:lang w:val="en-US" w:eastAsia="zh-CN"/>
              </w:rPr>
              <w:t>5、</w:t>
            </w:r>
            <w:r>
              <w:rPr>
                <w:rFonts w:hint="default"/>
                <w:color w:val="auto"/>
                <w:sz w:val="24"/>
                <w:szCs w:val="24"/>
                <w:highlight w:val="none"/>
                <w:lang w:val="en-US"/>
              </w:rPr>
              <w:t>排污口规范化</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color w:val="auto"/>
                <w:sz w:val="24"/>
                <w:szCs w:val="24"/>
                <w:highlight w:val="none"/>
                <w:lang w:val="en-US"/>
              </w:rPr>
            </w:pPr>
            <w:r>
              <w:rPr>
                <w:rFonts w:hint="default"/>
                <w:color w:val="auto"/>
                <w:sz w:val="24"/>
                <w:szCs w:val="24"/>
                <w:highlight w:val="none"/>
                <w:lang w:val="en-US"/>
              </w:rPr>
              <w:t>排污口是企业污染物进入受纳环境的通道，做好排污口管理是实施污染物总量控制和达标排放的基础工作之—，必须实行规范化管理。</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color w:val="auto"/>
                <w:sz w:val="24"/>
                <w:szCs w:val="24"/>
                <w:highlight w:val="none"/>
                <w:lang w:val="en-US"/>
              </w:rPr>
            </w:pPr>
            <w:r>
              <w:rPr>
                <w:rFonts w:hint="eastAsia"/>
                <w:color w:val="auto"/>
                <w:sz w:val="24"/>
                <w:szCs w:val="24"/>
                <w:highlight w:val="none"/>
                <w:lang w:val="en-US" w:eastAsia="zh-CN"/>
              </w:rPr>
              <w:t>（1）</w:t>
            </w:r>
            <w:r>
              <w:rPr>
                <w:rFonts w:hint="default"/>
                <w:color w:val="auto"/>
                <w:sz w:val="24"/>
                <w:szCs w:val="24"/>
                <w:highlight w:val="none"/>
                <w:lang w:val="en-US"/>
              </w:rPr>
              <w:t>废气排污口规范化：排气筒应设置便于采样、监测的采样口和采样平台。当采样平台设置在离地面高度≥5m的位置时，应有通往平台的Z字梯/旋梯/升降梯。在各排气筒近地面处，应设立醒目的环境保护图形标志牌。本项目</w:t>
            </w:r>
            <w:r>
              <w:rPr>
                <w:rFonts w:hint="eastAsia"/>
                <w:color w:val="auto"/>
                <w:sz w:val="24"/>
                <w:szCs w:val="24"/>
                <w:highlight w:val="none"/>
                <w:lang w:val="en-US" w:eastAsia="zh-CN"/>
              </w:rPr>
              <w:t>建成后全厂共设置1根排气筒，主要排放污染物为非甲烷总烃、氟化物、氯化氢</w:t>
            </w:r>
            <w:r>
              <w:rPr>
                <w:rFonts w:hint="default"/>
                <w:color w:val="auto"/>
                <w:sz w:val="24"/>
                <w:szCs w:val="24"/>
                <w:highlight w:val="none"/>
                <w:lang w:val="en-US"/>
              </w:rPr>
              <w:t>。</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color w:val="auto"/>
                <w:sz w:val="24"/>
                <w:szCs w:val="24"/>
                <w:highlight w:val="none"/>
                <w:lang w:val="en-US"/>
              </w:rPr>
            </w:pPr>
            <w:r>
              <w:rPr>
                <w:rFonts w:hint="eastAsia"/>
                <w:color w:val="auto"/>
                <w:sz w:val="24"/>
                <w:szCs w:val="24"/>
                <w:highlight w:val="none"/>
                <w:lang w:val="en-US" w:eastAsia="zh-CN"/>
              </w:rPr>
              <w:t>（2）</w:t>
            </w:r>
            <w:r>
              <w:rPr>
                <w:rFonts w:hint="default"/>
                <w:color w:val="auto"/>
                <w:sz w:val="24"/>
                <w:szCs w:val="24"/>
                <w:highlight w:val="none"/>
                <w:lang w:val="en-US"/>
              </w:rPr>
              <w:t>废水：污水排放口须进行规范化建设，设置环保图形标志牌，需达到《环境保护图形标志排放口（源）》相关要求。</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color w:val="auto"/>
                <w:sz w:val="24"/>
                <w:szCs w:val="24"/>
                <w:highlight w:val="none"/>
                <w:lang w:val="en-US"/>
              </w:rPr>
            </w:pPr>
            <w:r>
              <w:rPr>
                <w:rFonts w:hint="eastAsia"/>
                <w:color w:val="auto"/>
                <w:sz w:val="24"/>
                <w:szCs w:val="24"/>
                <w:highlight w:val="none"/>
                <w:lang w:val="en-US" w:eastAsia="zh-CN"/>
              </w:rPr>
              <w:t>（3）</w:t>
            </w:r>
            <w:r>
              <w:rPr>
                <w:rFonts w:hint="default"/>
                <w:color w:val="auto"/>
                <w:sz w:val="24"/>
                <w:szCs w:val="24"/>
                <w:highlight w:val="none"/>
                <w:lang w:val="en-US"/>
              </w:rPr>
              <w:t>噪声排污口规范化：须按《工业企业厂界环境噪声排放标准》（GB12348-2008）的规定，设置环境噪声监测点，并在该处附近醒目处设置环境保护图形标志牌。</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color w:val="auto"/>
                <w:sz w:val="24"/>
                <w:szCs w:val="24"/>
                <w:highlight w:val="none"/>
                <w:lang w:val="en-US"/>
              </w:rPr>
            </w:pPr>
            <w:r>
              <w:rPr>
                <w:rFonts w:hint="eastAsia"/>
                <w:color w:val="auto"/>
                <w:sz w:val="24"/>
                <w:szCs w:val="24"/>
                <w:highlight w:val="none"/>
                <w:lang w:val="en-US" w:eastAsia="zh-CN"/>
              </w:rPr>
              <w:t>（4）</w:t>
            </w:r>
            <w:r>
              <w:rPr>
                <w:rFonts w:hint="default"/>
                <w:color w:val="auto"/>
                <w:sz w:val="24"/>
                <w:szCs w:val="24"/>
                <w:highlight w:val="none"/>
                <w:lang w:val="en-US"/>
              </w:rPr>
              <w:t>固体废物：本项目固体废物堆放场所必须有防火、防扬散、防渗漏等防止污染环境的措施，标志牌达到 《环境保护图形标志-固体废物贮存（处置）场》（GB15562.2-1995）的规定。</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color w:val="auto"/>
                <w:sz w:val="24"/>
                <w:szCs w:val="24"/>
                <w:highlight w:val="none"/>
                <w:lang w:val="en-US"/>
              </w:rPr>
            </w:pPr>
            <w:r>
              <w:rPr>
                <w:rFonts w:hint="default"/>
                <w:color w:val="auto"/>
                <w:sz w:val="24"/>
                <w:szCs w:val="24"/>
                <w:highlight w:val="none"/>
                <w:lang w:val="en-US"/>
              </w:rPr>
              <w:t>管理要求：排放口规范化的相关设施（如：计量、监控装置、标志牌等）属污染治理设施的组成部分，环境保护部门应按照有关污染治理设施的监督管理规定，加强日常监督管理，排污单位应将规范化排放的相关设施纳入本单位设备管理范围。</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color w:val="auto"/>
                <w:sz w:val="24"/>
                <w:szCs w:val="24"/>
                <w:highlight w:val="none"/>
                <w:lang w:val="en-US"/>
              </w:rPr>
            </w:pPr>
            <w:r>
              <w:rPr>
                <w:rFonts w:hint="default"/>
                <w:color w:val="auto"/>
                <w:sz w:val="24"/>
                <w:szCs w:val="24"/>
                <w:highlight w:val="none"/>
                <w:lang w:val="en-US"/>
              </w:rPr>
              <w:t>排放口立标要求：设立排污口标志牌，标志牌由国家环境保护总局统一定点监制，达到《环境保护图形标志》（GB15562.1～2-1995）的规定。</w:t>
            </w:r>
          </w:p>
          <w:p>
            <w:pPr>
              <w:keepNext w:val="0"/>
              <w:keepLines w:val="0"/>
              <w:pageBreakBefore w:val="0"/>
              <w:widowControl w:val="0"/>
              <w:kinsoku/>
              <w:wordWrap/>
              <w:overflowPunct/>
              <w:topLinePunct w:val="0"/>
              <w:autoSpaceDE/>
              <w:autoSpaceDN/>
              <w:bidi w:val="0"/>
              <w:adjustRightInd/>
              <w:snapToGrid/>
              <w:spacing w:line="440" w:lineRule="exact"/>
              <w:ind w:left="0" w:leftChars="0" w:firstLine="480" w:firstLineChars="200"/>
              <w:textAlignment w:val="auto"/>
              <w:rPr>
                <w:rFonts w:hint="default"/>
                <w:color w:val="auto"/>
                <w:sz w:val="24"/>
                <w:szCs w:val="24"/>
                <w:highlight w:val="none"/>
                <w:lang w:val="en-US"/>
              </w:rPr>
            </w:pPr>
          </w:p>
          <w:p>
            <w:pPr>
              <w:keepNext w:val="0"/>
              <w:keepLines w:val="0"/>
              <w:pageBreakBefore w:val="0"/>
              <w:widowControl w:val="0"/>
              <w:kinsoku/>
              <w:wordWrap/>
              <w:overflowPunct/>
              <w:topLinePunct w:val="0"/>
              <w:autoSpaceDE/>
              <w:autoSpaceDN/>
              <w:bidi w:val="0"/>
              <w:adjustRightInd/>
              <w:snapToGrid/>
              <w:spacing w:line="440" w:lineRule="exact"/>
              <w:ind w:left="0" w:leftChars="0" w:firstLine="480" w:firstLineChars="200"/>
              <w:textAlignment w:val="auto"/>
              <w:rPr>
                <w:rFonts w:hint="default"/>
                <w:color w:val="auto"/>
                <w:sz w:val="24"/>
                <w:szCs w:val="2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440" w:lineRule="exact"/>
              <w:ind w:left="0" w:leftChars="0" w:firstLine="480" w:firstLineChars="200"/>
              <w:textAlignment w:val="auto"/>
              <w:rPr>
                <w:rFonts w:hint="default"/>
                <w:color w:val="auto"/>
                <w:sz w:val="24"/>
                <w:szCs w:val="2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440" w:lineRule="exact"/>
              <w:ind w:left="0" w:leftChars="0" w:firstLine="480" w:firstLineChars="200"/>
              <w:textAlignment w:val="auto"/>
              <w:rPr>
                <w:rFonts w:hint="default"/>
                <w:color w:val="auto"/>
                <w:sz w:val="24"/>
                <w:szCs w:val="2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440" w:lineRule="exact"/>
              <w:ind w:left="0" w:leftChars="0" w:firstLine="480" w:firstLineChars="200"/>
              <w:textAlignment w:val="auto"/>
              <w:rPr>
                <w:rFonts w:hint="default"/>
                <w:color w:val="auto"/>
                <w:sz w:val="24"/>
                <w:szCs w:val="2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440" w:lineRule="exact"/>
              <w:ind w:left="0" w:leftChars="0" w:firstLine="480" w:firstLineChars="200"/>
              <w:textAlignment w:val="auto"/>
              <w:rPr>
                <w:rFonts w:hint="default"/>
                <w:color w:val="auto"/>
                <w:sz w:val="24"/>
                <w:szCs w:val="2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440" w:lineRule="exact"/>
              <w:ind w:left="0" w:leftChars="0" w:firstLine="480" w:firstLineChars="200"/>
              <w:textAlignment w:val="auto"/>
              <w:rPr>
                <w:rFonts w:hint="default"/>
                <w:color w:val="auto"/>
                <w:sz w:val="24"/>
                <w:szCs w:val="2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440" w:lineRule="exact"/>
              <w:ind w:left="0" w:leftChars="0" w:firstLine="480" w:firstLineChars="200"/>
              <w:textAlignment w:val="auto"/>
              <w:rPr>
                <w:rFonts w:hint="default"/>
                <w:color w:val="auto"/>
                <w:sz w:val="24"/>
                <w:szCs w:val="2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440" w:lineRule="exact"/>
              <w:ind w:left="0" w:leftChars="0" w:firstLine="480" w:firstLineChars="200"/>
              <w:textAlignment w:val="auto"/>
              <w:rPr>
                <w:rFonts w:hint="default"/>
                <w:color w:val="auto"/>
                <w:sz w:val="24"/>
                <w:szCs w:val="2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440" w:lineRule="exact"/>
              <w:ind w:left="0" w:leftChars="0" w:firstLine="480" w:firstLineChars="200"/>
              <w:textAlignment w:val="auto"/>
              <w:rPr>
                <w:rFonts w:hint="default"/>
                <w:color w:val="auto"/>
                <w:sz w:val="24"/>
                <w:szCs w:val="2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440" w:lineRule="exact"/>
              <w:ind w:left="0" w:leftChars="0" w:firstLine="480" w:firstLineChars="200"/>
              <w:textAlignment w:val="auto"/>
              <w:rPr>
                <w:rFonts w:hint="default"/>
                <w:color w:val="auto"/>
                <w:sz w:val="24"/>
                <w:szCs w:val="2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440" w:lineRule="exact"/>
              <w:ind w:left="0" w:leftChars="0" w:firstLine="480" w:firstLineChars="200"/>
              <w:textAlignment w:val="auto"/>
              <w:rPr>
                <w:rFonts w:hint="default"/>
                <w:color w:val="auto"/>
                <w:sz w:val="24"/>
                <w:szCs w:val="2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440" w:lineRule="exact"/>
              <w:ind w:left="0" w:leftChars="0" w:firstLine="480" w:firstLineChars="200"/>
              <w:textAlignment w:val="auto"/>
              <w:rPr>
                <w:rFonts w:hint="default"/>
                <w:color w:val="auto"/>
                <w:sz w:val="24"/>
                <w:szCs w:val="2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440" w:lineRule="exact"/>
              <w:ind w:left="0" w:leftChars="0" w:firstLine="480" w:firstLineChars="200"/>
              <w:textAlignment w:val="auto"/>
              <w:rPr>
                <w:rFonts w:hint="default"/>
                <w:color w:val="auto"/>
                <w:sz w:val="24"/>
                <w:szCs w:val="2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440" w:lineRule="exact"/>
              <w:ind w:left="0" w:leftChars="0" w:firstLine="480" w:firstLineChars="200"/>
              <w:textAlignment w:val="auto"/>
              <w:rPr>
                <w:rFonts w:hint="default"/>
                <w:color w:val="auto"/>
                <w:sz w:val="24"/>
                <w:szCs w:val="2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440" w:lineRule="exact"/>
              <w:ind w:left="0" w:leftChars="0" w:firstLine="480" w:firstLineChars="200"/>
              <w:textAlignment w:val="auto"/>
              <w:rPr>
                <w:rFonts w:hint="default"/>
                <w:color w:val="auto"/>
                <w:sz w:val="24"/>
                <w:szCs w:val="2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440" w:lineRule="exact"/>
              <w:ind w:left="0" w:leftChars="0" w:firstLine="480" w:firstLineChars="200"/>
              <w:textAlignment w:val="auto"/>
              <w:rPr>
                <w:rFonts w:hint="default"/>
                <w:color w:val="auto"/>
                <w:sz w:val="24"/>
                <w:szCs w:val="2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440" w:lineRule="exact"/>
              <w:ind w:left="0" w:leftChars="0" w:firstLine="480" w:firstLineChars="200"/>
              <w:textAlignment w:val="auto"/>
              <w:rPr>
                <w:rFonts w:hint="default"/>
                <w:color w:val="auto"/>
                <w:sz w:val="24"/>
                <w:szCs w:val="2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440" w:lineRule="exact"/>
              <w:ind w:left="0" w:leftChars="0" w:firstLine="480" w:firstLineChars="200"/>
              <w:textAlignment w:val="auto"/>
              <w:rPr>
                <w:rFonts w:hint="default"/>
                <w:color w:val="auto"/>
                <w:sz w:val="24"/>
                <w:szCs w:val="2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440" w:lineRule="exact"/>
              <w:ind w:left="0" w:leftChars="0" w:firstLine="480" w:firstLineChars="200"/>
              <w:textAlignment w:val="auto"/>
              <w:rPr>
                <w:rFonts w:hint="default"/>
                <w:color w:val="auto"/>
                <w:sz w:val="24"/>
                <w:szCs w:val="2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440" w:lineRule="exact"/>
              <w:ind w:left="0" w:leftChars="0" w:firstLine="480" w:firstLineChars="200"/>
              <w:textAlignment w:val="auto"/>
              <w:rPr>
                <w:rFonts w:hint="default"/>
                <w:color w:val="auto"/>
                <w:sz w:val="24"/>
                <w:szCs w:val="2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440" w:lineRule="exact"/>
              <w:ind w:left="0" w:leftChars="0" w:firstLine="480" w:firstLineChars="200"/>
              <w:textAlignment w:val="auto"/>
              <w:rPr>
                <w:rFonts w:hint="default"/>
                <w:color w:val="auto"/>
                <w:sz w:val="24"/>
                <w:szCs w:val="2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textAlignment w:val="auto"/>
              <w:rPr>
                <w:rFonts w:hint="default"/>
                <w:color w:val="auto"/>
                <w:sz w:val="24"/>
                <w:szCs w:val="24"/>
                <w:highlight w:val="none"/>
                <w:lang w:val="en-US" w:eastAsia="zh-CN"/>
              </w:rPr>
            </w:pPr>
          </w:p>
        </w:tc>
      </w:tr>
    </w:tbl>
    <w:p>
      <w:pPr>
        <w:rPr>
          <w:color w:val="auto"/>
          <w:highlight w:val="none"/>
        </w:rPr>
      </w:pPr>
      <w:r>
        <w:rPr>
          <w:color w:val="auto"/>
          <w:highlight w:val="none"/>
        </w:rPr>
        <w:br w:type="page"/>
      </w:r>
    </w:p>
    <w:p>
      <w:pPr>
        <w:pStyle w:val="21"/>
        <w:keepNext w:val="0"/>
        <w:keepLines w:val="0"/>
        <w:pageBreakBefore w:val="0"/>
        <w:widowControl/>
        <w:kinsoku/>
        <w:wordWrap/>
        <w:overflowPunct/>
        <w:topLinePunct w:val="0"/>
        <w:autoSpaceDE/>
        <w:autoSpaceDN/>
        <w:bidi w:val="0"/>
        <w:adjustRightInd/>
        <w:snapToGrid/>
        <w:ind w:firstLine="0" w:firstLineChars="0"/>
        <w:jc w:val="center"/>
        <w:textAlignment w:val="auto"/>
        <w:outlineLvl w:val="0"/>
        <w:rPr>
          <w:rFonts w:hint="eastAsia" w:ascii="黑体" w:hAnsi="黑体" w:eastAsia="黑体"/>
          <w:snapToGrid w:val="0"/>
          <w:color w:val="auto"/>
          <w:sz w:val="30"/>
          <w:szCs w:val="30"/>
          <w:highlight w:val="none"/>
          <w:lang w:val="en-US" w:eastAsia="zh-CN"/>
        </w:rPr>
      </w:pPr>
      <w:bookmarkStart w:id="8" w:name="_Toc14984"/>
      <w:r>
        <w:rPr>
          <w:rFonts w:hint="eastAsia" w:ascii="黑体" w:hAnsi="黑体" w:eastAsia="黑体"/>
          <w:snapToGrid w:val="0"/>
          <w:color w:val="auto"/>
          <w:sz w:val="30"/>
          <w:szCs w:val="30"/>
          <w:highlight w:val="none"/>
          <w:lang w:val="en-US" w:eastAsia="zh-CN"/>
        </w:rPr>
        <w:t>六、结论</w:t>
      </w:r>
      <w:bookmarkEnd w:id="8"/>
    </w:p>
    <w:tbl>
      <w:tblPr>
        <w:tblStyle w:val="24"/>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40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9400" w:type="dxa"/>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jc w:val="both"/>
              <w:textAlignment w:val="auto"/>
              <w:rPr>
                <w:rFonts w:hint="default"/>
                <w:color w:val="auto"/>
                <w:highlight w:val="none"/>
                <w:lang w:val="en-US"/>
              </w:rPr>
            </w:pPr>
            <w:r>
              <w:rPr>
                <w:rFonts w:hint="eastAsia"/>
                <w:color w:val="auto"/>
                <w:sz w:val="24"/>
                <w:szCs w:val="24"/>
                <w:highlight w:val="none"/>
                <w:lang w:val="en-US" w:eastAsia="zh-CN"/>
              </w:rPr>
              <w:t>唐山烯彤科技有限公司在唐山市高新区学院北路1718-1号，唐山烯彤科技有限公司院内，投资300万元，建设</w:t>
            </w:r>
            <w:r>
              <w:rPr>
                <w:rFonts w:hint="eastAsia"/>
                <w:color w:val="auto"/>
                <w:highlight w:val="none"/>
                <w:lang w:val="en-US" w:eastAsia="zh-CN"/>
              </w:rPr>
              <w:t>年产八万套石墨烯电发热元件技改及年产五万台节能速热电锅炉建设项目，符合国家产业政策，选址合理，采取环评提出的污染防治措施后，污染物可达标排放，不会对周围环境质量造成明显的不利影响，从环保角度而言，该项目建设可行。</w:t>
            </w:r>
          </w:p>
          <w:p>
            <w:pPr>
              <w:spacing w:line="360" w:lineRule="auto"/>
              <w:rPr>
                <w:color w:val="auto"/>
                <w:highlight w:val="none"/>
              </w:rPr>
            </w:pPr>
          </w:p>
          <w:p>
            <w:pPr>
              <w:pStyle w:val="5"/>
              <w:rPr>
                <w:color w:val="auto"/>
                <w:highlight w:val="none"/>
              </w:rPr>
            </w:pPr>
          </w:p>
          <w:p>
            <w:pPr>
              <w:pStyle w:val="3"/>
              <w:outlineLvl w:val="9"/>
              <w:rPr>
                <w:color w:val="auto"/>
                <w:highlight w:val="none"/>
              </w:rPr>
            </w:pPr>
          </w:p>
          <w:p>
            <w:pPr>
              <w:rPr>
                <w:color w:val="auto"/>
                <w:highlight w:val="none"/>
              </w:rPr>
            </w:pPr>
          </w:p>
          <w:p>
            <w:pPr>
              <w:pStyle w:val="5"/>
              <w:rPr>
                <w:color w:val="auto"/>
                <w:highlight w:val="none"/>
              </w:rPr>
            </w:pPr>
          </w:p>
          <w:p>
            <w:pPr>
              <w:pStyle w:val="3"/>
              <w:outlineLvl w:val="9"/>
              <w:rPr>
                <w:color w:val="auto"/>
                <w:highlight w:val="none"/>
              </w:rPr>
            </w:pPr>
          </w:p>
          <w:p>
            <w:pPr>
              <w:rPr>
                <w:color w:val="auto"/>
                <w:highlight w:val="none"/>
              </w:rPr>
            </w:pPr>
          </w:p>
          <w:p>
            <w:pPr>
              <w:pStyle w:val="5"/>
              <w:rPr>
                <w:color w:val="auto"/>
                <w:highlight w:val="none"/>
              </w:rPr>
            </w:pPr>
          </w:p>
          <w:p>
            <w:pPr>
              <w:pStyle w:val="3"/>
              <w:outlineLvl w:val="9"/>
              <w:rPr>
                <w:color w:val="auto"/>
                <w:highlight w:val="none"/>
              </w:rPr>
            </w:pPr>
          </w:p>
          <w:p>
            <w:pPr>
              <w:rPr>
                <w:color w:val="auto"/>
                <w:highlight w:val="none"/>
              </w:rPr>
            </w:pPr>
          </w:p>
          <w:p>
            <w:pPr>
              <w:pStyle w:val="5"/>
              <w:rPr>
                <w:color w:val="auto"/>
                <w:highlight w:val="none"/>
              </w:rPr>
            </w:pPr>
          </w:p>
          <w:p>
            <w:pPr>
              <w:pStyle w:val="3"/>
              <w:outlineLvl w:val="9"/>
              <w:rPr>
                <w:color w:val="auto"/>
                <w:highlight w:val="none"/>
              </w:rPr>
            </w:pPr>
          </w:p>
          <w:p>
            <w:pPr>
              <w:rPr>
                <w:color w:val="auto"/>
                <w:highlight w:val="none"/>
              </w:rPr>
            </w:pPr>
          </w:p>
          <w:p>
            <w:pPr>
              <w:pStyle w:val="5"/>
              <w:rPr>
                <w:color w:val="auto"/>
                <w:highlight w:val="none"/>
              </w:rPr>
            </w:pPr>
          </w:p>
          <w:p>
            <w:pPr>
              <w:pStyle w:val="3"/>
              <w:outlineLvl w:val="9"/>
              <w:rPr>
                <w:color w:val="auto"/>
                <w:highlight w:val="none"/>
              </w:rPr>
            </w:pPr>
          </w:p>
          <w:p>
            <w:pPr>
              <w:rPr>
                <w:color w:val="auto"/>
                <w:highlight w:val="none"/>
              </w:rPr>
            </w:pPr>
          </w:p>
          <w:p>
            <w:pPr>
              <w:pStyle w:val="5"/>
              <w:rPr>
                <w:color w:val="auto"/>
                <w:highlight w:val="none"/>
              </w:rPr>
            </w:pPr>
          </w:p>
          <w:p>
            <w:pPr>
              <w:pStyle w:val="3"/>
              <w:outlineLvl w:val="9"/>
              <w:rPr>
                <w:color w:val="auto"/>
                <w:highlight w:val="none"/>
              </w:rPr>
            </w:pPr>
          </w:p>
          <w:p>
            <w:pPr>
              <w:rPr>
                <w:color w:val="auto"/>
                <w:highlight w:val="none"/>
              </w:rPr>
            </w:pPr>
          </w:p>
          <w:p>
            <w:pPr>
              <w:pStyle w:val="5"/>
              <w:rPr>
                <w:color w:val="auto"/>
                <w:highlight w:val="none"/>
              </w:rPr>
            </w:pPr>
          </w:p>
          <w:p>
            <w:pPr>
              <w:pStyle w:val="3"/>
              <w:outlineLvl w:val="9"/>
              <w:rPr>
                <w:color w:val="auto"/>
                <w:highlight w:val="none"/>
              </w:rPr>
            </w:pPr>
          </w:p>
          <w:p>
            <w:pPr>
              <w:pStyle w:val="5"/>
              <w:ind w:left="0" w:leftChars="0" w:firstLine="0" w:firstLineChars="0"/>
              <w:rPr>
                <w:color w:val="auto"/>
                <w:highlight w:val="none"/>
              </w:rPr>
            </w:pPr>
          </w:p>
        </w:tc>
      </w:tr>
    </w:tbl>
    <w:p>
      <w:pPr>
        <w:rPr>
          <w:rFonts w:hint="eastAsia" w:ascii="黑体" w:hAnsi="黑体" w:eastAsia="黑体"/>
          <w:snapToGrid w:val="0"/>
          <w:color w:val="auto"/>
          <w:sz w:val="30"/>
          <w:szCs w:val="30"/>
          <w:highlight w:val="none"/>
        </w:rPr>
        <w:sectPr>
          <w:pgSz w:w="11906" w:h="16838"/>
          <w:pgMar w:top="1440" w:right="1247" w:bottom="1440" w:left="1417" w:header="851" w:footer="992" w:gutter="0"/>
          <w:pgBorders>
            <w:top w:val="none" w:sz="0" w:space="0"/>
            <w:left w:val="none" w:sz="0" w:space="0"/>
            <w:bottom w:val="none" w:sz="0" w:space="0"/>
            <w:right w:val="none" w:sz="0" w:space="0"/>
          </w:pgBorders>
          <w:pgNumType w:fmt="decimal"/>
          <w:cols w:space="425" w:num="1"/>
          <w:docGrid w:type="lines" w:linePitch="312" w:charSpace="0"/>
        </w:sectPr>
      </w:pPr>
    </w:p>
    <w:bookmarkEnd w:id="6"/>
    <w:p>
      <w:pPr>
        <w:pStyle w:val="21"/>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ind w:firstLine="0" w:firstLineChars="0"/>
        <w:textAlignment w:val="auto"/>
        <w:outlineLvl w:val="0"/>
        <w:rPr>
          <w:rFonts w:ascii="黑体" w:hAnsi="黑体" w:eastAsia="黑体"/>
          <w:snapToGrid w:val="0"/>
          <w:color w:val="auto"/>
          <w:sz w:val="32"/>
          <w:szCs w:val="32"/>
          <w:highlight w:val="none"/>
        </w:rPr>
      </w:pPr>
      <w:bookmarkStart w:id="9" w:name="_Toc9780"/>
      <w:r>
        <w:rPr>
          <w:rFonts w:hint="eastAsia" w:ascii="黑体" w:hAnsi="黑体" w:eastAsia="黑体"/>
          <w:snapToGrid w:val="0"/>
          <w:color w:val="auto"/>
          <w:sz w:val="32"/>
          <w:szCs w:val="32"/>
          <w:highlight w:val="none"/>
        </w:rPr>
        <w:t>附表</w:t>
      </w:r>
      <w:bookmarkEnd w:id="9"/>
    </w:p>
    <w:p>
      <w:pPr>
        <w:pStyle w:val="21"/>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ind w:firstLine="0" w:firstLineChars="0"/>
        <w:jc w:val="center"/>
        <w:textAlignment w:val="auto"/>
        <w:outlineLvl w:val="0"/>
        <w:rPr>
          <w:rFonts w:hint="eastAsia" w:ascii="方正小标宋_GBK" w:hAnsi="黑体" w:eastAsia="方正小标宋_GBK"/>
          <w:snapToGrid w:val="0"/>
          <w:color w:val="auto"/>
          <w:sz w:val="38"/>
          <w:szCs w:val="38"/>
          <w:highlight w:val="none"/>
        </w:rPr>
      </w:pPr>
      <w:bookmarkStart w:id="10" w:name="_Toc15559"/>
      <w:bookmarkStart w:id="11" w:name="_Toc25866"/>
      <w:r>
        <w:rPr>
          <w:rFonts w:hint="eastAsia" w:ascii="方正小标宋_GBK" w:hAnsi="黑体" w:eastAsia="方正小标宋_GBK"/>
          <w:snapToGrid w:val="0"/>
          <w:color w:val="auto"/>
          <w:sz w:val="38"/>
          <w:szCs w:val="38"/>
          <w:highlight w:val="none"/>
        </w:rPr>
        <w:t>建设项目污染物排放量汇总表</w:t>
      </w:r>
      <w:bookmarkEnd w:id="10"/>
      <w:bookmarkEnd w:id="11"/>
    </w:p>
    <w:tbl>
      <w:tblPr>
        <w:tblStyle w:val="24"/>
        <w:tblW w:w="13788"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40"/>
        <w:gridCol w:w="1732"/>
        <w:gridCol w:w="1595"/>
        <w:gridCol w:w="1254"/>
        <w:gridCol w:w="1814"/>
        <w:gridCol w:w="1500"/>
        <w:gridCol w:w="1452"/>
        <w:gridCol w:w="1590"/>
        <w:gridCol w:w="151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09" w:hRule="atLeast"/>
        </w:trPr>
        <w:tc>
          <w:tcPr>
            <w:tcW w:w="1340" w:type="dxa"/>
            <w:tcBorders>
              <w:tl2br w:val="single" w:color="auto" w:sz="4" w:space="0"/>
            </w:tcBorders>
            <w:noWrap w:val="0"/>
            <w:tcMar>
              <w:left w:w="28" w:type="dxa"/>
              <w:right w:w="28" w:type="dxa"/>
            </w:tcMar>
            <w:vAlign w:val="center"/>
          </w:tcPr>
          <w:p>
            <w:pPr>
              <w:pStyle w:val="32"/>
              <w:spacing w:beforeLines="0" w:afterLines="0" w:line="240" w:lineRule="auto"/>
              <w:jc w:val="right"/>
              <w:rPr>
                <w:rFonts w:hint="default" w:ascii="Times New Roman" w:hAnsi="Times New Roman" w:cs="Times New Roman" w:eastAsiaTheme="minorEastAsia"/>
                <w:b/>
                <w:bCs/>
                <w:snapToGrid w:val="0"/>
                <w:color w:val="auto"/>
                <w:spacing w:val="-6"/>
                <w:kern w:val="21"/>
                <w:sz w:val="24"/>
                <w:szCs w:val="24"/>
                <w:highlight w:val="none"/>
              </w:rPr>
            </w:pPr>
            <w:r>
              <w:rPr>
                <w:rFonts w:hint="default" w:ascii="Times New Roman" w:hAnsi="Times New Roman" w:cs="Times New Roman" w:eastAsiaTheme="minorEastAsia"/>
                <w:b/>
                <w:bCs/>
                <w:snapToGrid w:val="0"/>
                <w:color w:val="auto"/>
                <w:spacing w:val="-6"/>
                <w:kern w:val="21"/>
                <w:sz w:val="24"/>
                <w:szCs w:val="24"/>
                <w:highlight w:val="none"/>
              </w:rPr>
              <w:t>项目</w:t>
            </w:r>
          </w:p>
          <w:p>
            <w:pPr>
              <w:pStyle w:val="32"/>
              <w:spacing w:beforeLines="0" w:afterLines="0" w:line="240" w:lineRule="auto"/>
              <w:jc w:val="left"/>
              <w:rPr>
                <w:rFonts w:hint="default" w:ascii="Times New Roman" w:hAnsi="Times New Roman" w:cs="Times New Roman" w:eastAsiaTheme="minorEastAsia"/>
                <w:b/>
                <w:bCs/>
                <w:snapToGrid w:val="0"/>
                <w:color w:val="auto"/>
                <w:spacing w:val="-6"/>
                <w:kern w:val="21"/>
                <w:sz w:val="24"/>
                <w:szCs w:val="24"/>
                <w:highlight w:val="none"/>
              </w:rPr>
            </w:pPr>
            <w:r>
              <w:rPr>
                <w:rFonts w:hint="default" w:ascii="Times New Roman" w:hAnsi="Times New Roman" w:cs="Times New Roman" w:eastAsiaTheme="minorEastAsia"/>
                <w:b/>
                <w:bCs/>
                <w:snapToGrid w:val="0"/>
                <w:color w:val="auto"/>
                <w:spacing w:val="-6"/>
                <w:kern w:val="21"/>
                <w:sz w:val="24"/>
                <w:szCs w:val="24"/>
                <w:highlight w:val="none"/>
              </w:rPr>
              <w:t>分类</w:t>
            </w:r>
          </w:p>
        </w:tc>
        <w:tc>
          <w:tcPr>
            <w:tcW w:w="1732" w:type="dxa"/>
            <w:noWrap w:val="0"/>
            <w:tcMar>
              <w:left w:w="28" w:type="dxa"/>
              <w:right w:w="28" w:type="dxa"/>
            </w:tcMar>
            <w:vAlign w:val="center"/>
          </w:tcPr>
          <w:p>
            <w:pPr>
              <w:pStyle w:val="32"/>
              <w:spacing w:beforeLines="0" w:afterLines="0" w:line="240" w:lineRule="auto"/>
              <w:rPr>
                <w:rFonts w:hint="default" w:ascii="Times New Roman" w:hAnsi="Times New Roman" w:cs="Times New Roman" w:eastAsiaTheme="minorEastAsia"/>
                <w:b/>
                <w:bCs/>
                <w:snapToGrid w:val="0"/>
                <w:color w:val="auto"/>
                <w:spacing w:val="-6"/>
                <w:kern w:val="21"/>
                <w:sz w:val="24"/>
                <w:szCs w:val="24"/>
                <w:highlight w:val="none"/>
              </w:rPr>
            </w:pPr>
            <w:r>
              <w:rPr>
                <w:rFonts w:hint="default" w:ascii="Times New Roman" w:hAnsi="Times New Roman" w:cs="Times New Roman" w:eastAsiaTheme="minorEastAsia"/>
                <w:b/>
                <w:bCs/>
                <w:snapToGrid w:val="0"/>
                <w:color w:val="auto"/>
                <w:spacing w:val="-6"/>
                <w:kern w:val="21"/>
                <w:sz w:val="24"/>
                <w:szCs w:val="24"/>
                <w:highlight w:val="none"/>
              </w:rPr>
              <w:t>污染物名称</w:t>
            </w:r>
          </w:p>
        </w:tc>
        <w:tc>
          <w:tcPr>
            <w:tcW w:w="1595" w:type="dxa"/>
            <w:noWrap w:val="0"/>
            <w:tcMar>
              <w:left w:w="28" w:type="dxa"/>
              <w:right w:w="28" w:type="dxa"/>
            </w:tcMar>
            <w:vAlign w:val="center"/>
          </w:tcPr>
          <w:p>
            <w:pPr>
              <w:pStyle w:val="32"/>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default" w:ascii="Times New Roman" w:hAnsi="Times New Roman" w:cs="Times New Roman" w:eastAsiaTheme="minorEastAsia"/>
                <w:b/>
                <w:bCs/>
                <w:snapToGrid w:val="0"/>
                <w:color w:val="auto"/>
                <w:spacing w:val="-6"/>
                <w:kern w:val="21"/>
                <w:sz w:val="24"/>
                <w:szCs w:val="24"/>
                <w:highlight w:val="none"/>
              </w:rPr>
            </w:pPr>
            <w:r>
              <w:rPr>
                <w:rFonts w:hint="default" w:ascii="Times New Roman" w:hAnsi="Times New Roman" w:cs="Times New Roman" w:eastAsiaTheme="minorEastAsia"/>
                <w:b/>
                <w:bCs/>
                <w:snapToGrid w:val="0"/>
                <w:color w:val="auto"/>
                <w:spacing w:val="-6"/>
                <w:kern w:val="21"/>
                <w:sz w:val="24"/>
                <w:szCs w:val="24"/>
                <w:highlight w:val="none"/>
              </w:rPr>
              <w:t>现有工程</w:t>
            </w:r>
          </w:p>
          <w:p>
            <w:pPr>
              <w:pStyle w:val="32"/>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default" w:ascii="Times New Roman" w:hAnsi="Times New Roman" w:cs="Times New Roman" w:eastAsiaTheme="minorEastAsia"/>
                <w:b/>
                <w:bCs/>
                <w:snapToGrid w:val="0"/>
                <w:color w:val="auto"/>
                <w:spacing w:val="-6"/>
                <w:kern w:val="21"/>
                <w:sz w:val="24"/>
                <w:szCs w:val="24"/>
                <w:highlight w:val="none"/>
              </w:rPr>
            </w:pPr>
            <w:r>
              <w:rPr>
                <w:rFonts w:hint="default" w:ascii="Times New Roman" w:hAnsi="Times New Roman" w:cs="Times New Roman" w:eastAsiaTheme="minorEastAsia"/>
                <w:b/>
                <w:bCs/>
                <w:snapToGrid w:val="0"/>
                <w:color w:val="auto"/>
                <w:spacing w:val="-6"/>
                <w:kern w:val="21"/>
                <w:sz w:val="24"/>
                <w:szCs w:val="24"/>
                <w:highlight w:val="none"/>
              </w:rPr>
              <w:t>排放量（固体废物产生量）</w:t>
            </w:r>
            <w:r>
              <w:rPr>
                <w:rFonts w:hint="default" w:ascii="Times New Roman" w:hAnsi="Times New Roman" w:cs="Times New Roman" w:eastAsiaTheme="minorEastAsia"/>
                <w:b/>
                <w:bCs/>
                <w:snapToGrid w:val="0"/>
                <w:color w:val="auto"/>
                <w:spacing w:val="-6"/>
                <w:kern w:val="21"/>
                <w:sz w:val="24"/>
                <w:szCs w:val="24"/>
                <w:highlight w:val="none"/>
              </w:rPr>
              <w:fldChar w:fldCharType="begin"/>
            </w:r>
            <w:r>
              <w:rPr>
                <w:rFonts w:hint="default" w:ascii="Times New Roman" w:hAnsi="Times New Roman" w:cs="Times New Roman" w:eastAsiaTheme="minorEastAsia"/>
                <w:b/>
                <w:bCs/>
                <w:snapToGrid w:val="0"/>
                <w:color w:val="auto"/>
                <w:spacing w:val="-6"/>
                <w:kern w:val="21"/>
                <w:sz w:val="24"/>
                <w:szCs w:val="24"/>
                <w:highlight w:val="none"/>
              </w:rPr>
              <w:instrText xml:space="preserve"> = 1 \* GB3 \* MERGEFORMAT </w:instrText>
            </w:r>
            <w:r>
              <w:rPr>
                <w:rFonts w:hint="default" w:ascii="Times New Roman" w:hAnsi="Times New Roman" w:cs="Times New Roman" w:eastAsiaTheme="minorEastAsia"/>
                <w:b/>
                <w:bCs/>
                <w:snapToGrid w:val="0"/>
                <w:color w:val="auto"/>
                <w:spacing w:val="-6"/>
                <w:kern w:val="21"/>
                <w:sz w:val="24"/>
                <w:szCs w:val="24"/>
                <w:highlight w:val="none"/>
              </w:rPr>
              <w:fldChar w:fldCharType="separate"/>
            </w:r>
            <w:r>
              <w:rPr>
                <w:rFonts w:hint="default" w:ascii="Times New Roman" w:hAnsi="Times New Roman" w:cs="Times New Roman" w:eastAsiaTheme="minorEastAsia"/>
                <w:b/>
                <w:bCs/>
                <w:color w:val="auto"/>
                <w:kern w:val="2"/>
                <w:sz w:val="24"/>
                <w:szCs w:val="24"/>
                <w:highlight w:val="none"/>
              </w:rPr>
              <w:t>①</w:t>
            </w:r>
            <w:r>
              <w:rPr>
                <w:rFonts w:hint="default" w:ascii="Times New Roman" w:hAnsi="Times New Roman" w:cs="Times New Roman" w:eastAsiaTheme="minorEastAsia"/>
                <w:b/>
                <w:bCs/>
                <w:snapToGrid w:val="0"/>
                <w:color w:val="auto"/>
                <w:spacing w:val="-6"/>
                <w:kern w:val="21"/>
                <w:sz w:val="24"/>
                <w:szCs w:val="24"/>
                <w:highlight w:val="none"/>
              </w:rPr>
              <w:fldChar w:fldCharType="end"/>
            </w:r>
          </w:p>
        </w:tc>
        <w:tc>
          <w:tcPr>
            <w:tcW w:w="1254" w:type="dxa"/>
            <w:noWrap w:val="0"/>
            <w:tcMar>
              <w:left w:w="28" w:type="dxa"/>
              <w:right w:w="28" w:type="dxa"/>
            </w:tcMar>
            <w:vAlign w:val="center"/>
          </w:tcPr>
          <w:p>
            <w:pPr>
              <w:pStyle w:val="32"/>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default" w:ascii="Times New Roman" w:hAnsi="Times New Roman" w:cs="Times New Roman" w:eastAsiaTheme="minorEastAsia"/>
                <w:b/>
                <w:bCs/>
                <w:snapToGrid w:val="0"/>
                <w:color w:val="auto"/>
                <w:spacing w:val="-6"/>
                <w:kern w:val="21"/>
                <w:sz w:val="24"/>
                <w:szCs w:val="24"/>
                <w:highlight w:val="none"/>
              </w:rPr>
            </w:pPr>
            <w:r>
              <w:rPr>
                <w:rFonts w:hint="default" w:ascii="Times New Roman" w:hAnsi="Times New Roman" w:cs="Times New Roman" w:eastAsiaTheme="minorEastAsia"/>
                <w:b/>
                <w:bCs/>
                <w:snapToGrid w:val="0"/>
                <w:color w:val="auto"/>
                <w:spacing w:val="-6"/>
                <w:kern w:val="21"/>
                <w:sz w:val="24"/>
                <w:szCs w:val="24"/>
                <w:highlight w:val="none"/>
              </w:rPr>
              <w:t>现有工程许可排放量</w:t>
            </w:r>
            <w:r>
              <w:rPr>
                <w:rFonts w:hint="default" w:ascii="Times New Roman" w:hAnsi="Times New Roman" w:cs="Times New Roman" w:eastAsiaTheme="minorEastAsia"/>
                <w:b/>
                <w:bCs/>
                <w:snapToGrid w:val="0"/>
                <w:color w:val="auto"/>
                <w:spacing w:val="-6"/>
                <w:kern w:val="21"/>
                <w:sz w:val="24"/>
                <w:szCs w:val="24"/>
                <w:highlight w:val="none"/>
              </w:rPr>
              <w:fldChar w:fldCharType="begin"/>
            </w:r>
            <w:r>
              <w:rPr>
                <w:rFonts w:hint="default" w:ascii="Times New Roman" w:hAnsi="Times New Roman" w:cs="Times New Roman" w:eastAsiaTheme="minorEastAsia"/>
                <w:b/>
                <w:bCs/>
                <w:snapToGrid w:val="0"/>
                <w:color w:val="auto"/>
                <w:spacing w:val="-6"/>
                <w:kern w:val="21"/>
                <w:sz w:val="24"/>
                <w:szCs w:val="24"/>
                <w:highlight w:val="none"/>
              </w:rPr>
              <w:instrText xml:space="preserve"> = 2 \* GB3 \* MERGEFORMAT </w:instrText>
            </w:r>
            <w:r>
              <w:rPr>
                <w:rFonts w:hint="default" w:ascii="Times New Roman" w:hAnsi="Times New Roman" w:cs="Times New Roman" w:eastAsiaTheme="minorEastAsia"/>
                <w:b/>
                <w:bCs/>
                <w:snapToGrid w:val="0"/>
                <w:color w:val="auto"/>
                <w:spacing w:val="-6"/>
                <w:kern w:val="21"/>
                <w:sz w:val="24"/>
                <w:szCs w:val="24"/>
                <w:highlight w:val="none"/>
              </w:rPr>
              <w:fldChar w:fldCharType="separate"/>
            </w:r>
            <w:r>
              <w:rPr>
                <w:rFonts w:hint="default" w:ascii="Times New Roman" w:hAnsi="Times New Roman" w:cs="Times New Roman" w:eastAsiaTheme="minorEastAsia"/>
                <w:b/>
                <w:bCs/>
                <w:snapToGrid w:val="0"/>
                <w:color w:val="auto"/>
                <w:spacing w:val="-6"/>
                <w:kern w:val="21"/>
                <w:sz w:val="24"/>
                <w:szCs w:val="24"/>
                <w:highlight w:val="none"/>
              </w:rPr>
              <w:t>②</w:t>
            </w:r>
            <w:r>
              <w:rPr>
                <w:rFonts w:hint="default" w:ascii="Times New Roman" w:hAnsi="Times New Roman" w:cs="Times New Roman" w:eastAsiaTheme="minorEastAsia"/>
                <w:b/>
                <w:bCs/>
                <w:snapToGrid w:val="0"/>
                <w:color w:val="auto"/>
                <w:spacing w:val="-6"/>
                <w:kern w:val="21"/>
                <w:sz w:val="24"/>
                <w:szCs w:val="24"/>
                <w:highlight w:val="none"/>
              </w:rPr>
              <w:fldChar w:fldCharType="end"/>
            </w:r>
          </w:p>
        </w:tc>
        <w:tc>
          <w:tcPr>
            <w:tcW w:w="1814" w:type="dxa"/>
            <w:noWrap w:val="0"/>
            <w:tcMar>
              <w:left w:w="28" w:type="dxa"/>
              <w:right w:w="28" w:type="dxa"/>
            </w:tcMar>
            <w:vAlign w:val="center"/>
          </w:tcPr>
          <w:p>
            <w:pPr>
              <w:pStyle w:val="32"/>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default" w:ascii="Times New Roman" w:hAnsi="Times New Roman" w:cs="Times New Roman" w:eastAsiaTheme="minorEastAsia"/>
                <w:b/>
                <w:bCs/>
                <w:snapToGrid w:val="0"/>
                <w:color w:val="auto"/>
                <w:spacing w:val="-6"/>
                <w:kern w:val="21"/>
                <w:sz w:val="24"/>
                <w:szCs w:val="24"/>
                <w:highlight w:val="none"/>
              </w:rPr>
            </w:pPr>
            <w:r>
              <w:rPr>
                <w:rFonts w:hint="default" w:ascii="Times New Roman" w:hAnsi="Times New Roman" w:cs="Times New Roman" w:eastAsiaTheme="minorEastAsia"/>
                <w:b/>
                <w:bCs/>
                <w:snapToGrid w:val="0"/>
                <w:color w:val="auto"/>
                <w:spacing w:val="-6"/>
                <w:kern w:val="21"/>
                <w:sz w:val="24"/>
                <w:szCs w:val="24"/>
                <w:highlight w:val="none"/>
              </w:rPr>
              <w:t>在建工程排放量（固体废物产生量）</w:t>
            </w:r>
            <w:r>
              <w:rPr>
                <w:rFonts w:hint="default" w:ascii="Times New Roman" w:hAnsi="Times New Roman" w:cs="Times New Roman" w:eastAsiaTheme="minorEastAsia"/>
                <w:b/>
                <w:bCs/>
                <w:snapToGrid w:val="0"/>
                <w:color w:val="auto"/>
                <w:spacing w:val="-6"/>
                <w:kern w:val="21"/>
                <w:sz w:val="24"/>
                <w:szCs w:val="24"/>
                <w:highlight w:val="none"/>
              </w:rPr>
              <w:fldChar w:fldCharType="begin"/>
            </w:r>
            <w:r>
              <w:rPr>
                <w:rFonts w:hint="default" w:ascii="Times New Roman" w:hAnsi="Times New Roman" w:cs="Times New Roman" w:eastAsiaTheme="minorEastAsia"/>
                <w:b/>
                <w:bCs/>
                <w:snapToGrid w:val="0"/>
                <w:color w:val="auto"/>
                <w:spacing w:val="-6"/>
                <w:kern w:val="21"/>
                <w:sz w:val="24"/>
                <w:szCs w:val="24"/>
                <w:highlight w:val="none"/>
              </w:rPr>
              <w:instrText xml:space="preserve"> = 3 \* GB3 \* MERGEFORMAT </w:instrText>
            </w:r>
            <w:r>
              <w:rPr>
                <w:rFonts w:hint="default" w:ascii="Times New Roman" w:hAnsi="Times New Roman" w:cs="Times New Roman" w:eastAsiaTheme="minorEastAsia"/>
                <w:b/>
                <w:bCs/>
                <w:snapToGrid w:val="0"/>
                <w:color w:val="auto"/>
                <w:spacing w:val="-6"/>
                <w:kern w:val="21"/>
                <w:sz w:val="24"/>
                <w:szCs w:val="24"/>
                <w:highlight w:val="none"/>
              </w:rPr>
              <w:fldChar w:fldCharType="separate"/>
            </w:r>
            <w:r>
              <w:rPr>
                <w:rFonts w:hint="default" w:ascii="Times New Roman" w:hAnsi="Times New Roman" w:cs="Times New Roman" w:eastAsiaTheme="minorEastAsia"/>
                <w:b/>
                <w:bCs/>
                <w:color w:val="auto"/>
                <w:kern w:val="2"/>
                <w:sz w:val="24"/>
                <w:szCs w:val="24"/>
                <w:highlight w:val="none"/>
              </w:rPr>
              <w:t>③</w:t>
            </w:r>
            <w:r>
              <w:rPr>
                <w:rFonts w:hint="default" w:ascii="Times New Roman" w:hAnsi="Times New Roman" w:cs="Times New Roman" w:eastAsiaTheme="minorEastAsia"/>
                <w:b/>
                <w:bCs/>
                <w:snapToGrid w:val="0"/>
                <w:color w:val="auto"/>
                <w:spacing w:val="-6"/>
                <w:kern w:val="21"/>
                <w:sz w:val="24"/>
                <w:szCs w:val="24"/>
                <w:highlight w:val="none"/>
              </w:rPr>
              <w:fldChar w:fldCharType="end"/>
            </w:r>
          </w:p>
        </w:tc>
        <w:tc>
          <w:tcPr>
            <w:tcW w:w="1500" w:type="dxa"/>
            <w:noWrap w:val="0"/>
            <w:tcMar>
              <w:left w:w="28" w:type="dxa"/>
              <w:right w:w="28" w:type="dxa"/>
            </w:tcMar>
            <w:vAlign w:val="center"/>
          </w:tcPr>
          <w:p>
            <w:pPr>
              <w:pStyle w:val="32"/>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default" w:ascii="Times New Roman" w:hAnsi="Times New Roman" w:cs="Times New Roman" w:eastAsiaTheme="minorEastAsia"/>
                <w:b/>
                <w:bCs/>
                <w:snapToGrid w:val="0"/>
                <w:color w:val="auto"/>
                <w:spacing w:val="-6"/>
                <w:kern w:val="21"/>
                <w:sz w:val="24"/>
                <w:szCs w:val="24"/>
                <w:highlight w:val="none"/>
              </w:rPr>
            </w:pPr>
            <w:r>
              <w:rPr>
                <w:rFonts w:hint="default" w:ascii="Times New Roman" w:hAnsi="Times New Roman" w:cs="Times New Roman" w:eastAsiaTheme="minorEastAsia"/>
                <w:b/>
                <w:bCs/>
                <w:snapToGrid w:val="0"/>
                <w:color w:val="auto"/>
                <w:spacing w:val="-6"/>
                <w:kern w:val="21"/>
                <w:sz w:val="24"/>
                <w:szCs w:val="24"/>
                <w:highlight w:val="none"/>
              </w:rPr>
              <w:t>本项目排放量（固体废物产生量）</w:t>
            </w:r>
            <w:r>
              <w:rPr>
                <w:rFonts w:hint="default" w:ascii="Times New Roman" w:hAnsi="Times New Roman" w:cs="Times New Roman" w:eastAsiaTheme="minorEastAsia"/>
                <w:b/>
                <w:bCs/>
                <w:snapToGrid w:val="0"/>
                <w:color w:val="auto"/>
                <w:spacing w:val="-6"/>
                <w:kern w:val="21"/>
                <w:sz w:val="24"/>
                <w:szCs w:val="24"/>
                <w:highlight w:val="none"/>
              </w:rPr>
              <w:fldChar w:fldCharType="begin"/>
            </w:r>
            <w:r>
              <w:rPr>
                <w:rFonts w:hint="default" w:ascii="Times New Roman" w:hAnsi="Times New Roman" w:cs="Times New Roman" w:eastAsiaTheme="minorEastAsia"/>
                <w:b/>
                <w:bCs/>
                <w:snapToGrid w:val="0"/>
                <w:color w:val="auto"/>
                <w:spacing w:val="-6"/>
                <w:kern w:val="21"/>
                <w:sz w:val="24"/>
                <w:szCs w:val="24"/>
                <w:highlight w:val="none"/>
              </w:rPr>
              <w:instrText xml:space="preserve"> = 4 \* GB3 \* MERGEFORMAT </w:instrText>
            </w:r>
            <w:r>
              <w:rPr>
                <w:rFonts w:hint="default" w:ascii="Times New Roman" w:hAnsi="Times New Roman" w:cs="Times New Roman" w:eastAsiaTheme="minorEastAsia"/>
                <w:b/>
                <w:bCs/>
                <w:snapToGrid w:val="0"/>
                <w:color w:val="auto"/>
                <w:spacing w:val="-6"/>
                <w:kern w:val="21"/>
                <w:sz w:val="24"/>
                <w:szCs w:val="24"/>
                <w:highlight w:val="none"/>
              </w:rPr>
              <w:fldChar w:fldCharType="separate"/>
            </w:r>
            <w:r>
              <w:rPr>
                <w:rFonts w:hint="default" w:ascii="Times New Roman" w:hAnsi="Times New Roman" w:cs="Times New Roman" w:eastAsiaTheme="minorEastAsia"/>
                <w:b/>
                <w:bCs/>
                <w:color w:val="auto"/>
                <w:kern w:val="2"/>
                <w:sz w:val="24"/>
                <w:szCs w:val="24"/>
                <w:highlight w:val="none"/>
              </w:rPr>
              <w:t>④</w:t>
            </w:r>
            <w:r>
              <w:rPr>
                <w:rFonts w:hint="default" w:ascii="Times New Roman" w:hAnsi="Times New Roman" w:cs="Times New Roman" w:eastAsiaTheme="minorEastAsia"/>
                <w:b/>
                <w:bCs/>
                <w:snapToGrid w:val="0"/>
                <w:color w:val="auto"/>
                <w:spacing w:val="-6"/>
                <w:kern w:val="21"/>
                <w:sz w:val="24"/>
                <w:szCs w:val="24"/>
                <w:highlight w:val="none"/>
              </w:rPr>
              <w:fldChar w:fldCharType="end"/>
            </w:r>
          </w:p>
        </w:tc>
        <w:tc>
          <w:tcPr>
            <w:tcW w:w="1452" w:type="dxa"/>
            <w:noWrap w:val="0"/>
            <w:tcMar>
              <w:left w:w="28" w:type="dxa"/>
              <w:right w:w="28" w:type="dxa"/>
            </w:tcMar>
            <w:vAlign w:val="center"/>
          </w:tcPr>
          <w:p>
            <w:pPr>
              <w:pStyle w:val="32"/>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default" w:ascii="Times New Roman" w:hAnsi="Times New Roman" w:cs="Times New Roman" w:eastAsiaTheme="minorEastAsia"/>
                <w:b/>
                <w:bCs/>
                <w:snapToGrid w:val="0"/>
                <w:color w:val="auto"/>
                <w:spacing w:val="-16"/>
                <w:kern w:val="21"/>
                <w:sz w:val="24"/>
                <w:szCs w:val="24"/>
                <w:highlight w:val="none"/>
              </w:rPr>
            </w:pPr>
            <w:r>
              <w:rPr>
                <w:rFonts w:hint="default" w:ascii="Times New Roman" w:hAnsi="Times New Roman" w:cs="Times New Roman" w:eastAsiaTheme="minorEastAsia"/>
                <w:b/>
                <w:bCs/>
                <w:snapToGrid w:val="0"/>
                <w:color w:val="auto"/>
                <w:spacing w:val="-16"/>
                <w:kern w:val="21"/>
                <w:sz w:val="24"/>
                <w:szCs w:val="24"/>
                <w:highlight w:val="none"/>
              </w:rPr>
              <w:t>以新带老削减量（新建项目不填）</w:t>
            </w:r>
            <w:r>
              <w:rPr>
                <w:rFonts w:hint="default" w:ascii="Times New Roman" w:hAnsi="Times New Roman" w:cs="Times New Roman" w:eastAsiaTheme="minorEastAsia"/>
                <w:b/>
                <w:bCs/>
                <w:snapToGrid w:val="0"/>
                <w:color w:val="auto"/>
                <w:spacing w:val="-16"/>
                <w:kern w:val="21"/>
                <w:sz w:val="24"/>
                <w:szCs w:val="24"/>
                <w:highlight w:val="none"/>
              </w:rPr>
              <w:fldChar w:fldCharType="begin"/>
            </w:r>
            <w:r>
              <w:rPr>
                <w:rFonts w:hint="default" w:ascii="Times New Roman" w:hAnsi="Times New Roman" w:cs="Times New Roman" w:eastAsiaTheme="minorEastAsia"/>
                <w:b/>
                <w:bCs/>
                <w:snapToGrid w:val="0"/>
                <w:color w:val="auto"/>
                <w:spacing w:val="-16"/>
                <w:kern w:val="21"/>
                <w:sz w:val="24"/>
                <w:szCs w:val="24"/>
                <w:highlight w:val="none"/>
              </w:rPr>
              <w:instrText xml:space="preserve"> = 5 \* GB3 \* MERGEFORMAT </w:instrText>
            </w:r>
            <w:r>
              <w:rPr>
                <w:rFonts w:hint="default" w:ascii="Times New Roman" w:hAnsi="Times New Roman" w:cs="Times New Roman" w:eastAsiaTheme="minorEastAsia"/>
                <w:b/>
                <w:bCs/>
                <w:snapToGrid w:val="0"/>
                <w:color w:val="auto"/>
                <w:spacing w:val="-16"/>
                <w:kern w:val="21"/>
                <w:sz w:val="24"/>
                <w:szCs w:val="24"/>
                <w:highlight w:val="none"/>
              </w:rPr>
              <w:fldChar w:fldCharType="separate"/>
            </w:r>
            <w:r>
              <w:rPr>
                <w:rFonts w:hint="default" w:ascii="Times New Roman" w:hAnsi="Times New Roman" w:cs="Times New Roman" w:eastAsiaTheme="minorEastAsia"/>
                <w:b/>
                <w:bCs/>
                <w:color w:val="auto"/>
                <w:kern w:val="2"/>
                <w:sz w:val="24"/>
                <w:szCs w:val="24"/>
                <w:highlight w:val="none"/>
              </w:rPr>
              <w:t>⑤</w:t>
            </w:r>
            <w:r>
              <w:rPr>
                <w:rFonts w:hint="default" w:ascii="Times New Roman" w:hAnsi="Times New Roman" w:cs="Times New Roman" w:eastAsiaTheme="minorEastAsia"/>
                <w:b/>
                <w:bCs/>
                <w:snapToGrid w:val="0"/>
                <w:color w:val="auto"/>
                <w:spacing w:val="-16"/>
                <w:kern w:val="21"/>
                <w:sz w:val="24"/>
                <w:szCs w:val="24"/>
                <w:highlight w:val="none"/>
              </w:rPr>
              <w:fldChar w:fldCharType="end"/>
            </w:r>
          </w:p>
        </w:tc>
        <w:tc>
          <w:tcPr>
            <w:tcW w:w="1590" w:type="dxa"/>
            <w:noWrap w:val="0"/>
            <w:tcMar>
              <w:left w:w="28" w:type="dxa"/>
              <w:right w:w="28" w:type="dxa"/>
            </w:tcMar>
            <w:vAlign w:val="center"/>
          </w:tcPr>
          <w:p>
            <w:pPr>
              <w:pStyle w:val="32"/>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default" w:ascii="Times New Roman" w:hAnsi="Times New Roman" w:cs="Times New Roman" w:eastAsiaTheme="minorEastAsia"/>
                <w:b/>
                <w:bCs/>
                <w:snapToGrid w:val="0"/>
                <w:color w:val="auto"/>
                <w:spacing w:val="-16"/>
                <w:kern w:val="21"/>
                <w:sz w:val="24"/>
                <w:szCs w:val="24"/>
                <w:highlight w:val="none"/>
              </w:rPr>
            </w:pPr>
            <w:r>
              <w:rPr>
                <w:rFonts w:hint="default" w:ascii="Times New Roman" w:hAnsi="Times New Roman" w:cs="Times New Roman" w:eastAsiaTheme="minorEastAsia"/>
                <w:b/>
                <w:bCs/>
                <w:snapToGrid w:val="0"/>
                <w:color w:val="auto"/>
                <w:spacing w:val="-16"/>
                <w:kern w:val="21"/>
                <w:sz w:val="24"/>
                <w:szCs w:val="24"/>
                <w:highlight w:val="none"/>
              </w:rPr>
              <w:t>本项目建成后全厂排放量（固体废物产生量）</w:t>
            </w:r>
            <w:r>
              <w:rPr>
                <w:rFonts w:hint="default" w:ascii="Times New Roman" w:hAnsi="Times New Roman" w:cs="Times New Roman" w:eastAsiaTheme="minorEastAsia"/>
                <w:b/>
                <w:bCs/>
                <w:snapToGrid w:val="0"/>
                <w:color w:val="auto"/>
                <w:spacing w:val="-16"/>
                <w:kern w:val="21"/>
                <w:sz w:val="24"/>
                <w:szCs w:val="24"/>
                <w:highlight w:val="none"/>
              </w:rPr>
              <w:fldChar w:fldCharType="begin"/>
            </w:r>
            <w:r>
              <w:rPr>
                <w:rFonts w:hint="default" w:ascii="Times New Roman" w:hAnsi="Times New Roman" w:cs="Times New Roman" w:eastAsiaTheme="minorEastAsia"/>
                <w:b/>
                <w:bCs/>
                <w:snapToGrid w:val="0"/>
                <w:color w:val="auto"/>
                <w:spacing w:val="-16"/>
                <w:kern w:val="21"/>
                <w:sz w:val="24"/>
                <w:szCs w:val="24"/>
                <w:highlight w:val="none"/>
              </w:rPr>
              <w:instrText xml:space="preserve"> = 6 \* GB3 \* MERGEFORMAT </w:instrText>
            </w:r>
            <w:r>
              <w:rPr>
                <w:rFonts w:hint="default" w:ascii="Times New Roman" w:hAnsi="Times New Roman" w:cs="Times New Roman" w:eastAsiaTheme="minorEastAsia"/>
                <w:b/>
                <w:bCs/>
                <w:snapToGrid w:val="0"/>
                <w:color w:val="auto"/>
                <w:spacing w:val="-16"/>
                <w:kern w:val="21"/>
                <w:sz w:val="24"/>
                <w:szCs w:val="24"/>
                <w:highlight w:val="none"/>
              </w:rPr>
              <w:fldChar w:fldCharType="separate"/>
            </w:r>
            <w:r>
              <w:rPr>
                <w:rFonts w:hint="default" w:ascii="Times New Roman" w:hAnsi="Times New Roman" w:cs="Times New Roman" w:eastAsiaTheme="minorEastAsia"/>
                <w:b/>
                <w:bCs/>
                <w:color w:val="auto"/>
                <w:kern w:val="2"/>
                <w:sz w:val="24"/>
                <w:szCs w:val="24"/>
                <w:highlight w:val="none"/>
              </w:rPr>
              <w:t>⑥</w:t>
            </w:r>
            <w:r>
              <w:rPr>
                <w:rFonts w:hint="default" w:ascii="Times New Roman" w:hAnsi="Times New Roman" w:cs="Times New Roman" w:eastAsiaTheme="minorEastAsia"/>
                <w:b/>
                <w:bCs/>
                <w:snapToGrid w:val="0"/>
                <w:color w:val="auto"/>
                <w:spacing w:val="-16"/>
                <w:kern w:val="21"/>
                <w:sz w:val="24"/>
                <w:szCs w:val="24"/>
                <w:highlight w:val="none"/>
              </w:rPr>
              <w:fldChar w:fldCharType="end"/>
            </w:r>
          </w:p>
        </w:tc>
        <w:tc>
          <w:tcPr>
            <w:tcW w:w="1511" w:type="dxa"/>
            <w:noWrap w:val="0"/>
            <w:tcMar>
              <w:left w:w="28" w:type="dxa"/>
              <w:right w:w="28" w:type="dxa"/>
            </w:tcMar>
            <w:vAlign w:val="center"/>
          </w:tcPr>
          <w:p>
            <w:pPr>
              <w:pStyle w:val="32"/>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default" w:ascii="Times New Roman" w:hAnsi="Times New Roman" w:cs="Times New Roman" w:eastAsiaTheme="minorEastAsia"/>
                <w:b/>
                <w:bCs/>
                <w:snapToGrid w:val="0"/>
                <w:color w:val="auto"/>
                <w:spacing w:val="-6"/>
                <w:kern w:val="21"/>
                <w:sz w:val="24"/>
                <w:szCs w:val="24"/>
                <w:highlight w:val="none"/>
              </w:rPr>
            </w:pPr>
            <w:r>
              <w:rPr>
                <w:rFonts w:hint="default" w:ascii="Times New Roman" w:hAnsi="Times New Roman" w:cs="Times New Roman" w:eastAsiaTheme="minorEastAsia"/>
                <w:b/>
                <w:bCs/>
                <w:snapToGrid w:val="0"/>
                <w:color w:val="auto"/>
                <w:spacing w:val="-6"/>
                <w:kern w:val="21"/>
                <w:sz w:val="24"/>
                <w:szCs w:val="24"/>
                <w:highlight w:val="none"/>
              </w:rPr>
              <w:t>变化量</w:t>
            </w:r>
            <w:r>
              <w:rPr>
                <w:rFonts w:hint="default" w:ascii="Times New Roman" w:hAnsi="Times New Roman" w:cs="Times New Roman" w:eastAsiaTheme="minorEastAsia"/>
                <w:b/>
                <w:bCs/>
                <w:snapToGrid w:val="0"/>
                <w:color w:val="auto"/>
                <w:spacing w:val="-6"/>
                <w:kern w:val="21"/>
                <w:sz w:val="24"/>
                <w:szCs w:val="24"/>
                <w:highlight w:val="none"/>
              </w:rPr>
              <w:fldChar w:fldCharType="begin"/>
            </w:r>
            <w:r>
              <w:rPr>
                <w:rFonts w:hint="default" w:ascii="Times New Roman" w:hAnsi="Times New Roman" w:cs="Times New Roman" w:eastAsiaTheme="minorEastAsia"/>
                <w:b/>
                <w:bCs/>
                <w:snapToGrid w:val="0"/>
                <w:color w:val="auto"/>
                <w:spacing w:val="-6"/>
                <w:kern w:val="21"/>
                <w:sz w:val="24"/>
                <w:szCs w:val="24"/>
                <w:highlight w:val="none"/>
              </w:rPr>
              <w:instrText xml:space="preserve"> = 7 \* GB3 \* MERGEFORMAT </w:instrText>
            </w:r>
            <w:r>
              <w:rPr>
                <w:rFonts w:hint="default" w:ascii="Times New Roman" w:hAnsi="Times New Roman" w:cs="Times New Roman" w:eastAsiaTheme="minorEastAsia"/>
                <w:b/>
                <w:bCs/>
                <w:snapToGrid w:val="0"/>
                <w:color w:val="auto"/>
                <w:spacing w:val="-6"/>
                <w:kern w:val="21"/>
                <w:sz w:val="24"/>
                <w:szCs w:val="24"/>
                <w:highlight w:val="none"/>
              </w:rPr>
              <w:fldChar w:fldCharType="separate"/>
            </w:r>
            <w:r>
              <w:rPr>
                <w:rFonts w:hint="default" w:ascii="Times New Roman" w:hAnsi="Times New Roman" w:cs="Times New Roman" w:eastAsiaTheme="minorEastAsia"/>
                <w:b/>
                <w:bCs/>
                <w:color w:val="auto"/>
                <w:kern w:val="2"/>
                <w:sz w:val="24"/>
                <w:szCs w:val="24"/>
                <w:highlight w:val="none"/>
              </w:rPr>
              <w:t>⑦</w:t>
            </w:r>
            <w:r>
              <w:rPr>
                <w:rFonts w:hint="default" w:ascii="Times New Roman" w:hAnsi="Times New Roman" w:cs="Times New Roman" w:eastAsiaTheme="minorEastAsia"/>
                <w:b/>
                <w:bCs/>
                <w:snapToGrid w:val="0"/>
                <w:color w:val="auto"/>
                <w:spacing w:val="-6"/>
                <w:kern w:val="21"/>
                <w:sz w:val="24"/>
                <w:szCs w:val="24"/>
                <w:highlight w:val="none"/>
              </w:rPr>
              <w:fldChar w:fldCharType="end"/>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1340" w:type="dxa"/>
            <w:vMerge w:val="restart"/>
            <w:noWrap w:val="0"/>
            <w:vAlign w:val="center"/>
          </w:tcPr>
          <w:p>
            <w:pPr>
              <w:pStyle w:val="32"/>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rPr>
            </w:pPr>
            <w:r>
              <w:rPr>
                <w:rFonts w:hint="default" w:ascii="Times New Roman" w:hAnsi="Times New Roman" w:cs="Times New Roman" w:eastAsiaTheme="minorEastAsia"/>
                <w:snapToGrid w:val="0"/>
                <w:color w:val="auto"/>
                <w:kern w:val="21"/>
                <w:sz w:val="24"/>
                <w:szCs w:val="24"/>
                <w:highlight w:val="none"/>
                <w:lang w:val="en-US" w:eastAsia="zh-CN"/>
              </w:rPr>
              <w:t>废气</w:t>
            </w:r>
          </w:p>
        </w:tc>
        <w:tc>
          <w:tcPr>
            <w:tcW w:w="1732" w:type="dxa"/>
            <w:noWrap w:val="0"/>
            <w:vAlign w:val="center"/>
          </w:tcPr>
          <w:p>
            <w:pPr>
              <w:pStyle w:val="32"/>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rPr>
            </w:pPr>
            <w:r>
              <w:rPr>
                <w:rFonts w:hint="eastAsia" w:cs="Times New Roman" w:eastAsiaTheme="minorEastAsia"/>
                <w:snapToGrid w:val="0"/>
                <w:color w:val="auto"/>
                <w:kern w:val="21"/>
                <w:sz w:val="24"/>
                <w:szCs w:val="24"/>
                <w:highlight w:val="none"/>
                <w:lang w:val="en-US" w:eastAsia="zh-CN"/>
              </w:rPr>
              <w:t>非甲烷总烃</w:t>
            </w:r>
          </w:p>
        </w:tc>
        <w:tc>
          <w:tcPr>
            <w:tcW w:w="159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40" w:after="40" w:line="240" w:lineRule="auto"/>
              <w:ind w:firstLine="0" w:firstLineChars="0"/>
              <w:jc w:val="center"/>
              <w:textAlignment w:val="center"/>
              <w:rPr>
                <w:rFonts w:hint="default" w:ascii="Times New Roman" w:hAnsi="Times New Roman" w:eastAsia="宋体" w:cs="Times New Roman"/>
                <w:i w:val="0"/>
                <w:iCs w:val="0"/>
                <w:color w:val="auto"/>
                <w:kern w:val="2"/>
                <w:sz w:val="24"/>
                <w:szCs w:val="24"/>
                <w:highlight w:val="none"/>
                <w:u w:val="none"/>
                <w:lang w:val="en-US" w:eastAsia="zh-CN" w:bidi="ar-SA"/>
              </w:rPr>
            </w:pPr>
            <w:r>
              <w:rPr>
                <w:rFonts w:hint="eastAsia" w:cs="Times New Roman"/>
                <w:b w:val="0"/>
                <w:bCs w:val="0"/>
                <w:smallCaps w:val="0"/>
                <w:color w:val="auto"/>
                <w:spacing w:val="0"/>
                <w:position w:val="0"/>
                <w:sz w:val="24"/>
                <w:szCs w:val="24"/>
                <w:highlight w:val="none"/>
                <w:vertAlign w:val="baseline"/>
                <w:lang w:val="en-US" w:eastAsia="zh-CN"/>
              </w:rPr>
              <w:t>0.06648t/a</w:t>
            </w:r>
          </w:p>
        </w:tc>
        <w:tc>
          <w:tcPr>
            <w:tcW w:w="1254" w:type="dxa"/>
            <w:noWrap w:val="0"/>
            <w:vAlign w:val="center"/>
          </w:tcPr>
          <w:p>
            <w:pPr>
              <w:pStyle w:val="32"/>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bidi="ar-SA"/>
              </w:rPr>
            </w:pPr>
            <w:r>
              <w:rPr>
                <w:rFonts w:hint="eastAsia" w:ascii="宋体" w:hAnsi="宋体" w:eastAsia="宋体" w:cs="宋体"/>
                <w:snapToGrid w:val="0"/>
                <w:color w:val="auto"/>
                <w:kern w:val="21"/>
                <w:sz w:val="24"/>
                <w:szCs w:val="24"/>
                <w:highlight w:val="none"/>
                <w:lang w:val="en-US" w:eastAsia="zh-CN" w:bidi="ar-SA"/>
              </w:rPr>
              <w:t>－</w:t>
            </w:r>
          </w:p>
        </w:tc>
        <w:tc>
          <w:tcPr>
            <w:tcW w:w="1814" w:type="dxa"/>
            <w:noWrap w:val="0"/>
            <w:vAlign w:val="center"/>
          </w:tcPr>
          <w:p>
            <w:pPr>
              <w:pStyle w:val="32"/>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rPr>
            </w:pPr>
            <w:r>
              <w:rPr>
                <w:rFonts w:hint="eastAsia" w:ascii="宋体" w:hAnsi="宋体" w:eastAsia="宋体" w:cs="宋体"/>
                <w:snapToGrid w:val="0"/>
                <w:color w:val="auto"/>
                <w:kern w:val="21"/>
                <w:sz w:val="24"/>
                <w:szCs w:val="24"/>
                <w:highlight w:val="none"/>
                <w:lang w:val="en-US" w:eastAsia="zh-CN" w:bidi="ar-SA"/>
              </w:rPr>
              <w:t>－</w:t>
            </w:r>
          </w:p>
        </w:tc>
        <w:tc>
          <w:tcPr>
            <w:tcW w:w="1500" w:type="dxa"/>
            <w:noWrap w:val="0"/>
            <w:vAlign w:val="center"/>
          </w:tcPr>
          <w:p>
            <w:pPr>
              <w:pStyle w:val="32"/>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bidi="ar-SA"/>
              </w:rPr>
            </w:pPr>
            <w:r>
              <w:rPr>
                <w:rFonts w:hint="eastAsia" w:cs="Times New Roman"/>
                <w:snapToGrid w:val="0"/>
                <w:color w:val="auto"/>
                <w:kern w:val="21"/>
                <w:sz w:val="24"/>
                <w:szCs w:val="24"/>
                <w:highlight w:val="none"/>
                <w:lang w:val="en-US" w:eastAsia="zh-CN"/>
              </w:rPr>
              <w:t>0.0426</w:t>
            </w:r>
            <w:r>
              <w:rPr>
                <w:rFonts w:hint="eastAsia" w:cs="Times New Roman"/>
                <w:b w:val="0"/>
                <w:bCs w:val="0"/>
                <w:smallCaps w:val="0"/>
                <w:color w:val="auto"/>
                <w:spacing w:val="0"/>
                <w:position w:val="0"/>
                <w:sz w:val="24"/>
                <w:szCs w:val="24"/>
                <w:highlight w:val="none"/>
                <w:vertAlign w:val="baseline"/>
                <w:lang w:val="en-US" w:eastAsia="zh-CN"/>
              </w:rPr>
              <w:t>t/a</w:t>
            </w:r>
          </w:p>
        </w:tc>
        <w:tc>
          <w:tcPr>
            <w:tcW w:w="145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40" w:after="40" w:line="240" w:lineRule="auto"/>
              <w:ind w:firstLine="0" w:firstLineChars="0"/>
              <w:jc w:val="center"/>
              <w:textAlignment w:val="center"/>
              <w:rPr>
                <w:rFonts w:hint="default" w:ascii="Times New Roman" w:hAnsi="Times New Roman" w:cs="Times New Roman" w:eastAsiaTheme="minorEastAsia"/>
                <w:snapToGrid w:val="0"/>
                <w:color w:val="auto"/>
                <w:kern w:val="21"/>
                <w:sz w:val="24"/>
                <w:szCs w:val="24"/>
                <w:highlight w:val="none"/>
                <w:lang w:val="en-US" w:eastAsia="zh-CN"/>
              </w:rPr>
            </w:pPr>
            <w:r>
              <w:rPr>
                <w:rFonts w:hint="eastAsia" w:cs="Times New Roman"/>
                <w:b w:val="0"/>
                <w:bCs w:val="0"/>
                <w:smallCaps w:val="0"/>
                <w:color w:val="auto"/>
                <w:spacing w:val="0"/>
                <w:position w:val="0"/>
                <w:sz w:val="24"/>
                <w:szCs w:val="24"/>
                <w:highlight w:val="none"/>
                <w:vertAlign w:val="baseline"/>
                <w:lang w:val="en-US" w:eastAsia="zh-CN"/>
              </w:rPr>
              <w:t>0.06648t/a</w:t>
            </w:r>
          </w:p>
        </w:tc>
        <w:tc>
          <w:tcPr>
            <w:tcW w:w="1590" w:type="dxa"/>
            <w:noWrap w:val="0"/>
            <w:vAlign w:val="center"/>
          </w:tcPr>
          <w:p>
            <w:pPr>
              <w:pStyle w:val="32"/>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rPr>
            </w:pPr>
            <w:r>
              <w:rPr>
                <w:rFonts w:hint="eastAsia" w:cs="Times New Roman"/>
                <w:snapToGrid w:val="0"/>
                <w:color w:val="auto"/>
                <w:kern w:val="21"/>
                <w:sz w:val="24"/>
                <w:szCs w:val="24"/>
                <w:highlight w:val="none"/>
                <w:lang w:val="en-US" w:eastAsia="zh-CN"/>
              </w:rPr>
              <w:t>0.0426</w:t>
            </w:r>
            <w:r>
              <w:rPr>
                <w:rFonts w:hint="eastAsia" w:cs="Times New Roman"/>
                <w:b w:val="0"/>
                <w:bCs w:val="0"/>
                <w:smallCaps w:val="0"/>
                <w:color w:val="auto"/>
                <w:spacing w:val="0"/>
                <w:position w:val="0"/>
                <w:sz w:val="24"/>
                <w:szCs w:val="24"/>
                <w:highlight w:val="none"/>
                <w:vertAlign w:val="baseline"/>
                <w:lang w:val="en-US" w:eastAsia="zh-CN"/>
              </w:rPr>
              <w:t>t/a</w:t>
            </w:r>
          </w:p>
        </w:tc>
        <w:tc>
          <w:tcPr>
            <w:tcW w:w="1511" w:type="dxa"/>
            <w:noWrap w:val="0"/>
            <w:vAlign w:val="center"/>
          </w:tcPr>
          <w:p>
            <w:pPr>
              <w:pStyle w:val="32"/>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bidi="ar-SA"/>
              </w:rPr>
            </w:pPr>
            <w:r>
              <w:rPr>
                <w:rFonts w:hint="eastAsia" w:cs="Times New Roman"/>
                <w:b w:val="0"/>
                <w:bCs w:val="0"/>
                <w:smallCaps w:val="0"/>
                <w:color w:val="auto"/>
                <w:spacing w:val="0"/>
                <w:position w:val="0"/>
                <w:sz w:val="24"/>
                <w:szCs w:val="24"/>
                <w:highlight w:val="none"/>
                <w:vertAlign w:val="baseline"/>
                <w:lang w:val="en-US" w:eastAsia="zh-CN"/>
              </w:rPr>
              <w:t>-0.02388t/a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340" w:type="dxa"/>
            <w:vMerge w:val="continue"/>
            <w:noWrap w:val="0"/>
            <w:vAlign w:val="center"/>
          </w:tcPr>
          <w:p>
            <w:pPr>
              <w:pStyle w:val="32"/>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rPr>
            </w:pPr>
          </w:p>
        </w:tc>
        <w:tc>
          <w:tcPr>
            <w:tcW w:w="1732" w:type="dxa"/>
            <w:noWrap w:val="0"/>
            <w:vAlign w:val="center"/>
          </w:tcPr>
          <w:p>
            <w:pPr>
              <w:pStyle w:val="32"/>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bidi="ar-SA"/>
              </w:rPr>
            </w:pPr>
            <w:r>
              <w:rPr>
                <w:rFonts w:hint="eastAsia" w:cs="Times New Roman" w:eastAsiaTheme="minorEastAsia"/>
                <w:snapToGrid w:val="0"/>
                <w:color w:val="auto"/>
                <w:kern w:val="21"/>
                <w:sz w:val="24"/>
                <w:szCs w:val="24"/>
                <w:highlight w:val="none"/>
                <w:lang w:val="en-US" w:eastAsia="zh-CN"/>
              </w:rPr>
              <w:t>氯化氢</w:t>
            </w:r>
          </w:p>
        </w:tc>
        <w:tc>
          <w:tcPr>
            <w:tcW w:w="159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40" w:after="40" w:line="240" w:lineRule="auto"/>
              <w:ind w:firstLine="0" w:firstLineChars="0"/>
              <w:jc w:val="center"/>
              <w:textAlignment w:val="center"/>
              <w:rPr>
                <w:rFonts w:hint="default" w:ascii="Times New Roman" w:hAnsi="Times New Roman" w:eastAsia="宋体" w:cs="Times New Roman"/>
                <w:i w:val="0"/>
                <w:iCs w:val="0"/>
                <w:color w:val="auto"/>
                <w:kern w:val="2"/>
                <w:sz w:val="24"/>
                <w:szCs w:val="24"/>
                <w:highlight w:val="none"/>
                <w:u w:val="none"/>
                <w:lang w:val="en-US" w:eastAsia="zh-CN" w:bidi="ar-SA"/>
              </w:rPr>
            </w:pPr>
            <w:r>
              <w:rPr>
                <w:rFonts w:hint="eastAsia" w:cs="Times New Roman"/>
                <w:b w:val="0"/>
                <w:bCs w:val="0"/>
                <w:smallCaps w:val="0"/>
                <w:color w:val="auto"/>
                <w:spacing w:val="0"/>
                <w:position w:val="0"/>
                <w:sz w:val="24"/>
                <w:szCs w:val="24"/>
                <w:highlight w:val="none"/>
                <w:vertAlign w:val="baseline"/>
                <w:lang w:val="en-US" w:eastAsia="zh-CN"/>
              </w:rPr>
              <w:t>0.034t/a</w:t>
            </w:r>
          </w:p>
        </w:tc>
        <w:tc>
          <w:tcPr>
            <w:tcW w:w="1254" w:type="dxa"/>
            <w:noWrap w:val="0"/>
            <w:vAlign w:val="center"/>
          </w:tcPr>
          <w:p>
            <w:pPr>
              <w:pStyle w:val="32"/>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bidi="ar-SA"/>
              </w:rPr>
            </w:pPr>
            <w:r>
              <w:rPr>
                <w:rFonts w:hint="eastAsia" w:ascii="宋体" w:hAnsi="宋体" w:eastAsia="宋体" w:cs="宋体"/>
                <w:snapToGrid w:val="0"/>
                <w:color w:val="auto"/>
                <w:kern w:val="21"/>
                <w:sz w:val="24"/>
                <w:szCs w:val="24"/>
                <w:highlight w:val="none"/>
                <w:lang w:val="en-US" w:eastAsia="zh-CN" w:bidi="ar-SA"/>
              </w:rPr>
              <w:t>－</w:t>
            </w:r>
          </w:p>
        </w:tc>
        <w:tc>
          <w:tcPr>
            <w:tcW w:w="1814" w:type="dxa"/>
            <w:noWrap w:val="0"/>
            <w:vAlign w:val="center"/>
          </w:tcPr>
          <w:p>
            <w:pPr>
              <w:pStyle w:val="32"/>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rPr>
            </w:pPr>
            <w:r>
              <w:rPr>
                <w:rFonts w:hint="eastAsia" w:ascii="宋体" w:hAnsi="宋体" w:eastAsia="宋体" w:cs="宋体"/>
                <w:snapToGrid w:val="0"/>
                <w:color w:val="auto"/>
                <w:kern w:val="21"/>
                <w:sz w:val="24"/>
                <w:szCs w:val="24"/>
                <w:highlight w:val="none"/>
                <w:lang w:val="en-US" w:eastAsia="zh-CN" w:bidi="ar-SA"/>
              </w:rPr>
              <w:t>－</w:t>
            </w:r>
          </w:p>
        </w:tc>
        <w:tc>
          <w:tcPr>
            <w:tcW w:w="1500" w:type="dxa"/>
            <w:noWrap w:val="0"/>
            <w:vAlign w:val="center"/>
          </w:tcPr>
          <w:p>
            <w:pPr>
              <w:pStyle w:val="32"/>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rPr>
            </w:pPr>
            <w:r>
              <w:rPr>
                <w:rFonts w:hint="eastAsia" w:cs="Times New Roman"/>
                <w:snapToGrid w:val="0"/>
                <w:color w:val="auto"/>
                <w:kern w:val="21"/>
                <w:sz w:val="24"/>
                <w:szCs w:val="24"/>
                <w:highlight w:val="none"/>
                <w:lang w:val="en-US" w:eastAsia="zh-CN"/>
              </w:rPr>
              <w:t>0.029423</w:t>
            </w:r>
            <w:r>
              <w:rPr>
                <w:rFonts w:hint="eastAsia" w:cs="Times New Roman"/>
                <w:b w:val="0"/>
                <w:bCs w:val="0"/>
                <w:smallCaps w:val="0"/>
                <w:color w:val="auto"/>
                <w:spacing w:val="0"/>
                <w:position w:val="0"/>
                <w:sz w:val="24"/>
                <w:szCs w:val="24"/>
                <w:highlight w:val="none"/>
                <w:vertAlign w:val="baseline"/>
                <w:lang w:val="en-US" w:eastAsia="zh-CN"/>
              </w:rPr>
              <w:t>t/a</w:t>
            </w:r>
          </w:p>
        </w:tc>
        <w:tc>
          <w:tcPr>
            <w:tcW w:w="145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40" w:after="40" w:line="240" w:lineRule="auto"/>
              <w:ind w:firstLine="0" w:firstLineChars="0"/>
              <w:jc w:val="center"/>
              <w:textAlignment w:val="center"/>
              <w:rPr>
                <w:rFonts w:hint="default" w:ascii="Times New Roman" w:hAnsi="Times New Roman" w:cs="Times New Roman" w:eastAsiaTheme="minorEastAsia"/>
                <w:snapToGrid w:val="0"/>
                <w:color w:val="auto"/>
                <w:kern w:val="21"/>
                <w:sz w:val="24"/>
                <w:szCs w:val="24"/>
                <w:highlight w:val="none"/>
                <w:lang w:val="en-US" w:eastAsia="zh-CN"/>
              </w:rPr>
            </w:pPr>
            <w:r>
              <w:rPr>
                <w:rFonts w:hint="eastAsia" w:cs="Times New Roman"/>
                <w:b w:val="0"/>
                <w:bCs w:val="0"/>
                <w:smallCaps w:val="0"/>
                <w:color w:val="auto"/>
                <w:spacing w:val="0"/>
                <w:position w:val="0"/>
                <w:sz w:val="24"/>
                <w:szCs w:val="24"/>
                <w:highlight w:val="none"/>
                <w:vertAlign w:val="baseline"/>
                <w:lang w:val="en-US" w:eastAsia="zh-CN"/>
              </w:rPr>
              <w:t>0.034t/a</w:t>
            </w:r>
          </w:p>
        </w:tc>
        <w:tc>
          <w:tcPr>
            <w:tcW w:w="1590" w:type="dxa"/>
            <w:noWrap w:val="0"/>
            <w:vAlign w:val="center"/>
          </w:tcPr>
          <w:p>
            <w:pPr>
              <w:pStyle w:val="32"/>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rPr>
            </w:pPr>
            <w:r>
              <w:rPr>
                <w:rFonts w:hint="eastAsia" w:cs="Times New Roman"/>
                <w:snapToGrid w:val="0"/>
                <w:color w:val="auto"/>
                <w:kern w:val="21"/>
                <w:sz w:val="24"/>
                <w:szCs w:val="24"/>
                <w:highlight w:val="none"/>
                <w:lang w:val="en-US" w:eastAsia="zh-CN"/>
              </w:rPr>
              <w:t>0.029423</w:t>
            </w:r>
            <w:r>
              <w:rPr>
                <w:rFonts w:hint="eastAsia" w:cs="Times New Roman"/>
                <w:b w:val="0"/>
                <w:bCs w:val="0"/>
                <w:smallCaps w:val="0"/>
                <w:color w:val="auto"/>
                <w:spacing w:val="0"/>
                <w:position w:val="0"/>
                <w:sz w:val="24"/>
                <w:szCs w:val="24"/>
                <w:highlight w:val="none"/>
                <w:vertAlign w:val="baseline"/>
                <w:lang w:val="en-US" w:eastAsia="zh-CN"/>
              </w:rPr>
              <w:t>t/a</w:t>
            </w:r>
          </w:p>
        </w:tc>
        <w:tc>
          <w:tcPr>
            <w:tcW w:w="1511" w:type="dxa"/>
            <w:noWrap w:val="0"/>
            <w:vAlign w:val="center"/>
          </w:tcPr>
          <w:p>
            <w:pPr>
              <w:pStyle w:val="32"/>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bidi="ar-SA"/>
              </w:rPr>
            </w:pPr>
            <w:r>
              <w:rPr>
                <w:rFonts w:hint="eastAsia" w:cs="Times New Roman"/>
                <w:b w:val="0"/>
                <w:bCs w:val="0"/>
                <w:smallCaps w:val="0"/>
                <w:color w:val="auto"/>
                <w:spacing w:val="0"/>
                <w:position w:val="0"/>
                <w:sz w:val="24"/>
                <w:szCs w:val="24"/>
                <w:highlight w:val="none"/>
                <w:vertAlign w:val="baseline"/>
                <w:lang w:val="en-US" w:eastAsia="zh-CN"/>
              </w:rPr>
              <w:t>-0.004577t/a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1340" w:type="dxa"/>
            <w:vMerge w:val="continue"/>
            <w:noWrap w:val="0"/>
            <w:vAlign w:val="center"/>
          </w:tcPr>
          <w:p>
            <w:pPr>
              <w:pStyle w:val="32"/>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rPr>
            </w:pPr>
          </w:p>
        </w:tc>
        <w:tc>
          <w:tcPr>
            <w:tcW w:w="1732" w:type="dxa"/>
            <w:noWrap w:val="0"/>
            <w:vAlign w:val="center"/>
          </w:tcPr>
          <w:p>
            <w:pPr>
              <w:pStyle w:val="32"/>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bidi="ar-SA"/>
              </w:rPr>
            </w:pPr>
            <w:r>
              <w:rPr>
                <w:rFonts w:hint="eastAsia" w:cs="Times New Roman"/>
                <w:b w:val="0"/>
                <w:bCs w:val="0"/>
                <w:smallCaps w:val="0"/>
                <w:color w:val="auto"/>
                <w:spacing w:val="0"/>
                <w:position w:val="0"/>
                <w:sz w:val="24"/>
                <w:szCs w:val="24"/>
                <w:highlight w:val="none"/>
                <w:vertAlign w:val="baseline"/>
                <w:lang w:val="en-US" w:eastAsia="zh-CN"/>
              </w:rPr>
              <w:t>氟化物</w:t>
            </w:r>
          </w:p>
        </w:tc>
        <w:tc>
          <w:tcPr>
            <w:tcW w:w="159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40" w:after="40" w:line="240" w:lineRule="auto"/>
              <w:ind w:firstLine="0" w:firstLineChars="0"/>
              <w:jc w:val="center"/>
              <w:textAlignment w:val="center"/>
              <w:rPr>
                <w:rFonts w:hint="default" w:ascii="Times New Roman" w:hAnsi="Times New Roman" w:eastAsia="宋体" w:cs="Times New Roman"/>
                <w:i w:val="0"/>
                <w:iCs w:val="0"/>
                <w:color w:val="auto"/>
                <w:kern w:val="2"/>
                <w:sz w:val="24"/>
                <w:szCs w:val="24"/>
                <w:highlight w:val="none"/>
                <w:u w:val="none"/>
                <w:lang w:val="en-US" w:eastAsia="zh-CN" w:bidi="ar-SA"/>
              </w:rPr>
            </w:pPr>
            <w:r>
              <w:rPr>
                <w:rFonts w:hint="eastAsia" w:cs="Times New Roman"/>
                <w:b w:val="0"/>
                <w:bCs w:val="0"/>
                <w:smallCaps w:val="0"/>
                <w:color w:val="auto"/>
                <w:spacing w:val="0"/>
                <w:position w:val="0"/>
                <w:sz w:val="24"/>
                <w:szCs w:val="24"/>
                <w:highlight w:val="none"/>
                <w:vertAlign w:val="baseline"/>
                <w:lang w:val="en-US" w:eastAsia="zh-CN"/>
              </w:rPr>
              <w:t>0.0046t/a</w:t>
            </w:r>
          </w:p>
        </w:tc>
        <w:tc>
          <w:tcPr>
            <w:tcW w:w="1254" w:type="dxa"/>
            <w:noWrap w:val="0"/>
            <w:vAlign w:val="center"/>
          </w:tcPr>
          <w:p>
            <w:pPr>
              <w:pStyle w:val="32"/>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bidi="ar-SA"/>
              </w:rPr>
            </w:pPr>
            <w:r>
              <w:rPr>
                <w:rFonts w:hint="eastAsia" w:ascii="宋体" w:hAnsi="宋体" w:eastAsia="宋体" w:cs="宋体"/>
                <w:snapToGrid w:val="0"/>
                <w:color w:val="auto"/>
                <w:kern w:val="21"/>
                <w:sz w:val="24"/>
                <w:szCs w:val="24"/>
                <w:highlight w:val="none"/>
                <w:lang w:val="en-US" w:eastAsia="zh-CN" w:bidi="ar-SA"/>
              </w:rPr>
              <w:t>－</w:t>
            </w:r>
          </w:p>
        </w:tc>
        <w:tc>
          <w:tcPr>
            <w:tcW w:w="1814" w:type="dxa"/>
            <w:noWrap w:val="0"/>
            <w:vAlign w:val="center"/>
          </w:tcPr>
          <w:p>
            <w:pPr>
              <w:pStyle w:val="32"/>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rPr>
            </w:pPr>
            <w:r>
              <w:rPr>
                <w:rFonts w:hint="eastAsia" w:ascii="宋体" w:hAnsi="宋体" w:eastAsia="宋体" w:cs="宋体"/>
                <w:snapToGrid w:val="0"/>
                <w:color w:val="auto"/>
                <w:kern w:val="21"/>
                <w:sz w:val="24"/>
                <w:szCs w:val="24"/>
                <w:highlight w:val="none"/>
                <w:lang w:val="en-US" w:eastAsia="zh-CN" w:bidi="ar-SA"/>
              </w:rPr>
              <w:t>－</w:t>
            </w:r>
          </w:p>
        </w:tc>
        <w:tc>
          <w:tcPr>
            <w:tcW w:w="1500" w:type="dxa"/>
            <w:noWrap w:val="0"/>
            <w:vAlign w:val="center"/>
          </w:tcPr>
          <w:p>
            <w:pPr>
              <w:pStyle w:val="32"/>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rPr>
            </w:pPr>
            <w:r>
              <w:rPr>
                <w:rFonts w:hint="eastAsia" w:hAnsi="宋体" w:cs="宋体"/>
                <w:snapToGrid w:val="0"/>
                <w:color w:val="auto"/>
                <w:kern w:val="21"/>
                <w:sz w:val="24"/>
                <w:szCs w:val="24"/>
                <w:highlight w:val="none"/>
                <w:lang w:val="en-US" w:eastAsia="zh-CN"/>
              </w:rPr>
              <w:t>0.004</w:t>
            </w:r>
            <w:r>
              <w:rPr>
                <w:rFonts w:hint="eastAsia" w:cs="Times New Roman"/>
                <w:b w:val="0"/>
                <w:bCs w:val="0"/>
                <w:smallCaps w:val="0"/>
                <w:color w:val="auto"/>
                <w:spacing w:val="0"/>
                <w:position w:val="0"/>
                <w:sz w:val="24"/>
                <w:szCs w:val="24"/>
                <w:highlight w:val="none"/>
                <w:vertAlign w:val="baseline"/>
                <w:lang w:val="en-US" w:eastAsia="zh-CN"/>
              </w:rPr>
              <w:t>t/a</w:t>
            </w:r>
          </w:p>
        </w:tc>
        <w:tc>
          <w:tcPr>
            <w:tcW w:w="145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40" w:after="40" w:line="240" w:lineRule="auto"/>
              <w:ind w:firstLine="0" w:firstLineChars="0"/>
              <w:jc w:val="center"/>
              <w:textAlignment w:val="center"/>
              <w:rPr>
                <w:rFonts w:hint="default" w:ascii="Times New Roman" w:hAnsi="Times New Roman" w:cs="Times New Roman" w:eastAsiaTheme="minorEastAsia"/>
                <w:snapToGrid w:val="0"/>
                <w:color w:val="auto"/>
                <w:kern w:val="21"/>
                <w:sz w:val="24"/>
                <w:szCs w:val="24"/>
                <w:highlight w:val="none"/>
                <w:lang w:val="en-US" w:eastAsia="zh-CN"/>
              </w:rPr>
            </w:pPr>
            <w:r>
              <w:rPr>
                <w:rFonts w:hint="eastAsia" w:cs="Times New Roman"/>
                <w:b w:val="0"/>
                <w:bCs w:val="0"/>
                <w:smallCaps w:val="0"/>
                <w:color w:val="auto"/>
                <w:spacing w:val="0"/>
                <w:position w:val="0"/>
                <w:sz w:val="24"/>
                <w:szCs w:val="24"/>
                <w:highlight w:val="none"/>
                <w:vertAlign w:val="baseline"/>
                <w:lang w:val="en-US" w:eastAsia="zh-CN"/>
              </w:rPr>
              <w:t>0.0046t/a</w:t>
            </w:r>
          </w:p>
        </w:tc>
        <w:tc>
          <w:tcPr>
            <w:tcW w:w="1590" w:type="dxa"/>
            <w:noWrap w:val="0"/>
            <w:vAlign w:val="center"/>
          </w:tcPr>
          <w:p>
            <w:pPr>
              <w:pStyle w:val="32"/>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rPr>
            </w:pPr>
            <w:r>
              <w:rPr>
                <w:rFonts w:hint="eastAsia" w:hAnsi="宋体" w:cs="宋体"/>
                <w:snapToGrid w:val="0"/>
                <w:color w:val="auto"/>
                <w:kern w:val="21"/>
                <w:sz w:val="24"/>
                <w:szCs w:val="24"/>
                <w:highlight w:val="none"/>
                <w:lang w:val="en-US" w:eastAsia="zh-CN"/>
              </w:rPr>
              <w:t>0.004</w:t>
            </w:r>
            <w:r>
              <w:rPr>
                <w:rFonts w:hint="eastAsia" w:cs="Times New Roman"/>
                <w:b w:val="0"/>
                <w:bCs w:val="0"/>
                <w:smallCaps w:val="0"/>
                <w:color w:val="auto"/>
                <w:spacing w:val="0"/>
                <w:position w:val="0"/>
                <w:sz w:val="24"/>
                <w:szCs w:val="24"/>
                <w:highlight w:val="none"/>
                <w:vertAlign w:val="baseline"/>
                <w:lang w:val="en-US" w:eastAsia="zh-CN"/>
              </w:rPr>
              <w:t>t/a</w:t>
            </w:r>
          </w:p>
        </w:tc>
        <w:tc>
          <w:tcPr>
            <w:tcW w:w="1511" w:type="dxa"/>
            <w:noWrap w:val="0"/>
            <w:vAlign w:val="center"/>
          </w:tcPr>
          <w:p>
            <w:pPr>
              <w:pStyle w:val="32"/>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bidi="ar-SA"/>
              </w:rPr>
            </w:pPr>
            <w:r>
              <w:rPr>
                <w:rFonts w:hint="eastAsia" w:cs="Times New Roman"/>
                <w:b w:val="0"/>
                <w:bCs w:val="0"/>
                <w:smallCaps w:val="0"/>
                <w:color w:val="auto"/>
                <w:spacing w:val="0"/>
                <w:position w:val="0"/>
                <w:sz w:val="24"/>
                <w:szCs w:val="24"/>
                <w:highlight w:val="none"/>
                <w:vertAlign w:val="baseline"/>
                <w:lang w:val="en-US" w:eastAsia="zh-CN"/>
              </w:rPr>
              <w:t>-0.0006t/a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1340" w:type="dxa"/>
            <w:vMerge w:val="restart"/>
            <w:noWrap w:val="0"/>
            <w:vAlign w:val="center"/>
          </w:tcPr>
          <w:p>
            <w:pPr>
              <w:pStyle w:val="32"/>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rPr>
            </w:pPr>
            <w:r>
              <w:rPr>
                <w:rFonts w:hint="default" w:ascii="Times New Roman" w:hAnsi="Times New Roman" w:cs="Times New Roman" w:eastAsiaTheme="minorEastAsia"/>
                <w:snapToGrid w:val="0"/>
                <w:color w:val="auto"/>
                <w:kern w:val="21"/>
                <w:sz w:val="24"/>
                <w:szCs w:val="24"/>
                <w:highlight w:val="none"/>
                <w:lang w:val="en-US" w:eastAsia="zh-CN"/>
              </w:rPr>
              <w:t>废水</w:t>
            </w:r>
          </w:p>
        </w:tc>
        <w:tc>
          <w:tcPr>
            <w:tcW w:w="1732" w:type="dxa"/>
            <w:noWrap w:val="0"/>
            <w:vAlign w:val="center"/>
          </w:tcPr>
          <w:p>
            <w:pPr>
              <w:pStyle w:val="32"/>
              <w:keepNext w:val="0"/>
              <w:keepLines w:val="0"/>
              <w:pageBreakBefore w:val="0"/>
              <w:widowControl w:val="0"/>
              <w:kinsoku/>
              <w:wordWrap/>
              <w:overflowPunct/>
              <w:topLinePunct w:val="0"/>
              <w:autoSpaceDE/>
              <w:autoSpaceDN/>
              <w:bidi w:val="0"/>
              <w:adjustRightInd/>
              <w:snapToGrid/>
              <w:spacing w:before="40" w:after="40"/>
              <w:ind w:left="-24" w:leftChars="-10" w:right="-24" w:rightChars="-10" w:firstLine="0" w:firstLineChars="0"/>
              <w:textAlignment w:val="auto"/>
              <w:rPr>
                <w:rFonts w:hint="default" w:ascii="Times New Roman" w:hAnsi="Times New Roman" w:cs="Times New Roman" w:eastAsiaTheme="minorEastAsia"/>
                <w:snapToGrid w:val="0"/>
                <w:color w:val="auto"/>
                <w:kern w:val="21"/>
                <w:sz w:val="24"/>
                <w:szCs w:val="24"/>
                <w:highlight w:val="none"/>
                <w:lang w:val="en-US" w:eastAsia="zh-CN"/>
              </w:rPr>
            </w:pPr>
            <w:r>
              <w:rPr>
                <w:rFonts w:hint="eastAsia"/>
                <w:color w:val="auto"/>
                <w:sz w:val="24"/>
                <w:szCs w:val="24"/>
                <w:highlight w:val="none"/>
                <w:lang w:val="en-US" w:eastAsia="zh-CN"/>
              </w:rPr>
              <w:t>COD</w:t>
            </w:r>
          </w:p>
        </w:tc>
        <w:tc>
          <w:tcPr>
            <w:tcW w:w="159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40" w:after="40" w:line="240" w:lineRule="auto"/>
              <w:ind w:firstLine="0" w:firstLineChars="0"/>
              <w:jc w:val="center"/>
              <w:textAlignment w:val="center"/>
              <w:rPr>
                <w:rFonts w:hint="default" w:ascii="Times New Roman" w:hAnsi="Times New Roman" w:cs="Times New Roman" w:eastAsiaTheme="minorEastAsia"/>
                <w:snapToGrid w:val="0"/>
                <w:color w:val="auto"/>
                <w:kern w:val="21"/>
                <w:sz w:val="24"/>
                <w:szCs w:val="24"/>
                <w:highlight w:val="none"/>
                <w:lang w:val="en-US" w:eastAsia="zh-CN"/>
              </w:rPr>
            </w:pPr>
            <w:r>
              <w:rPr>
                <w:rFonts w:hint="eastAsia" w:cs="Times New Roman"/>
                <w:i w:val="0"/>
                <w:iCs w:val="0"/>
                <w:color w:val="auto"/>
                <w:kern w:val="0"/>
                <w:sz w:val="24"/>
                <w:szCs w:val="24"/>
                <w:highlight w:val="none"/>
                <w:u w:val="none"/>
                <w:lang w:val="en-US" w:eastAsia="zh-CN" w:bidi="ar"/>
              </w:rPr>
              <w:t>0.057</w:t>
            </w:r>
            <w:r>
              <w:rPr>
                <w:rFonts w:hint="default" w:ascii="Times New Roman" w:hAnsi="Times New Roman" w:cs="Times New Roman" w:eastAsiaTheme="minorEastAsia"/>
                <w:color w:val="auto"/>
                <w:sz w:val="24"/>
                <w:szCs w:val="24"/>
                <w:highlight w:val="none"/>
                <w:shd w:val="clear" w:color="auto" w:fill="auto"/>
                <w:lang w:val="en-US" w:eastAsia="zh-CN"/>
              </w:rPr>
              <w:t>t/a</w:t>
            </w:r>
          </w:p>
        </w:tc>
        <w:tc>
          <w:tcPr>
            <w:tcW w:w="1254" w:type="dxa"/>
            <w:noWrap w:val="0"/>
            <w:vAlign w:val="center"/>
          </w:tcPr>
          <w:p>
            <w:pPr>
              <w:pStyle w:val="32"/>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bidi="ar-SA"/>
              </w:rPr>
            </w:pPr>
            <w:r>
              <w:rPr>
                <w:rFonts w:hint="eastAsia" w:ascii="宋体" w:hAnsi="宋体" w:eastAsia="宋体" w:cs="宋体"/>
                <w:snapToGrid w:val="0"/>
                <w:color w:val="auto"/>
                <w:kern w:val="21"/>
                <w:sz w:val="24"/>
                <w:szCs w:val="24"/>
                <w:highlight w:val="none"/>
                <w:lang w:val="en-US" w:eastAsia="zh-CN" w:bidi="ar-SA"/>
              </w:rPr>
              <w:t>－</w:t>
            </w:r>
          </w:p>
        </w:tc>
        <w:tc>
          <w:tcPr>
            <w:tcW w:w="1814" w:type="dxa"/>
            <w:noWrap w:val="0"/>
            <w:vAlign w:val="center"/>
          </w:tcPr>
          <w:p>
            <w:pPr>
              <w:pStyle w:val="32"/>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rPr>
            </w:pPr>
            <w:r>
              <w:rPr>
                <w:rFonts w:hint="eastAsia" w:ascii="宋体" w:hAnsi="宋体" w:eastAsia="宋体" w:cs="宋体"/>
                <w:snapToGrid w:val="0"/>
                <w:color w:val="auto"/>
                <w:kern w:val="21"/>
                <w:sz w:val="24"/>
                <w:szCs w:val="24"/>
                <w:highlight w:val="none"/>
                <w:lang w:val="en-US" w:eastAsia="zh-CN" w:bidi="ar-SA"/>
              </w:rPr>
              <w:t>－</w:t>
            </w:r>
          </w:p>
        </w:tc>
        <w:tc>
          <w:tcPr>
            <w:tcW w:w="1500" w:type="dxa"/>
            <w:noWrap w:val="0"/>
            <w:vAlign w:val="center"/>
          </w:tcPr>
          <w:p>
            <w:pPr>
              <w:pStyle w:val="32"/>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rPr>
            </w:pPr>
            <w:r>
              <w:rPr>
                <w:rFonts w:hint="eastAsia" w:cs="Times New Roman" w:eastAsiaTheme="minorEastAsia"/>
                <w:snapToGrid w:val="0"/>
                <w:color w:val="auto"/>
                <w:kern w:val="21"/>
                <w:sz w:val="24"/>
                <w:szCs w:val="24"/>
                <w:highlight w:val="none"/>
                <w:lang w:val="en-US" w:eastAsia="zh-CN"/>
              </w:rPr>
              <w:t>0</w:t>
            </w:r>
          </w:p>
        </w:tc>
        <w:tc>
          <w:tcPr>
            <w:tcW w:w="1452" w:type="dxa"/>
            <w:noWrap w:val="0"/>
            <w:vAlign w:val="center"/>
          </w:tcPr>
          <w:p>
            <w:pPr>
              <w:pStyle w:val="32"/>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bidi="ar-SA"/>
              </w:rPr>
            </w:pPr>
            <w:r>
              <w:rPr>
                <w:rFonts w:hint="eastAsia" w:cs="Times New Roman" w:eastAsiaTheme="minorEastAsia"/>
                <w:snapToGrid w:val="0"/>
                <w:color w:val="auto"/>
                <w:kern w:val="21"/>
                <w:sz w:val="24"/>
                <w:szCs w:val="24"/>
                <w:highlight w:val="none"/>
                <w:lang w:val="en-US" w:eastAsia="zh-CN"/>
              </w:rPr>
              <w:t>0</w:t>
            </w:r>
          </w:p>
        </w:tc>
        <w:tc>
          <w:tcPr>
            <w:tcW w:w="159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40" w:after="40" w:line="240" w:lineRule="auto"/>
              <w:ind w:firstLine="0" w:firstLineChars="0"/>
              <w:jc w:val="center"/>
              <w:textAlignment w:val="center"/>
              <w:rPr>
                <w:rFonts w:hint="default" w:ascii="Times New Roman" w:hAnsi="Times New Roman" w:cs="Times New Roman" w:eastAsiaTheme="minorEastAsia"/>
                <w:snapToGrid w:val="0"/>
                <w:color w:val="auto"/>
                <w:kern w:val="21"/>
                <w:sz w:val="24"/>
                <w:szCs w:val="24"/>
                <w:highlight w:val="none"/>
                <w:lang w:val="en-US" w:eastAsia="zh-CN" w:bidi="ar-SA"/>
              </w:rPr>
            </w:pPr>
            <w:r>
              <w:rPr>
                <w:rFonts w:hint="eastAsia" w:cs="Times New Roman"/>
                <w:i w:val="0"/>
                <w:iCs w:val="0"/>
                <w:color w:val="auto"/>
                <w:kern w:val="0"/>
                <w:sz w:val="24"/>
                <w:szCs w:val="24"/>
                <w:highlight w:val="none"/>
                <w:u w:val="none"/>
                <w:lang w:val="en-US" w:eastAsia="zh-CN" w:bidi="ar"/>
              </w:rPr>
              <w:t>0.057</w:t>
            </w:r>
            <w:r>
              <w:rPr>
                <w:rFonts w:hint="default" w:ascii="Times New Roman" w:hAnsi="Times New Roman" w:cs="Times New Roman" w:eastAsiaTheme="minorEastAsia"/>
                <w:color w:val="auto"/>
                <w:sz w:val="24"/>
                <w:szCs w:val="24"/>
                <w:highlight w:val="none"/>
                <w:shd w:val="clear" w:color="auto" w:fill="auto"/>
                <w:lang w:val="en-US" w:eastAsia="zh-CN"/>
              </w:rPr>
              <w:t>t/a</w:t>
            </w:r>
          </w:p>
        </w:tc>
        <w:tc>
          <w:tcPr>
            <w:tcW w:w="1511" w:type="dxa"/>
            <w:noWrap w:val="0"/>
            <w:vAlign w:val="center"/>
          </w:tcPr>
          <w:p>
            <w:pPr>
              <w:pStyle w:val="32"/>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bidi="ar-SA"/>
              </w:rPr>
            </w:pPr>
            <w:r>
              <w:rPr>
                <w:rFonts w:hint="eastAsia" w:cs="Times New Roman" w:eastAsiaTheme="minorEastAsia"/>
                <w:snapToGrid w:val="0"/>
                <w:color w:val="auto"/>
                <w:kern w:val="21"/>
                <w:sz w:val="24"/>
                <w:szCs w:val="24"/>
                <w:highlight w:val="none"/>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340" w:type="dxa"/>
            <w:vMerge w:val="continue"/>
            <w:noWrap w:val="0"/>
            <w:vAlign w:val="center"/>
          </w:tcPr>
          <w:p>
            <w:pPr>
              <w:pStyle w:val="32"/>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rPr>
            </w:pPr>
          </w:p>
        </w:tc>
        <w:tc>
          <w:tcPr>
            <w:tcW w:w="1732" w:type="dxa"/>
            <w:noWrap w:val="0"/>
            <w:vAlign w:val="center"/>
          </w:tcPr>
          <w:p>
            <w:pPr>
              <w:pStyle w:val="32"/>
              <w:keepNext w:val="0"/>
              <w:keepLines w:val="0"/>
              <w:pageBreakBefore w:val="0"/>
              <w:widowControl w:val="0"/>
              <w:kinsoku/>
              <w:wordWrap/>
              <w:overflowPunct/>
              <w:topLinePunct w:val="0"/>
              <w:autoSpaceDE/>
              <w:autoSpaceDN/>
              <w:bidi w:val="0"/>
              <w:adjustRightInd/>
              <w:snapToGrid/>
              <w:spacing w:before="40" w:after="40"/>
              <w:ind w:left="-24" w:leftChars="-10" w:right="-24" w:rightChars="-10" w:firstLine="0" w:firstLineChars="0"/>
              <w:textAlignment w:val="auto"/>
              <w:rPr>
                <w:rFonts w:hint="default" w:ascii="Times New Roman" w:hAnsi="Times New Roman" w:cs="Times New Roman" w:eastAsiaTheme="minorEastAsia"/>
                <w:snapToGrid w:val="0"/>
                <w:color w:val="auto"/>
                <w:kern w:val="21"/>
                <w:sz w:val="24"/>
                <w:szCs w:val="24"/>
                <w:highlight w:val="none"/>
                <w:lang w:val="en-US" w:eastAsia="zh-CN"/>
              </w:rPr>
            </w:pPr>
            <w:r>
              <w:rPr>
                <w:rFonts w:hint="eastAsia"/>
                <w:color w:val="auto"/>
                <w:sz w:val="24"/>
                <w:szCs w:val="24"/>
                <w:highlight w:val="none"/>
                <w:lang w:val="en-US" w:eastAsia="zh-CN"/>
              </w:rPr>
              <w:t>BOD</w:t>
            </w:r>
            <w:r>
              <w:rPr>
                <w:rFonts w:hint="eastAsia"/>
                <w:color w:val="auto"/>
                <w:sz w:val="24"/>
                <w:szCs w:val="24"/>
                <w:highlight w:val="none"/>
                <w:vertAlign w:val="subscript"/>
                <w:lang w:val="en-US" w:eastAsia="zh-CN"/>
              </w:rPr>
              <w:t>5</w:t>
            </w:r>
          </w:p>
        </w:tc>
        <w:tc>
          <w:tcPr>
            <w:tcW w:w="159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40" w:after="40" w:line="240" w:lineRule="auto"/>
              <w:ind w:firstLine="0" w:firstLineChars="0"/>
              <w:jc w:val="center"/>
              <w:textAlignment w:val="center"/>
              <w:rPr>
                <w:rFonts w:hint="default" w:ascii="Times New Roman" w:hAnsi="Times New Roman" w:cs="Times New Roman" w:eastAsiaTheme="minorEastAsia"/>
                <w:snapToGrid w:val="0"/>
                <w:color w:val="auto"/>
                <w:kern w:val="21"/>
                <w:sz w:val="24"/>
                <w:szCs w:val="24"/>
                <w:highlight w:val="none"/>
                <w:lang w:val="en-US" w:eastAsia="zh-CN"/>
              </w:rPr>
            </w:pPr>
            <w:r>
              <w:rPr>
                <w:rFonts w:hint="eastAsia" w:cs="Times New Roman" w:eastAsiaTheme="minorEastAsia"/>
                <w:color w:val="auto"/>
                <w:sz w:val="24"/>
                <w:szCs w:val="24"/>
                <w:highlight w:val="none"/>
                <w:shd w:val="clear" w:color="auto" w:fill="auto"/>
                <w:lang w:val="en-US" w:eastAsia="zh-CN"/>
              </w:rPr>
              <w:t>0.032</w:t>
            </w:r>
            <w:r>
              <w:rPr>
                <w:rFonts w:hint="default" w:ascii="Times New Roman" w:hAnsi="Times New Roman" w:cs="Times New Roman" w:eastAsiaTheme="minorEastAsia"/>
                <w:color w:val="auto"/>
                <w:sz w:val="24"/>
                <w:szCs w:val="24"/>
                <w:highlight w:val="none"/>
                <w:shd w:val="clear" w:color="auto" w:fill="auto"/>
                <w:lang w:val="en-US" w:eastAsia="zh-CN"/>
              </w:rPr>
              <w:t>t/a</w:t>
            </w:r>
          </w:p>
        </w:tc>
        <w:tc>
          <w:tcPr>
            <w:tcW w:w="1254" w:type="dxa"/>
            <w:noWrap w:val="0"/>
            <w:vAlign w:val="center"/>
          </w:tcPr>
          <w:p>
            <w:pPr>
              <w:pStyle w:val="32"/>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bidi="ar-SA"/>
              </w:rPr>
            </w:pPr>
            <w:r>
              <w:rPr>
                <w:rFonts w:hint="eastAsia" w:ascii="宋体" w:hAnsi="宋体" w:eastAsia="宋体" w:cs="宋体"/>
                <w:snapToGrid w:val="0"/>
                <w:color w:val="auto"/>
                <w:kern w:val="21"/>
                <w:sz w:val="24"/>
                <w:szCs w:val="24"/>
                <w:highlight w:val="none"/>
                <w:lang w:val="en-US" w:eastAsia="zh-CN" w:bidi="ar-SA"/>
              </w:rPr>
              <w:t>－</w:t>
            </w:r>
          </w:p>
        </w:tc>
        <w:tc>
          <w:tcPr>
            <w:tcW w:w="1814" w:type="dxa"/>
            <w:noWrap w:val="0"/>
            <w:vAlign w:val="center"/>
          </w:tcPr>
          <w:p>
            <w:pPr>
              <w:pStyle w:val="32"/>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rPr>
            </w:pPr>
            <w:r>
              <w:rPr>
                <w:rFonts w:hint="eastAsia" w:ascii="宋体" w:hAnsi="宋体" w:eastAsia="宋体" w:cs="宋体"/>
                <w:snapToGrid w:val="0"/>
                <w:color w:val="auto"/>
                <w:kern w:val="21"/>
                <w:sz w:val="24"/>
                <w:szCs w:val="24"/>
                <w:highlight w:val="none"/>
                <w:lang w:val="en-US" w:eastAsia="zh-CN" w:bidi="ar-SA"/>
              </w:rPr>
              <w:t>－</w:t>
            </w:r>
          </w:p>
        </w:tc>
        <w:tc>
          <w:tcPr>
            <w:tcW w:w="1500" w:type="dxa"/>
            <w:noWrap w:val="0"/>
            <w:vAlign w:val="center"/>
          </w:tcPr>
          <w:p>
            <w:pPr>
              <w:pStyle w:val="32"/>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rPr>
            </w:pPr>
            <w:r>
              <w:rPr>
                <w:rFonts w:hint="eastAsia" w:cs="Times New Roman" w:eastAsiaTheme="minorEastAsia"/>
                <w:snapToGrid w:val="0"/>
                <w:color w:val="auto"/>
                <w:kern w:val="21"/>
                <w:sz w:val="24"/>
                <w:szCs w:val="24"/>
                <w:highlight w:val="none"/>
                <w:lang w:val="en-US" w:eastAsia="zh-CN"/>
              </w:rPr>
              <w:t>0</w:t>
            </w:r>
          </w:p>
        </w:tc>
        <w:tc>
          <w:tcPr>
            <w:tcW w:w="1452" w:type="dxa"/>
            <w:noWrap w:val="0"/>
            <w:vAlign w:val="center"/>
          </w:tcPr>
          <w:p>
            <w:pPr>
              <w:pStyle w:val="32"/>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bidi="ar-SA"/>
              </w:rPr>
            </w:pPr>
            <w:r>
              <w:rPr>
                <w:rFonts w:hint="eastAsia" w:cs="Times New Roman" w:eastAsiaTheme="minorEastAsia"/>
                <w:snapToGrid w:val="0"/>
                <w:color w:val="auto"/>
                <w:kern w:val="21"/>
                <w:sz w:val="24"/>
                <w:szCs w:val="24"/>
                <w:highlight w:val="none"/>
                <w:lang w:val="en-US" w:eastAsia="zh-CN"/>
              </w:rPr>
              <w:t>0</w:t>
            </w:r>
          </w:p>
        </w:tc>
        <w:tc>
          <w:tcPr>
            <w:tcW w:w="159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40" w:after="40" w:line="240" w:lineRule="auto"/>
              <w:ind w:firstLine="0" w:firstLineChars="0"/>
              <w:jc w:val="center"/>
              <w:textAlignment w:val="center"/>
              <w:rPr>
                <w:rFonts w:hint="default" w:ascii="Times New Roman" w:hAnsi="Times New Roman" w:cs="Times New Roman" w:eastAsiaTheme="minorEastAsia"/>
                <w:snapToGrid w:val="0"/>
                <w:color w:val="auto"/>
                <w:kern w:val="21"/>
                <w:sz w:val="24"/>
                <w:szCs w:val="24"/>
                <w:highlight w:val="none"/>
                <w:lang w:val="en-US" w:eastAsia="zh-CN" w:bidi="ar-SA"/>
              </w:rPr>
            </w:pPr>
            <w:r>
              <w:rPr>
                <w:rFonts w:hint="eastAsia" w:cs="Times New Roman" w:eastAsiaTheme="minorEastAsia"/>
                <w:color w:val="auto"/>
                <w:sz w:val="24"/>
                <w:szCs w:val="24"/>
                <w:highlight w:val="none"/>
                <w:shd w:val="clear" w:color="auto" w:fill="auto"/>
                <w:lang w:val="en-US" w:eastAsia="zh-CN"/>
              </w:rPr>
              <w:t>0.032</w:t>
            </w:r>
            <w:r>
              <w:rPr>
                <w:rFonts w:hint="default" w:ascii="Times New Roman" w:hAnsi="Times New Roman" w:cs="Times New Roman" w:eastAsiaTheme="minorEastAsia"/>
                <w:color w:val="auto"/>
                <w:sz w:val="24"/>
                <w:szCs w:val="24"/>
                <w:highlight w:val="none"/>
                <w:shd w:val="clear" w:color="auto" w:fill="auto"/>
                <w:lang w:val="en-US" w:eastAsia="zh-CN"/>
              </w:rPr>
              <w:t>t/a</w:t>
            </w:r>
          </w:p>
        </w:tc>
        <w:tc>
          <w:tcPr>
            <w:tcW w:w="1511" w:type="dxa"/>
            <w:noWrap w:val="0"/>
            <w:vAlign w:val="center"/>
          </w:tcPr>
          <w:p>
            <w:pPr>
              <w:pStyle w:val="32"/>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bidi="ar-SA"/>
              </w:rPr>
            </w:pPr>
            <w:r>
              <w:rPr>
                <w:rFonts w:hint="eastAsia" w:cs="Times New Roman" w:eastAsiaTheme="minorEastAsia"/>
                <w:snapToGrid w:val="0"/>
                <w:color w:val="auto"/>
                <w:kern w:val="21"/>
                <w:sz w:val="24"/>
                <w:szCs w:val="24"/>
                <w:highlight w:val="none"/>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1340" w:type="dxa"/>
            <w:vMerge w:val="continue"/>
            <w:noWrap w:val="0"/>
            <w:vAlign w:val="center"/>
          </w:tcPr>
          <w:p>
            <w:pPr>
              <w:pStyle w:val="32"/>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rPr>
            </w:pPr>
          </w:p>
        </w:tc>
        <w:tc>
          <w:tcPr>
            <w:tcW w:w="1732" w:type="dxa"/>
            <w:noWrap w:val="0"/>
            <w:vAlign w:val="center"/>
          </w:tcPr>
          <w:p>
            <w:pPr>
              <w:pStyle w:val="32"/>
              <w:keepNext w:val="0"/>
              <w:keepLines w:val="0"/>
              <w:pageBreakBefore w:val="0"/>
              <w:widowControl w:val="0"/>
              <w:kinsoku/>
              <w:wordWrap/>
              <w:overflowPunct/>
              <w:topLinePunct w:val="0"/>
              <w:autoSpaceDE/>
              <w:autoSpaceDN/>
              <w:bidi w:val="0"/>
              <w:adjustRightInd/>
              <w:snapToGrid/>
              <w:spacing w:before="40" w:after="40"/>
              <w:ind w:left="-24" w:leftChars="-10" w:right="-24" w:rightChars="-10" w:firstLine="0" w:firstLineChars="0"/>
              <w:textAlignment w:val="auto"/>
              <w:rPr>
                <w:rFonts w:hint="default" w:ascii="Times New Roman" w:hAnsi="Times New Roman" w:cs="Times New Roman" w:eastAsiaTheme="minorEastAsia"/>
                <w:snapToGrid w:val="0"/>
                <w:color w:val="auto"/>
                <w:kern w:val="21"/>
                <w:sz w:val="24"/>
                <w:szCs w:val="24"/>
                <w:highlight w:val="none"/>
                <w:lang w:val="en-US" w:eastAsia="zh-CN"/>
              </w:rPr>
            </w:pPr>
            <w:r>
              <w:rPr>
                <w:rFonts w:hint="eastAsia"/>
                <w:color w:val="auto"/>
                <w:sz w:val="24"/>
                <w:szCs w:val="24"/>
                <w:highlight w:val="none"/>
                <w:lang w:val="en-US" w:eastAsia="zh-CN"/>
              </w:rPr>
              <w:t>SS</w:t>
            </w:r>
          </w:p>
        </w:tc>
        <w:tc>
          <w:tcPr>
            <w:tcW w:w="159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40" w:after="40" w:line="240" w:lineRule="auto"/>
              <w:ind w:firstLine="0" w:firstLineChars="0"/>
              <w:jc w:val="center"/>
              <w:textAlignment w:val="center"/>
              <w:rPr>
                <w:rFonts w:hint="default" w:ascii="Times New Roman" w:hAnsi="Times New Roman" w:cs="Times New Roman" w:eastAsiaTheme="minorEastAsia"/>
                <w:snapToGrid w:val="0"/>
                <w:color w:val="auto"/>
                <w:kern w:val="21"/>
                <w:sz w:val="24"/>
                <w:szCs w:val="24"/>
                <w:highlight w:val="none"/>
                <w:lang w:val="en-US" w:eastAsia="zh-CN"/>
              </w:rPr>
            </w:pPr>
            <w:r>
              <w:rPr>
                <w:rFonts w:hint="default" w:ascii="Times New Roman" w:hAnsi="Times New Roman" w:eastAsia="宋体" w:cs="Times New Roman"/>
                <w:i w:val="0"/>
                <w:iCs w:val="0"/>
                <w:color w:val="auto"/>
                <w:kern w:val="0"/>
                <w:sz w:val="24"/>
                <w:szCs w:val="24"/>
                <w:highlight w:val="none"/>
                <w:u w:val="none"/>
                <w:lang w:val="en-US" w:eastAsia="zh-CN" w:bidi="ar"/>
              </w:rPr>
              <w:t>0.0</w:t>
            </w:r>
            <w:r>
              <w:rPr>
                <w:rFonts w:hint="eastAsia" w:cs="Times New Roman"/>
                <w:i w:val="0"/>
                <w:iCs w:val="0"/>
                <w:color w:val="auto"/>
                <w:kern w:val="0"/>
                <w:sz w:val="24"/>
                <w:szCs w:val="24"/>
                <w:highlight w:val="none"/>
                <w:u w:val="none"/>
                <w:lang w:val="en-US" w:eastAsia="zh-CN" w:bidi="ar"/>
              </w:rPr>
              <w:t>16</w:t>
            </w:r>
            <w:r>
              <w:rPr>
                <w:rFonts w:hint="default" w:ascii="Times New Roman" w:hAnsi="Times New Roman" w:cs="Times New Roman" w:eastAsiaTheme="minorEastAsia"/>
                <w:color w:val="auto"/>
                <w:sz w:val="24"/>
                <w:szCs w:val="24"/>
                <w:highlight w:val="none"/>
                <w:shd w:val="clear" w:color="auto" w:fill="auto"/>
                <w:lang w:val="en-US" w:eastAsia="zh-CN"/>
              </w:rPr>
              <w:t>t/a</w:t>
            </w:r>
          </w:p>
        </w:tc>
        <w:tc>
          <w:tcPr>
            <w:tcW w:w="1254" w:type="dxa"/>
            <w:noWrap w:val="0"/>
            <w:vAlign w:val="center"/>
          </w:tcPr>
          <w:p>
            <w:pPr>
              <w:pStyle w:val="32"/>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rPr>
            </w:pPr>
            <w:r>
              <w:rPr>
                <w:rFonts w:hint="eastAsia" w:ascii="宋体" w:hAnsi="宋体" w:eastAsia="宋体" w:cs="宋体"/>
                <w:snapToGrid w:val="0"/>
                <w:color w:val="auto"/>
                <w:kern w:val="21"/>
                <w:sz w:val="24"/>
                <w:szCs w:val="24"/>
                <w:highlight w:val="none"/>
                <w:lang w:val="en-US" w:eastAsia="zh-CN" w:bidi="ar-SA"/>
              </w:rPr>
              <w:t>－</w:t>
            </w:r>
          </w:p>
        </w:tc>
        <w:tc>
          <w:tcPr>
            <w:tcW w:w="1814" w:type="dxa"/>
            <w:noWrap w:val="0"/>
            <w:vAlign w:val="center"/>
          </w:tcPr>
          <w:p>
            <w:pPr>
              <w:pStyle w:val="32"/>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rPr>
            </w:pPr>
            <w:r>
              <w:rPr>
                <w:rFonts w:hint="eastAsia" w:ascii="宋体" w:hAnsi="宋体" w:eastAsia="宋体" w:cs="宋体"/>
                <w:snapToGrid w:val="0"/>
                <w:color w:val="auto"/>
                <w:kern w:val="21"/>
                <w:sz w:val="24"/>
                <w:szCs w:val="24"/>
                <w:highlight w:val="none"/>
                <w:lang w:val="en-US" w:eastAsia="zh-CN" w:bidi="ar-SA"/>
              </w:rPr>
              <w:t>－</w:t>
            </w:r>
          </w:p>
        </w:tc>
        <w:tc>
          <w:tcPr>
            <w:tcW w:w="1500" w:type="dxa"/>
            <w:noWrap w:val="0"/>
            <w:vAlign w:val="center"/>
          </w:tcPr>
          <w:p>
            <w:pPr>
              <w:pStyle w:val="32"/>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rPr>
            </w:pPr>
            <w:r>
              <w:rPr>
                <w:rFonts w:hint="eastAsia" w:cs="Times New Roman" w:eastAsiaTheme="minorEastAsia"/>
                <w:snapToGrid w:val="0"/>
                <w:color w:val="auto"/>
                <w:kern w:val="21"/>
                <w:sz w:val="24"/>
                <w:szCs w:val="24"/>
                <w:highlight w:val="none"/>
                <w:lang w:val="en-US" w:eastAsia="zh-CN"/>
              </w:rPr>
              <w:t>0</w:t>
            </w:r>
          </w:p>
        </w:tc>
        <w:tc>
          <w:tcPr>
            <w:tcW w:w="1452" w:type="dxa"/>
            <w:noWrap w:val="0"/>
            <w:vAlign w:val="center"/>
          </w:tcPr>
          <w:p>
            <w:pPr>
              <w:pStyle w:val="32"/>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bidi="ar-SA"/>
              </w:rPr>
            </w:pPr>
            <w:r>
              <w:rPr>
                <w:rFonts w:hint="eastAsia" w:cs="Times New Roman" w:eastAsiaTheme="minorEastAsia"/>
                <w:snapToGrid w:val="0"/>
                <w:color w:val="auto"/>
                <w:kern w:val="21"/>
                <w:sz w:val="24"/>
                <w:szCs w:val="24"/>
                <w:highlight w:val="none"/>
                <w:lang w:val="en-US" w:eastAsia="zh-CN"/>
              </w:rPr>
              <w:t>0</w:t>
            </w:r>
          </w:p>
        </w:tc>
        <w:tc>
          <w:tcPr>
            <w:tcW w:w="159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40" w:after="40" w:line="240" w:lineRule="auto"/>
              <w:ind w:firstLine="0" w:firstLineChars="0"/>
              <w:jc w:val="center"/>
              <w:textAlignment w:val="center"/>
              <w:rPr>
                <w:rFonts w:hint="default" w:ascii="Times New Roman" w:hAnsi="Times New Roman" w:cs="Times New Roman" w:eastAsiaTheme="minorEastAsia"/>
                <w:snapToGrid w:val="0"/>
                <w:color w:val="auto"/>
                <w:kern w:val="21"/>
                <w:sz w:val="24"/>
                <w:szCs w:val="24"/>
                <w:highlight w:val="none"/>
                <w:lang w:val="en-US" w:eastAsia="zh-CN" w:bidi="ar-SA"/>
              </w:rPr>
            </w:pPr>
            <w:r>
              <w:rPr>
                <w:rFonts w:hint="default" w:ascii="Times New Roman" w:hAnsi="Times New Roman" w:eastAsia="宋体" w:cs="Times New Roman"/>
                <w:i w:val="0"/>
                <w:iCs w:val="0"/>
                <w:color w:val="auto"/>
                <w:kern w:val="0"/>
                <w:sz w:val="24"/>
                <w:szCs w:val="24"/>
                <w:highlight w:val="none"/>
                <w:u w:val="none"/>
                <w:lang w:val="en-US" w:eastAsia="zh-CN" w:bidi="ar"/>
              </w:rPr>
              <w:t>0.0</w:t>
            </w:r>
            <w:r>
              <w:rPr>
                <w:rFonts w:hint="eastAsia" w:cs="Times New Roman"/>
                <w:i w:val="0"/>
                <w:iCs w:val="0"/>
                <w:color w:val="auto"/>
                <w:kern w:val="0"/>
                <w:sz w:val="24"/>
                <w:szCs w:val="24"/>
                <w:highlight w:val="none"/>
                <w:u w:val="none"/>
                <w:lang w:val="en-US" w:eastAsia="zh-CN" w:bidi="ar"/>
              </w:rPr>
              <w:t>16</w:t>
            </w:r>
            <w:r>
              <w:rPr>
                <w:rFonts w:hint="default" w:ascii="Times New Roman" w:hAnsi="Times New Roman" w:cs="Times New Roman" w:eastAsiaTheme="minorEastAsia"/>
                <w:color w:val="auto"/>
                <w:sz w:val="24"/>
                <w:szCs w:val="24"/>
                <w:highlight w:val="none"/>
                <w:shd w:val="clear" w:color="auto" w:fill="auto"/>
                <w:lang w:val="en-US" w:eastAsia="zh-CN"/>
              </w:rPr>
              <w:t>t/a</w:t>
            </w:r>
          </w:p>
        </w:tc>
        <w:tc>
          <w:tcPr>
            <w:tcW w:w="1511" w:type="dxa"/>
            <w:noWrap w:val="0"/>
            <w:vAlign w:val="center"/>
          </w:tcPr>
          <w:p>
            <w:pPr>
              <w:pStyle w:val="32"/>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bidi="ar-SA"/>
              </w:rPr>
            </w:pPr>
            <w:r>
              <w:rPr>
                <w:rFonts w:hint="eastAsia" w:cs="Times New Roman" w:eastAsiaTheme="minorEastAsia"/>
                <w:snapToGrid w:val="0"/>
                <w:color w:val="auto"/>
                <w:kern w:val="21"/>
                <w:sz w:val="24"/>
                <w:szCs w:val="24"/>
                <w:highlight w:val="none"/>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1340" w:type="dxa"/>
            <w:vMerge w:val="continue"/>
            <w:noWrap w:val="0"/>
            <w:vAlign w:val="center"/>
          </w:tcPr>
          <w:p>
            <w:pPr>
              <w:pStyle w:val="32"/>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rPr>
            </w:pPr>
          </w:p>
        </w:tc>
        <w:tc>
          <w:tcPr>
            <w:tcW w:w="1732" w:type="dxa"/>
            <w:noWrap w:val="0"/>
            <w:vAlign w:val="center"/>
          </w:tcPr>
          <w:p>
            <w:pPr>
              <w:pStyle w:val="32"/>
              <w:keepNext w:val="0"/>
              <w:keepLines w:val="0"/>
              <w:pageBreakBefore w:val="0"/>
              <w:widowControl w:val="0"/>
              <w:kinsoku/>
              <w:wordWrap/>
              <w:overflowPunct/>
              <w:topLinePunct w:val="0"/>
              <w:autoSpaceDE/>
              <w:autoSpaceDN/>
              <w:bidi w:val="0"/>
              <w:adjustRightInd/>
              <w:snapToGrid/>
              <w:spacing w:before="40" w:after="40"/>
              <w:ind w:left="-24" w:leftChars="-10" w:right="-24" w:rightChars="-10" w:firstLine="0" w:firstLineChars="0"/>
              <w:textAlignment w:val="auto"/>
              <w:rPr>
                <w:rFonts w:hint="default" w:ascii="Times New Roman" w:hAnsi="Times New Roman" w:cs="Times New Roman" w:eastAsiaTheme="minorEastAsia"/>
                <w:snapToGrid w:val="0"/>
                <w:color w:val="auto"/>
                <w:kern w:val="21"/>
                <w:sz w:val="24"/>
                <w:szCs w:val="24"/>
                <w:highlight w:val="none"/>
                <w:lang w:val="en-US" w:eastAsia="zh-CN"/>
              </w:rPr>
            </w:pPr>
            <w:r>
              <w:rPr>
                <w:rFonts w:hint="eastAsia"/>
                <w:color w:val="auto"/>
                <w:sz w:val="24"/>
                <w:szCs w:val="24"/>
                <w:highlight w:val="none"/>
                <w:lang w:val="en-US" w:eastAsia="zh-CN"/>
              </w:rPr>
              <w:t>NH</w:t>
            </w:r>
            <w:r>
              <w:rPr>
                <w:rFonts w:hint="eastAsia"/>
                <w:color w:val="auto"/>
                <w:sz w:val="24"/>
                <w:szCs w:val="24"/>
                <w:highlight w:val="none"/>
                <w:vertAlign w:val="subscript"/>
                <w:lang w:val="en-US" w:eastAsia="zh-CN"/>
              </w:rPr>
              <w:t>3</w:t>
            </w:r>
            <w:r>
              <w:rPr>
                <w:rFonts w:hint="eastAsia"/>
                <w:color w:val="auto"/>
                <w:sz w:val="24"/>
                <w:szCs w:val="24"/>
                <w:highlight w:val="none"/>
                <w:lang w:val="en-US" w:eastAsia="zh-CN"/>
              </w:rPr>
              <w:t>-N</w:t>
            </w:r>
          </w:p>
        </w:tc>
        <w:tc>
          <w:tcPr>
            <w:tcW w:w="159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40" w:after="40" w:line="240" w:lineRule="auto"/>
              <w:ind w:firstLine="0" w:firstLineChars="0"/>
              <w:jc w:val="center"/>
              <w:textAlignment w:val="center"/>
              <w:rPr>
                <w:rFonts w:hint="default" w:ascii="Times New Roman" w:hAnsi="Times New Roman" w:cs="Times New Roman" w:eastAsiaTheme="minorEastAsia"/>
                <w:snapToGrid w:val="0"/>
                <w:color w:val="auto"/>
                <w:kern w:val="21"/>
                <w:sz w:val="24"/>
                <w:szCs w:val="24"/>
                <w:highlight w:val="none"/>
                <w:lang w:val="en-US" w:eastAsia="zh-CN"/>
              </w:rPr>
            </w:pPr>
            <w:r>
              <w:rPr>
                <w:rFonts w:hint="eastAsia" w:cs="Times New Roman"/>
                <w:i w:val="0"/>
                <w:iCs w:val="0"/>
                <w:color w:val="auto"/>
                <w:kern w:val="0"/>
                <w:sz w:val="24"/>
                <w:szCs w:val="24"/>
                <w:highlight w:val="none"/>
                <w:u w:val="none"/>
                <w:lang w:val="en-US" w:eastAsia="zh-CN" w:bidi="ar"/>
              </w:rPr>
              <w:t>0.004</w:t>
            </w:r>
            <w:r>
              <w:rPr>
                <w:rFonts w:hint="default" w:ascii="Times New Roman" w:hAnsi="Times New Roman" w:cs="Times New Roman" w:eastAsiaTheme="minorEastAsia"/>
                <w:color w:val="auto"/>
                <w:sz w:val="24"/>
                <w:szCs w:val="24"/>
                <w:highlight w:val="none"/>
                <w:shd w:val="clear" w:color="auto" w:fill="auto"/>
                <w:lang w:val="en-US" w:eastAsia="zh-CN"/>
              </w:rPr>
              <w:t>t/a</w:t>
            </w:r>
          </w:p>
        </w:tc>
        <w:tc>
          <w:tcPr>
            <w:tcW w:w="1254" w:type="dxa"/>
            <w:noWrap w:val="0"/>
            <w:vAlign w:val="center"/>
          </w:tcPr>
          <w:p>
            <w:pPr>
              <w:pStyle w:val="32"/>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rPr>
            </w:pPr>
            <w:r>
              <w:rPr>
                <w:rFonts w:hint="eastAsia" w:ascii="宋体" w:hAnsi="宋体" w:eastAsia="宋体" w:cs="宋体"/>
                <w:snapToGrid w:val="0"/>
                <w:color w:val="auto"/>
                <w:kern w:val="21"/>
                <w:sz w:val="24"/>
                <w:szCs w:val="24"/>
                <w:highlight w:val="none"/>
                <w:lang w:val="en-US" w:eastAsia="zh-CN" w:bidi="ar-SA"/>
              </w:rPr>
              <w:t>－</w:t>
            </w:r>
          </w:p>
        </w:tc>
        <w:tc>
          <w:tcPr>
            <w:tcW w:w="1814" w:type="dxa"/>
            <w:noWrap w:val="0"/>
            <w:vAlign w:val="center"/>
          </w:tcPr>
          <w:p>
            <w:pPr>
              <w:pStyle w:val="32"/>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rPr>
            </w:pPr>
            <w:r>
              <w:rPr>
                <w:rFonts w:hint="eastAsia" w:ascii="宋体" w:hAnsi="宋体" w:eastAsia="宋体" w:cs="宋体"/>
                <w:snapToGrid w:val="0"/>
                <w:color w:val="auto"/>
                <w:kern w:val="21"/>
                <w:sz w:val="24"/>
                <w:szCs w:val="24"/>
                <w:highlight w:val="none"/>
                <w:lang w:val="en-US" w:eastAsia="zh-CN" w:bidi="ar-SA"/>
              </w:rPr>
              <w:t>－</w:t>
            </w:r>
          </w:p>
        </w:tc>
        <w:tc>
          <w:tcPr>
            <w:tcW w:w="1500" w:type="dxa"/>
            <w:noWrap w:val="0"/>
            <w:vAlign w:val="center"/>
          </w:tcPr>
          <w:p>
            <w:pPr>
              <w:pStyle w:val="32"/>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rPr>
            </w:pPr>
            <w:r>
              <w:rPr>
                <w:rFonts w:hint="eastAsia" w:cs="Times New Roman" w:eastAsiaTheme="minorEastAsia"/>
                <w:snapToGrid w:val="0"/>
                <w:color w:val="auto"/>
                <w:kern w:val="21"/>
                <w:sz w:val="24"/>
                <w:szCs w:val="24"/>
                <w:highlight w:val="none"/>
                <w:lang w:val="en-US" w:eastAsia="zh-CN"/>
              </w:rPr>
              <w:t>0</w:t>
            </w:r>
          </w:p>
        </w:tc>
        <w:tc>
          <w:tcPr>
            <w:tcW w:w="1452" w:type="dxa"/>
            <w:noWrap w:val="0"/>
            <w:vAlign w:val="center"/>
          </w:tcPr>
          <w:p>
            <w:pPr>
              <w:pStyle w:val="32"/>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bidi="ar-SA"/>
              </w:rPr>
            </w:pPr>
            <w:r>
              <w:rPr>
                <w:rFonts w:hint="eastAsia" w:cs="Times New Roman" w:eastAsiaTheme="minorEastAsia"/>
                <w:snapToGrid w:val="0"/>
                <w:color w:val="auto"/>
                <w:kern w:val="21"/>
                <w:sz w:val="24"/>
                <w:szCs w:val="24"/>
                <w:highlight w:val="none"/>
                <w:lang w:val="en-US" w:eastAsia="zh-CN"/>
              </w:rPr>
              <w:t>0</w:t>
            </w:r>
          </w:p>
        </w:tc>
        <w:tc>
          <w:tcPr>
            <w:tcW w:w="159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40" w:after="40" w:line="240" w:lineRule="auto"/>
              <w:ind w:firstLine="0" w:firstLineChars="0"/>
              <w:jc w:val="center"/>
              <w:textAlignment w:val="center"/>
              <w:rPr>
                <w:rFonts w:hint="default" w:ascii="Times New Roman" w:hAnsi="Times New Roman" w:cs="Times New Roman" w:eastAsiaTheme="minorEastAsia"/>
                <w:snapToGrid w:val="0"/>
                <w:color w:val="auto"/>
                <w:kern w:val="21"/>
                <w:sz w:val="24"/>
                <w:szCs w:val="24"/>
                <w:highlight w:val="none"/>
                <w:lang w:val="en-US" w:eastAsia="zh-CN" w:bidi="ar-SA"/>
              </w:rPr>
            </w:pPr>
            <w:r>
              <w:rPr>
                <w:rFonts w:hint="eastAsia" w:cs="Times New Roman"/>
                <w:i w:val="0"/>
                <w:iCs w:val="0"/>
                <w:color w:val="auto"/>
                <w:kern w:val="0"/>
                <w:sz w:val="24"/>
                <w:szCs w:val="24"/>
                <w:highlight w:val="none"/>
                <w:u w:val="none"/>
                <w:lang w:val="en-US" w:eastAsia="zh-CN" w:bidi="ar"/>
              </w:rPr>
              <w:t>0.004</w:t>
            </w:r>
            <w:r>
              <w:rPr>
                <w:rFonts w:hint="default" w:ascii="Times New Roman" w:hAnsi="Times New Roman" w:cs="Times New Roman" w:eastAsiaTheme="minorEastAsia"/>
                <w:color w:val="auto"/>
                <w:sz w:val="24"/>
                <w:szCs w:val="24"/>
                <w:highlight w:val="none"/>
                <w:shd w:val="clear" w:color="auto" w:fill="auto"/>
                <w:lang w:val="en-US" w:eastAsia="zh-CN"/>
              </w:rPr>
              <w:t>t/a</w:t>
            </w:r>
          </w:p>
        </w:tc>
        <w:tc>
          <w:tcPr>
            <w:tcW w:w="1511" w:type="dxa"/>
            <w:noWrap w:val="0"/>
            <w:vAlign w:val="center"/>
          </w:tcPr>
          <w:p>
            <w:pPr>
              <w:pStyle w:val="32"/>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bidi="ar-SA"/>
              </w:rPr>
            </w:pPr>
            <w:r>
              <w:rPr>
                <w:rFonts w:hint="eastAsia" w:cs="Times New Roman" w:eastAsiaTheme="minorEastAsia"/>
                <w:snapToGrid w:val="0"/>
                <w:color w:val="auto"/>
                <w:kern w:val="21"/>
                <w:sz w:val="24"/>
                <w:szCs w:val="24"/>
                <w:highlight w:val="none"/>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1340" w:type="dxa"/>
            <w:vMerge w:val="restart"/>
            <w:noWrap w:val="0"/>
            <w:vAlign w:val="center"/>
          </w:tcPr>
          <w:p>
            <w:pPr>
              <w:pStyle w:val="32"/>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rPr>
            </w:pPr>
            <w:r>
              <w:rPr>
                <w:rFonts w:hint="default" w:ascii="Times New Roman" w:hAnsi="Times New Roman" w:cs="Times New Roman" w:eastAsiaTheme="minorEastAsia"/>
                <w:snapToGrid w:val="0"/>
                <w:color w:val="auto"/>
                <w:kern w:val="21"/>
                <w:sz w:val="24"/>
                <w:szCs w:val="24"/>
                <w:highlight w:val="none"/>
              </w:rPr>
              <w:t>一般工业</w:t>
            </w:r>
          </w:p>
          <w:p>
            <w:pPr>
              <w:pStyle w:val="32"/>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rPr>
            </w:pPr>
            <w:r>
              <w:rPr>
                <w:rFonts w:hint="default" w:ascii="Times New Roman" w:hAnsi="Times New Roman" w:cs="Times New Roman" w:eastAsiaTheme="minorEastAsia"/>
                <w:snapToGrid w:val="0"/>
                <w:color w:val="auto"/>
                <w:kern w:val="21"/>
                <w:sz w:val="24"/>
                <w:szCs w:val="24"/>
                <w:highlight w:val="none"/>
              </w:rPr>
              <w:t>固体废物</w:t>
            </w:r>
          </w:p>
        </w:tc>
        <w:tc>
          <w:tcPr>
            <w:tcW w:w="173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40" w:after="40" w:line="240" w:lineRule="auto"/>
              <w:ind w:firstLine="0" w:firstLineChars="0"/>
              <w:jc w:val="center"/>
              <w:textAlignment w:val="center"/>
              <w:rPr>
                <w:rFonts w:hint="default" w:ascii="Times New Roman" w:hAnsi="Times New Roman" w:cs="Times New Roman" w:eastAsiaTheme="minorEastAsia"/>
                <w:color w:val="auto"/>
                <w:kern w:val="2"/>
                <w:sz w:val="24"/>
                <w:szCs w:val="24"/>
                <w:highlight w:val="none"/>
                <w:shd w:val="clear" w:color="auto" w:fill="auto"/>
                <w:lang w:val="en-US" w:eastAsia="zh-CN" w:bidi="ar-SA"/>
              </w:rPr>
            </w:pPr>
            <w:r>
              <w:rPr>
                <w:rFonts w:hint="eastAsia" w:ascii="Times New Roman" w:hAnsi="Times New Roman" w:cs="Times New Roman"/>
                <w:color w:val="auto"/>
                <w:sz w:val="24"/>
                <w:szCs w:val="24"/>
                <w:highlight w:val="none"/>
                <w:shd w:val="clear" w:color="auto" w:fill="auto"/>
                <w:lang w:val="en-US" w:eastAsia="zh-CN"/>
              </w:rPr>
              <w:t>废包装物</w:t>
            </w:r>
          </w:p>
        </w:tc>
        <w:tc>
          <w:tcPr>
            <w:tcW w:w="159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40" w:after="40" w:line="240" w:lineRule="auto"/>
              <w:ind w:firstLine="0" w:firstLineChars="0"/>
              <w:jc w:val="center"/>
              <w:textAlignment w:val="center"/>
              <w:rPr>
                <w:rFonts w:hint="default" w:ascii="Times New Roman" w:hAnsi="Times New Roman" w:eastAsia="宋体" w:cs="Times New Roman"/>
                <w:color w:val="auto"/>
                <w:kern w:val="2"/>
                <w:sz w:val="24"/>
                <w:szCs w:val="24"/>
                <w:highlight w:val="none"/>
                <w:shd w:val="clear" w:color="auto" w:fill="auto"/>
                <w:lang w:val="en-US" w:eastAsia="zh-CN" w:bidi="ar-SA"/>
              </w:rPr>
            </w:pPr>
            <w:r>
              <w:rPr>
                <w:rFonts w:hint="eastAsia" w:cs="Times New Roman"/>
                <w:color w:val="auto"/>
                <w:sz w:val="24"/>
                <w:szCs w:val="24"/>
                <w:highlight w:val="none"/>
                <w:shd w:val="clear" w:color="auto" w:fill="auto"/>
                <w:lang w:val="en-US" w:eastAsia="zh-CN"/>
              </w:rPr>
              <w:t>1</w:t>
            </w:r>
            <w:r>
              <w:rPr>
                <w:rFonts w:hint="default" w:ascii="Times New Roman" w:hAnsi="Times New Roman" w:cs="Times New Roman" w:eastAsiaTheme="minorEastAsia"/>
                <w:color w:val="auto"/>
                <w:sz w:val="24"/>
                <w:szCs w:val="24"/>
                <w:highlight w:val="none"/>
                <w:shd w:val="clear" w:color="auto" w:fill="auto"/>
                <w:lang w:val="en-US" w:eastAsia="zh-CN"/>
              </w:rPr>
              <w:t>t/a</w:t>
            </w:r>
          </w:p>
        </w:tc>
        <w:tc>
          <w:tcPr>
            <w:tcW w:w="1254" w:type="dxa"/>
            <w:noWrap w:val="0"/>
            <w:vAlign w:val="center"/>
          </w:tcPr>
          <w:p>
            <w:pPr>
              <w:pStyle w:val="32"/>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bidi="ar-SA"/>
              </w:rPr>
            </w:pPr>
            <w:r>
              <w:rPr>
                <w:rFonts w:hint="eastAsia" w:ascii="宋体" w:hAnsi="宋体" w:eastAsia="宋体" w:cs="宋体"/>
                <w:snapToGrid w:val="0"/>
                <w:color w:val="auto"/>
                <w:kern w:val="21"/>
                <w:sz w:val="24"/>
                <w:szCs w:val="24"/>
                <w:highlight w:val="none"/>
                <w:lang w:val="en-US" w:eastAsia="zh-CN" w:bidi="ar-SA"/>
              </w:rPr>
              <w:t>－</w:t>
            </w:r>
          </w:p>
        </w:tc>
        <w:tc>
          <w:tcPr>
            <w:tcW w:w="1814" w:type="dxa"/>
            <w:noWrap w:val="0"/>
            <w:vAlign w:val="center"/>
          </w:tcPr>
          <w:p>
            <w:pPr>
              <w:pStyle w:val="32"/>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bidi="ar-SA"/>
              </w:rPr>
            </w:pPr>
            <w:r>
              <w:rPr>
                <w:rFonts w:hint="eastAsia" w:ascii="宋体" w:hAnsi="宋体" w:eastAsia="宋体" w:cs="宋体"/>
                <w:snapToGrid w:val="0"/>
                <w:color w:val="auto"/>
                <w:kern w:val="21"/>
                <w:sz w:val="24"/>
                <w:szCs w:val="24"/>
                <w:highlight w:val="none"/>
                <w:lang w:val="en-US" w:eastAsia="zh-CN" w:bidi="ar-SA"/>
              </w:rPr>
              <w:t>－</w:t>
            </w:r>
          </w:p>
        </w:tc>
        <w:tc>
          <w:tcPr>
            <w:tcW w:w="1500" w:type="dxa"/>
            <w:noWrap w:val="0"/>
            <w:vAlign w:val="center"/>
          </w:tcPr>
          <w:p>
            <w:pPr>
              <w:pStyle w:val="32"/>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color w:val="auto"/>
                <w:kern w:val="2"/>
                <w:sz w:val="24"/>
                <w:szCs w:val="24"/>
                <w:highlight w:val="none"/>
                <w:shd w:val="clear" w:color="auto" w:fill="auto"/>
                <w:lang w:val="en-US" w:eastAsia="zh-CN" w:bidi="ar-SA"/>
              </w:rPr>
            </w:pPr>
            <w:r>
              <w:rPr>
                <w:rFonts w:hint="eastAsia" w:cs="Times New Roman" w:eastAsiaTheme="minorEastAsia"/>
                <w:snapToGrid w:val="0"/>
                <w:color w:val="auto"/>
                <w:kern w:val="21"/>
                <w:sz w:val="24"/>
                <w:szCs w:val="24"/>
                <w:highlight w:val="none"/>
                <w:lang w:val="en-US" w:eastAsia="zh-CN" w:bidi="ar-SA"/>
              </w:rPr>
              <w:t>0.3t/a</w:t>
            </w:r>
          </w:p>
        </w:tc>
        <w:tc>
          <w:tcPr>
            <w:tcW w:w="1452" w:type="dxa"/>
            <w:noWrap w:val="0"/>
            <w:vAlign w:val="center"/>
          </w:tcPr>
          <w:p>
            <w:pPr>
              <w:pStyle w:val="32"/>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rPr>
            </w:pPr>
            <w:r>
              <w:rPr>
                <w:rFonts w:hint="eastAsia" w:cs="Times New Roman" w:eastAsiaTheme="minorEastAsia"/>
                <w:snapToGrid w:val="0"/>
                <w:color w:val="auto"/>
                <w:kern w:val="21"/>
                <w:sz w:val="24"/>
                <w:szCs w:val="24"/>
                <w:highlight w:val="none"/>
                <w:lang w:val="en-US" w:eastAsia="zh-CN" w:bidi="ar-SA"/>
              </w:rPr>
              <w:t>0</w:t>
            </w:r>
          </w:p>
        </w:tc>
        <w:tc>
          <w:tcPr>
            <w:tcW w:w="159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40" w:after="40" w:line="240" w:lineRule="auto"/>
              <w:ind w:firstLine="0" w:firstLineChars="0"/>
              <w:jc w:val="center"/>
              <w:textAlignment w:val="center"/>
              <w:rPr>
                <w:rFonts w:hint="default" w:ascii="Times New Roman" w:hAnsi="Times New Roman" w:eastAsia="宋体" w:cs="Times New Roman"/>
                <w:color w:val="auto"/>
                <w:kern w:val="2"/>
                <w:sz w:val="24"/>
                <w:szCs w:val="24"/>
                <w:highlight w:val="none"/>
                <w:shd w:val="clear" w:color="auto" w:fill="auto"/>
                <w:lang w:val="en-US" w:eastAsia="zh-CN" w:bidi="ar-SA"/>
              </w:rPr>
            </w:pPr>
            <w:r>
              <w:rPr>
                <w:rFonts w:hint="eastAsia" w:ascii="Times New Roman" w:hAnsi="Times New Roman" w:cs="Times New Roman"/>
                <w:color w:val="auto"/>
                <w:sz w:val="24"/>
                <w:szCs w:val="24"/>
                <w:highlight w:val="none"/>
                <w:shd w:val="clear" w:color="auto" w:fill="auto"/>
                <w:lang w:val="en-US" w:eastAsia="zh-CN"/>
              </w:rPr>
              <w:t>1.3t/a</w:t>
            </w:r>
          </w:p>
        </w:tc>
        <w:tc>
          <w:tcPr>
            <w:tcW w:w="1511" w:type="dxa"/>
            <w:noWrap w:val="0"/>
            <w:vAlign w:val="center"/>
          </w:tcPr>
          <w:p>
            <w:pPr>
              <w:pStyle w:val="32"/>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bidi="ar-SA"/>
              </w:rPr>
            </w:pPr>
            <w:r>
              <w:rPr>
                <w:rFonts w:hint="eastAsia" w:cs="Times New Roman" w:eastAsiaTheme="minorEastAsia"/>
                <w:snapToGrid w:val="0"/>
                <w:color w:val="auto"/>
                <w:kern w:val="21"/>
                <w:sz w:val="24"/>
                <w:szCs w:val="24"/>
                <w:highlight w:val="none"/>
                <w:lang w:val="en-US" w:eastAsia="zh-CN" w:bidi="ar-SA"/>
              </w:rPr>
              <w:t>+0.3t/a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1340" w:type="dxa"/>
            <w:vMerge w:val="continue"/>
            <w:noWrap w:val="0"/>
            <w:vAlign w:val="center"/>
          </w:tcPr>
          <w:p>
            <w:pPr>
              <w:pStyle w:val="32"/>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rPr>
            </w:pPr>
          </w:p>
        </w:tc>
        <w:tc>
          <w:tcPr>
            <w:tcW w:w="173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40" w:after="40" w:line="240" w:lineRule="auto"/>
              <w:ind w:firstLine="0" w:firstLineChars="0"/>
              <w:jc w:val="center"/>
              <w:textAlignment w:val="center"/>
              <w:rPr>
                <w:rFonts w:hint="default" w:ascii="Times New Roman" w:hAnsi="Times New Roman" w:cs="Times New Roman" w:eastAsiaTheme="minorEastAsia"/>
                <w:color w:val="auto"/>
                <w:sz w:val="24"/>
                <w:szCs w:val="24"/>
                <w:highlight w:val="none"/>
                <w:shd w:val="clear" w:color="auto" w:fill="auto"/>
                <w:lang w:val="en-US" w:eastAsia="zh-CN"/>
              </w:rPr>
            </w:pPr>
            <w:r>
              <w:rPr>
                <w:rFonts w:hint="eastAsia" w:ascii="Times New Roman" w:hAnsi="Times New Roman" w:eastAsia="宋体" w:cs="Times New Roman"/>
                <w:color w:val="auto"/>
                <w:sz w:val="24"/>
                <w:szCs w:val="24"/>
                <w:highlight w:val="none"/>
                <w:shd w:val="clear" w:color="auto" w:fill="auto"/>
                <w:lang w:val="en-US" w:eastAsia="zh-CN"/>
              </w:rPr>
              <w:t>PET膜边角料、PVC膜边角料</w:t>
            </w:r>
          </w:p>
        </w:tc>
        <w:tc>
          <w:tcPr>
            <w:tcW w:w="159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40" w:after="40" w:line="240" w:lineRule="auto"/>
              <w:ind w:firstLine="0" w:firstLineChars="0"/>
              <w:jc w:val="center"/>
              <w:textAlignment w:val="center"/>
              <w:rPr>
                <w:rFonts w:hint="default" w:ascii="Times New Roman" w:hAnsi="Times New Roman" w:eastAsia="宋体" w:cs="Times New Roman"/>
                <w:color w:val="auto"/>
                <w:kern w:val="2"/>
                <w:sz w:val="24"/>
                <w:szCs w:val="24"/>
                <w:highlight w:val="none"/>
                <w:shd w:val="clear" w:color="auto" w:fill="auto"/>
                <w:lang w:val="en-US" w:eastAsia="zh-CN" w:bidi="ar-SA"/>
              </w:rPr>
            </w:pPr>
            <w:r>
              <w:rPr>
                <w:rFonts w:hint="eastAsia" w:cs="Times New Roman"/>
                <w:color w:val="auto"/>
                <w:sz w:val="24"/>
                <w:szCs w:val="24"/>
                <w:highlight w:val="none"/>
                <w:shd w:val="clear" w:color="auto" w:fill="auto"/>
                <w:lang w:val="en-US" w:eastAsia="zh-CN"/>
              </w:rPr>
              <w:t>0</w:t>
            </w:r>
          </w:p>
        </w:tc>
        <w:tc>
          <w:tcPr>
            <w:tcW w:w="1254" w:type="dxa"/>
            <w:noWrap w:val="0"/>
            <w:vAlign w:val="center"/>
          </w:tcPr>
          <w:p>
            <w:pPr>
              <w:pStyle w:val="32"/>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bidi="ar-SA"/>
              </w:rPr>
            </w:pPr>
            <w:r>
              <w:rPr>
                <w:rFonts w:hint="eastAsia" w:ascii="宋体" w:hAnsi="宋体" w:eastAsia="宋体" w:cs="宋体"/>
                <w:snapToGrid w:val="0"/>
                <w:color w:val="auto"/>
                <w:kern w:val="21"/>
                <w:sz w:val="24"/>
                <w:szCs w:val="24"/>
                <w:highlight w:val="none"/>
                <w:lang w:val="en-US" w:eastAsia="zh-CN" w:bidi="ar-SA"/>
              </w:rPr>
              <w:t>－</w:t>
            </w:r>
          </w:p>
        </w:tc>
        <w:tc>
          <w:tcPr>
            <w:tcW w:w="1814" w:type="dxa"/>
            <w:noWrap w:val="0"/>
            <w:vAlign w:val="center"/>
          </w:tcPr>
          <w:p>
            <w:pPr>
              <w:pStyle w:val="32"/>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bidi="ar-SA"/>
              </w:rPr>
            </w:pPr>
            <w:r>
              <w:rPr>
                <w:rFonts w:hint="eastAsia" w:ascii="宋体" w:hAnsi="宋体" w:eastAsia="宋体" w:cs="宋体"/>
                <w:snapToGrid w:val="0"/>
                <w:color w:val="auto"/>
                <w:kern w:val="21"/>
                <w:sz w:val="24"/>
                <w:szCs w:val="24"/>
                <w:highlight w:val="none"/>
                <w:lang w:val="en-US" w:eastAsia="zh-CN" w:bidi="ar-SA"/>
              </w:rPr>
              <w:t>－</w:t>
            </w:r>
          </w:p>
        </w:tc>
        <w:tc>
          <w:tcPr>
            <w:tcW w:w="1500" w:type="dxa"/>
            <w:noWrap w:val="0"/>
            <w:vAlign w:val="center"/>
          </w:tcPr>
          <w:p>
            <w:pPr>
              <w:pStyle w:val="32"/>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color w:val="auto"/>
                <w:sz w:val="24"/>
                <w:szCs w:val="24"/>
                <w:highlight w:val="none"/>
                <w:shd w:val="clear" w:color="auto" w:fill="auto"/>
                <w:lang w:val="en-US" w:eastAsia="zh-CN"/>
              </w:rPr>
            </w:pPr>
            <w:r>
              <w:rPr>
                <w:rFonts w:hint="eastAsia" w:cs="Times New Roman" w:eastAsiaTheme="minorEastAsia"/>
                <w:snapToGrid w:val="0"/>
                <w:color w:val="auto"/>
                <w:kern w:val="21"/>
                <w:sz w:val="24"/>
                <w:szCs w:val="24"/>
                <w:highlight w:val="none"/>
                <w:lang w:val="en-US" w:eastAsia="zh-CN" w:bidi="ar-SA"/>
              </w:rPr>
              <w:t>0.5t/a</w:t>
            </w:r>
          </w:p>
        </w:tc>
        <w:tc>
          <w:tcPr>
            <w:tcW w:w="1452" w:type="dxa"/>
            <w:noWrap w:val="0"/>
            <w:vAlign w:val="center"/>
          </w:tcPr>
          <w:p>
            <w:pPr>
              <w:pStyle w:val="32"/>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rPr>
            </w:pPr>
            <w:r>
              <w:rPr>
                <w:rFonts w:hint="eastAsia" w:cs="Times New Roman" w:eastAsiaTheme="minorEastAsia"/>
                <w:snapToGrid w:val="0"/>
                <w:color w:val="auto"/>
                <w:kern w:val="21"/>
                <w:sz w:val="24"/>
                <w:szCs w:val="24"/>
                <w:highlight w:val="none"/>
                <w:lang w:val="en-US" w:eastAsia="zh-CN" w:bidi="ar-SA"/>
              </w:rPr>
              <w:t>0</w:t>
            </w:r>
          </w:p>
        </w:tc>
        <w:tc>
          <w:tcPr>
            <w:tcW w:w="159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40" w:after="40" w:line="240" w:lineRule="auto"/>
              <w:ind w:firstLine="0" w:firstLineChars="0"/>
              <w:jc w:val="center"/>
              <w:textAlignment w:val="center"/>
              <w:rPr>
                <w:rFonts w:hint="default" w:ascii="Times New Roman" w:hAnsi="Times New Roman" w:eastAsia="宋体" w:cs="Times New Roman"/>
                <w:color w:val="auto"/>
                <w:kern w:val="2"/>
                <w:sz w:val="24"/>
                <w:szCs w:val="24"/>
                <w:highlight w:val="none"/>
                <w:shd w:val="clear" w:color="auto" w:fill="auto"/>
                <w:lang w:val="en-US" w:eastAsia="zh-CN" w:bidi="ar-SA"/>
              </w:rPr>
            </w:pPr>
            <w:r>
              <w:rPr>
                <w:rFonts w:hint="eastAsia" w:ascii="Times New Roman" w:hAnsi="Times New Roman" w:cs="Times New Roman"/>
                <w:color w:val="auto"/>
                <w:sz w:val="24"/>
                <w:szCs w:val="24"/>
                <w:highlight w:val="none"/>
                <w:shd w:val="clear" w:color="auto" w:fill="auto"/>
                <w:lang w:val="en-US" w:eastAsia="zh-CN"/>
              </w:rPr>
              <w:t>0.5t/a</w:t>
            </w:r>
          </w:p>
        </w:tc>
        <w:tc>
          <w:tcPr>
            <w:tcW w:w="1511" w:type="dxa"/>
            <w:noWrap w:val="0"/>
            <w:vAlign w:val="center"/>
          </w:tcPr>
          <w:p>
            <w:pPr>
              <w:pStyle w:val="32"/>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eastAsia" w:ascii="Times New Roman" w:hAnsi="Times New Roman" w:cs="Times New Roman" w:eastAsiaTheme="minorEastAsia"/>
                <w:snapToGrid w:val="0"/>
                <w:color w:val="auto"/>
                <w:kern w:val="21"/>
                <w:sz w:val="24"/>
                <w:szCs w:val="24"/>
                <w:highlight w:val="none"/>
                <w:lang w:val="en-US" w:eastAsia="zh-CN" w:bidi="ar-SA"/>
              </w:rPr>
            </w:pPr>
            <w:r>
              <w:rPr>
                <w:rFonts w:hint="eastAsia" w:ascii="Times New Roman" w:hAnsi="Times New Roman" w:cs="Times New Roman" w:eastAsiaTheme="minorEastAsia"/>
                <w:snapToGrid w:val="0"/>
                <w:color w:val="auto"/>
                <w:kern w:val="21"/>
                <w:sz w:val="24"/>
                <w:szCs w:val="24"/>
                <w:highlight w:val="none"/>
                <w:lang w:val="en-US" w:eastAsia="zh-CN" w:bidi="ar-SA"/>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1340" w:type="dxa"/>
            <w:noWrap w:val="0"/>
            <w:vAlign w:val="center"/>
          </w:tcPr>
          <w:p>
            <w:pPr>
              <w:pStyle w:val="32"/>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rPr>
            </w:pPr>
            <w:r>
              <w:rPr>
                <w:rFonts w:hint="default" w:ascii="Times New Roman" w:hAnsi="Times New Roman" w:cs="Times New Roman" w:eastAsiaTheme="minorEastAsia"/>
                <w:snapToGrid w:val="0"/>
                <w:color w:val="auto"/>
                <w:kern w:val="21"/>
                <w:sz w:val="24"/>
                <w:szCs w:val="24"/>
                <w:highlight w:val="none"/>
                <w:lang w:val="en-US" w:eastAsia="zh-CN"/>
              </w:rPr>
              <w:t>职工生活</w:t>
            </w:r>
          </w:p>
        </w:tc>
        <w:tc>
          <w:tcPr>
            <w:tcW w:w="1732" w:type="dxa"/>
            <w:noWrap w:val="0"/>
            <w:vAlign w:val="center"/>
          </w:tcPr>
          <w:p>
            <w:pPr>
              <w:keepNext w:val="0"/>
              <w:keepLines w:val="0"/>
              <w:pageBreakBefore w:val="0"/>
              <w:widowControl/>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color w:val="auto"/>
                <w:kern w:val="2"/>
                <w:sz w:val="24"/>
                <w:szCs w:val="24"/>
                <w:highlight w:val="none"/>
                <w:shd w:val="clear" w:color="auto" w:fill="auto"/>
                <w:lang w:val="en-US" w:eastAsia="zh-CN" w:bidi="ar-SA"/>
              </w:rPr>
            </w:pPr>
            <w:r>
              <w:rPr>
                <w:rFonts w:hint="default" w:ascii="Times New Roman" w:hAnsi="Times New Roman" w:cs="Times New Roman" w:eastAsiaTheme="minorEastAsia"/>
                <w:snapToGrid w:val="0"/>
                <w:color w:val="auto"/>
                <w:kern w:val="0"/>
                <w:sz w:val="24"/>
                <w:szCs w:val="24"/>
                <w:highlight w:val="none"/>
                <w:shd w:val="clear" w:color="auto" w:fill="auto"/>
                <w:lang w:val="en-US" w:eastAsia="zh-CN" w:bidi="ar-SA"/>
              </w:rPr>
              <w:t>生活垃圾</w:t>
            </w:r>
          </w:p>
        </w:tc>
        <w:tc>
          <w:tcPr>
            <w:tcW w:w="159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40" w:after="40" w:line="240" w:lineRule="auto"/>
              <w:ind w:firstLine="0" w:firstLineChars="0"/>
              <w:jc w:val="center"/>
              <w:textAlignment w:val="center"/>
              <w:rPr>
                <w:rFonts w:hint="default" w:ascii="Times New Roman" w:hAnsi="Times New Roman" w:cs="Times New Roman" w:eastAsiaTheme="minorEastAsia"/>
                <w:i w:val="0"/>
                <w:color w:val="auto"/>
                <w:kern w:val="0"/>
                <w:sz w:val="24"/>
                <w:szCs w:val="24"/>
                <w:highlight w:val="none"/>
                <w:u w:val="none"/>
                <w:shd w:val="clear" w:color="auto" w:fill="auto"/>
                <w:lang w:val="en-US" w:eastAsia="zh-CN" w:bidi="ar"/>
              </w:rPr>
            </w:pPr>
            <w:r>
              <w:rPr>
                <w:rFonts w:hint="eastAsia" w:cs="Times New Roman" w:eastAsiaTheme="minorEastAsia"/>
                <w:i w:val="0"/>
                <w:color w:val="auto"/>
                <w:kern w:val="0"/>
                <w:sz w:val="24"/>
                <w:szCs w:val="24"/>
                <w:highlight w:val="none"/>
                <w:u w:val="none"/>
                <w:shd w:val="clear" w:color="auto" w:fill="auto"/>
                <w:lang w:val="en-US" w:eastAsia="zh-CN" w:bidi="ar"/>
              </w:rPr>
              <w:t>4.5</w:t>
            </w:r>
            <w:r>
              <w:rPr>
                <w:rFonts w:hint="default" w:ascii="Times New Roman" w:hAnsi="Times New Roman" w:cs="Times New Roman" w:eastAsiaTheme="minorEastAsia"/>
                <w:color w:val="auto"/>
                <w:sz w:val="24"/>
                <w:szCs w:val="24"/>
                <w:highlight w:val="none"/>
                <w:shd w:val="clear" w:color="auto" w:fill="auto"/>
                <w:lang w:val="en-US" w:eastAsia="zh-CN"/>
              </w:rPr>
              <w:t>t/a</w:t>
            </w:r>
          </w:p>
        </w:tc>
        <w:tc>
          <w:tcPr>
            <w:tcW w:w="1254" w:type="dxa"/>
            <w:noWrap w:val="0"/>
            <w:vAlign w:val="center"/>
          </w:tcPr>
          <w:p>
            <w:pPr>
              <w:pStyle w:val="32"/>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bidi="ar-SA"/>
              </w:rPr>
            </w:pPr>
            <w:r>
              <w:rPr>
                <w:rFonts w:hint="eastAsia" w:ascii="宋体" w:hAnsi="宋体" w:eastAsia="宋体" w:cs="宋体"/>
                <w:snapToGrid w:val="0"/>
                <w:color w:val="auto"/>
                <w:kern w:val="21"/>
                <w:sz w:val="24"/>
                <w:szCs w:val="24"/>
                <w:highlight w:val="none"/>
                <w:lang w:val="en-US" w:eastAsia="zh-CN" w:bidi="ar-SA"/>
              </w:rPr>
              <w:t>－</w:t>
            </w:r>
          </w:p>
        </w:tc>
        <w:tc>
          <w:tcPr>
            <w:tcW w:w="1814" w:type="dxa"/>
            <w:noWrap w:val="0"/>
            <w:vAlign w:val="center"/>
          </w:tcPr>
          <w:p>
            <w:pPr>
              <w:pStyle w:val="32"/>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bidi="ar-SA"/>
              </w:rPr>
            </w:pPr>
            <w:r>
              <w:rPr>
                <w:rFonts w:hint="eastAsia" w:ascii="宋体" w:hAnsi="宋体" w:eastAsia="宋体" w:cs="宋体"/>
                <w:snapToGrid w:val="0"/>
                <w:color w:val="auto"/>
                <w:kern w:val="21"/>
                <w:sz w:val="24"/>
                <w:szCs w:val="24"/>
                <w:highlight w:val="none"/>
                <w:lang w:val="en-US" w:eastAsia="zh-CN" w:bidi="ar-SA"/>
              </w:rPr>
              <w:t>－</w:t>
            </w:r>
          </w:p>
        </w:tc>
        <w:tc>
          <w:tcPr>
            <w:tcW w:w="1500" w:type="dxa"/>
            <w:noWrap w:val="0"/>
            <w:vAlign w:val="center"/>
          </w:tcPr>
          <w:p>
            <w:pPr>
              <w:pStyle w:val="32"/>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bidi="ar-SA"/>
              </w:rPr>
            </w:pPr>
            <w:r>
              <w:rPr>
                <w:rFonts w:hint="eastAsia" w:ascii="Times New Roman" w:hAnsi="Times New Roman" w:cs="Times New Roman"/>
                <w:color w:val="auto"/>
                <w:sz w:val="24"/>
                <w:szCs w:val="24"/>
                <w:highlight w:val="none"/>
                <w:shd w:val="clear" w:color="auto" w:fill="auto"/>
                <w:lang w:val="en-US" w:eastAsia="zh-CN"/>
              </w:rPr>
              <w:t>0</w:t>
            </w:r>
          </w:p>
        </w:tc>
        <w:tc>
          <w:tcPr>
            <w:tcW w:w="1452" w:type="dxa"/>
            <w:noWrap w:val="0"/>
            <w:vAlign w:val="center"/>
          </w:tcPr>
          <w:p>
            <w:pPr>
              <w:pStyle w:val="32"/>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rPr>
            </w:pPr>
            <w:r>
              <w:rPr>
                <w:rFonts w:hint="eastAsia" w:cs="Times New Roman"/>
                <w:color w:val="auto"/>
                <w:sz w:val="24"/>
                <w:szCs w:val="24"/>
                <w:highlight w:val="none"/>
                <w:shd w:val="clear" w:color="auto" w:fill="auto"/>
                <w:lang w:val="en-US" w:eastAsia="zh-CN"/>
              </w:rPr>
              <w:t>0</w:t>
            </w:r>
          </w:p>
        </w:tc>
        <w:tc>
          <w:tcPr>
            <w:tcW w:w="1590" w:type="dxa"/>
            <w:noWrap w:val="0"/>
            <w:vAlign w:val="center"/>
          </w:tcPr>
          <w:p>
            <w:pPr>
              <w:pStyle w:val="2"/>
              <w:keepNext w:val="0"/>
              <w:keepLines w:val="0"/>
              <w:pageBreakBefore w:val="0"/>
              <w:kinsoku/>
              <w:wordWrap/>
              <w:overflowPunct/>
              <w:topLinePunct w:val="0"/>
              <w:autoSpaceDE/>
              <w:autoSpaceDN/>
              <w:bidi w:val="0"/>
              <w:adjustRightInd/>
              <w:snapToGrid/>
              <w:spacing w:before="40" w:beforeLines="0" w:after="40" w:afterLines="0" w:line="240" w:lineRule="auto"/>
              <w:ind w:firstLine="0" w:firstLineChars="0"/>
              <w:jc w:val="center"/>
              <w:rPr>
                <w:rFonts w:hint="default"/>
                <w:color w:val="auto"/>
                <w:sz w:val="24"/>
                <w:szCs w:val="24"/>
                <w:highlight w:val="none"/>
                <w:lang w:val="en-US" w:eastAsia="zh-CN"/>
              </w:rPr>
            </w:pPr>
            <w:r>
              <w:rPr>
                <w:rFonts w:hint="default" w:ascii="Times New Roman" w:hAnsi="Times New Roman" w:cs="Times New Roman" w:eastAsiaTheme="minorEastAsia"/>
                <w:b w:val="0"/>
                <w:bCs/>
                <w:i w:val="0"/>
                <w:color w:val="auto"/>
                <w:kern w:val="0"/>
                <w:sz w:val="24"/>
                <w:szCs w:val="24"/>
                <w:highlight w:val="none"/>
                <w:u w:val="none"/>
                <w:shd w:val="clear" w:color="auto" w:fill="auto"/>
                <w:lang w:val="en-US" w:eastAsia="zh-CN" w:bidi="ar"/>
              </w:rPr>
              <w:t>4.5</w:t>
            </w:r>
            <w:r>
              <w:rPr>
                <w:rFonts w:hint="default" w:ascii="Times New Roman" w:hAnsi="Times New Roman" w:cs="Times New Roman" w:eastAsiaTheme="minorEastAsia"/>
                <w:b w:val="0"/>
                <w:bCs/>
                <w:color w:val="auto"/>
                <w:kern w:val="2"/>
                <w:sz w:val="24"/>
                <w:szCs w:val="24"/>
                <w:highlight w:val="none"/>
                <w:shd w:val="clear" w:color="auto" w:fill="auto"/>
                <w:lang w:val="en-US" w:eastAsia="zh-CN" w:bidi="ar-SA"/>
              </w:rPr>
              <w:t>t/a</w:t>
            </w:r>
          </w:p>
        </w:tc>
        <w:tc>
          <w:tcPr>
            <w:tcW w:w="1511" w:type="dxa"/>
            <w:noWrap w:val="0"/>
            <w:vAlign w:val="center"/>
          </w:tcPr>
          <w:p>
            <w:pPr>
              <w:pStyle w:val="32"/>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bidi="ar-SA"/>
              </w:rPr>
            </w:pPr>
            <w:r>
              <w:rPr>
                <w:rFonts w:hint="eastAsia" w:ascii="Times New Roman" w:hAnsi="Times New Roman" w:cs="Times New Roman" w:eastAsiaTheme="minorEastAsia"/>
                <w:snapToGrid w:val="0"/>
                <w:color w:val="auto"/>
                <w:kern w:val="21"/>
                <w:sz w:val="24"/>
                <w:szCs w:val="24"/>
                <w:highlight w:val="none"/>
                <w:lang w:val="en-US" w:eastAsia="zh-CN" w:bidi="ar-SA"/>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40" w:type="dxa"/>
            <w:vMerge w:val="restart"/>
            <w:noWrap w:val="0"/>
            <w:vAlign w:val="center"/>
          </w:tcPr>
          <w:p>
            <w:pPr>
              <w:pStyle w:val="32"/>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rPr>
            </w:pPr>
            <w:r>
              <w:rPr>
                <w:rFonts w:hint="default" w:ascii="Times New Roman" w:hAnsi="Times New Roman" w:cs="Times New Roman" w:eastAsiaTheme="minorEastAsia"/>
                <w:snapToGrid w:val="0"/>
                <w:color w:val="auto"/>
                <w:kern w:val="21"/>
                <w:sz w:val="24"/>
                <w:szCs w:val="24"/>
                <w:highlight w:val="none"/>
              </w:rPr>
              <w:t>危险废物</w:t>
            </w:r>
          </w:p>
        </w:tc>
        <w:tc>
          <w:tcPr>
            <w:tcW w:w="173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40" w:after="40" w:line="240" w:lineRule="auto"/>
              <w:ind w:left="-24" w:leftChars="-10" w:right="-24" w:rightChars="-10" w:firstLine="0" w:firstLineChars="0"/>
              <w:jc w:val="center"/>
              <w:textAlignment w:val="center"/>
              <w:rPr>
                <w:rFonts w:hint="default" w:ascii="Times New Roman" w:hAnsi="Times New Roman" w:cs="Times New Roman" w:eastAsiaTheme="minorEastAsia"/>
                <w:color w:val="auto"/>
                <w:kern w:val="2"/>
                <w:sz w:val="24"/>
                <w:szCs w:val="24"/>
                <w:highlight w:val="none"/>
                <w:lang w:val="en-US" w:eastAsia="zh-CN" w:bidi="ar-SA"/>
              </w:rPr>
            </w:pPr>
            <w:r>
              <w:rPr>
                <w:rFonts w:hint="eastAsia" w:cs="Times New Roman"/>
                <w:color w:val="auto"/>
                <w:sz w:val="24"/>
                <w:szCs w:val="24"/>
                <w:highlight w:val="none"/>
                <w:shd w:val="clear" w:color="auto" w:fill="auto"/>
                <w:lang w:val="en-US" w:eastAsia="zh-CN"/>
              </w:rPr>
              <w:t>废润滑油</w:t>
            </w:r>
          </w:p>
        </w:tc>
        <w:tc>
          <w:tcPr>
            <w:tcW w:w="159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40" w:after="40" w:line="240" w:lineRule="auto"/>
              <w:ind w:firstLine="0" w:firstLineChars="0"/>
              <w:jc w:val="center"/>
              <w:textAlignment w:val="center"/>
              <w:rPr>
                <w:rFonts w:hint="default" w:ascii="Times New Roman" w:hAnsi="Times New Roman" w:cs="Times New Roman" w:eastAsiaTheme="minorEastAsia"/>
                <w:color w:val="auto"/>
                <w:kern w:val="2"/>
                <w:sz w:val="24"/>
                <w:szCs w:val="24"/>
                <w:highlight w:val="none"/>
                <w:shd w:val="clear" w:color="auto" w:fill="auto"/>
                <w:lang w:val="en-US" w:eastAsia="zh-CN" w:bidi="ar-SA"/>
              </w:rPr>
            </w:pPr>
            <w:r>
              <w:rPr>
                <w:rFonts w:hint="eastAsia" w:cs="Times New Roman" w:eastAsiaTheme="minorEastAsia"/>
                <w:color w:val="auto"/>
                <w:sz w:val="24"/>
                <w:szCs w:val="24"/>
                <w:highlight w:val="none"/>
                <w:shd w:val="clear" w:color="auto" w:fill="auto"/>
                <w:lang w:val="en-US" w:eastAsia="zh-CN"/>
              </w:rPr>
              <w:t>0.003</w:t>
            </w:r>
            <w:r>
              <w:rPr>
                <w:rFonts w:hint="default" w:ascii="Times New Roman" w:hAnsi="Times New Roman" w:cs="Times New Roman" w:eastAsiaTheme="minorEastAsia"/>
                <w:color w:val="auto"/>
                <w:sz w:val="24"/>
                <w:szCs w:val="24"/>
                <w:highlight w:val="none"/>
                <w:shd w:val="clear" w:color="auto" w:fill="auto"/>
                <w:lang w:val="en-US" w:eastAsia="zh-CN"/>
              </w:rPr>
              <w:t>t/a</w:t>
            </w:r>
          </w:p>
        </w:tc>
        <w:tc>
          <w:tcPr>
            <w:tcW w:w="1254" w:type="dxa"/>
            <w:noWrap w:val="0"/>
            <w:vAlign w:val="center"/>
          </w:tcPr>
          <w:p>
            <w:pPr>
              <w:pStyle w:val="32"/>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bidi="ar-SA"/>
              </w:rPr>
            </w:pPr>
            <w:r>
              <w:rPr>
                <w:rFonts w:hint="eastAsia" w:ascii="宋体" w:hAnsi="宋体" w:eastAsia="宋体" w:cs="宋体"/>
                <w:snapToGrid w:val="0"/>
                <w:color w:val="auto"/>
                <w:kern w:val="21"/>
                <w:sz w:val="24"/>
                <w:szCs w:val="24"/>
                <w:highlight w:val="none"/>
                <w:lang w:val="en-US" w:eastAsia="zh-CN" w:bidi="ar-SA"/>
              </w:rPr>
              <w:t>－</w:t>
            </w:r>
          </w:p>
        </w:tc>
        <w:tc>
          <w:tcPr>
            <w:tcW w:w="1814" w:type="dxa"/>
            <w:noWrap w:val="0"/>
            <w:vAlign w:val="center"/>
          </w:tcPr>
          <w:p>
            <w:pPr>
              <w:pStyle w:val="32"/>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bidi="ar-SA"/>
              </w:rPr>
            </w:pPr>
            <w:r>
              <w:rPr>
                <w:rFonts w:hint="eastAsia" w:ascii="宋体" w:hAnsi="宋体" w:eastAsia="宋体" w:cs="宋体"/>
                <w:snapToGrid w:val="0"/>
                <w:color w:val="auto"/>
                <w:kern w:val="21"/>
                <w:sz w:val="24"/>
                <w:szCs w:val="24"/>
                <w:highlight w:val="none"/>
                <w:lang w:val="en-US" w:eastAsia="zh-CN" w:bidi="ar-SA"/>
              </w:rPr>
              <w:t>－</w:t>
            </w:r>
          </w:p>
        </w:tc>
        <w:tc>
          <w:tcPr>
            <w:tcW w:w="1500" w:type="dxa"/>
            <w:noWrap w:val="0"/>
            <w:vAlign w:val="center"/>
          </w:tcPr>
          <w:p>
            <w:pPr>
              <w:pStyle w:val="32"/>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color w:val="auto"/>
                <w:kern w:val="2"/>
                <w:sz w:val="24"/>
                <w:szCs w:val="24"/>
                <w:highlight w:val="none"/>
                <w:shd w:val="clear" w:color="auto" w:fill="auto"/>
                <w:lang w:val="en-US" w:eastAsia="zh-CN" w:bidi="ar-SA"/>
              </w:rPr>
            </w:pPr>
            <w:r>
              <w:rPr>
                <w:rFonts w:hint="eastAsia" w:cs="Times New Roman" w:eastAsiaTheme="minorEastAsia"/>
                <w:color w:val="auto"/>
                <w:sz w:val="24"/>
                <w:szCs w:val="24"/>
                <w:highlight w:val="none"/>
                <w:shd w:val="clear" w:color="auto" w:fill="auto"/>
                <w:lang w:val="en-US" w:eastAsia="zh-CN"/>
              </w:rPr>
              <w:t>0.003</w:t>
            </w:r>
            <w:r>
              <w:rPr>
                <w:rFonts w:hint="default" w:ascii="Times New Roman" w:hAnsi="Times New Roman" w:cs="Times New Roman" w:eastAsiaTheme="minorEastAsia"/>
                <w:color w:val="auto"/>
                <w:sz w:val="24"/>
                <w:szCs w:val="24"/>
                <w:highlight w:val="none"/>
                <w:shd w:val="clear" w:color="auto" w:fill="auto"/>
                <w:lang w:val="en-US" w:eastAsia="zh-CN"/>
              </w:rPr>
              <w:t>t/a</w:t>
            </w:r>
          </w:p>
        </w:tc>
        <w:tc>
          <w:tcPr>
            <w:tcW w:w="1452" w:type="dxa"/>
            <w:noWrap w:val="0"/>
            <w:vAlign w:val="center"/>
          </w:tcPr>
          <w:p>
            <w:pPr>
              <w:pStyle w:val="32"/>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rPr>
            </w:pPr>
            <w:r>
              <w:rPr>
                <w:rFonts w:hint="eastAsia" w:cs="Times New Roman"/>
                <w:color w:val="auto"/>
                <w:sz w:val="24"/>
                <w:szCs w:val="24"/>
                <w:highlight w:val="none"/>
                <w:shd w:val="clear" w:color="auto" w:fill="auto"/>
                <w:lang w:val="en-US" w:eastAsia="zh-CN"/>
              </w:rPr>
              <w:t>0</w:t>
            </w:r>
          </w:p>
        </w:tc>
        <w:tc>
          <w:tcPr>
            <w:tcW w:w="1590" w:type="dxa"/>
            <w:noWrap w:val="0"/>
            <w:vAlign w:val="center"/>
          </w:tcPr>
          <w:p>
            <w:pPr>
              <w:pStyle w:val="32"/>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color w:val="auto"/>
                <w:kern w:val="2"/>
                <w:sz w:val="24"/>
                <w:szCs w:val="24"/>
                <w:highlight w:val="none"/>
                <w:shd w:val="clear" w:color="auto" w:fill="auto"/>
                <w:lang w:val="en-US" w:eastAsia="zh-CN" w:bidi="ar-SA"/>
              </w:rPr>
            </w:pPr>
            <w:r>
              <w:rPr>
                <w:rFonts w:hint="eastAsia" w:cs="Times New Roman" w:eastAsiaTheme="minorEastAsia"/>
                <w:color w:val="auto"/>
                <w:sz w:val="24"/>
                <w:szCs w:val="24"/>
                <w:highlight w:val="none"/>
                <w:shd w:val="clear" w:color="auto" w:fill="auto"/>
                <w:lang w:val="en-US" w:eastAsia="zh-CN"/>
              </w:rPr>
              <w:t>0.006</w:t>
            </w:r>
            <w:r>
              <w:rPr>
                <w:rFonts w:hint="default" w:ascii="Times New Roman" w:hAnsi="Times New Roman" w:cs="Times New Roman" w:eastAsiaTheme="minorEastAsia"/>
                <w:color w:val="auto"/>
                <w:sz w:val="24"/>
                <w:szCs w:val="24"/>
                <w:highlight w:val="none"/>
                <w:shd w:val="clear" w:color="auto" w:fill="auto"/>
                <w:lang w:val="en-US" w:eastAsia="zh-CN"/>
              </w:rPr>
              <w:t>t/a</w:t>
            </w:r>
          </w:p>
        </w:tc>
        <w:tc>
          <w:tcPr>
            <w:tcW w:w="1511" w:type="dxa"/>
            <w:noWrap w:val="0"/>
            <w:vAlign w:val="center"/>
          </w:tcPr>
          <w:p>
            <w:pPr>
              <w:pStyle w:val="32"/>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bidi="ar-SA"/>
              </w:rPr>
            </w:pPr>
            <w:r>
              <w:rPr>
                <w:rFonts w:hint="eastAsia" w:cs="Times New Roman" w:eastAsiaTheme="minorEastAsia"/>
                <w:color w:val="auto"/>
                <w:sz w:val="24"/>
                <w:szCs w:val="24"/>
                <w:highlight w:val="none"/>
                <w:shd w:val="clear" w:color="auto" w:fill="auto"/>
                <w:lang w:val="en-US" w:eastAsia="zh-CN"/>
              </w:rPr>
              <w:t>+0.003</w:t>
            </w:r>
            <w:r>
              <w:rPr>
                <w:rFonts w:hint="default" w:ascii="Times New Roman" w:hAnsi="Times New Roman" w:cs="Times New Roman" w:eastAsiaTheme="minorEastAsia"/>
                <w:color w:val="auto"/>
                <w:sz w:val="24"/>
                <w:szCs w:val="24"/>
                <w:highlight w:val="none"/>
                <w:shd w:val="clear" w:color="auto" w:fill="auto"/>
                <w:lang w:val="en-US" w:eastAsia="zh-CN"/>
              </w:rPr>
              <w:t>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1340" w:type="dxa"/>
            <w:vMerge w:val="continue"/>
            <w:noWrap w:val="0"/>
            <w:vAlign w:val="center"/>
          </w:tcPr>
          <w:p>
            <w:pPr>
              <w:pStyle w:val="32"/>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rPr>
            </w:pPr>
          </w:p>
        </w:tc>
        <w:tc>
          <w:tcPr>
            <w:tcW w:w="173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40" w:after="40" w:line="240" w:lineRule="auto"/>
              <w:ind w:left="-24" w:leftChars="-10" w:right="-24" w:rightChars="-10" w:firstLine="0" w:firstLineChars="0"/>
              <w:jc w:val="center"/>
              <w:textAlignment w:val="center"/>
              <w:rPr>
                <w:rFonts w:hint="default" w:ascii="Times New Roman" w:hAnsi="Times New Roman" w:cs="Times New Roman" w:eastAsiaTheme="minorEastAsia"/>
                <w:color w:val="auto"/>
                <w:sz w:val="24"/>
                <w:szCs w:val="24"/>
                <w:highlight w:val="none"/>
                <w:shd w:val="clear" w:color="auto" w:fill="auto"/>
                <w:lang w:val="en-US" w:eastAsia="zh-CN"/>
              </w:rPr>
            </w:pPr>
            <w:r>
              <w:rPr>
                <w:rFonts w:hint="eastAsia" w:ascii="Times New Roman" w:hAnsi="Times New Roman" w:eastAsia="宋体" w:cs="Times New Roman"/>
                <w:color w:val="auto"/>
                <w:sz w:val="24"/>
                <w:szCs w:val="24"/>
                <w:highlight w:val="none"/>
                <w:shd w:val="clear" w:color="auto" w:fill="auto"/>
                <w:lang w:val="en-US" w:eastAsia="zh-CN"/>
              </w:rPr>
              <w:t>废</w:t>
            </w:r>
            <w:r>
              <w:rPr>
                <w:rFonts w:hint="eastAsia" w:ascii="Times New Roman" w:hAnsi="Times New Roman" w:cs="Times New Roman"/>
                <w:color w:val="auto"/>
                <w:sz w:val="24"/>
                <w:szCs w:val="24"/>
                <w:highlight w:val="none"/>
                <w:shd w:val="clear" w:color="auto" w:fill="auto"/>
                <w:lang w:val="en-US" w:eastAsia="zh-CN"/>
              </w:rPr>
              <w:t>润滑</w:t>
            </w:r>
            <w:r>
              <w:rPr>
                <w:rFonts w:hint="eastAsia" w:ascii="Times New Roman" w:hAnsi="Times New Roman" w:eastAsia="宋体" w:cs="Times New Roman"/>
                <w:color w:val="auto"/>
                <w:sz w:val="24"/>
                <w:szCs w:val="24"/>
                <w:highlight w:val="none"/>
                <w:shd w:val="clear" w:color="auto" w:fill="auto"/>
                <w:lang w:val="en-US" w:eastAsia="zh-CN"/>
              </w:rPr>
              <w:t>油桶</w:t>
            </w:r>
          </w:p>
        </w:tc>
        <w:tc>
          <w:tcPr>
            <w:tcW w:w="159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40" w:after="40" w:line="240" w:lineRule="auto"/>
              <w:ind w:firstLine="0" w:firstLineChars="0"/>
              <w:jc w:val="center"/>
              <w:textAlignment w:val="center"/>
              <w:rPr>
                <w:rFonts w:hint="default" w:ascii="Times New Roman" w:hAnsi="Times New Roman" w:cs="Times New Roman" w:eastAsiaTheme="minorEastAsia"/>
                <w:color w:val="auto"/>
                <w:kern w:val="2"/>
                <w:sz w:val="24"/>
                <w:szCs w:val="24"/>
                <w:highlight w:val="none"/>
                <w:shd w:val="clear" w:color="auto" w:fill="auto"/>
                <w:lang w:val="en-US" w:eastAsia="zh-CN" w:bidi="ar-SA"/>
              </w:rPr>
            </w:pPr>
            <w:r>
              <w:rPr>
                <w:rFonts w:hint="eastAsia" w:cs="Times New Roman" w:eastAsiaTheme="minorEastAsia"/>
                <w:color w:val="auto"/>
                <w:sz w:val="24"/>
                <w:szCs w:val="24"/>
                <w:highlight w:val="none"/>
                <w:shd w:val="clear" w:color="auto" w:fill="auto"/>
                <w:lang w:val="en-US" w:eastAsia="zh-CN"/>
              </w:rPr>
              <w:t>2个</w:t>
            </w:r>
            <w:r>
              <w:rPr>
                <w:rFonts w:hint="default" w:ascii="Times New Roman" w:hAnsi="Times New Roman" w:cs="Times New Roman" w:eastAsiaTheme="minorEastAsia"/>
                <w:color w:val="auto"/>
                <w:sz w:val="24"/>
                <w:szCs w:val="24"/>
                <w:highlight w:val="none"/>
                <w:shd w:val="clear" w:color="auto" w:fill="auto"/>
                <w:lang w:val="en-US" w:eastAsia="zh-CN"/>
              </w:rPr>
              <w:t>/a</w:t>
            </w:r>
          </w:p>
        </w:tc>
        <w:tc>
          <w:tcPr>
            <w:tcW w:w="1254" w:type="dxa"/>
            <w:noWrap w:val="0"/>
            <w:vAlign w:val="center"/>
          </w:tcPr>
          <w:p>
            <w:pPr>
              <w:pStyle w:val="32"/>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bidi="ar-SA"/>
              </w:rPr>
            </w:pPr>
            <w:r>
              <w:rPr>
                <w:rFonts w:hint="eastAsia" w:ascii="宋体" w:hAnsi="宋体" w:eastAsia="宋体" w:cs="宋体"/>
                <w:snapToGrid w:val="0"/>
                <w:color w:val="auto"/>
                <w:kern w:val="21"/>
                <w:sz w:val="24"/>
                <w:szCs w:val="24"/>
                <w:highlight w:val="none"/>
                <w:lang w:val="en-US" w:eastAsia="zh-CN" w:bidi="ar-SA"/>
              </w:rPr>
              <w:t>－</w:t>
            </w:r>
          </w:p>
        </w:tc>
        <w:tc>
          <w:tcPr>
            <w:tcW w:w="1814" w:type="dxa"/>
            <w:noWrap w:val="0"/>
            <w:vAlign w:val="center"/>
          </w:tcPr>
          <w:p>
            <w:pPr>
              <w:pStyle w:val="32"/>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bidi="ar-SA"/>
              </w:rPr>
            </w:pPr>
            <w:r>
              <w:rPr>
                <w:rFonts w:hint="eastAsia" w:ascii="宋体" w:hAnsi="宋体" w:eastAsia="宋体" w:cs="宋体"/>
                <w:snapToGrid w:val="0"/>
                <w:color w:val="auto"/>
                <w:kern w:val="21"/>
                <w:sz w:val="24"/>
                <w:szCs w:val="24"/>
                <w:highlight w:val="none"/>
                <w:lang w:val="en-US" w:eastAsia="zh-CN" w:bidi="ar-SA"/>
              </w:rPr>
              <w:t>－</w:t>
            </w:r>
          </w:p>
        </w:tc>
        <w:tc>
          <w:tcPr>
            <w:tcW w:w="1500" w:type="dxa"/>
            <w:noWrap w:val="0"/>
            <w:vAlign w:val="center"/>
          </w:tcPr>
          <w:p>
            <w:pPr>
              <w:pStyle w:val="32"/>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color w:val="auto"/>
                <w:sz w:val="24"/>
                <w:szCs w:val="24"/>
                <w:highlight w:val="none"/>
                <w:shd w:val="clear" w:color="auto" w:fill="auto"/>
                <w:lang w:val="en-US" w:eastAsia="zh-CN"/>
              </w:rPr>
            </w:pPr>
            <w:r>
              <w:rPr>
                <w:rFonts w:hint="eastAsia" w:cs="Times New Roman" w:eastAsiaTheme="minorEastAsia"/>
                <w:color w:val="auto"/>
                <w:sz w:val="24"/>
                <w:szCs w:val="24"/>
                <w:highlight w:val="none"/>
                <w:shd w:val="clear" w:color="auto" w:fill="auto"/>
                <w:lang w:val="en-US" w:eastAsia="zh-CN"/>
              </w:rPr>
              <w:t>2个</w:t>
            </w:r>
            <w:r>
              <w:rPr>
                <w:rFonts w:hint="default" w:ascii="Times New Roman" w:hAnsi="Times New Roman" w:cs="Times New Roman" w:eastAsiaTheme="minorEastAsia"/>
                <w:color w:val="auto"/>
                <w:sz w:val="24"/>
                <w:szCs w:val="24"/>
                <w:highlight w:val="none"/>
                <w:shd w:val="clear" w:color="auto" w:fill="auto"/>
                <w:lang w:val="en-US" w:eastAsia="zh-CN"/>
              </w:rPr>
              <w:t>/a</w:t>
            </w:r>
          </w:p>
        </w:tc>
        <w:tc>
          <w:tcPr>
            <w:tcW w:w="1452" w:type="dxa"/>
            <w:noWrap w:val="0"/>
            <w:vAlign w:val="center"/>
          </w:tcPr>
          <w:p>
            <w:pPr>
              <w:pStyle w:val="32"/>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rPr>
            </w:pPr>
            <w:r>
              <w:rPr>
                <w:rFonts w:hint="eastAsia" w:cs="Times New Roman"/>
                <w:color w:val="auto"/>
                <w:sz w:val="24"/>
                <w:szCs w:val="24"/>
                <w:highlight w:val="none"/>
                <w:shd w:val="clear" w:color="auto" w:fill="auto"/>
                <w:lang w:val="en-US" w:eastAsia="zh-CN"/>
              </w:rPr>
              <w:t>0</w:t>
            </w:r>
          </w:p>
        </w:tc>
        <w:tc>
          <w:tcPr>
            <w:tcW w:w="1590" w:type="dxa"/>
            <w:noWrap w:val="0"/>
            <w:vAlign w:val="center"/>
          </w:tcPr>
          <w:p>
            <w:pPr>
              <w:pStyle w:val="32"/>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color w:val="auto"/>
                <w:kern w:val="2"/>
                <w:sz w:val="24"/>
                <w:szCs w:val="24"/>
                <w:highlight w:val="none"/>
                <w:shd w:val="clear" w:color="auto" w:fill="auto"/>
                <w:lang w:val="en-US" w:eastAsia="zh-CN" w:bidi="ar-SA"/>
              </w:rPr>
            </w:pPr>
            <w:r>
              <w:rPr>
                <w:rFonts w:hint="eastAsia" w:cs="Times New Roman" w:eastAsiaTheme="minorEastAsia"/>
                <w:color w:val="auto"/>
                <w:sz w:val="24"/>
                <w:szCs w:val="24"/>
                <w:highlight w:val="none"/>
                <w:shd w:val="clear" w:color="auto" w:fill="auto"/>
                <w:lang w:val="en-US" w:eastAsia="zh-CN"/>
              </w:rPr>
              <w:t>4个</w:t>
            </w:r>
            <w:r>
              <w:rPr>
                <w:rFonts w:hint="default" w:ascii="Times New Roman" w:hAnsi="Times New Roman" w:cs="Times New Roman" w:eastAsiaTheme="minorEastAsia"/>
                <w:color w:val="auto"/>
                <w:sz w:val="24"/>
                <w:szCs w:val="24"/>
                <w:highlight w:val="none"/>
                <w:shd w:val="clear" w:color="auto" w:fill="auto"/>
                <w:lang w:val="en-US" w:eastAsia="zh-CN"/>
              </w:rPr>
              <w:t>/a</w:t>
            </w:r>
          </w:p>
        </w:tc>
        <w:tc>
          <w:tcPr>
            <w:tcW w:w="1511" w:type="dxa"/>
            <w:noWrap w:val="0"/>
            <w:vAlign w:val="center"/>
          </w:tcPr>
          <w:p>
            <w:pPr>
              <w:pStyle w:val="32"/>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eastAsia" w:ascii="Times New Roman" w:hAnsi="Times New Roman" w:cs="Times New Roman" w:eastAsiaTheme="minorEastAsia"/>
                <w:snapToGrid w:val="0"/>
                <w:color w:val="auto"/>
                <w:kern w:val="21"/>
                <w:sz w:val="24"/>
                <w:szCs w:val="24"/>
                <w:highlight w:val="none"/>
                <w:lang w:val="en-US" w:eastAsia="zh-CN" w:bidi="ar-SA"/>
              </w:rPr>
            </w:pPr>
            <w:r>
              <w:rPr>
                <w:rFonts w:hint="eastAsia" w:cs="Times New Roman" w:eastAsiaTheme="minorEastAsia"/>
                <w:color w:val="auto"/>
                <w:sz w:val="24"/>
                <w:szCs w:val="24"/>
                <w:highlight w:val="none"/>
                <w:shd w:val="clear" w:color="auto" w:fill="auto"/>
                <w:lang w:val="en-US" w:eastAsia="zh-CN"/>
              </w:rPr>
              <w:t>+2个</w:t>
            </w:r>
            <w:r>
              <w:rPr>
                <w:rFonts w:hint="default" w:ascii="Times New Roman" w:hAnsi="Times New Roman" w:cs="Times New Roman" w:eastAsiaTheme="minorEastAsia"/>
                <w:color w:val="auto"/>
                <w:sz w:val="24"/>
                <w:szCs w:val="24"/>
                <w:highlight w:val="none"/>
                <w:shd w:val="clear" w:color="auto" w:fill="auto"/>
                <w:lang w:val="en-US" w:eastAsia="zh-CN"/>
              </w:rPr>
              <w: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1340" w:type="dxa"/>
            <w:vMerge w:val="continue"/>
            <w:noWrap w:val="0"/>
            <w:vAlign w:val="center"/>
          </w:tcPr>
          <w:p>
            <w:pPr>
              <w:pStyle w:val="32"/>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rPr>
            </w:pPr>
          </w:p>
        </w:tc>
        <w:tc>
          <w:tcPr>
            <w:tcW w:w="173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40" w:after="40" w:line="240" w:lineRule="auto"/>
              <w:ind w:left="-24" w:leftChars="-10" w:right="-24" w:rightChars="-10" w:firstLine="0" w:firstLineChars="0"/>
              <w:jc w:val="center"/>
              <w:textAlignment w:val="center"/>
              <w:rPr>
                <w:rFonts w:hint="default" w:ascii="Times New Roman" w:hAnsi="Times New Roman" w:cs="Times New Roman" w:eastAsiaTheme="minorEastAsia"/>
                <w:color w:val="auto"/>
                <w:sz w:val="24"/>
                <w:szCs w:val="24"/>
                <w:highlight w:val="none"/>
                <w:shd w:val="clear" w:color="auto" w:fill="auto"/>
                <w:lang w:val="en-US" w:eastAsia="zh-CN"/>
              </w:rPr>
            </w:pPr>
            <w:r>
              <w:rPr>
                <w:rFonts w:hint="eastAsia" w:ascii="Times New Roman" w:hAnsi="Times New Roman" w:eastAsia="宋体" w:cs="Times New Roman"/>
                <w:color w:val="auto"/>
                <w:sz w:val="24"/>
                <w:szCs w:val="24"/>
                <w:highlight w:val="none"/>
                <w:shd w:val="clear" w:color="auto" w:fill="auto"/>
                <w:lang w:val="en-US" w:eastAsia="zh-CN"/>
              </w:rPr>
              <w:t>废包装桶（导电浆料配制原料包装桶）</w:t>
            </w:r>
          </w:p>
        </w:tc>
        <w:tc>
          <w:tcPr>
            <w:tcW w:w="159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40" w:after="40" w:line="240" w:lineRule="auto"/>
              <w:ind w:firstLine="0" w:firstLineChars="0"/>
              <w:jc w:val="center"/>
              <w:textAlignment w:val="center"/>
              <w:rPr>
                <w:rFonts w:hint="default" w:ascii="Times New Roman" w:hAnsi="Times New Roman" w:cs="Times New Roman" w:eastAsiaTheme="minorEastAsia"/>
                <w:color w:val="auto"/>
                <w:kern w:val="2"/>
                <w:sz w:val="24"/>
                <w:szCs w:val="24"/>
                <w:highlight w:val="none"/>
                <w:shd w:val="clear" w:color="auto" w:fill="auto"/>
                <w:lang w:val="en-US" w:eastAsia="zh-CN" w:bidi="ar-SA"/>
              </w:rPr>
            </w:pPr>
            <w:r>
              <w:rPr>
                <w:rFonts w:hint="eastAsia" w:cs="Times New Roman" w:eastAsiaTheme="minorEastAsia"/>
                <w:color w:val="auto"/>
                <w:sz w:val="24"/>
                <w:szCs w:val="24"/>
                <w:highlight w:val="none"/>
                <w:shd w:val="clear" w:color="auto" w:fill="auto"/>
                <w:lang w:val="en-US" w:eastAsia="zh-CN"/>
              </w:rPr>
              <w:t>0</w:t>
            </w:r>
          </w:p>
        </w:tc>
        <w:tc>
          <w:tcPr>
            <w:tcW w:w="1254" w:type="dxa"/>
            <w:noWrap w:val="0"/>
            <w:vAlign w:val="center"/>
          </w:tcPr>
          <w:p>
            <w:pPr>
              <w:pStyle w:val="32"/>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bidi="ar-SA"/>
              </w:rPr>
            </w:pPr>
            <w:r>
              <w:rPr>
                <w:rFonts w:hint="eastAsia" w:ascii="宋体" w:hAnsi="宋体" w:eastAsia="宋体" w:cs="宋体"/>
                <w:snapToGrid w:val="0"/>
                <w:color w:val="auto"/>
                <w:kern w:val="21"/>
                <w:sz w:val="24"/>
                <w:szCs w:val="24"/>
                <w:highlight w:val="none"/>
                <w:lang w:val="en-US" w:eastAsia="zh-CN" w:bidi="ar-SA"/>
              </w:rPr>
              <w:t>－</w:t>
            </w:r>
          </w:p>
        </w:tc>
        <w:tc>
          <w:tcPr>
            <w:tcW w:w="1814" w:type="dxa"/>
            <w:noWrap w:val="0"/>
            <w:vAlign w:val="center"/>
          </w:tcPr>
          <w:p>
            <w:pPr>
              <w:pStyle w:val="32"/>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bidi="ar-SA"/>
              </w:rPr>
            </w:pPr>
            <w:r>
              <w:rPr>
                <w:rFonts w:hint="eastAsia" w:ascii="宋体" w:hAnsi="宋体" w:eastAsia="宋体" w:cs="宋体"/>
                <w:snapToGrid w:val="0"/>
                <w:color w:val="auto"/>
                <w:kern w:val="21"/>
                <w:sz w:val="24"/>
                <w:szCs w:val="24"/>
                <w:highlight w:val="none"/>
                <w:lang w:val="en-US" w:eastAsia="zh-CN" w:bidi="ar-SA"/>
              </w:rPr>
              <w:t>－</w:t>
            </w:r>
          </w:p>
        </w:tc>
        <w:tc>
          <w:tcPr>
            <w:tcW w:w="1500" w:type="dxa"/>
            <w:noWrap w:val="0"/>
            <w:vAlign w:val="center"/>
          </w:tcPr>
          <w:p>
            <w:pPr>
              <w:pStyle w:val="32"/>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color w:val="auto"/>
                <w:sz w:val="24"/>
                <w:szCs w:val="24"/>
                <w:highlight w:val="none"/>
                <w:shd w:val="clear" w:color="auto" w:fill="auto"/>
                <w:lang w:val="en-US" w:eastAsia="zh-CN"/>
              </w:rPr>
            </w:pPr>
            <w:r>
              <w:rPr>
                <w:rFonts w:hint="eastAsia" w:ascii="Times New Roman" w:hAnsi="Times New Roman" w:cs="Times New Roman"/>
                <w:color w:val="auto"/>
                <w:sz w:val="24"/>
                <w:szCs w:val="24"/>
                <w:highlight w:val="none"/>
                <w:shd w:val="clear" w:color="auto" w:fill="auto"/>
                <w:lang w:val="en-US" w:eastAsia="zh-CN"/>
              </w:rPr>
              <w:t>0</w:t>
            </w:r>
            <w:r>
              <w:rPr>
                <w:rFonts w:hint="eastAsia" w:cs="Times New Roman"/>
                <w:color w:val="auto"/>
                <w:sz w:val="24"/>
                <w:szCs w:val="24"/>
                <w:highlight w:val="none"/>
                <w:shd w:val="clear" w:color="auto" w:fill="auto"/>
                <w:lang w:val="en-US" w:eastAsia="zh-CN"/>
              </w:rPr>
              <w:t>.05</w:t>
            </w:r>
            <w:r>
              <w:rPr>
                <w:rFonts w:hint="default" w:ascii="Times New Roman" w:hAnsi="Times New Roman" w:cs="Times New Roman" w:eastAsiaTheme="minorEastAsia"/>
                <w:color w:val="auto"/>
                <w:sz w:val="24"/>
                <w:szCs w:val="24"/>
                <w:highlight w:val="none"/>
                <w:shd w:val="clear" w:color="auto" w:fill="auto"/>
                <w:lang w:val="en-US" w:eastAsia="zh-CN"/>
              </w:rPr>
              <w:t>t/a</w:t>
            </w:r>
          </w:p>
        </w:tc>
        <w:tc>
          <w:tcPr>
            <w:tcW w:w="1452" w:type="dxa"/>
            <w:noWrap w:val="0"/>
            <w:vAlign w:val="center"/>
          </w:tcPr>
          <w:p>
            <w:pPr>
              <w:pStyle w:val="32"/>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rPr>
            </w:pPr>
            <w:r>
              <w:rPr>
                <w:rFonts w:hint="eastAsia" w:cs="Times New Roman"/>
                <w:color w:val="auto"/>
                <w:sz w:val="24"/>
                <w:szCs w:val="24"/>
                <w:highlight w:val="none"/>
                <w:shd w:val="clear" w:color="auto" w:fill="auto"/>
                <w:lang w:val="en-US" w:eastAsia="zh-CN"/>
              </w:rPr>
              <w:t>0</w:t>
            </w:r>
          </w:p>
        </w:tc>
        <w:tc>
          <w:tcPr>
            <w:tcW w:w="159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40" w:after="40" w:line="240" w:lineRule="auto"/>
              <w:ind w:firstLine="0" w:firstLineChars="0"/>
              <w:jc w:val="center"/>
              <w:textAlignment w:val="center"/>
              <w:rPr>
                <w:rFonts w:hint="default" w:ascii="Times New Roman" w:hAnsi="Times New Roman" w:cs="Times New Roman" w:eastAsiaTheme="minorEastAsia"/>
                <w:color w:val="auto"/>
                <w:kern w:val="2"/>
                <w:sz w:val="24"/>
                <w:szCs w:val="24"/>
                <w:highlight w:val="none"/>
                <w:shd w:val="clear" w:color="auto" w:fill="auto"/>
                <w:lang w:val="en-US" w:eastAsia="zh-CN" w:bidi="ar-SA"/>
              </w:rPr>
            </w:pPr>
            <w:r>
              <w:rPr>
                <w:rFonts w:hint="eastAsia" w:ascii="Times New Roman" w:hAnsi="Times New Roman" w:cs="Times New Roman"/>
                <w:color w:val="auto"/>
                <w:sz w:val="24"/>
                <w:szCs w:val="24"/>
                <w:highlight w:val="none"/>
                <w:shd w:val="clear" w:color="auto" w:fill="auto"/>
                <w:lang w:val="en-US" w:eastAsia="zh-CN"/>
              </w:rPr>
              <w:t>0</w:t>
            </w:r>
            <w:r>
              <w:rPr>
                <w:rFonts w:hint="eastAsia" w:cs="Times New Roman"/>
                <w:color w:val="auto"/>
                <w:sz w:val="24"/>
                <w:szCs w:val="24"/>
                <w:highlight w:val="none"/>
                <w:shd w:val="clear" w:color="auto" w:fill="auto"/>
                <w:lang w:val="en-US" w:eastAsia="zh-CN"/>
              </w:rPr>
              <w:t>.05</w:t>
            </w:r>
            <w:r>
              <w:rPr>
                <w:rFonts w:hint="default" w:ascii="Times New Roman" w:hAnsi="Times New Roman" w:cs="Times New Roman" w:eastAsiaTheme="minorEastAsia"/>
                <w:color w:val="auto"/>
                <w:sz w:val="24"/>
                <w:szCs w:val="24"/>
                <w:highlight w:val="none"/>
                <w:shd w:val="clear" w:color="auto" w:fill="auto"/>
                <w:lang w:val="en-US" w:eastAsia="zh-CN"/>
              </w:rPr>
              <w:t>t/a</w:t>
            </w:r>
          </w:p>
        </w:tc>
        <w:tc>
          <w:tcPr>
            <w:tcW w:w="1511" w:type="dxa"/>
            <w:noWrap w:val="0"/>
            <w:vAlign w:val="center"/>
          </w:tcPr>
          <w:p>
            <w:pPr>
              <w:pStyle w:val="32"/>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eastAsia" w:ascii="Times New Roman" w:hAnsi="Times New Roman" w:cs="Times New Roman" w:eastAsiaTheme="minorEastAsia"/>
                <w:snapToGrid w:val="0"/>
                <w:color w:val="auto"/>
                <w:kern w:val="21"/>
                <w:sz w:val="24"/>
                <w:szCs w:val="24"/>
                <w:highlight w:val="none"/>
                <w:lang w:val="en-US" w:eastAsia="zh-CN" w:bidi="ar-SA"/>
              </w:rPr>
            </w:pPr>
            <w:r>
              <w:rPr>
                <w:rFonts w:hint="eastAsia" w:cs="Times New Roman"/>
                <w:color w:val="auto"/>
                <w:sz w:val="24"/>
                <w:szCs w:val="24"/>
                <w:highlight w:val="none"/>
                <w:shd w:val="clear" w:color="auto" w:fill="auto"/>
                <w:lang w:val="en-US" w:eastAsia="zh-CN"/>
              </w:rPr>
              <w:t>+</w:t>
            </w:r>
            <w:r>
              <w:rPr>
                <w:rFonts w:hint="eastAsia" w:ascii="Times New Roman" w:hAnsi="Times New Roman" w:cs="Times New Roman"/>
                <w:color w:val="auto"/>
                <w:sz w:val="24"/>
                <w:szCs w:val="24"/>
                <w:highlight w:val="none"/>
                <w:shd w:val="clear" w:color="auto" w:fill="auto"/>
                <w:lang w:val="en-US" w:eastAsia="zh-CN"/>
              </w:rPr>
              <w:t>0</w:t>
            </w:r>
            <w:r>
              <w:rPr>
                <w:rFonts w:hint="eastAsia" w:cs="Times New Roman"/>
                <w:color w:val="auto"/>
                <w:sz w:val="24"/>
                <w:szCs w:val="24"/>
                <w:highlight w:val="none"/>
                <w:shd w:val="clear" w:color="auto" w:fill="auto"/>
                <w:lang w:val="en-US" w:eastAsia="zh-CN"/>
              </w:rPr>
              <w:t>.05</w:t>
            </w:r>
            <w:r>
              <w:rPr>
                <w:rFonts w:hint="default" w:ascii="Times New Roman" w:hAnsi="Times New Roman" w:cs="Times New Roman" w:eastAsiaTheme="minorEastAsia"/>
                <w:color w:val="auto"/>
                <w:sz w:val="24"/>
                <w:szCs w:val="24"/>
                <w:highlight w:val="none"/>
                <w:shd w:val="clear" w:color="auto" w:fill="auto"/>
                <w:lang w:val="en-US" w:eastAsia="zh-CN"/>
              </w:rPr>
              <w:t>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1340" w:type="dxa"/>
            <w:vMerge w:val="continue"/>
            <w:noWrap w:val="0"/>
            <w:vAlign w:val="center"/>
          </w:tcPr>
          <w:p>
            <w:pPr>
              <w:pStyle w:val="32"/>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rPr>
            </w:pPr>
          </w:p>
        </w:tc>
        <w:tc>
          <w:tcPr>
            <w:tcW w:w="173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40" w:after="40" w:line="240" w:lineRule="auto"/>
              <w:ind w:left="-24" w:leftChars="-10" w:right="-24" w:rightChars="-10" w:firstLine="0" w:firstLineChars="0"/>
              <w:jc w:val="center"/>
              <w:textAlignment w:val="center"/>
              <w:rPr>
                <w:rFonts w:hint="default" w:ascii="Times New Roman" w:hAnsi="Times New Roman" w:cs="Times New Roman" w:eastAsiaTheme="minorEastAsia"/>
                <w:color w:val="auto"/>
                <w:kern w:val="2"/>
                <w:sz w:val="24"/>
                <w:szCs w:val="24"/>
                <w:highlight w:val="none"/>
                <w:lang w:val="en-US" w:eastAsia="zh-CN" w:bidi="ar-SA"/>
              </w:rPr>
            </w:pPr>
            <w:r>
              <w:rPr>
                <w:rFonts w:hint="eastAsia" w:ascii="Times New Roman" w:hAnsi="Times New Roman" w:cs="Times New Roman"/>
                <w:color w:val="auto"/>
                <w:sz w:val="24"/>
                <w:szCs w:val="24"/>
                <w:highlight w:val="none"/>
                <w:shd w:val="clear" w:color="auto" w:fill="auto"/>
                <w:lang w:val="en-US" w:eastAsia="zh-CN"/>
              </w:rPr>
              <w:t>喷淋废水</w:t>
            </w:r>
          </w:p>
        </w:tc>
        <w:tc>
          <w:tcPr>
            <w:tcW w:w="159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40" w:after="40" w:line="240" w:lineRule="auto"/>
              <w:ind w:firstLine="0" w:firstLineChars="0"/>
              <w:jc w:val="center"/>
              <w:textAlignment w:val="center"/>
              <w:rPr>
                <w:rFonts w:hint="default" w:ascii="Times New Roman" w:hAnsi="Times New Roman" w:cs="Times New Roman" w:eastAsiaTheme="minorEastAsia"/>
                <w:color w:val="auto"/>
                <w:kern w:val="2"/>
                <w:sz w:val="24"/>
                <w:szCs w:val="24"/>
                <w:highlight w:val="none"/>
                <w:shd w:val="clear" w:color="auto" w:fill="auto"/>
                <w:lang w:val="en-US" w:eastAsia="zh-CN" w:bidi="ar-SA"/>
              </w:rPr>
            </w:pPr>
            <w:r>
              <w:rPr>
                <w:rFonts w:hint="eastAsia" w:cs="Times New Roman" w:eastAsiaTheme="minorEastAsia"/>
                <w:color w:val="auto"/>
                <w:kern w:val="2"/>
                <w:sz w:val="24"/>
                <w:szCs w:val="24"/>
                <w:highlight w:val="none"/>
                <w:shd w:val="clear" w:color="auto" w:fill="auto"/>
                <w:lang w:val="en-US" w:eastAsia="zh-CN" w:bidi="ar-SA"/>
              </w:rPr>
              <w:t>6m</w:t>
            </w:r>
            <w:r>
              <w:rPr>
                <w:rFonts w:hint="eastAsia" w:cs="Times New Roman" w:eastAsiaTheme="minorEastAsia"/>
                <w:color w:val="auto"/>
                <w:kern w:val="2"/>
                <w:sz w:val="24"/>
                <w:szCs w:val="24"/>
                <w:highlight w:val="none"/>
                <w:shd w:val="clear" w:color="auto" w:fill="auto"/>
                <w:vertAlign w:val="superscript"/>
                <w:lang w:val="en-US" w:eastAsia="zh-CN" w:bidi="ar-SA"/>
              </w:rPr>
              <w:t>3</w:t>
            </w:r>
            <w:r>
              <w:rPr>
                <w:rFonts w:hint="default" w:ascii="Times New Roman" w:hAnsi="Times New Roman" w:cs="Times New Roman" w:eastAsiaTheme="minorEastAsia"/>
                <w:color w:val="auto"/>
                <w:sz w:val="24"/>
                <w:szCs w:val="24"/>
                <w:highlight w:val="none"/>
                <w:shd w:val="clear" w:color="auto" w:fill="auto"/>
                <w:lang w:val="en-US" w:eastAsia="zh-CN"/>
              </w:rPr>
              <w:t>/a</w:t>
            </w:r>
          </w:p>
        </w:tc>
        <w:tc>
          <w:tcPr>
            <w:tcW w:w="1254" w:type="dxa"/>
            <w:noWrap w:val="0"/>
            <w:vAlign w:val="center"/>
          </w:tcPr>
          <w:p>
            <w:pPr>
              <w:pStyle w:val="32"/>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bidi="ar-SA"/>
              </w:rPr>
            </w:pPr>
            <w:r>
              <w:rPr>
                <w:rFonts w:hint="eastAsia" w:ascii="宋体" w:hAnsi="宋体" w:eastAsia="宋体" w:cs="宋体"/>
                <w:snapToGrid w:val="0"/>
                <w:color w:val="auto"/>
                <w:kern w:val="21"/>
                <w:sz w:val="24"/>
                <w:szCs w:val="24"/>
                <w:highlight w:val="none"/>
                <w:lang w:val="en-US" w:eastAsia="zh-CN" w:bidi="ar-SA"/>
              </w:rPr>
              <w:t>－</w:t>
            </w:r>
          </w:p>
        </w:tc>
        <w:tc>
          <w:tcPr>
            <w:tcW w:w="1814" w:type="dxa"/>
            <w:noWrap w:val="0"/>
            <w:vAlign w:val="center"/>
          </w:tcPr>
          <w:p>
            <w:pPr>
              <w:pStyle w:val="32"/>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bidi="ar-SA"/>
              </w:rPr>
            </w:pPr>
            <w:r>
              <w:rPr>
                <w:rFonts w:hint="eastAsia" w:ascii="宋体" w:hAnsi="宋体" w:eastAsia="宋体" w:cs="宋体"/>
                <w:snapToGrid w:val="0"/>
                <w:color w:val="auto"/>
                <w:kern w:val="21"/>
                <w:sz w:val="24"/>
                <w:szCs w:val="24"/>
                <w:highlight w:val="none"/>
                <w:lang w:val="en-US" w:eastAsia="zh-CN" w:bidi="ar-SA"/>
              </w:rPr>
              <w:t>－</w:t>
            </w:r>
          </w:p>
        </w:tc>
        <w:tc>
          <w:tcPr>
            <w:tcW w:w="1500" w:type="dxa"/>
            <w:noWrap w:val="0"/>
            <w:vAlign w:val="center"/>
          </w:tcPr>
          <w:p>
            <w:pPr>
              <w:pStyle w:val="32"/>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color w:val="auto"/>
                <w:kern w:val="2"/>
                <w:sz w:val="24"/>
                <w:szCs w:val="24"/>
                <w:highlight w:val="none"/>
                <w:shd w:val="clear" w:color="auto" w:fill="auto"/>
                <w:lang w:val="en-US" w:eastAsia="zh-CN" w:bidi="ar-SA"/>
              </w:rPr>
            </w:pPr>
            <w:r>
              <w:rPr>
                <w:rFonts w:hint="eastAsia" w:cs="Times New Roman"/>
                <w:color w:val="auto"/>
                <w:sz w:val="24"/>
                <w:szCs w:val="24"/>
                <w:highlight w:val="none"/>
                <w:shd w:val="clear" w:color="auto" w:fill="auto"/>
                <w:lang w:val="en-US" w:eastAsia="zh-CN"/>
              </w:rPr>
              <w:t>0</w:t>
            </w:r>
          </w:p>
        </w:tc>
        <w:tc>
          <w:tcPr>
            <w:tcW w:w="1452" w:type="dxa"/>
            <w:noWrap w:val="0"/>
            <w:vAlign w:val="center"/>
          </w:tcPr>
          <w:p>
            <w:pPr>
              <w:pStyle w:val="32"/>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rPr>
            </w:pPr>
            <w:r>
              <w:rPr>
                <w:rFonts w:hint="eastAsia" w:cs="Times New Roman"/>
                <w:color w:val="auto"/>
                <w:sz w:val="24"/>
                <w:szCs w:val="24"/>
                <w:highlight w:val="none"/>
                <w:shd w:val="clear" w:color="auto" w:fill="auto"/>
                <w:lang w:val="en-US" w:eastAsia="zh-CN"/>
              </w:rPr>
              <w:t>0</w:t>
            </w:r>
          </w:p>
        </w:tc>
        <w:tc>
          <w:tcPr>
            <w:tcW w:w="159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40" w:after="40" w:line="240" w:lineRule="auto"/>
              <w:ind w:firstLine="0" w:firstLineChars="0"/>
              <w:jc w:val="center"/>
              <w:textAlignment w:val="center"/>
              <w:rPr>
                <w:rFonts w:hint="default" w:ascii="Times New Roman" w:hAnsi="Times New Roman" w:cs="Times New Roman" w:eastAsiaTheme="minorEastAsia"/>
                <w:color w:val="auto"/>
                <w:kern w:val="2"/>
                <w:sz w:val="24"/>
                <w:szCs w:val="24"/>
                <w:highlight w:val="none"/>
                <w:shd w:val="clear" w:color="auto" w:fill="auto"/>
                <w:lang w:val="en-US" w:eastAsia="zh-CN" w:bidi="ar-SA"/>
              </w:rPr>
            </w:pPr>
            <w:r>
              <w:rPr>
                <w:rFonts w:hint="eastAsia" w:cs="Times New Roman" w:eastAsiaTheme="minorEastAsia"/>
                <w:color w:val="auto"/>
                <w:kern w:val="2"/>
                <w:sz w:val="24"/>
                <w:szCs w:val="24"/>
                <w:highlight w:val="none"/>
                <w:shd w:val="clear" w:color="auto" w:fill="auto"/>
                <w:lang w:val="en-US" w:eastAsia="zh-CN" w:bidi="ar-SA"/>
              </w:rPr>
              <w:t>6m</w:t>
            </w:r>
            <w:r>
              <w:rPr>
                <w:rFonts w:hint="eastAsia" w:cs="Times New Roman" w:eastAsiaTheme="minorEastAsia"/>
                <w:color w:val="auto"/>
                <w:kern w:val="2"/>
                <w:sz w:val="24"/>
                <w:szCs w:val="24"/>
                <w:highlight w:val="none"/>
                <w:shd w:val="clear" w:color="auto" w:fill="auto"/>
                <w:vertAlign w:val="superscript"/>
                <w:lang w:val="en-US" w:eastAsia="zh-CN" w:bidi="ar-SA"/>
              </w:rPr>
              <w:t>3</w:t>
            </w:r>
            <w:r>
              <w:rPr>
                <w:rFonts w:hint="default" w:ascii="Times New Roman" w:hAnsi="Times New Roman" w:cs="Times New Roman" w:eastAsiaTheme="minorEastAsia"/>
                <w:color w:val="auto"/>
                <w:sz w:val="24"/>
                <w:szCs w:val="24"/>
                <w:highlight w:val="none"/>
                <w:shd w:val="clear" w:color="auto" w:fill="auto"/>
                <w:lang w:val="en-US" w:eastAsia="zh-CN"/>
              </w:rPr>
              <w:t>/a</w:t>
            </w:r>
          </w:p>
        </w:tc>
        <w:tc>
          <w:tcPr>
            <w:tcW w:w="1511" w:type="dxa"/>
            <w:noWrap w:val="0"/>
            <w:vAlign w:val="center"/>
          </w:tcPr>
          <w:p>
            <w:pPr>
              <w:pStyle w:val="32"/>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bidi="ar-SA"/>
              </w:rPr>
            </w:pPr>
            <w:r>
              <w:rPr>
                <w:rFonts w:hint="eastAsia" w:cs="Times New Roman" w:eastAsiaTheme="minorEastAsia"/>
                <w:snapToGrid w:val="0"/>
                <w:color w:val="auto"/>
                <w:kern w:val="21"/>
                <w:sz w:val="24"/>
                <w:szCs w:val="24"/>
                <w:highlight w:val="none"/>
                <w:lang w:val="en-US" w:eastAsia="zh-CN" w:bidi="ar-SA"/>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1340" w:type="dxa"/>
            <w:vMerge w:val="continue"/>
            <w:noWrap w:val="0"/>
            <w:vAlign w:val="center"/>
          </w:tcPr>
          <w:p>
            <w:pPr>
              <w:pStyle w:val="32"/>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rPr>
            </w:pPr>
          </w:p>
        </w:tc>
        <w:tc>
          <w:tcPr>
            <w:tcW w:w="173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40" w:after="40" w:line="240" w:lineRule="auto"/>
              <w:ind w:left="-24" w:leftChars="-10" w:right="-24" w:rightChars="-10" w:firstLine="0" w:firstLineChars="0"/>
              <w:jc w:val="center"/>
              <w:textAlignment w:val="center"/>
              <w:rPr>
                <w:rFonts w:hint="default" w:ascii="Times New Roman" w:hAnsi="Times New Roman" w:cs="Times New Roman" w:eastAsiaTheme="minorEastAsia"/>
                <w:color w:val="auto"/>
                <w:sz w:val="24"/>
                <w:szCs w:val="24"/>
                <w:highlight w:val="none"/>
                <w:shd w:val="clear" w:color="auto" w:fill="auto"/>
                <w:lang w:val="en-US" w:eastAsia="zh-CN"/>
              </w:rPr>
            </w:pPr>
            <w:r>
              <w:rPr>
                <w:rFonts w:hint="eastAsia" w:cs="Times New Roman"/>
                <w:color w:val="auto"/>
                <w:sz w:val="24"/>
                <w:szCs w:val="24"/>
                <w:highlight w:val="none"/>
                <w:shd w:val="clear" w:color="auto" w:fill="auto"/>
                <w:lang w:val="en-US" w:eastAsia="zh-CN"/>
              </w:rPr>
              <w:t>镀膜液包装桶</w:t>
            </w:r>
          </w:p>
        </w:tc>
        <w:tc>
          <w:tcPr>
            <w:tcW w:w="159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40" w:after="40" w:line="240" w:lineRule="auto"/>
              <w:ind w:firstLine="0" w:firstLineChars="0"/>
              <w:jc w:val="center"/>
              <w:textAlignment w:val="center"/>
              <w:rPr>
                <w:rFonts w:hint="default" w:ascii="Times New Roman" w:hAnsi="Times New Roman" w:cs="Times New Roman" w:eastAsiaTheme="minorEastAsia"/>
                <w:color w:val="auto"/>
                <w:kern w:val="2"/>
                <w:sz w:val="24"/>
                <w:szCs w:val="24"/>
                <w:highlight w:val="none"/>
                <w:shd w:val="clear" w:color="auto" w:fill="auto"/>
                <w:lang w:val="en-US" w:eastAsia="zh-CN" w:bidi="ar-SA"/>
              </w:rPr>
            </w:pPr>
            <w:r>
              <w:rPr>
                <w:rFonts w:hint="eastAsia" w:cs="Times New Roman" w:eastAsiaTheme="minorEastAsia"/>
                <w:color w:val="auto"/>
                <w:sz w:val="24"/>
                <w:szCs w:val="24"/>
                <w:highlight w:val="none"/>
                <w:shd w:val="clear" w:color="auto" w:fill="auto"/>
                <w:lang w:val="en-US" w:eastAsia="zh-CN"/>
              </w:rPr>
              <w:t>4个</w:t>
            </w:r>
            <w:r>
              <w:rPr>
                <w:rFonts w:hint="default" w:ascii="Times New Roman" w:hAnsi="Times New Roman" w:cs="Times New Roman" w:eastAsiaTheme="minorEastAsia"/>
                <w:color w:val="auto"/>
                <w:sz w:val="24"/>
                <w:szCs w:val="24"/>
                <w:highlight w:val="none"/>
                <w:shd w:val="clear" w:color="auto" w:fill="auto"/>
                <w:lang w:val="en-US" w:eastAsia="zh-CN"/>
              </w:rPr>
              <w:t>/a</w:t>
            </w:r>
          </w:p>
        </w:tc>
        <w:tc>
          <w:tcPr>
            <w:tcW w:w="1254" w:type="dxa"/>
            <w:noWrap w:val="0"/>
            <w:vAlign w:val="center"/>
          </w:tcPr>
          <w:p>
            <w:pPr>
              <w:pStyle w:val="32"/>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bidi="ar-SA"/>
              </w:rPr>
            </w:pPr>
            <w:r>
              <w:rPr>
                <w:rFonts w:hint="eastAsia" w:ascii="宋体" w:hAnsi="宋体" w:eastAsia="宋体" w:cs="宋体"/>
                <w:snapToGrid w:val="0"/>
                <w:color w:val="auto"/>
                <w:kern w:val="21"/>
                <w:sz w:val="24"/>
                <w:szCs w:val="24"/>
                <w:highlight w:val="none"/>
                <w:lang w:val="en-US" w:eastAsia="zh-CN" w:bidi="ar-SA"/>
              </w:rPr>
              <w:t>－</w:t>
            </w:r>
          </w:p>
        </w:tc>
        <w:tc>
          <w:tcPr>
            <w:tcW w:w="1814" w:type="dxa"/>
            <w:noWrap w:val="0"/>
            <w:vAlign w:val="center"/>
          </w:tcPr>
          <w:p>
            <w:pPr>
              <w:pStyle w:val="32"/>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bidi="ar-SA"/>
              </w:rPr>
            </w:pPr>
            <w:r>
              <w:rPr>
                <w:rFonts w:hint="eastAsia" w:ascii="宋体" w:hAnsi="宋体" w:eastAsia="宋体" w:cs="宋体"/>
                <w:snapToGrid w:val="0"/>
                <w:color w:val="auto"/>
                <w:kern w:val="21"/>
                <w:sz w:val="24"/>
                <w:szCs w:val="24"/>
                <w:highlight w:val="none"/>
                <w:lang w:val="en-US" w:eastAsia="zh-CN" w:bidi="ar-SA"/>
              </w:rPr>
              <w:t>－</w:t>
            </w:r>
          </w:p>
        </w:tc>
        <w:tc>
          <w:tcPr>
            <w:tcW w:w="1500" w:type="dxa"/>
            <w:noWrap w:val="0"/>
            <w:vAlign w:val="center"/>
          </w:tcPr>
          <w:p>
            <w:pPr>
              <w:pStyle w:val="32"/>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color w:val="auto"/>
                <w:kern w:val="2"/>
                <w:sz w:val="24"/>
                <w:szCs w:val="24"/>
                <w:highlight w:val="none"/>
                <w:shd w:val="clear" w:color="auto" w:fill="auto"/>
                <w:lang w:val="en-US" w:eastAsia="zh-CN" w:bidi="ar-SA"/>
              </w:rPr>
            </w:pPr>
            <w:r>
              <w:rPr>
                <w:rFonts w:hint="eastAsia" w:cs="Times New Roman"/>
                <w:color w:val="auto"/>
                <w:sz w:val="24"/>
                <w:szCs w:val="24"/>
                <w:highlight w:val="none"/>
                <w:shd w:val="clear" w:color="auto" w:fill="auto"/>
                <w:lang w:val="en-US" w:eastAsia="zh-CN"/>
              </w:rPr>
              <w:t>0</w:t>
            </w:r>
          </w:p>
        </w:tc>
        <w:tc>
          <w:tcPr>
            <w:tcW w:w="1452" w:type="dxa"/>
            <w:noWrap w:val="0"/>
            <w:vAlign w:val="center"/>
          </w:tcPr>
          <w:p>
            <w:pPr>
              <w:pStyle w:val="32"/>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rPr>
            </w:pPr>
            <w:r>
              <w:rPr>
                <w:rFonts w:hint="eastAsia" w:cs="Times New Roman"/>
                <w:color w:val="auto"/>
                <w:sz w:val="24"/>
                <w:szCs w:val="24"/>
                <w:highlight w:val="none"/>
                <w:shd w:val="clear" w:color="auto" w:fill="auto"/>
                <w:lang w:val="en-US" w:eastAsia="zh-CN"/>
              </w:rPr>
              <w:t>0</w:t>
            </w:r>
          </w:p>
        </w:tc>
        <w:tc>
          <w:tcPr>
            <w:tcW w:w="159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40" w:after="40" w:line="240" w:lineRule="auto"/>
              <w:ind w:firstLine="0" w:firstLineChars="0"/>
              <w:jc w:val="center"/>
              <w:textAlignment w:val="center"/>
              <w:rPr>
                <w:rFonts w:hint="default" w:ascii="Times New Roman" w:hAnsi="Times New Roman" w:cs="Times New Roman" w:eastAsiaTheme="minorEastAsia"/>
                <w:color w:val="auto"/>
                <w:kern w:val="2"/>
                <w:sz w:val="24"/>
                <w:szCs w:val="24"/>
                <w:highlight w:val="none"/>
                <w:shd w:val="clear" w:color="auto" w:fill="auto"/>
                <w:lang w:val="en-US" w:eastAsia="zh-CN" w:bidi="ar-SA"/>
              </w:rPr>
            </w:pPr>
            <w:r>
              <w:rPr>
                <w:rFonts w:hint="eastAsia" w:cs="Times New Roman" w:eastAsiaTheme="minorEastAsia"/>
                <w:color w:val="auto"/>
                <w:sz w:val="24"/>
                <w:szCs w:val="24"/>
                <w:highlight w:val="none"/>
                <w:shd w:val="clear" w:color="auto" w:fill="auto"/>
                <w:lang w:val="en-US" w:eastAsia="zh-CN"/>
              </w:rPr>
              <w:t>4个</w:t>
            </w:r>
            <w:r>
              <w:rPr>
                <w:rFonts w:hint="default" w:ascii="Times New Roman" w:hAnsi="Times New Roman" w:cs="Times New Roman" w:eastAsiaTheme="minorEastAsia"/>
                <w:color w:val="auto"/>
                <w:sz w:val="24"/>
                <w:szCs w:val="24"/>
                <w:highlight w:val="none"/>
                <w:shd w:val="clear" w:color="auto" w:fill="auto"/>
                <w:lang w:val="en-US" w:eastAsia="zh-CN"/>
              </w:rPr>
              <w:t>/a</w:t>
            </w:r>
          </w:p>
        </w:tc>
        <w:tc>
          <w:tcPr>
            <w:tcW w:w="1511" w:type="dxa"/>
            <w:noWrap w:val="0"/>
            <w:vAlign w:val="center"/>
          </w:tcPr>
          <w:p>
            <w:pPr>
              <w:pStyle w:val="32"/>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eastAsia" w:ascii="Times New Roman" w:hAnsi="Times New Roman" w:cs="Times New Roman" w:eastAsiaTheme="minorEastAsia"/>
                <w:snapToGrid w:val="0"/>
                <w:color w:val="auto"/>
                <w:kern w:val="21"/>
                <w:sz w:val="24"/>
                <w:szCs w:val="24"/>
                <w:highlight w:val="none"/>
                <w:lang w:val="en-US" w:eastAsia="zh-CN" w:bidi="ar-SA"/>
              </w:rPr>
            </w:pPr>
            <w:r>
              <w:rPr>
                <w:rFonts w:hint="eastAsia" w:cs="Times New Roman" w:eastAsiaTheme="minorEastAsia"/>
                <w:snapToGrid w:val="0"/>
                <w:color w:val="auto"/>
                <w:kern w:val="21"/>
                <w:sz w:val="24"/>
                <w:szCs w:val="24"/>
                <w:highlight w:val="none"/>
                <w:lang w:val="en-US" w:eastAsia="zh-CN" w:bidi="ar-SA"/>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1340" w:type="dxa"/>
            <w:vMerge w:val="continue"/>
            <w:noWrap w:val="0"/>
            <w:vAlign w:val="center"/>
          </w:tcPr>
          <w:p>
            <w:pPr>
              <w:pStyle w:val="32"/>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rPr>
            </w:pPr>
          </w:p>
        </w:tc>
        <w:tc>
          <w:tcPr>
            <w:tcW w:w="173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40" w:after="40" w:line="240" w:lineRule="auto"/>
              <w:ind w:left="-24" w:leftChars="-10" w:right="-24" w:rightChars="-10" w:firstLine="0" w:firstLineChars="0"/>
              <w:jc w:val="center"/>
              <w:textAlignment w:val="center"/>
              <w:rPr>
                <w:rFonts w:hint="default" w:ascii="Times New Roman" w:hAnsi="Times New Roman" w:cs="Times New Roman" w:eastAsiaTheme="minorEastAsia"/>
                <w:color w:val="auto"/>
                <w:sz w:val="24"/>
                <w:szCs w:val="24"/>
                <w:highlight w:val="none"/>
                <w:shd w:val="clear" w:color="auto" w:fill="auto"/>
                <w:lang w:val="en-US" w:eastAsia="zh-CN"/>
              </w:rPr>
            </w:pPr>
            <w:r>
              <w:rPr>
                <w:rFonts w:hint="eastAsia" w:cs="Times New Roman"/>
                <w:color w:val="auto"/>
                <w:sz w:val="24"/>
                <w:szCs w:val="24"/>
                <w:highlight w:val="none"/>
                <w:shd w:val="clear" w:color="auto" w:fill="auto"/>
                <w:lang w:val="en-US" w:eastAsia="zh-CN"/>
              </w:rPr>
              <w:t>电极银浆包装罐</w:t>
            </w:r>
          </w:p>
        </w:tc>
        <w:tc>
          <w:tcPr>
            <w:tcW w:w="159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40" w:after="40" w:line="240" w:lineRule="auto"/>
              <w:ind w:firstLine="0" w:firstLineChars="0"/>
              <w:jc w:val="center"/>
              <w:textAlignment w:val="center"/>
              <w:rPr>
                <w:rFonts w:hint="default" w:ascii="Times New Roman" w:hAnsi="Times New Roman" w:cs="Times New Roman" w:eastAsiaTheme="minorEastAsia"/>
                <w:color w:val="auto"/>
                <w:kern w:val="2"/>
                <w:sz w:val="24"/>
                <w:szCs w:val="24"/>
                <w:highlight w:val="none"/>
                <w:shd w:val="clear" w:color="auto" w:fill="auto"/>
                <w:lang w:val="en-US" w:eastAsia="zh-CN" w:bidi="ar-SA"/>
              </w:rPr>
            </w:pPr>
            <w:r>
              <w:rPr>
                <w:rFonts w:hint="eastAsia" w:cs="Times New Roman" w:eastAsiaTheme="minorEastAsia"/>
                <w:color w:val="auto"/>
                <w:sz w:val="24"/>
                <w:szCs w:val="24"/>
                <w:highlight w:val="none"/>
                <w:shd w:val="clear" w:color="auto" w:fill="auto"/>
                <w:lang w:val="en-US" w:eastAsia="zh-CN"/>
              </w:rPr>
              <w:t>50个</w:t>
            </w:r>
            <w:r>
              <w:rPr>
                <w:rFonts w:hint="default" w:ascii="Times New Roman" w:hAnsi="Times New Roman" w:cs="Times New Roman" w:eastAsiaTheme="minorEastAsia"/>
                <w:color w:val="auto"/>
                <w:sz w:val="24"/>
                <w:szCs w:val="24"/>
                <w:highlight w:val="none"/>
                <w:shd w:val="clear" w:color="auto" w:fill="auto"/>
                <w:lang w:val="en-US" w:eastAsia="zh-CN"/>
              </w:rPr>
              <w:t>/a</w:t>
            </w:r>
          </w:p>
        </w:tc>
        <w:tc>
          <w:tcPr>
            <w:tcW w:w="1254" w:type="dxa"/>
            <w:noWrap w:val="0"/>
            <w:vAlign w:val="center"/>
          </w:tcPr>
          <w:p>
            <w:pPr>
              <w:pStyle w:val="32"/>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bidi="ar-SA"/>
              </w:rPr>
            </w:pPr>
            <w:r>
              <w:rPr>
                <w:rFonts w:hint="eastAsia" w:ascii="宋体" w:hAnsi="宋体" w:eastAsia="宋体" w:cs="宋体"/>
                <w:snapToGrid w:val="0"/>
                <w:color w:val="auto"/>
                <w:kern w:val="21"/>
                <w:sz w:val="24"/>
                <w:szCs w:val="24"/>
                <w:highlight w:val="none"/>
                <w:lang w:val="en-US" w:eastAsia="zh-CN" w:bidi="ar-SA"/>
              </w:rPr>
              <w:t>－</w:t>
            </w:r>
          </w:p>
        </w:tc>
        <w:tc>
          <w:tcPr>
            <w:tcW w:w="1814" w:type="dxa"/>
            <w:noWrap w:val="0"/>
            <w:vAlign w:val="center"/>
          </w:tcPr>
          <w:p>
            <w:pPr>
              <w:pStyle w:val="32"/>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bidi="ar-SA"/>
              </w:rPr>
            </w:pPr>
            <w:r>
              <w:rPr>
                <w:rFonts w:hint="eastAsia" w:ascii="宋体" w:hAnsi="宋体" w:eastAsia="宋体" w:cs="宋体"/>
                <w:snapToGrid w:val="0"/>
                <w:color w:val="auto"/>
                <w:kern w:val="21"/>
                <w:sz w:val="24"/>
                <w:szCs w:val="24"/>
                <w:highlight w:val="none"/>
                <w:lang w:val="en-US" w:eastAsia="zh-CN" w:bidi="ar-SA"/>
              </w:rPr>
              <w:t>－</w:t>
            </w:r>
          </w:p>
        </w:tc>
        <w:tc>
          <w:tcPr>
            <w:tcW w:w="1500" w:type="dxa"/>
            <w:noWrap w:val="0"/>
            <w:vAlign w:val="center"/>
          </w:tcPr>
          <w:p>
            <w:pPr>
              <w:pStyle w:val="32"/>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color w:val="auto"/>
                <w:kern w:val="2"/>
                <w:sz w:val="24"/>
                <w:szCs w:val="24"/>
                <w:highlight w:val="none"/>
                <w:shd w:val="clear" w:color="auto" w:fill="auto"/>
                <w:lang w:val="en-US" w:eastAsia="zh-CN" w:bidi="ar-SA"/>
              </w:rPr>
            </w:pPr>
            <w:r>
              <w:rPr>
                <w:rFonts w:hint="eastAsia" w:cs="Times New Roman"/>
                <w:color w:val="auto"/>
                <w:sz w:val="24"/>
                <w:szCs w:val="24"/>
                <w:highlight w:val="none"/>
                <w:shd w:val="clear" w:color="auto" w:fill="auto"/>
                <w:lang w:val="en-US" w:eastAsia="zh-CN"/>
              </w:rPr>
              <w:t>0</w:t>
            </w:r>
          </w:p>
        </w:tc>
        <w:tc>
          <w:tcPr>
            <w:tcW w:w="1452" w:type="dxa"/>
            <w:noWrap w:val="0"/>
            <w:vAlign w:val="center"/>
          </w:tcPr>
          <w:p>
            <w:pPr>
              <w:pStyle w:val="32"/>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bidi="ar-SA"/>
              </w:rPr>
            </w:pPr>
            <w:r>
              <w:rPr>
                <w:rFonts w:hint="eastAsia" w:cs="Times New Roman" w:eastAsiaTheme="minorEastAsia"/>
                <w:color w:val="auto"/>
                <w:sz w:val="24"/>
                <w:szCs w:val="24"/>
                <w:highlight w:val="none"/>
                <w:shd w:val="clear" w:color="auto" w:fill="auto"/>
                <w:lang w:val="en-US" w:eastAsia="zh-CN"/>
              </w:rPr>
              <w:t>6个</w:t>
            </w:r>
            <w:r>
              <w:rPr>
                <w:rFonts w:hint="default" w:ascii="Times New Roman" w:hAnsi="Times New Roman" w:cs="Times New Roman" w:eastAsiaTheme="minorEastAsia"/>
                <w:color w:val="auto"/>
                <w:sz w:val="24"/>
                <w:szCs w:val="24"/>
                <w:highlight w:val="none"/>
                <w:shd w:val="clear" w:color="auto" w:fill="auto"/>
                <w:lang w:val="en-US" w:eastAsia="zh-CN"/>
              </w:rPr>
              <w:t>/a</w:t>
            </w:r>
          </w:p>
        </w:tc>
        <w:tc>
          <w:tcPr>
            <w:tcW w:w="159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40" w:after="40" w:line="240" w:lineRule="auto"/>
              <w:ind w:firstLine="0" w:firstLineChars="0"/>
              <w:jc w:val="center"/>
              <w:textAlignment w:val="center"/>
              <w:rPr>
                <w:rFonts w:hint="default" w:ascii="Times New Roman" w:hAnsi="Times New Roman" w:cs="Times New Roman" w:eastAsiaTheme="minorEastAsia"/>
                <w:color w:val="auto"/>
                <w:kern w:val="2"/>
                <w:sz w:val="24"/>
                <w:szCs w:val="24"/>
                <w:highlight w:val="none"/>
                <w:shd w:val="clear" w:color="auto" w:fill="auto"/>
                <w:lang w:val="en-US" w:eastAsia="zh-CN" w:bidi="ar-SA"/>
              </w:rPr>
            </w:pPr>
            <w:r>
              <w:rPr>
                <w:rFonts w:hint="eastAsia" w:cs="Times New Roman" w:eastAsiaTheme="minorEastAsia"/>
                <w:color w:val="auto"/>
                <w:sz w:val="24"/>
                <w:szCs w:val="24"/>
                <w:highlight w:val="none"/>
                <w:shd w:val="clear" w:color="auto" w:fill="auto"/>
                <w:lang w:val="en-US" w:eastAsia="zh-CN"/>
              </w:rPr>
              <w:t>44个</w:t>
            </w:r>
            <w:r>
              <w:rPr>
                <w:rFonts w:hint="default" w:ascii="Times New Roman" w:hAnsi="Times New Roman" w:cs="Times New Roman" w:eastAsiaTheme="minorEastAsia"/>
                <w:color w:val="auto"/>
                <w:sz w:val="24"/>
                <w:szCs w:val="24"/>
                <w:highlight w:val="none"/>
                <w:shd w:val="clear" w:color="auto" w:fill="auto"/>
                <w:lang w:val="en-US" w:eastAsia="zh-CN"/>
              </w:rPr>
              <w:t>/a</w:t>
            </w:r>
          </w:p>
        </w:tc>
        <w:tc>
          <w:tcPr>
            <w:tcW w:w="1511" w:type="dxa"/>
            <w:noWrap w:val="0"/>
            <w:vAlign w:val="center"/>
          </w:tcPr>
          <w:p>
            <w:pPr>
              <w:pStyle w:val="32"/>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eastAsia" w:ascii="Times New Roman" w:hAnsi="Times New Roman" w:cs="Times New Roman" w:eastAsiaTheme="minorEastAsia"/>
                <w:snapToGrid w:val="0"/>
                <w:color w:val="auto"/>
                <w:kern w:val="21"/>
                <w:sz w:val="24"/>
                <w:szCs w:val="24"/>
                <w:highlight w:val="none"/>
                <w:lang w:val="en-US" w:eastAsia="zh-CN" w:bidi="ar-SA"/>
              </w:rPr>
            </w:pPr>
            <w:r>
              <w:rPr>
                <w:rFonts w:hint="eastAsia" w:cs="Times New Roman" w:eastAsiaTheme="minorEastAsia"/>
                <w:color w:val="auto"/>
                <w:sz w:val="24"/>
                <w:szCs w:val="24"/>
                <w:highlight w:val="none"/>
                <w:shd w:val="clear" w:color="auto" w:fill="auto"/>
                <w:lang w:val="en-US" w:eastAsia="zh-CN"/>
              </w:rPr>
              <w:t>-6个</w:t>
            </w:r>
            <w:r>
              <w:rPr>
                <w:rFonts w:hint="default" w:ascii="Times New Roman" w:hAnsi="Times New Roman" w:cs="Times New Roman" w:eastAsiaTheme="minorEastAsia"/>
                <w:color w:val="auto"/>
                <w:sz w:val="24"/>
                <w:szCs w:val="24"/>
                <w:highlight w:val="none"/>
                <w:shd w:val="clear" w:color="auto" w:fill="auto"/>
                <w:lang w:val="en-US" w:eastAsia="zh-CN"/>
              </w:rPr>
              <w: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1340" w:type="dxa"/>
            <w:vMerge w:val="continue"/>
            <w:noWrap w:val="0"/>
            <w:vAlign w:val="center"/>
          </w:tcPr>
          <w:p>
            <w:pPr>
              <w:pStyle w:val="32"/>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rPr>
            </w:pPr>
          </w:p>
        </w:tc>
        <w:tc>
          <w:tcPr>
            <w:tcW w:w="173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40" w:after="40" w:line="240" w:lineRule="auto"/>
              <w:ind w:firstLine="0" w:firstLineChars="0"/>
              <w:jc w:val="center"/>
              <w:textAlignment w:val="center"/>
              <w:rPr>
                <w:rFonts w:hint="default" w:ascii="Times New Roman" w:hAnsi="Times New Roman" w:cs="Times New Roman" w:eastAsiaTheme="minorEastAsia"/>
                <w:color w:val="auto"/>
                <w:kern w:val="2"/>
                <w:sz w:val="24"/>
                <w:szCs w:val="24"/>
                <w:highlight w:val="none"/>
                <w:lang w:val="en-US" w:eastAsia="zh-CN" w:bidi="ar-SA"/>
              </w:rPr>
            </w:pPr>
            <w:r>
              <w:rPr>
                <w:rFonts w:hint="eastAsia" w:cs="Times New Roman" w:eastAsiaTheme="minorEastAsia"/>
                <w:color w:val="auto"/>
                <w:kern w:val="2"/>
                <w:sz w:val="24"/>
                <w:szCs w:val="24"/>
                <w:highlight w:val="none"/>
                <w:lang w:val="en-US" w:eastAsia="zh-CN" w:bidi="ar-SA"/>
              </w:rPr>
              <w:t>废活性炭</w:t>
            </w:r>
          </w:p>
        </w:tc>
        <w:tc>
          <w:tcPr>
            <w:tcW w:w="159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40" w:after="40" w:line="240" w:lineRule="auto"/>
              <w:ind w:firstLine="0" w:firstLineChars="0"/>
              <w:jc w:val="center"/>
              <w:textAlignment w:val="center"/>
              <w:rPr>
                <w:rFonts w:hint="default" w:ascii="Times New Roman" w:hAnsi="Times New Roman" w:cs="Times New Roman" w:eastAsiaTheme="minorEastAsia"/>
                <w:color w:val="auto"/>
                <w:kern w:val="2"/>
                <w:sz w:val="24"/>
                <w:szCs w:val="24"/>
                <w:highlight w:val="none"/>
                <w:shd w:val="clear" w:color="auto" w:fill="auto"/>
                <w:lang w:val="en-US" w:eastAsia="zh-CN" w:bidi="ar-SA"/>
              </w:rPr>
            </w:pPr>
            <w:r>
              <w:rPr>
                <w:rFonts w:hint="eastAsia" w:cs="Times New Roman" w:eastAsiaTheme="minorEastAsia"/>
                <w:color w:val="auto"/>
                <w:sz w:val="24"/>
                <w:szCs w:val="24"/>
                <w:highlight w:val="none"/>
                <w:shd w:val="clear" w:color="auto" w:fill="auto"/>
                <w:lang w:val="en-US" w:eastAsia="zh-CN"/>
              </w:rPr>
              <w:t>0.2</w:t>
            </w:r>
            <w:r>
              <w:rPr>
                <w:rFonts w:hint="default" w:ascii="Times New Roman" w:hAnsi="Times New Roman" w:cs="Times New Roman" w:eastAsiaTheme="minorEastAsia"/>
                <w:color w:val="auto"/>
                <w:sz w:val="24"/>
                <w:szCs w:val="24"/>
                <w:highlight w:val="none"/>
                <w:shd w:val="clear" w:color="auto" w:fill="auto"/>
                <w:lang w:val="en-US" w:eastAsia="zh-CN"/>
              </w:rPr>
              <w:t>t/</w:t>
            </w:r>
            <w:r>
              <w:rPr>
                <w:rFonts w:hint="eastAsia" w:cs="Times New Roman" w:eastAsiaTheme="minorEastAsia"/>
                <w:color w:val="auto"/>
                <w:sz w:val="24"/>
                <w:szCs w:val="24"/>
                <w:highlight w:val="none"/>
                <w:shd w:val="clear" w:color="auto" w:fill="auto"/>
                <w:lang w:val="en-US" w:eastAsia="zh-CN"/>
              </w:rPr>
              <w:t>2</w:t>
            </w:r>
            <w:r>
              <w:rPr>
                <w:rFonts w:hint="default" w:ascii="Times New Roman" w:hAnsi="Times New Roman" w:cs="Times New Roman" w:eastAsiaTheme="minorEastAsia"/>
                <w:color w:val="auto"/>
                <w:sz w:val="24"/>
                <w:szCs w:val="24"/>
                <w:highlight w:val="none"/>
                <w:shd w:val="clear" w:color="auto" w:fill="auto"/>
                <w:lang w:val="en-US" w:eastAsia="zh-CN"/>
              </w:rPr>
              <w:t>a</w:t>
            </w:r>
          </w:p>
        </w:tc>
        <w:tc>
          <w:tcPr>
            <w:tcW w:w="1254" w:type="dxa"/>
            <w:noWrap w:val="0"/>
            <w:vAlign w:val="center"/>
          </w:tcPr>
          <w:p>
            <w:pPr>
              <w:pStyle w:val="32"/>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bidi="ar-SA"/>
              </w:rPr>
            </w:pPr>
            <w:r>
              <w:rPr>
                <w:rFonts w:hint="eastAsia" w:ascii="宋体" w:hAnsi="宋体" w:eastAsia="宋体" w:cs="宋体"/>
                <w:snapToGrid w:val="0"/>
                <w:color w:val="auto"/>
                <w:kern w:val="21"/>
                <w:sz w:val="24"/>
                <w:szCs w:val="24"/>
                <w:highlight w:val="none"/>
                <w:lang w:val="en-US" w:eastAsia="zh-CN" w:bidi="ar-SA"/>
              </w:rPr>
              <w:t>－</w:t>
            </w:r>
          </w:p>
        </w:tc>
        <w:tc>
          <w:tcPr>
            <w:tcW w:w="1814" w:type="dxa"/>
            <w:noWrap w:val="0"/>
            <w:vAlign w:val="center"/>
          </w:tcPr>
          <w:p>
            <w:pPr>
              <w:pStyle w:val="32"/>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bidi="ar-SA"/>
              </w:rPr>
            </w:pPr>
            <w:r>
              <w:rPr>
                <w:rFonts w:hint="eastAsia" w:ascii="宋体" w:hAnsi="宋体" w:eastAsia="宋体" w:cs="宋体"/>
                <w:snapToGrid w:val="0"/>
                <w:color w:val="auto"/>
                <w:kern w:val="21"/>
                <w:sz w:val="24"/>
                <w:szCs w:val="24"/>
                <w:highlight w:val="none"/>
                <w:lang w:val="en-US" w:eastAsia="zh-CN" w:bidi="ar-SA"/>
              </w:rPr>
              <w:t>－</w:t>
            </w:r>
          </w:p>
        </w:tc>
        <w:tc>
          <w:tcPr>
            <w:tcW w:w="1500" w:type="dxa"/>
            <w:noWrap w:val="0"/>
            <w:vAlign w:val="center"/>
          </w:tcPr>
          <w:p>
            <w:pPr>
              <w:pStyle w:val="32"/>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color w:val="auto"/>
                <w:kern w:val="2"/>
                <w:sz w:val="24"/>
                <w:szCs w:val="24"/>
                <w:highlight w:val="none"/>
                <w:shd w:val="clear" w:color="auto" w:fill="auto"/>
                <w:lang w:val="en-US" w:eastAsia="zh-CN" w:bidi="ar-SA"/>
              </w:rPr>
            </w:pPr>
            <w:r>
              <w:rPr>
                <w:rFonts w:hint="eastAsia" w:cs="Times New Roman"/>
                <w:color w:val="auto"/>
                <w:sz w:val="24"/>
                <w:szCs w:val="24"/>
                <w:highlight w:val="none"/>
                <w:shd w:val="clear" w:color="auto" w:fill="auto"/>
                <w:lang w:val="en-US" w:eastAsia="zh-CN"/>
              </w:rPr>
              <w:t>1.5</w:t>
            </w:r>
            <w:r>
              <w:rPr>
                <w:rFonts w:hint="default" w:ascii="Times New Roman" w:hAnsi="Times New Roman" w:cs="Times New Roman" w:eastAsiaTheme="minorEastAsia"/>
                <w:color w:val="auto"/>
                <w:sz w:val="24"/>
                <w:szCs w:val="24"/>
                <w:highlight w:val="none"/>
                <w:shd w:val="clear" w:color="auto" w:fill="auto"/>
                <w:lang w:val="en-US" w:eastAsia="zh-CN"/>
              </w:rPr>
              <w:t>t/</w:t>
            </w:r>
            <w:r>
              <w:rPr>
                <w:rFonts w:hint="eastAsia" w:cs="Times New Roman" w:eastAsiaTheme="minorEastAsia"/>
                <w:color w:val="auto"/>
                <w:sz w:val="24"/>
                <w:szCs w:val="24"/>
                <w:highlight w:val="none"/>
                <w:shd w:val="clear" w:color="auto" w:fill="auto"/>
                <w:lang w:val="en-US" w:eastAsia="zh-CN"/>
              </w:rPr>
              <w:t>2</w:t>
            </w:r>
            <w:r>
              <w:rPr>
                <w:rFonts w:hint="default" w:ascii="Times New Roman" w:hAnsi="Times New Roman" w:cs="Times New Roman" w:eastAsiaTheme="minorEastAsia"/>
                <w:color w:val="auto"/>
                <w:sz w:val="24"/>
                <w:szCs w:val="24"/>
                <w:highlight w:val="none"/>
                <w:shd w:val="clear" w:color="auto" w:fill="auto"/>
                <w:lang w:val="en-US" w:eastAsia="zh-CN"/>
              </w:rPr>
              <w:t>a</w:t>
            </w:r>
          </w:p>
        </w:tc>
        <w:tc>
          <w:tcPr>
            <w:tcW w:w="1452" w:type="dxa"/>
            <w:noWrap w:val="0"/>
            <w:vAlign w:val="center"/>
          </w:tcPr>
          <w:p>
            <w:pPr>
              <w:pStyle w:val="32"/>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rPr>
            </w:pPr>
            <w:r>
              <w:rPr>
                <w:rFonts w:hint="eastAsia" w:cs="Times New Roman" w:eastAsiaTheme="minorEastAsia"/>
                <w:color w:val="auto"/>
                <w:sz w:val="24"/>
                <w:szCs w:val="24"/>
                <w:highlight w:val="none"/>
                <w:shd w:val="clear" w:color="auto" w:fill="auto"/>
                <w:lang w:val="en-US" w:eastAsia="zh-CN"/>
              </w:rPr>
              <w:t>0.2</w:t>
            </w:r>
            <w:r>
              <w:rPr>
                <w:rFonts w:hint="default" w:ascii="Times New Roman" w:hAnsi="Times New Roman" w:cs="Times New Roman" w:eastAsiaTheme="minorEastAsia"/>
                <w:color w:val="auto"/>
                <w:sz w:val="24"/>
                <w:szCs w:val="24"/>
                <w:highlight w:val="none"/>
                <w:shd w:val="clear" w:color="auto" w:fill="auto"/>
                <w:lang w:val="en-US" w:eastAsia="zh-CN"/>
              </w:rPr>
              <w:t>t/</w:t>
            </w:r>
            <w:r>
              <w:rPr>
                <w:rFonts w:hint="eastAsia" w:cs="Times New Roman" w:eastAsiaTheme="minorEastAsia"/>
                <w:color w:val="auto"/>
                <w:sz w:val="24"/>
                <w:szCs w:val="24"/>
                <w:highlight w:val="none"/>
                <w:shd w:val="clear" w:color="auto" w:fill="auto"/>
                <w:lang w:val="en-US" w:eastAsia="zh-CN"/>
              </w:rPr>
              <w:t>2</w:t>
            </w:r>
            <w:r>
              <w:rPr>
                <w:rFonts w:hint="default" w:ascii="Times New Roman" w:hAnsi="Times New Roman" w:cs="Times New Roman" w:eastAsiaTheme="minorEastAsia"/>
                <w:color w:val="auto"/>
                <w:sz w:val="24"/>
                <w:szCs w:val="24"/>
                <w:highlight w:val="none"/>
                <w:shd w:val="clear" w:color="auto" w:fill="auto"/>
                <w:lang w:val="en-US" w:eastAsia="zh-CN"/>
              </w:rPr>
              <w:t>a</w:t>
            </w:r>
          </w:p>
        </w:tc>
        <w:tc>
          <w:tcPr>
            <w:tcW w:w="159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40" w:after="40" w:line="240" w:lineRule="auto"/>
              <w:ind w:firstLine="0" w:firstLineChars="0"/>
              <w:jc w:val="center"/>
              <w:textAlignment w:val="center"/>
              <w:rPr>
                <w:rFonts w:hint="default" w:ascii="Times New Roman" w:hAnsi="Times New Roman" w:cs="Times New Roman" w:eastAsiaTheme="minorEastAsia"/>
                <w:color w:val="auto"/>
                <w:kern w:val="2"/>
                <w:sz w:val="24"/>
                <w:szCs w:val="24"/>
                <w:highlight w:val="none"/>
                <w:shd w:val="clear" w:color="auto" w:fill="auto"/>
                <w:lang w:val="en-US" w:eastAsia="zh-CN" w:bidi="ar-SA"/>
              </w:rPr>
            </w:pPr>
            <w:r>
              <w:rPr>
                <w:rFonts w:hint="eastAsia" w:cs="Times New Roman"/>
                <w:color w:val="auto"/>
                <w:sz w:val="24"/>
                <w:szCs w:val="24"/>
                <w:highlight w:val="none"/>
                <w:shd w:val="clear" w:color="auto" w:fill="auto"/>
                <w:lang w:val="en-US" w:eastAsia="zh-CN"/>
              </w:rPr>
              <w:t>1.5</w:t>
            </w:r>
            <w:r>
              <w:rPr>
                <w:rFonts w:hint="default" w:ascii="Times New Roman" w:hAnsi="Times New Roman" w:cs="Times New Roman" w:eastAsiaTheme="minorEastAsia"/>
                <w:color w:val="auto"/>
                <w:sz w:val="24"/>
                <w:szCs w:val="24"/>
                <w:highlight w:val="none"/>
                <w:shd w:val="clear" w:color="auto" w:fill="auto"/>
                <w:lang w:val="en-US" w:eastAsia="zh-CN"/>
              </w:rPr>
              <w:t>t/</w:t>
            </w:r>
            <w:r>
              <w:rPr>
                <w:rFonts w:hint="eastAsia" w:cs="Times New Roman" w:eastAsiaTheme="minorEastAsia"/>
                <w:color w:val="auto"/>
                <w:sz w:val="24"/>
                <w:szCs w:val="24"/>
                <w:highlight w:val="none"/>
                <w:shd w:val="clear" w:color="auto" w:fill="auto"/>
                <w:lang w:val="en-US" w:eastAsia="zh-CN"/>
              </w:rPr>
              <w:t>2</w:t>
            </w:r>
            <w:r>
              <w:rPr>
                <w:rFonts w:hint="default" w:ascii="Times New Roman" w:hAnsi="Times New Roman" w:cs="Times New Roman" w:eastAsiaTheme="minorEastAsia"/>
                <w:color w:val="auto"/>
                <w:sz w:val="24"/>
                <w:szCs w:val="24"/>
                <w:highlight w:val="none"/>
                <w:shd w:val="clear" w:color="auto" w:fill="auto"/>
                <w:lang w:val="en-US" w:eastAsia="zh-CN"/>
              </w:rPr>
              <w:t>a</w:t>
            </w:r>
          </w:p>
        </w:tc>
        <w:tc>
          <w:tcPr>
            <w:tcW w:w="1511" w:type="dxa"/>
            <w:noWrap w:val="0"/>
            <w:vAlign w:val="center"/>
          </w:tcPr>
          <w:p>
            <w:pPr>
              <w:pStyle w:val="32"/>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bidi="ar-SA"/>
              </w:rPr>
            </w:pPr>
            <w:r>
              <w:rPr>
                <w:rFonts w:hint="eastAsia" w:cs="Times New Roman"/>
                <w:color w:val="auto"/>
                <w:sz w:val="24"/>
                <w:szCs w:val="24"/>
                <w:highlight w:val="none"/>
                <w:shd w:val="clear" w:color="auto" w:fill="auto"/>
                <w:lang w:val="en-US" w:eastAsia="zh-CN"/>
              </w:rPr>
              <w:t>+1.3</w:t>
            </w:r>
            <w:r>
              <w:rPr>
                <w:rFonts w:hint="default" w:ascii="Times New Roman" w:hAnsi="Times New Roman" w:cs="Times New Roman" w:eastAsiaTheme="minorEastAsia"/>
                <w:color w:val="auto"/>
                <w:sz w:val="24"/>
                <w:szCs w:val="24"/>
                <w:highlight w:val="none"/>
                <w:shd w:val="clear" w:color="auto" w:fill="auto"/>
                <w:lang w:val="en-US" w:eastAsia="zh-CN"/>
              </w:rPr>
              <w:t>t/</w:t>
            </w:r>
            <w:r>
              <w:rPr>
                <w:rFonts w:hint="eastAsia" w:cs="Times New Roman" w:eastAsiaTheme="minorEastAsia"/>
                <w:color w:val="auto"/>
                <w:sz w:val="24"/>
                <w:szCs w:val="24"/>
                <w:highlight w:val="none"/>
                <w:shd w:val="clear" w:color="auto" w:fill="auto"/>
                <w:lang w:val="en-US" w:eastAsia="zh-CN"/>
              </w:rPr>
              <w:t>2</w:t>
            </w:r>
            <w:r>
              <w:rPr>
                <w:rFonts w:hint="default" w:ascii="Times New Roman" w:hAnsi="Times New Roman" w:cs="Times New Roman" w:eastAsiaTheme="minorEastAsia"/>
                <w:color w:val="auto"/>
                <w:sz w:val="24"/>
                <w:szCs w:val="24"/>
                <w:highlight w:val="none"/>
                <w:shd w:val="clear" w:color="auto" w:fill="auto"/>
                <w:lang w:val="en-US" w:eastAsia="zh-CN"/>
              </w:rPr>
              <w:t>a</w:t>
            </w:r>
          </w:p>
        </w:tc>
      </w:tr>
    </w:tbl>
    <w:p>
      <w:pPr>
        <w:jc w:val="left"/>
        <w:rPr>
          <w:color w:val="auto"/>
          <w:highlight w:val="none"/>
        </w:rPr>
      </w:pPr>
      <w:r>
        <w:rPr>
          <w:rFonts w:hAnsi="宋体"/>
          <w:snapToGrid w:val="0"/>
          <w:color w:val="auto"/>
          <w:kern w:val="21"/>
          <w:szCs w:val="21"/>
          <w:highlight w:val="none"/>
        </w:rPr>
        <w:t>注：</w:t>
      </w:r>
      <w:r>
        <w:rPr>
          <w:rFonts w:hAnsi="宋体"/>
          <w:snapToGrid w:val="0"/>
          <w:color w:val="auto"/>
          <w:spacing w:val="-16"/>
          <w:kern w:val="21"/>
          <w:szCs w:val="21"/>
          <w:highlight w:val="none"/>
        </w:rPr>
        <w:fldChar w:fldCharType="begin"/>
      </w:r>
      <w:r>
        <w:rPr>
          <w:rFonts w:hAnsi="宋体"/>
          <w:snapToGrid w:val="0"/>
          <w:color w:val="auto"/>
          <w:spacing w:val="-16"/>
          <w:kern w:val="21"/>
          <w:szCs w:val="21"/>
          <w:highlight w:val="none"/>
        </w:rPr>
        <w:instrText xml:space="preserve"> = 6 \* GB3 \* MERGEFORMAT </w:instrText>
      </w:r>
      <w:r>
        <w:rPr>
          <w:rFonts w:hAnsi="宋体"/>
          <w:snapToGrid w:val="0"/>
          <w:color w:val="auto"/>
          <w:spacing w:val="-16"/>
          <w:kern w:val="21"/>
          <w:szCs w:val="21"/>
          <w:highlight w:val="none"/>
        </w:rPr>
        <w:fldChar w:fldCharType="separate"/>
      </w:r>
      <w:r>
        <w:rPr>
          <w:rFonts w:hint="eastAsia" w:hAnsi="宋体"/>
          <w:color w:val="auto"/>
          <w:szCs w:val="21"/>
          <w:highlight w:val="none"/>
        </w:rPr>
        <w:t>⑥</w:t>
      </w:r>
      <w:r>
        <w:rPr>
          <w:rFonts w:hAnsi="宋体"/>
          <w:snapToGrid w:val="0"/>
          <w:color w:val="auto"/>
          <w:spacing w:val="-16"/>
          <w:kern w:val="21"/>
          <w:szCs w:val="21"/>
          <w:highlight w:val="none"/>
        </w:rPr>
        <w:fldChar w:fldCharType="end"/>
      </w:r>
      <w:r>
        <w:rPr>
          <w:rFonts w:hAnsi="宋体"/>
          <w:snapToGrid w:val="0"/>
          <w:color w:val="auto"/>
          <w:spacing w:val="-16"/>
          <w:kern w:val="21"/>
          <w:szCs w:val="21"/>
          <w:highlight w:val="none"/>
        </w:rPr>
        <w:t>=</w:t>
      </w:r>
      <w:r>
        <w:rPr>
          <w:rFonts w:hAnsi="宋体"/>
          <w:snapToGrid w:val="0"/>
          <w:color w:val="auto"/>
          <w:spacing w:val="-6"/>
          <w:kern w:val="21"/>
          <w:szCs w:val="21"/>
          <w:highlight w:val="none"/>
        </w:rPr>
        <w:fldChar w:fldCharType="begin"/>
      </w:r>
      <w:r>
        <w:rPr>
          <w:rFonts w:hAnsi="宋体"/>
          <w:snapToGrid w:val="0"/>
          <w:color w:val="auto"/>
          <w:spacing w:val="-6"/>
          <w:kern w:val="21"/>
          <w:szCs w:val="21"/>
          <w:highlight w:val="none"/>
        </w:rPr>
        <w:instrText xml:space="preserve"> = 1 \* GB3 \* MERGEFORMAT </w:instrText>
      </w:r>
      <w:r>
        <w:rPr>
          <w:rFonts w:hAnsi="宋体"/>
          <w:snapToGrid w:val="0"/>
          <w:color w:val="auto"/>
          <w:spacing w:val="-6"/>
          <w:kern w:val="21"/>
          <w:szCs w:val="21"/>
          <w:highlight w:val="none"/>
        </w:rPr>
        <w:fldChar w:fldCharType="separate"/>
      </w:r>
      <w:r>
        <w:rPr>
          <w:rFonts w:hint="eastAsia" w:hAnsi="宋体"/>
          <w:color w:val="auto"/>
          <w:szCs w:val="21"/>
          <w:highlight w:val="none"/>
        </w:rPr>
        <w:t>①</w:t>
      </w:r>
      <w:r>
        <w:rPr>
          <w:rFonts w:hAnsi="宋体"/>
          <w:snapToGrid w:val="0"/>
          <w:color w:val="auto"/>
          <w:spacing w:val="-6"/>
          <w:kern w:val="21"/>
          <w:szCs w:val="21"/>
          <w:highlight w:val="none"/>
        </w:rPr>
        <w:fldChar w:fldCharType="end"/>
      </w:r>
      <w:r>
        <w:rPr>
          <w:rFonts w:hAnsi="宋体"/>
          <w:snapToGrid w:val="0"/>
          <w:color w:val="auto"/>
          <w:spacing w:val="-6"/>
          <w:kern w:val="21"/>
          <w:szCs w:val="21"/>
          <w:highlight w:val="none"/>
        </w:rPr>
        <w:t>+</w:t>
      </w:r>
      <w:r>
        <w:rPr>
          <w:rFonts w:hAnsi="宋体"/>
          <w:snapToGrid w:val="0"/>
          <w:color w:val="auto"/>
          <w:spacing w:val="-6"/>
          <w:kern w:val="21"/>
          <w:szCs w:val="21"/>
          <w:highlight w:val="none"/>
        </w:rPr>
        <w:fldChar w:fldCharType="begin"/>
      </w:r>
      <w:r>
        <w:rPr>
          <w:rFonts w:hAnsi="宋体"/>
          <w:snapToGrid w:val="0"/>
          <w:color w:val="auto"/>
          <w:spacing w:val="-6"/>
          <w:kern w:val="21"/>
          <w:szCs w:val="21"/>
          <w:highlight w:val="none"/>
        </w:rPr>
        <w:instrText xml:space="preserve"> = 3 \* GB3 \* MERGEFORMAT </w:instrText>
      </w:r>
      <w:r>
        <w:rPr>
          <w:rFonts w:hAnsi="宋体"/>
          <w:snapToGrid w:val="0"/>
          <w:color w:val="auto"/>
          <w:spacing w:val="-6"/>
          <w:kern w:val="21"/>
          <w:szCs w:val="21"/>
          <w:highlight w:val="none"/>
        </w:rPr>
        <w:fldChar w:fldCharType="separate"/>
      </w:r>
      <w:r>
        <w:rPr>
          <w:rFonts w:hint="eastAsia" w:hAnsi="宋体"/>
          <w:color w:val="auto"/>
          <w:szCs w:val="21"/>
          <w:highlight w:val="none"/>
        </w:rPr>
        <w:t>③</w:t>
      </w:r>
      <w:r>
        <w:rPr>
          <w:rFonts w:hAnsi="宋体"/>
          <w:snapToGrid w:val="0"/>
          <w:color w:val="auto"/>
          <w:spacing w:val="-6"/>
          <w:kern w:val="21"/>
          <w:szCs w:val="21"/>
          <w:highlight w:val="none"/>
        </w:rPr>
        <w:fldChar w:fldCharType="end"/>
      </w:r>
      <w:r>
        <w:rPr>
          <w:rFonts w:hAnsi="宋体"/>
          <w:snapToGrid w:val="0"/>
          <w:color w:val="auto"/>
          <w:spacing w:val="-6"/>
          <w:kern w:val="21"/>
          <w:szCs w:val="21"/>
          <w:highlight w:val="none"/>
        </w:rPr>
        <w:t>+</w:t>
      </w:r>
      <w:r>
        <w:rPr>
          <w:rFonts w:hAnsi="宋体"/>
          <w:snapToGrid w:val="0"/>
          <w:color w:val="auto"/>
          <w:spacing w:val="-6"/>
          <w:kern w:val="21"/>
          <w:szCs w:val="21"/>
          <w:highlight w:val="none"/>
        </w:rPr>
        <w:fldChar w:fldCharType="begin"/>
      </w:r>
      <w:r>
        <w:rPr>
          <w:rFonts w:hAnsi="宋体"/>
          <w:snapToGrid w:val="0"/>
          <w:color w:val="auto"/>
          <w:spacing w:val="-6"/>
          <w:kern w:val="21"/>
          <w:szCs w:val="21"/>
          <w:highlight w:val="none"/>
        </w:rPr>
        <w:instrText xml:space="preserve"> = 4 \* GB3 \* MERGEFORMAT </w:instrText>
      </w:r>
      <w:r>
        <w:rPr>
          <w:rFonts w:hAnsi="宋体"/>
          <w:snapToGrid w:val="0"/>
          <w:color w:val="auto"/>
          <w:spacing w:val="-6"/>
          <w:kern w:val="21"/>
          <w:szCs w:val="21"/>
          <w:highlight w:val="none"/>
        </w:rPr>
        <w:fldChar w:fldCharType="separate"/>
      </w:r>
      <w:r>
        <w:rPr>
          <w:rFonts w:hint="eastAsia" w:hAnsi="宋体"/>
          <w:color w:val="auto"/>
          <w:szCs w:val="21"/>
          <w:highlight w:val="none"/>
        </w:rPr>
        <w:t>④</w:t>
      </w:r>
      <w:r>
        <w:rPr>
          <w:rFonts w:hAnsi="宋体"/>
          <w:snapToGrid w:val="0"/>
          <w:color w:val="auto"/>
          <w:spacing w:val="-6"/>
          <w:kern w:val="21"/>
          <w:szCs w:val="21"/>
          <w:highlight w:val="none"/>
        </w:rPr>
        <w:fldChar w:fldCharType="end"/>
      </w:r>
      <w:r>
        <w:rPr>
          <w:rFonts w:hAnsi="宋体"/>
          <w:snapToGrid w:val="0"/>
          <w:color w:val="auto"/>
          <w:spacing w:val="-6"/>
          <w:kern w:val="21"/>
          <w:szCs w:val="21"/>
          <w:highlight w:val="none"/>
        </w:rPr>
        <w:t>-</w:t>
      </w:r>
      <w:r>
        <w:rPr>
          <w:rFonts w:hAnsi="宋体"/>
          <w:snapToGrid w:val="0"/>
          <w:color w:val="auto"/>
          <w:spacing w:val="-16"/>
          <w:kern w:val="21"/>
          <w:szCs w:val="21"/>
          <w:highlight w:val="none"/>
        </w:rPr>
        <w:fldChar w:fldCharType="begin"/>
      </w:r>
      <w:r>
        <w:rPr>
          <w:rFonts w:hAnsi="宋体"/>
          <w:snapToGrid w:val="0"/>
          <w:color w:val="auto"/>
          <w:spacing w:val="-16"/>
          <w:kern w:val="21"/>
          <w:szCs w:val="21"/>
          <w:highlight w:val="none"/>
        </w:rPr>
        <w:instrText xml:space="preserve"> = 5 \* GB3 \* MERGEFORMAT </w:instrText>
      </w:r>
      <w:r>
        <w:rPr>
          <w:rFonts w:hAnsi="宋体"/>
          <w:snapToGrid w:val="0"/>
          <w:color w:val="auto"/>
          <w:spacing w:val="-16"/>
          <w:kern w:val="21"/>
          <w:szCs w:val="21"/>
          <w:highlight w:val="none"/>
        </w:rPr>
        <w:fldChar w:fldCharType="separate"/>
      </w:r>
      <w:r>
        <w:rPr>
          <w:rFonts w:hint="eastAsia" w:hAnsi="宋体"/>
          <w:color w:val="auto"/>
          <w:szCs w:val="21"/>
          <w:highlight w:val="none"/>
        </w:rPr>
        <w:t>⑤</w:t>
      </w:r>
      <w:r>
        <w:rPr>
          <w:rFonts w:hAnsi="宋体"/>
          <w:snapToGrid w:val="0"/>
          <w:color w:val="auto"/>
          <w:spacing w:val="-16"/>
          <w:kern w:val="21"/>
          <w:szCs w:val="21"/>
          <w:highlight w:val="none"/>
        </w:rPr>
        <w:fldChar w:fldCharType="end"/>
      </w:r>
      <w:r>
        <w:rPr>
          <w:rFonts w:hAnsi="宋体"/>
          <w:snapToGrid w:val="0"/>
          <w:color w:val="auto"/>
          <w:spacing w:val="-16"/>
          <w:kern w:val="21"/>
          <w:szCs w:val="21"/>
          <w:highlight w:val="none"/>
        </w:rPr>
        <w:t>；</w:t>
      </w:r>
      <w:r>
        <w:rPr>
          <w:rFonts w:hAnsi="宋体"/>
          <w:snapToGrid w:val="0"/>
          <w:color w:val="auto"/>
          <w:spacing w:val="-6"/>
          <w:kern w:val="21"/>
          <w:szCs w:val="21"/>
          <w:highlight w:val="none"/>
        </w:rPr>
        <w:fldChar w:fldCharType="begin"/>
      </w:r>
      <w:r>
        <w:rPr>
          <w:rFonts w:hAnsi="宋体"/>
          <w:snapToGrid w:val="0"/>
          <w:color w:val="auto"/>
          <w:spacing w:val="-6"/>
          <w:kern w:val="21"/>
          <w:szCs w:val="21"/>
          <w:highlight w:val="none"/>
        </w:rPr>
        <w:instrText xml:space="preserve"> = 7 \* GB3 \* MERGEFORMAT </w:instrText>
      </w:r>
      <w:r>
        <w:rPr>
          <w:rFonts w:hAnsi="宋体"/>
          <w:snapToGrid w:val="0"/>
          <w:color w:val="auto"/>
          <w:spacing w:val="-6"/>
          <w:kern w:val="21"/>
          <w:szCs w:val="21"/>
          <w:highlight w:val="none"/>
        </w:rPr>
        <w:fldChar w:fldCharType="separate"/>
      </w:r>
      <w:r>
        <w:rPr>
          <w:rFonts w:hint="eastAsia" w:hAnsi="宋体"/>
          <w:color w:val="auto"/>
          <w:szCs w:val="21"/>
          <w:highlight w:val="none"/>
        </w:rPr>
        <w:t>⑦</w:t>
      </w:r>
      <w:r>
        <w:rPr>
          <w:rFonts w:hAnsi="宋体"/>
          <w:snapToGrid w:val="0"/>
          <w:color w:val="auto"/>
          <w:spacing w:val="-6"/>
          <w:kern w:val="21"/>
          <w:szCs w:val="21"/>
          <w:highlight w:val="none"/>
        </w:rPr>
        <w:fldChar w:fldCharType="end"/>
      </w:r>
      <w:r>
        <w:rPr>
          <w:rFonts w:hAnsi="宋体"/>
          <w:snapToGrid w:val="0"/>
          <w:color w:val="auto"/>
          <w:spacing w:val="-6"/>
          <w:kern w:val="21"/>
          <w:szCs w:val="21"/>
          <w:highlight w:val="none"/>
        </w:rPr>
        <w:t>=</w:t>
      </w:r>
      <w:r>
        <w:rPr>
          <w:rFonts w:hAnsi="宋体"/>
          <w:snapToGrid w:val="0"/>
          <w:color w:val="auto"/>
          <w:spacing w:val="-16"/>
          <w:kern w:val="21"/>
          <w:szCs w:val="21"/>
          <w:highlight w:val="none"/>
        </w:rPr>
        <w:fldChar w:fldCharType="begin"/>
      </w:r>
      <w:r>
        <w:rPr>
          <w:rFonts w:hAnsi="宋体"/>
          <w:snapToGrid w:val="0"/>
          <w:color w:val="auto"/>
          <w:spacing w:val="-16"/>
          <w:kern w:val="21"/>
          <w:szCs w:val="21"/>
          <w:highlight w:val="none"/>
        </w:rPr>
        <w:instrText xml:space="preserve"> = 6 \* GB3 \* MERGEFORMAT </w:instrText>
      </w:r>
      <w:r>
        <w:rPr>
          <w:rFonts w:hAnsi="宋体"/>
          <w:snapToGrid w:val="0"/>
          <w:color w:val="auto"/>
          <w:spacing w:val="-16"/>
          <w:kern w:val="21"/>
          <w:szCs w:val="21"/>
          <w:highlight w:val="none"/>
        </w:rPr>
        <w:fldChar w:fldCharType="separate"/>
      </w:r>
      <w:r>
        <w:rPr>
          <w:rFonts w:hint="eastAsia" w:hAnsi="宋体"/>
          <w:color w:val="auto"/>
          <w:szCs w:val="21"/>
          <w:highlight w:val="none"/>
        </w:rPr>
        <w:t>⑥</w:t>
      </w:r>
      <w:r>
        <w:rPr>
          <w:rFonts w:hAnsi="宋体"/>
          <w:snapToGrid w:val="0"/>
          <w:color w:val="auto"/>
          <w:spacing w:val="-16"/>
          <w:kern w:val="21"/>
          <w:szCs w:val="21"/>
          <w:highlight w:val="none"/>
        </w:rPr>
        <w:fldChar w:fldCharType="end"/>
      </w:r>
      <w:r>
        <w:rPr>
          <w:rFonts w:hAnsi="宋体"/>
          <w:snapToGrid w:val="0"/>
          <w:color w:val="auto"/>
          <w:spacing w:val="-16"/>
          <w:kern w:val="21"/>
          <w:szCs w:val="21"/>
          <w:highlight w:val="none"/>
        </w:rPr>
        <w:t>-</w:t>
      </w:r>
      <w:r>
        <w:rPr>
          <w:rFonts w:hAnsi="宋体"/>
          <w:snapToGrid w:val="0"/>
          <w:color w:val="auto"/>
          <w:spacing w:val="-6"/>
          <w:kern w:val="21"/>
          <w:szCs w:val="21"/>
          <w:highlight w:val="none"/>
        </w:rPr>
        <w:fldChar w:fldCharType="begin"/>
      </w:r>
      <w:r>
        <w:rPr>
          <w:rFonts w:hAnsi="宋体"/>
          <w:snapToGrid w:val="0"/>
          <w:color w:val="auto"/>
          <w:spacing w:val="-6"/>
          <w:kern w:val="21"/>
          <w:szCs w:val="21"/>
          <w:highlight w:val="none"/>
        </w:rPr>
        <w:instrText xml:space="preserve"> = 1 \* GB3 \* MERGEFORMAT </w:instrText>
      </w:r>
      <w:r>
        <w:rPr>
          <w:rFonts w:hAnsi="宋体"/>
          <w:snapToGrid w:val="0"/>
          <w:color w:val="auto"/>
          <w:spacing w:val="-6"/>
          <w:kern w:val="21"/>
          <w:szCs w:val="21"/>
          <w:highlight w:val="none"/>
        </w:rPr>
        <w:fldChar w:fldCharType="separate"/>
      </w:r>
      <w:r>
        <w:rPr>
          <w:rFonts w:hint="eastAsia" w:hAnsi="宋体"/>
          <w:color w:val="auto"/>
          <w:szCs w:val="21"/>
          <w:highlight w:val="none"/>
        </w:rPr>
        <w:t>①</w:t>
      </w:r>
      <w:r>
        <w:rPr>
          <w:rFonts w:hAnsi="宋体"/>
          <w:snapToGrid w:val="0"/>
          <w:color w:val="auto"/>
          <w:spacing w:val="-6"/>
          <w:kern w:val="21"/>
          <w:szCs w:val="21"/>
          <w:highlight w:val="none"/>
        </w:rPr>
        <w:fldChar w:fldCharType="end"/>
      </w:r>
    </w:p>
    <w:sectPr>
      <w:pgSz w:w="16838" w:h="11906" w:orient="landscape"/>
      <w:pgMar w:top="1417" w:right="1440" w:bottom="1247" w:left="1440" w:header="851" w:footer="992" w:gutter="0"/>
      <w:pgBorders>
        <w:top w:val="none" w:sz="0" w:space="0"/>
        <w:left w:val="none" w:sz="0" w:space="0"/>
        <w:bottom w:val="none" w:sz="0" w:space="0"/>
        <w:right w:val="none" w:sz="0" w:space="0"/>
      </w:pgBorders>
      <w:pgNumType w:fmt="decimal"/>
      <w:cols w:space="0" w:num="1"/>
      <w:rtlGutter w:val="0"/>
      <w:docGrid w:type="lines" w:linePitch="33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8ED89033-4892-4861-8AFA-744A09C96435}"/>
  </w:font>
  <w:font w:name="Arial">
    <w:panose1 w:val="020B0604020202020204"/>
    <w:charset w:val="01"/>
    <w:family w:val="swiss"/>
    <w:pitch w:val="default"/>
    <w:sig w:usb0="E0002EFF" w:usb1="C000785B" w:usb2="00000009" w:usb3="00000000" w:csb0="400001FF" w:csb1="FFFF0000"/>
    <w:embedRegular r:id="rId2" w:fontKey="{677E068D-2166-45E8-A87B-E6C868A40CD0}"/>
  </w:font>
  <w:font w:name="黑体">
    <w:panose1 w:val="02010609060101010101"/>
    <w:charset w:val="86"/>
    <w:family w:val="auto"/>
    <w:pitch w:val="default"/>
    <w:sig w:usb0="800002BF" w:usb1="38CF7CFA" w:usb2="00000016" w:usb3="00000000" w:csb0="00040001" w:csb1="00000000"/>
    <w:embedRegular r:id="rId3" w:fontKey="{C48581D8-57AC-48B5-B600-1177B0C9C01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C9AF4A05-4E11-4E2B-B221-E4E9767D8605}"/>
  </w:font>
  <w:font w:name="微软雅黑">
    <w:panose1 w:val="020B0503020204020204"/>
    <w:charset w:val="86"/>
    <w:family w:val="auto"/>
    <w:pitch w:val="default"/>
    <w:sig w:usb0="80000287" w:usb1="2ACF3C50" w:usb2="00000016" w:usb3="00000000" w:csb0="0004001F" w:csb1="00000000"/>
  </w:font>
  <w:font w:name="MingLiU-ExtB">
    <w:panose1 w:val="02020500000000000000"/>
    <w:charset w:val="88"/>
    <w:family w:val="auto"/>
    <w:pitch w:val="default"/>
    <w:sig w:usb0="8000002F" w:usb1="02000008" w:usb2="00000000" w:usb3="00000000" w:csb0="00100001" w:csb1="00000000"/>
  </w:font>
  <w:font w:name="Mongolian Baiti">
    <w:panose1 w:val="03000500000000000000"/>
    <w:charset w:val="00"/>
    <w:family w:val="auto"/>
    <w:pitch w:val="default"/>
    <w:sig w:usb0="80000023" w:usb1="00000000" w:usb2="00020000" w:usb3="00000000" w:csb0="00000001" w:csb1="00000000"/>
  </w:font>
  <w:font w:name="方正仿宋_GB2312">
    <w:panose1 w:val="02000000000000000000"/>
    <w:charset w:val="86"/>
    <w:family w:val="auto"/>
    <w:pitch w:val="default"/>
    <w:sig w:usb0="A00002BF" w:usb1="184F6CFA" w:usb2="00000012" w:usb3="00000000" w:csb0="00040001" w:csb1="00000000"/>
    <w:embedRegular r:id="rId5" w:fontKey="{1AAFAC49-8AB5-4780-AECC-34590C50261E}"/>
  </w:font>
  <w:font w:name="华文中宋">
    <w:panose1 w:val="02010600040101010101"/>
    <w:charset w:val="86"/>
    <w:family w:val="auto"/>
    <w:pitch w:val="default"/>
    <w:sig w:usb0="00000287" w:usb1="080F0000" w:usb2="00000000" w:usb3="00000000" w:csb0="0004009F" w:csb1="DFD70000"/>
  </w:font>
  <w:font w:name="华康俪金黑W8">
    <w:altName w:val="黑体"/>
    <w:panose1 w:val="020B0809000000000000"/>
    <w:charset w:val="86"/>
    <w:family w:val="auto"/>
    <w:pitch w:val="default"/>
    <w:sig w:usb0="00000000" w:usb1="00000000" w:usb2="00000012" w:usb3="00000000" w:csb0="00040001" w:csb1="00000000"/>
  </w:font>
  <w:font w:name="方正楷体_GB2312">
    <w:panose1 w:val="02000000000000000000"/>
    <w:charset w:val="86"/>
    <w:family w:val="auto"/>
    <w:pitch w:val="default"/>
    <w:sig w:usb0="A00002BF" w:usb1="184F6CFA" w:usb2="00000012" w:usb3="00000000" w:csb0="00040001" w:csb1="00000000"/>
    <w:embedRegular r:id="rId6" w:fontKey="{849BFC4A-D03F-4C0E-BE17-B0CB178BE962}"/>
  </w:font>
  <w:font w:name="华文仿宋">
    <w:panose1 w:val="02010600040101010101"/>
    <w:charset w:val="86"/>
    <w:family w:val="auto"/>
    <w:pitch w:val="default"/>
    <w:sig w:usb0="00000287" w:usb1="080F0000" w:usb2="00000000" w:usb3="00000000" w:csb0="0004009F" w:csb1="DFD70000"/>
    <w:embedRegular r:id="rId7" w:fontKey="{76F4D068-A1C4-4416-95B3-7502306C62B5}"/>
  </w:font>
  <w:font w:name="仿宋">
    <w:panose1 w:val="02010609060101010101"/>
    <w:charset w:val="86"/>
    <w:family w:val="auto"/>
    <w:pitch w:val="default"/>
    <w:sig w:usb0="800002BF" w:usb1="38CF7CFA" w:usb2="00000016" w:usb3="00000000" w:csb0="00040001" w:csb1="00000000"/>
    <w:embedRegular r:id="rId8" w:fontKey="{FEE22A49-E22E-4146-83B2-313E99C6E6E3}"/>
  </w:font>
  <w:font w:name="义启新宋体">
    <w:panose1 w:val="02010601030101010101"/>
    <w:charset w:val="80"/>
    <w:family w:val="auto"/>
    <w:pitch w:val="default"/>
    <w:sig w:usb0="800002BF" w:usb1="184F6CFA" w:usb2="00000012" w:usb3="00000000" w:csb0="00020001" w:csb1="00000000"/>
    <w:embedRegular r:id="rId9" w:fontKey="{E956A96B-E65E-4D9B-94A9-B73137E9CAD8}"/>
  </w:font>
  <w:font w:name="Tahoma">
    <w:panose1 w:val="020B0604030504040204"/>
    <w:charset w:val="00"/>
    <w:family w:val="swiss"/>
    <w:pitch w:val="default"/>
    <w:sig w:usb0="E1002EFF" w:usb1="C000605B" w:usb2="00000029" w:usb3="00000000" w:csb0="200101FF" w:csb1="20280000"/>
    <w:embedRegular r:id="rId10" w:fontKey="{79023498-8CF6-4B58-A560-2D3B06A57CD4}"/>
  </w:font>
  <w:font w:name="方正小标宋_GBK">
    <w:panose1 w:val="02000000000000000000"/>
    <w:charset w:val="86"/>
    <w:family w:val="script"/>
    <w:pitch w:val="default"/>
    <w:sig w:usb0="A00002BF" w:usb1="38CF7CFA" w:usb2="00082016" w:usb3="00000000" w:csb0="00040001" w:csb1="00000000"/>
    <w:embedRegular r:id="rId11" w:fontKey="{1A709751-0D95-49FB-9939-769191B0A46B}"/>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center" w:y="1"/>
      <w:rPr>
        <w:rStyle w:val="28"/>
      </w:rPr>
    </w:pPr>
    <w:r>
      <w:fldChar w:fldCharType="begin"/>
    </w:r>
    <w:r>
      <w:rPr>
        <w:rStyle w:val="28"/>
      </w:rPr>
      <w:instrText xml:space="preserve">PAGE  </w:instrText>
    </w:r>
    <w:r>
      <w:fldChar w:fldCharType="end"/>
    </w:r>
  </w:p>
  <w:p>
    <w:pPr>
      <w:pStyle w:val="15"/>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tabs>
        <w:tab w:val="clear" w:pos="4153"/>
      </w:tabs>
      <w:ind w:right="360" w:firstLine="360"/>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tabs>
        <w:tab w:val="clear" w:pos="4153"/>
      </w:tabs>
      <w:ind w:right="360" w:firstLine="36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right="360" w:firstLine="36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15</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right="360" w:firstLine="36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18</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55E7E3"/>
    <w:multiLevelType w:val="singleLevel"/>
    <w:tmpl w:val="8555E7E3"/>
    <w:lvl w:ilvl="0" w:tentative="0">
      <w:start w:val="1"/>
      <w:numFmt w:val="decimal"/>
      <w:suff w:val="nothing"/>
      <w:lvlText w:val="（%1）"/>
      <w:lvlJc w:val="left"/>
    </w:lvl>
  </w:abstractNum>
  <w:abstractNum w:abstractNumId="1">
    <w:nsid w:val="A1ED0235"/>
    <w:multiLevelType w:val="singleLevel"/>
    <w:tmpl w:val="A1ED0235"/>
    <w:lvl w:ilvl="0" w:tentative="0">
      <w:start w:val="1"/>
      <w:numFmt w:val="decimal"/>
      <w:suff w:val="nothing"/>
      <w:lvlText w:val="（%1）"/>
      <w:lvlJc w:val="left"/>
    </w:lvl>
  </w:abstractNum>
  <w:abstractNum w:abstractNumId="2">
    <w:nsid w:val="A9354FC9"/>
    <w:multiLevelType w:val="singleLevel"/>
    <w:tmpl w:val="A9354FC9"/>
    <w:lvl w:ilvl="0" w:tentative="0">
      <w:start w:val="1"/>
      <w:numFmt w:val="chineseCounting"/>
      <w:suff w:val="nothing"/>
      <w:lvlText w:val="%1、"/>
      <w:lvlJc w:val="left"/>
      <w:rPr>
        <w:rFonts w:hint="eastAsia"/>
      </w:rPr>
    </w:lvl>
  </w:abstractNum>
  <w:abstractNum w:abstractNumId="3">
    <w:nsid w:val="AB102A1F"/>
    <w:multiLevelType w:val="singleLevel"/>
    <w:tmpl w:val="AB102A1F"/>
    <w:lvl w:ilvl="0" w:tentative="0">
      <w:start w:val="1"/>
      <w:numFmt w:val="decimal"/>
      <w:suff w:val="space"/>
      <w:lvlText w:val="（%1）"/>
      <w:lvlJc w:val="left"/>
    </w:lvl>
  </w:abstractNum>
  <w:abstractNum w:abstractNumId="4">
    <w:nsid w:val="B553ED60"/>
    <w:multiLevelType w:val="singleLevel"/>
    <w:tmpl w:val="B553ED60"/>
    <w:lvl w:ilvl="0" w:tentative="0">
      <w:start w:val="1"/>
      <w:numFmt w:val="decimal"/>
      <w:suff w:val="nothing"/>
      <w:lvlText w:val="%1"/>
      <w:lvlJc w:val="center"/>
      <w:pPr>
        <w:tabs>
          <w:tab w:val="left" w:pos="0"/>
        </w:tabs>
      </w:pPr>
      <w:rPr>
        <w:rFonts w:hint="default" w:ascii="Times New Roman" w:hAnsi="Times New Roman" w:eastAsia="宋体" w:cs="宋体"/>
      </w:rPr>
    </w:lvl>
  </w:abstractNum>
  <w:abstractNum w:abstractNumId="5">
    <w:nsid w:val="C1412A84"/>
    <w:multiLevelType w:val="singleLevel"/>
    <w:tmpl w:val="C1412A84"/>
    <w:lvl w:ilvl="0" w:tentative="0">
      <w:start w:val="1"/>
      <w:numFmt w:val="decimal"/>
      <w:suff w:val="nothing"/>
      <w:lvlText w:val="%1"/>
      <w:lvlJc w:val="center"/>
      <w:pPr>
        <w:ind w:left="0" w:firstLine="0"/>
      </w:pPr>
      <w:rPr>
        <w:rFonts w:hint="default"/>
      </w:rPr>
    </w:lvl>
  </w:abstractNum>
  <w:abstractNum w:abstractNumId="6">
    <w:nsid w:val="C34ACE68"/>
    <w:multiLevelType w:val="singleLevel"/>
    <w:tmpl w:val="C34ACE68"/>
    <w:lvl w:ilvl="0" w:tentative="0">
      <w:start w:val="1"/>
      <w:numFmt w:val="decimal"/>
      <w:suff w:val="nothing"/>
      <w:lvlText w:val="%1"/>
      <w:lvlJc w:val="center"/>
      <w:pPr>
        <w:ind w:left="0" w:firstLine="0"/>
      </w:pPr>
      <w:rPr>
        <w:rFonts w:hint="default"/>
      </w:rPr>
    </w:lvl>
  </w:abstractNum>
  <w:abstractNum w:abstractNumId="7">
    <w:nsid w:val="CD3D4254"/>
    <w:multiLevelType w:val="singleLevel"/>
    <w:tmpl w:val="CD3D4254"/>
    <w:lvl w:ilvl="0" w:tentative="0">
      <w:start w:val="9"/>
      <w:numFmt w:val="decimal"/>
      <w:suff w:val="nothing"/>
      <w:lvlText w:val="%1、"/>
      <w:lvlJc w:val="left"/>
    </w:lvl>
  </w:abstractNum>
  <w:abstractNum w:abstractNumId="8">
    <w:nsid w:val="CDA2A615"/>
    <w:multiLevelType w:val="singleLevel"/>
    <w:tmpl w:val="CDA2A615"/>
    <w:lvl w:ilvl="0" w:tentative="0">
      <w:start w:val="1"/>
      <w:numFmt w:val="decimal"/>
      <w:suff w:val="nothing"/>
      <w:lvlText w:val="%1"/>
      <w:lvlJc w:val="center"/>
      <w:pPr>
        <w:ind w:left="0" w:firstLine="0"/>
      </w:pPr>
      <w:rPr>
        <w:rFonts w:hint="default"/>
      </w:rPr>
    </w:lvl>
  </w:abstractNum>
  <w:abstractNum w:abstractNumId="9">
    <w:nsid w:val="D1256C3A"/>
    <w:multiLevelType w:val="singleLevel"/>
    <w:tmpl w:val="D1256C3A"/>
    <w:lvl w:ilvl="0" w:tentative="0">
      <w:start w:val="1"/>
      <w:numFmt w:val="decimal"/>
      <w:suff w:val="nothing"/>
      <w:lvlText w:val="%1"/>
      <w:lvlJc w:val="center"/>
      <w:pPr>
        <w:ind w:left="0" w:firstLine="0"/>
      </w:pPr>
      <w:rPr>
        <w:rFonts w:hint="default"/>
      </w:rPr>
    </w:lvl>
  </w:abstractNum>
  <w:abstractNum w:abstractNumId="10">
    <w:nsid w:val="D4445FF1"/>
    <w:multiLevelType w:val="singleLevel"/>
    <w:tmpl w:val="D4445FF1"/>
    <w:lvl w:ilvl="0" w:tentative="0">
      <w:start w:val="1"/>
      <w:numFmt w:val="decimal"/>
      <w:suff w:val="nothing"/>
      <w:lvlText w:val="（%1）"/>
      <w:lvlJc w:val="left"/>
    </w:lvl>
  </w:abstractNum>
  <w:abstractNum w:abstractNumId="11">
    <w:nsid w:val="D7D4DFB5"/>
    <w:multiLevelType w:val="singleLevel"/>
    <w:tmpl w:val="D7D4DFB5"/>
    <w:lvl w:ilvl="0" w:tentative="0">
      <w:start w:val="1"/>
      <w:numFmt w:val="decimal"/>
      <w:suff w:val="nothing"/>
      <w:lvlText w:val="（%1）"/>
      <w:lvlJc w:val="left"/>
    </w:lvl>
  </w:abstractNum>
  <w:abstractNum w:abstractNumId="12">
    <w:nsid w:val="00D09C48"/>
    <w:multiLevelType w:val="singleLevel"/>
    <w:tmpl w:val="00D09C48"/>
    <w:lvl w:ilvl="0" w:tentative="0">
      <w:start w:val="1"/>
      <w:numFmt w:val="decimal"/>
      <w:suff w:val="nothing"/>
      <w:lvlText w:val="%1"/>
      <w:lvlJc w:val="center"/>
      <w:pPr>
        <w:ind w:left="0" w:firstLine="0"/>
      </w:pPr>
      <w:rPr>
        <w:rFonts w:hint="default"/>
      </w:rPr>
    </w:lvl>
  </w:abstractNum>
  <w:abstractNum w:abstractNumId="13">
    <w:nsid w:val="084ADAB0"/>
    <w:multiLevelType w:val="singleLevel"/>
    <w:tmpl w:val="084ADAB0"/>
    <w:lvl w:ilvl="0" w:tentative="0">
      <w:start w:val="1"/>
      <w:numFmt w:val="decimal"/>
      <w:suff w:val="nothing"/>
      <w:lvlText w:val="（%1）"/>
      <w:lvlJc w:val="left"/>
    </w:lvl>
  </w:abstractNum>
  <w:abstractNum w:abstractNumId="14">
    <w:nsid w:val="0AD575B5"/>
    <w:multiLevelType w:val="singleLevel"/>
    <w:tmpl w:val="0AD575B5"/>
    <w:lvl w:ilvl="0" w:tentative="0">
      <w:start w:val="1"/>
      <w:numFmt w:val="decimal"/>
      <w:suff w:val="nothing"/>
      <w:lvlText w:val="%1"/>
      <w:lvlJc w:val="center"/>
      <w:pPr>
        <w:ind w:left="0" w:firstLine="0"/>
      </w:pPr>
      <w:rPr>
        <w:rFonts w:hint="default"/>
      </w:rPr>
    </w:lvl>
  </w:abstractNum>
  <w:abstractNum w:abstractNumId="15">
    <w:nsid w:val="1621849F"/>
    <w:multiLevelType w:val="singleLevel"/>
    <w:tmpl w:val="1621849F"/>
    <w:lvl w:ilvl="0" w:tentative="0">
      <w:start w:val="1"/>
      <w:numFmt w:val="decimal"/>
      <w:suff w:val="nothing"/>
      <w:lvlText w:val="%1"/>
      <w:lvlJc w:val="center"/>
      <w:pPr>
        <w:ind w:left="0" w:firstLine="0"/>
      </w:pPr>
      <w:rPr>
        <w:rFonts w:hint="default"/>
      </w:rPr>
    </w:lvl>
  </w:abstractNum>
  <w:abstractNum w:abstractNumId="16">
    <w:nsid w:val="20FCB8DC"/>
    <w:multiLevelType w:val="singleLevel"/>
    <w:tmpl w:val="20FCB8DC"/>
    <w:lvl w:ilvl="0" w:tentative="0">
      <w:start w:val="1"/>
      <w:numFmt w:val="decimal"/>
      <w:suff w:val="nothing"/>
      <w:lvlText w:val="%1"/>
      <w:lvlJc w:val="center"/>
      <w:pPr>
        <w:ind w:left="0" w:firstLine="0"/>
      </w:pPr>
      <w:rPr>
        <w:rFonts w:hint="default"/>
      </w:rPr>
    </w:lvl>
  </w:abstractNum>
  <w:abstractNum w:abstractNumId="17">
    <w:nsid w:val="2C85D3EB"/>
    <w:multiLevelType w:val="singleLevel"/>
    <w:tmpl w:val="2C85D3EB"/>
    <w:lvl w:ilvl="0" w:tentative="0">
      <w:start w:val="1"/>
      <w:numFmt w:val="decimal"/>
      <w:suff w:val="nothing"/>
      <w:lvlText w:val="%1"/>
      <w:lvlJc w:val="center"/>
      <w:pPr>
        <w:tabs>
          <w:tab w:val="left" w:pos="0"/>
        </w:tabs>
        <w:ind w:left="0" w:leftChars="0" w:firstLine="0" w:firstLineChars="0"/>
      </w:pPr>
      <w:rPr>
        <w:rFonts w:hint="default"/>
      </w:rPr>
    </w:lvl>
  </w:abstractNum>
  <w:abstractNum w:abstractNumId="18">
    <w:nsid w:val="37BD50A3"/>
    <w:multiLevelType w:val="singleLevel"/>
    <w:tmpl w:val="37BD50A3"/>
    <w:lvl w:ilvl="0" w:tentative="0">
      <w:start w:val="1"/>
      <w:numFmt w:val="decimal"/>
      <w:suff w:val="nothing"/>
      <w:lvlText w:val="%1"/>
      <w:lvlJc w:val="center"/>
      <w:pPr>
        <w:ind w:left="0" w:firstLine="0"/>
      </w:pPr>
      <w:rPr>
        <w:rFonts w:hint="default"/>
      </w:rPr>
    </w:lvl>
  </w:abstractNum>
  <w:abstractNum w:abstractNumId="19">
    <w:nsid w:val="37EF0C51"/>
    <w:multiLevelType w:val="singleLevel"/>
    <w:tmpl w:val="37EF0C51"/>
    <w:lvl w:ilvl="0" w:tentative="0">
      <w:start w:val="1"/>
      <w:numFmt w:val="decimal"/>
      <w:suff w:val="nothing"/>
      <w:lvlText w:val="%1"/>
      <w:lvlJc w:val="center"/>
      <w:pPr>
        <w:ind w:left="0" w:firstLine="0"/>
      </w:pPr>
      <w:rPr>
        <w:rFonts w:hint="default"/>
      </w:rPr>
    </w:lvl>
  </w:abstractNum>
  <w:abstractNum w:abstractNumId="20">
    <w:nsid w:val="3A12E4B2"/>
    <w:multiLevelType w:val="singleLevel"/>
    <w:tmpl w:val="3A12E4B2"/>
    <w:lvl w:ilvl="0" w:tentative="0">
      <w:start w:val="1"/>
      <w:numFmt w:val="decimal"/>
      <w:suff w:val="nothing"/>
      <w:lvlText w:val="%1"/>
      <w:lvlJc w:val="center"/>
      <w:pPr>
        <w:ind w:left="0" w:firstLine="0"/>
      </w:pPr>
      <w:rPr>
        <w:rFonts w:hint="default"/>
      </w:rPr>
    </w:lvl>
  </w:abstractNum>
  <w:abstractNum w:abstractNumId="21">
    <w:nsid w:val="3F26402C"/>
    <w:multiLevelType w:val="singleLevel"/>
    <w:tmpl w:val="3F26402C"/>
    <w:lvl w:ilvl="0" w:tentative="0">
      <w:start w:val="6"/>
      <w:numFmt w:val="decimal"/>
      <w:suff w:val="nothing"/>
      <w:lvlText w:val="%1、"/>
      <w:lvlJc w:val="left"/>
    </w:lvl>
  </w:abstractNum>
  <w:abstractNum w:abstractNumId="22">
    <w:nsid w:val="3F76F58B"/>
    <w:multiLevelType w:val="singleLevel"/>
    <w:tmpl w:val="3F76F58B"/>
    <w:lvl w:ilvl="0" w:tentative="0">
      <w:start w:val="1"/>
      <w:numFmt w:val="decimal"/>
      <w:suff w:val="nothing"/>
      <w:lvlText w:val="（%1）"/>
      <w:lvlJc w:val="left"/>
    </w:lvl>
  </w:abstractNum>
  <w:abstractNum w:abstractNumId="23">
    <w:nsid w:val="4A802A47"/>
    <w:multiLevelType w:val="singleLevel"/>
    <w:tmpl w:val="4A802A47"/>
    <w:lvl w:ilvl="0" w:tentative="0">
      <w:start w:val="1"/>
      <w:numFmt w:val="decimal"/>
      <w:suff w:val="nothing"/>
      <w:lvlText w:val="（%1）"/>
      <w:lvlJc w:val="left"/>
    </w:lvl>
  </w:abstractNum>
  <w:abstractNum w:abstractNumId="24">
    <w:nsid w:val="4D560BFE"/>
    <w:multiLevelType w:val="singleLevel"/>
    <w:tmpl w:val="4D560BFE"/>
    <w:lvl w:ilvl="0" w:tentative="0">
      <w:start w:val="1"/>
      <w:numFmt w:val="decimal"/>
      <w:suff w:val="nothing"/>
      <w:lvlText w:val="%1"/>
      <w:lvlJc w:val="center"/>
      <w:pPr>
        <w:ind w:left="0" w:firstLine="0"/>
      </w:pPr>
      <w:rPr>
        <w:rFonts w:hint="default"/>
      </w:rPr>
    </w:lvl>
  </w:abstractNum>
  <w:abstractNum w:abstractNumId="25">
    <w:nsid w:val="4E3BF9F6"/>
    <w:multiLevelType w:val="singleLevel"/>
    <w:tmpl w:val="4E3BF9F6"/>
    <w:lvl w:ilvl="0" w:tentative="0">
      <w:start w:val="1"/>
      <w:numFmt w:val="decimal"/>
      <w:suff w:val="nothing"/>
      <w:lvlText w:val="%1、"/>
      <w:lvlJc w:val="left"/>
    </w:lvl>
  </w:abstractNum>
  <w:abstractNum w:abstractNumId="26">
    <w:nsid w:val="52624146"/>
    <w:multiLevelType w:val="singleLevel"/>
    <w:tmpl w:val="52624146"/>
    <w:lvl w:ilvl="0" w:tentative="0">
      <w:start w:val="1"/>
      <w:numFmt w:val="decimal"/>
      <w:suff w:val="nothing"/>
      <w:lvlText w:val="%1、"/>
      <w:lvlJc w:val="left"/>
    </w:lvl>
  </w:abstractNum>
  <w:abstractNum w:abstractNumId="27">
    <w:nsid w:val="564B9D38"/>
    <w:multiLevelType w:val="singleLevel"/>
    <w:tmpl w:val="564B9D38"/>
    <w:lvl w:ilvl="0" w:tentative="0">
      <w:start w:val="6"/>
      <w:numFmt w:val="decimal"/>
      <w:suff w:val="nothing"/>
      <w:lvlText w:val="（%1）"/>
      <w:lvlJc w:val="left"/>
    </w:lvl>
  </w:abstractNum>
  <w:abstractNum w:abstractNumId="28">
    <w:nsid w:val="63377093"/>
    <w:multiLevelType w:val="singleLevel"/>
    <w:tmpl w:val="63377093"/>
    <w:lvl w:ilvl="0" w:tentative="0">
      <w:start w:val="1"/>
      <w:numFmt w:val="decimal"/>
      <w:suff w:val="nothing"/>
      <w:lvlText w:val="%1"/>
      <w:lvlJc w:val="center"/>
      <w:pPr>
        <w:ind w:left="0" w:firstLine="0"/>
      </w:pPr>
      <w:rPr>
        <w:rFonts w:hint="default"/>
      </w:rPr>
    </w:lvl>
  </w:abstractNum>
  <w:abstractNum w:abstractNumId="29">
    <w:nsid w:val="65A4E0FB"/>
    <w:multiLevelType w:val="singleLevel"/>
    <w:tmpl w:val="65A4E0FB"/>
    <w:lvl w:ilvl="0" w:tentative="0">
      <w:start w:val="7"/>
      <w:numFmt w:val="decimal"/>
      <w:suff w:val="nothing"/>
      <w:lvlText w:val="%1、"/>
      <w:lvlJc w:val="left"/>
    </w:lvl>
  </w:abstractNum>
  <w:abstractNum w:abstractNumId="30">
    <w:nsid w:val="720DF586"/>
    <w:multiLevelType w:val="singleLevel"/>
    <w:tmpl w:val="720DF586"/>
    <w:lvl w:ilvl="0" w:tentative="0">
      <w:start w:val="1"/>
      <w:numFmt w:val="decimal"/>
      <w:suff w:val="nothing"/>
      <w:lvlText w:val="%1"/>
      <w:lvlJc w:val="center"/>
      <w:pPr>
        <w:ind w:left="0" w:firstLine="0"/>
      </w:pPr>
      <w:rPr>
        <w:rFonts w:hint="default"/>
      </w:rPr>
    </w:lvl>
  </w:abstractNum>
  <w:abstractNum w:abstractNumId="31">
    <w:nsid w:val="72E7EB09"/>
    <w:multiLevelType w:val="singleLevel"/>
    <w:tmpl w:val="72E7EB09"/>
    <w:lvl w:ilvl="0" w:tentative="0">
      <w:start w:val="1"/>
      <w:numFmt w:val="decimal"/>
      <w:suff w:val="nothing"/>
      <w:lvlText w:val="%1、"/>
      <w:lvlJc w:val="left"/>
    </w:lvl>
  </w:abstractNum>
  <w:abstractNum w:abstractNumId="32">
    <w:nsid w:val="783E6DD8"/>
    <w:multiLevelType w:val="singleLevel"/>
    <w:tmpl w:val="783E6DD8"/>
    <w:lvl w:ilvl="0" w:tentative="0">
      <w:start w:val="2"/>
      <w:numFmt w:val="decimal"/>
      <w:suff w:val="nothing"/>
      <w:lvlText w:val="%1、"/>
      <w:lvlJc w:val="left"/>
    </w:lvl>
  </w:abstractNum>
  <w:num w:numId="1">
    <w:abstractNumId w:val="27"/>
  </w:num>
  <w:num w:numId="2">
    <w:abstractNumId w:val="15"/>
  </w:num>
  <w:num w:numId="3">
    <w:abstractNumId w:val="19"/>
  </w:num>
  <w:num w:numId="4">
    <w:abstractNumId w:val="26"/>
  </w:num>
  <w:num w:numId="5">
    <w:abstractNumId w:val="29"/>
  </w:num>
  <w:num w:numId="6">
    <w:abstractNumId w:val="4"/>
  </w:num>
  <w:num w:numId="7">
    <w:abstractNumId w:val="31"/>
  </w:num>
  <w:num w:numId="8">
    <w:abstractNumId w:val="2"/>
  </w:num>
  <w:num w:numId="9">
    <w:abstractNumId w:val="18"/>
  </w:num>
  <w:num w:numId="10">
    <w:abstractNumId w:val="5"/>
  </w:num>
  <w:num w:numId="11">
    <w:abstractNumId w:val="16"/>
  </w:num>
  <w:num w:numId="12">
    <w:abstractNumId w:val="20"/>
  </w:num>
  <w:num w:numId="13">
    <w:abstractNumId w:val="6"/>
  </w:num>
  <w:num w:numId="14">
    <w:abstractNumId w:val="17"/>
  </w:num>
  <w:num w:numId="15">
    <w:abstractNumId w:val="9"/>
  </w:num>
  <w:num w:numId="16">
    <w:abstractNumId w:val="7"/>
  </w:num>
  <w:num w:numId="17">
    <w:abstractNumId w:val="24"/>
  </w:num>
  <w:num w:numId="18">
    <w:abstractNumId w:val="14"/>
  </w:num>
  <w:num w:numId="19">
    <w:abstractNumId w:val="25"/>
  </w:num>
  <w:num w:numId="20">
    <w:abstractNumId w:val="22"/>
  </w:num>
  <w:num w:numId="21">
    <w:abstractNumId w:val="13"/>
  </w:num>
  <w:num w:numId="22">
    <w:abstractNumId w:val="1"/>
  </w:num>
  <w:num w:numId="23">
    <w:abstractNumId w:val="0"/>
  </w:num>
  <w:num w:numId="24">
    <w:abstractNumId w:val="21"/>
  </w:num>
  <w:num w:numId="25">
    <w:abstractNumId w:val="10"/>
  </w:num>
  <w:num w:numId="26">
    <w:abstractNumId w:val="23"/>
  </w:num>
  <w:num w:numId="27">
    <w:abstractNumId w:val="11"/>
  </w:num>
  <w:num w:numId="28">
    <w:abstractNumId w:val="8"/>
  </w:num>
  <w:num w:numId="29">
    <w:abstractNumId w:val="32"/>
  </w:num>
  <w:num w:numId="30">
    <w:abstractNumId w:val="28"/>
  </w:num>
  <w:num w:numId="31">
    <w:abstractNumId w:val="3"/>
  </w:num>
  <w:num w:numId="32">
    <w:abstractNumId w:val="30"/>
  </w:num>
  <w:num w:numId="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A2ZWRmNjk0ODg1ZWNjODdiZDc1Nzk3YWZjMjJjYjQifQ=="/>
  </w:docVars>
  <w:rsids>
    <w:rsidRoot w:val="00172A27"/>
    <w:rsid w:val="00D32067"/>
    <w:rsid w:val="01395070"/>
    <w:rsid w:val="01A73900"/>
    <w:rsid w:val="01AC517D"/>
    <w:rsid w:val="01BC7932"/>
    <w:rsid w:val="02275EDB"/>
    <w:rsid w:val="027C00C7"/>
    <w:rsid w:val="04632C77"/>
    <w:rsid w:val="046F14D4"/>
    <w:rsid w:val="04E2319C"/>
    <w:rsid w:val="06310BC5"/>
    <w:rsid w:val="06E67961"/>
    <w:rsid w:val="07116996"/>
    <w:rsid w:val="075A0D93"/>
    <w:rsid w:val="08767F7A"/>
    <w:rsid w:val="08C90AA6"/>
    <w:rsid w:val="09164A8E"/>
    <w:rsid w:val="0970181C"/>
    <w:rsid w:val="099646D7"/>
    <w:rsid w:val="0A9D2A07"/>
    <w:rsid w:val="0B566063"/>
    <w:rsid w:val="0DE8328F"/>
    <w:rsid w:val="0F2A3EDC"/>
    <w:rsid w:val="0F313F83"/>
    <w:rsid w:val="0F32623D"/>
    <w:rsid w:val="0F997807"/>
    <w:rsid w:val="0FBD663B"/>
    <w:rsid w:val="106C3AA2"/>
    <w:rsid w:val="11A21857"/>
    <w:rsid w:val="11D405FA"/>
    <w:rsid w:val="11F65EA9"/>
    <w:rsid w:val="12661175"/>
    <w:rsid w:val="13862F37"/>
    <w:rsid w:val="147936E4"/>
    <w:rsid w:val="16393F8C"/>
    <w:rsid w:val="16414353"/>
    <w:rsid w:val="170114E8"/>
    <w:rsid w:val="186F108C"/>
    <w:rsid w:val="18F64A17"/>
    <w:rsid w:val="19AC41D9"/>
    <w:rsid w:val="1A5A7CE7"/>
    <w:rsid w:val="1ABF3CD3"/>
    <w:rsid w:val="1CB942E2"/>
    <w:rsid w:val="1D721C44"/>
    <w:rsid w:val="1EAE454F"/>
    <w:rsid w:val="1F207FD8"/>
    <w:rsid w:val="208675FF"/>
    <w:rsid w:val="20991403"/>
    <w:rsid w:val="20F909D3"/>
    <w:rsid w:val="21E13260"/>
    <w:rsid w:val="227F09EA"/>
    <w:rsid w:val="22A73A63"/>
    <w:rsid w:val="2394199E"/>
    <w:rsid w:val="240847CA"/>
    <w:rsid w:val="24BE3F84"/>
    <w:rsid w:val="25505782"/>
    <w:rsid w:val="25F71BD4"/>
    <w:rsid w:val="27927949"/>
    <w:rsid w:val="29DF1706"/>
    <w:rsid w:val="2A9C2B2F"/>
    <w:rsid w:val="2AD977C4"/>
    <w:rsid w:val="2B99684E"/>
    <w:rsid w:val="2E0306E6"/>
    <w:rsid w:val="2E1F2D74"/>
    <w:rsid w:val="2FB40854"/>
    <w:rsid w:val="2FDA4764"/>
    <w:rsid w:val="301D0CCC"/>
    <w:rsid w:val="31576B57"/>
    <w:rsid w:val="335262EB"/>
    <w:rsid w:val="338257CF"/>
    <w:rsid w:val="34CD7BFA"/>
    <w:rsid w:val="357D5757"/>
    <w:rsid w:val="36536A84"/>
    <w:rsid w:val="368F480F"/>
    <w:rsid w:val="36E35462"/>
    <w:rsid w:val="38310C7F"/>
    <w:rsid w:val="38B5651C"/>
    <w:rsid w:val="38E53734"/>
    <w:rsid w:val="39194148"/>
    <w:rsid w:val="399B13CE"/>
    <w:rsid w:val="3A5123C7"/>
    <w:rsid w:val="3A5244D1"/>
    <w:rsid w:val="3B681923"/>
    <w:rsid w:val="3BD556E5"/>
    <w:rsid w:val="3DE84A23"/>
    <w:rsid w:val="4030291B"/>
    <w:rsid w:val="40C00528"/>
    <w:rsid w:val="412B3949"/>
    <w:rsid w:val="41B93B54"/>
    <w:rsid w:val="420A43ED"/>
    <w:rsid w:val="42AC6E18"/>
    <w:rsid w:val="43065462"/>
    <w:rsid w:val="43560B8E"/>
    <w:rsid w:val="43B71689"/>
    <w:rsid w:val="444A5133"/>
    <w:rsid w:val="45337804"/>
    <w:rsid w:val="4687200C"/>
    <w:rsid w:val="46DD338A"/>
    <w:rsid w:val="47500654"/>
    <w:rsid w:val="483C2809"/>
    <w:rsid w:val="48D3553D"/>
    <w:rsid w:val="49E3742F"/>
    <w:rsid w:val="4B8564DA"/>
    <w:rsid w:val="4BD07EF1"/>
    <w:rsid w:val="4D421BCE"/>
    <w:rsid w:val="4D6F3EA0"/>
    <w:rsid w:val="4E231FB4"/>
    <w:rsid w:val="500145FB"/>
    <w:rsid w:val="508769D7"/>
    <w:rsid w:val="50904EF2"/>
    <w:rsid w:val="51B4709B"/>
    <w:rsid w:val="520F009C"/>
    <w:rsid w:val="52894B8D"/>
    <w:rsid w:val="529C5A87"/>
    <w:rsid w:val="52D36CFA"/>
    <w:rsid w:val="53030D9B"/>
    <w:rsid w:val="533A4B08"/>
    <w:rsid w:val="5345315F"/>
    <w:rsid w:val="53994003"/>
    <w:rsid w:val="55560F98"/>
    <w:rsid w:val="560E048D"/>
    <w:rsid w:val="56561334"/>
    <w:rsid w:val="56977921"/>
    <w:rsid w:val="579D503F"/>
    <w:rsid w:val="57CF3558"/>
    <w:rsid w:val="583D1240"/>
    <w:rsid w:val="587329E5"/>
    <w:rsid w:val="589139F5"/>
    <w:rsid w:val="58B475AE"/>
    <w:rsid w:val="5AD04D68"/>
    <w:rsid w:val="5B6F276D"/>
    <w:rsid w:val="5BA64CC4"/>
    <w:rsid w:val="5D5306D7"/>
    <w:rsid w:val="5D58750A"/>
    <w:rsid w:val="5DC31172"/>
    <w:rsid w:val="5E406789"/>
    <w:rsid w:val="5F5556C9"/>
    <w:rsid w:val="601F59AC"/>
    <w:rsid w:val="62A46135"/>
    <w:rsid w:val="62A77AD4"/>
    <w:rsid w:val="63082191"/>
    <w:rsid w:val="64816C99"/>
    <w:rsid w:val="649E1DF8"/>
    <w:rsid w:val="65055B18"/>
    <w:rsid w:val="65550DA5"/>
    <w:rsid w:val="66657F88"/>
    <w:rsid w:val="668D2269"/>
    <w:rsid w:val="673B1CC5"/>
    <w:rsid w:val="673D3E87"/>
    <w:rsid w:val="6A3169CD"/>
    <w:rsid w:val="6B0514FA"/>
    <w:rsid w:val="6C5D3D48"/>
    <w:rsid w:val="6CBF1672"/>
    <w:rsid w:val="6D293D1B"/>
    <w:rsid w:val="6D5A4E0D"/>
    <w:rsid w:val="6DEE0BC7"/>
    <w:rsid w:val="6DF01C95"/>
    <w:rsid w:val="6E472442"/>
    <w:rsid w:val="6E4F4167"/>
    <w:rsid w:val="6EB7319D"/>
    <w:rsid w:val="6EF42AB9"/>
    <w:rsid w:val="6F4862DB"/>
    <w:rsid w:val="6FF57D4B"/>
    <w:rsid w:val="702F0D23"/>
    <w:rsid w:val="70EC3B37"/>
    <w:rsid w:val="715100D4"/>
    <w:rsid w:val="7159440F"/>
    <w:rsid w:val="721C178C"/>
    <w:rsid w:val="72A52C50"/>
    <w:rsid w:val="72B47365"/>
    <w:rsid w:val="72DB61E2"/>
    <w:rsid w:val="733C6346"/>
    <w:rsid w:val="73614861"/>
    <w:rsid w:val="73A81741"/>
    <w:rsid w:val="73B24FB7"/>
    <w:rsid w:val="74056EF3"/>
    <w:rsid w:val="74166C50"/>
    <w:rsid w:val="75097890"/>
    <w:rsid w:val="75660855"/>
    <w:rsid w:val="765011BE"/>
    <w:rsid w:val="76B9737A"/>
    <w:rsid w:val="7764123C"/>
    <w:rsid w:val="776E1391"/>
    <w:rsid w:val="782F2702"/>
    <w:rsid w:val="7A6D5EA5"/>
    <w:rsid w:val="7B2F16E9"/>
    <w:rsid w:val="7B694904"/>
    <w:rsid w:val="7C4527B1"/>
    <w:rsid w:val="7D4F331C"/>
    <w:rsid w:val="7DE5259F"/>
    <w:rsid w:val="7E6949C0"/>
    <w:rsid w:val="7EAE621F"/>
    <w:rsid w:val="7FC537B7"/>
    <w:rsid w:val="7FED10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nhideWhenUsed="0"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qFormat="1"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80" w:lineRule="exact"/>
      <w:ind w:firstLine="720" w:firstLineChars="200"/>
      <w:jc w:val="both"/>
    </w:pPr>
    <w:rPr>
      <w:rFonts w:ascii="Times New Roman" w:hAnsi="Times New Roman" w:eastAsia="宋体" w:cs="Times New Roman"/>
      <w:kern w:val="2"/>
      <w:sz w:val="24"/>
      <w:szCs w:val="24"/>
      <w:lang w:val="en-US" w:eastAsia="zh-CN" w:bidi="ar-SA"/>
    </w:rPr>
  </w:style>
  <w:style w:type="paragraph" w:styleId="2">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3">
    <w:name w:val="heading 4"/>
    <w:basedOn w:val="1"/>
    <w:next w:val="1"/>
    <w:qFormat/>
    <w:uiPriority w:val="0"/>
    <w:pPr>
      <w:tabs>
        <w:tab w:val="left" w:pos="360"/>
        <w:tab w:val="left" w:pos="2207"/>
      </w:tabs>
      <w:spacing w:line="480" w:lineRule="exact"/>
      <w:ind w:firstLine="0" w:firstLineChars="0"/>
      <w:outlineLvl w:val="3"/>
    </w:pPr>
    <w:rPr>
      <w:rFonts w:ascii="宋体" w:hAnsi="宋体"/>
      <w:b/>
      <w:snapToGrid/>
      <w:color w:val="000000"/>
      <w:sz w:val="24"/>
    </w:rPr>
  </w:style>
  <w:style w:type="paragraph" w:styleId="4">
    <w:name w:val="heading 5"/>
    <w:basedOn w:val="1"/>
    <w:next w:val="1"/>
    <w:unhideWhenUsed/>
    <w:qFormat/>
    <w:uiPriority w:val="0"/>
    <w:pPr>
      <w:keepNext w:val="0"/>
      <w:keepLines w:val="0"/>
      <w:adjustRightInd w:val="0"/>
      <w:snapToGrid w:val="0"/>
      <w:spacing w:beforeLines="0" w:beforeAutospacing="0" w:afterLines="0" w:afterAutospacing="0" w:line="240" w:lineRule="auto"/>
      <w:ind w:firstLine="0" w:firstLineChars="0"/>
      <w:jc w:val="center"/>
      <w:outlineLvl w:val="4"/>
    </w:pPr>
    <w:rPr>
      <w:rFonts w:ascii="Times New Roman" w:hAnsi="Times New Roman"/>
      <w:b/>
      <w:sz w:val="21"/>
      <w:szCs w:val="24"/>
    </w:rPr>
  </w:style>
  <w:style w:type="character" w:default="1" w:styleId="26">
    <w:name w:val="Default Paragraph Font"/>
    <w:semiHidden/>
    <w:qFormat/>
    <w:uiPriority w:val="0"/>
  </w:style>
  <w:style w:type="table" w:default="1" w:styleId="24">
    <w:name w:val="Normal Table"/>
    <w:semiHidden/>
    <w:qFormat/>
    <w:uiPriority w:val="0"/>
    <w:tblPr>
      <w:tblCellMar>
        <w:top w:w="0" w:type="dxa"/>
        <w:left w:w="108" w:type="dxa"/>
        <w:bottom w:w="0" w:type="dxa"/>
        <w:right w:w="108" w:type="dxa"/>
      </w:tblCellMar>
    </w:tblPr>
  </w:style>
  <w:style w:type="paragraph" w:styleId="5">
    <w:name w:val="Normal Indent"/>
    <w:basedOn w:val="1"/>
    <w:next w:val="6"/>
    <w:qFormat/>
    <w:uiPriority w:val="0"/>
    <w:pPr>
      <w:ind w:firstLine="420" w:firstLineChars="200"/>
    </w:pPr>
    <w:rPr>
      <w:rFonts w:ascii="Times New Roman" w:hAnsi="Times New Roman"/>
      <w:szCs w:val="24"/>
    </w:rPr>
  </w:style>
  <w:style w:type="paragraph" w:styleId="6">
    <w:name w:val="Body Text"/>
    <w:basedOn w:val="1"/>
    <w:next w:val="1"/>
    <w:qFormat/>
    <w:uiPriority w:val="0"/>
    <w:pPr>
      <w:ind w:left="153"/>
    </w:pPr>
    <w:rPr>
      <w:rFonts w:ascii="宋体" w:hAnsi="宋体" w:eastAsia="宋体"/>
      <w:sz w:val="25"/>
      <w:szCs w:val="25"/>
    </w:rPr>
  </w:style>
  <w:style w:type="paragraph" w:styleId="7">
    <w:name w:val="caption"/>
    <w:basedOn w:val="1"/>
    <w:next w:val="1"/>
    <w:qFormat/>
    <w:uiPriority w:val="0"/>
    <w:pPr>
      <w:spacing w:before="160" w:after="160" w:line="288" w:lineRule="auto"/>
      <w:ind w:firstLine="510"/>
      <w:jc w:val="center"/>
    </w:pPr>
    <w:rPr>
      <w:rFonts w:ascii="Arial" w:hAnsi="Arial" w:eastAsia="黑体"/>
      <w:sz w:val="24"/>
    </w:rPr>
  </w:style>
  <w:style w:type="paragraph" w:styleId="8">
    <w:name w:val="index 5"/>
    <w:basedOn w:val="1"/>
    <w:next w:val="1"/>
    <w:qFormat/>
    <w:uiPriority w:val="0"/>
    <w:pPr>
      <w:ind w:left="800" w:leftChars="800"/>
    </w:pPr>
  </w:style>
  <w:style w:type="paragraph" w:styleId="9">
    <w:name w:val="annotation text"/>
    <w:basedOn w:val="1"/>
    <w:qFormat/>
    <w:uiPriority w:val="0"/>
    <w:pPr>
      <w:jc w:val="left"/>
    </w:pPr>
  </w:style>
  <w:style w:type="paragraph" w:styleId="10">
    <w:name w:val="Body Text Indent"/>
    <w:basedOn w:val="1"/>
    <w:next w:val="11"/>
    <w:qFormat/>
    <w:uiPriority w:val="0"/>
    <w:pPr>
      <w:spacing w:after="120"/>
      <w:ind w:left="420" w:leftChars="200"/>
    </w:pPr>
    <w:rPr>
      <w:kern w:val="0"/>
      <w:sz w:val="24"/>
      <w:szCs w:val="20"/>
    </w:rPr>
  </w:style>
  <w:style w:type="paragraph" w:customStyle="1" w:styleId="11">
    <w:name w:val="样式 正文文本缩进 + 行距: 1.5 倍行距"/>
    <w:basedOn w:val="1"/>
    <w:qFormat/>
    <w:uiPriority w:val="0"/>
    <w:pPr>
      <w:spacing w:after="120" w:line="360" w:lineRule="auto"/>
      <w:ind w:left="90" w:leftChars="32" w:firstLine="560" w:firstLineChars="200"/>
    </w:pPr>
    <w:rPr>
      <w:rFonts w:ascii="Calibri" w:hAnsi="Calibri" w:cs="宋体"/>
      <w:szCs w:val="24"/>
    </w:rPr>
  </w:style>
  <w:style w:type="paragraph" w:styleId="12">
    <w:name w:val="Block Text"/>
    <w:basedOn w:val="1"/>
    <w:next w:val="1"/>
    <w:unhideWhenUsed/>
    <w:qFormat/>
    <w:uiPriority w:val="0"/>
    <w:pPr>
      <w:spacing w:after="120"/>
      <w:ind w:left="1440" w:leftChars="700" w:right="1440" w:rightChars="700"/>
    </w:pPr>
  </w:style>
  <w:style w:type="paragraph" w:styleId="13">
    <w:name w:val="Plain Text"/>
    <w:basedOn w:val="1"/>
    <w:qFormat/>
    <w:uiPriority w:val="0"/>
    <w:rPr>
      <w:rFonts w:hAnsi="Courier New"/>
      <w:kern w:val="2"/>
      <w:sz w:val="21"/>
    </w:rPr>
  </w:style>
  <w:style w:type="paragraph" w:styleId="14">
    <w:name w:val="Body Text Indent 2"/>
    <w:basedOn w:val="1"/>
    <w:qFormat/>
    <w:uiPriority w:val="0"/>
    <w:pPr>
      <w:spacing w:before="120" w:beforeLines="0"/>
      <w:ind w:right="113" w:firstLine="570"/>
    </w:pPr>
    <w:rPr>
      <w:kern w:val="24"/>
      <w:sz w:val="28"/>
      <w:szCs w:val="20"/>
    </w:rPr>
  </w:style>
  <w:style w:type="paragraph" w:styleId="15">
    <w:name w:val="footer"/>
    <w:basedOn w:val="1"/>
    <w:qFormat/>
    <w:uiPriority w:val="99"/>
    <w:pPr>
      <w:tabs>
        <w:tab w:val="center" w:pos="4153"/>
        <w:tab w:val="right" w:pos="8306"/>
      </w:tabs>
      <w:snapToGrid w:val="0"/>
      <w:jc w:val="left"/>
    </w:pPr>
    <w:rPr>
      <w:kern w:val="0"/>
      <w:sz w:val="18"/>
      <w:szCs w:val="20"/>
    </w:rPr>
  </w:style>
  <w:style w:type="paragraph" w:styleId="1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7">
    <w:name w:val="toc 1"/>
    <w:basedOn w:val="1"/>
    <w:next w:val="1"/>
    <w:qFormat/>
    <w:uiPriority w:val="0"/>
  </w:style>
  <w:style w:type="paragraph" w:styleId="18">
    <w:name w:val="Subtitle"/>
    <w:basedOn w:val="1"/>
    <w:next w:val="1"/>
    <w:qFormat/>
    <w:uiPriority w:val="0"/>
    <w:pPr>
      <w:ind w:firstLine="0" w:firstLineChars="0"/>
      <w:jc w:val="center"/>
    </w:pPr>
    <w:rPr>
      <w:b/>
      <w:sz w:val="21"/>
    </w:rPr>
  </w:style>
  <w:style w:type="paragraph" w:styleId="19">
    <w:name w:val="List"/>
    <w:basedOn w:val="1"/>
    <w:qFormat/>
    <w:uiPriority w:val="0"/>
    <w:pPr>
      <w:spacing w:line="360" w:lineRule="exact"/>
      <w:ind w:firstLine="38" w:firstLineChars="18"/>
      <w:jc w:val="left"/>
    </w:pPr>
    <w:rPr>
      <w:rFonts w:ascii="宋体" w:hAnsi="Times New Roman" w:eastAsia="宋体" w:cs="Times New Roman"/>
      <w:szCs w:val="21"/>
    </w:rPr>
  </w:style>
  <w:style w:type="paragraph" w:styleId="20">
    <w:name w:val="HTML Preformatted"/>
    <w:basedOn w:val="1"/>
    <w:unhideWhenUsed/>
    <w:qFormat/>
    <w:uiPriority w:val="99"/>
    <w:pPr>
      <w:pBdr>
        <w:top w:val="none" w:color="auto" w:sz="0" w:space="0"/>
        <w:left w:val="none" w:color="auto" w:sz="0" w:space="0"/>
        <w:bottom w:val="none" w:color="auto" w:sz="0" w:space="0"/>
        <w:right w:val="none" w:color="auto" w:sz="0" w:space="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0"/>
      <w:jc w:val="left"/>
    </w:pPr>
    <w:rPr>
      <w:rFonts w:hint="default" w:ascii="微软雅黑" w:hAnsi="微软雅黑" w:eastAsia="微软雅黑" w:cs="微软雅黑"/>
      <w:kern w:val="0"/>
      <w:sz w:val="24"/>
      <w:szCs w:val="24"/>
      <w:lang w:val="en-US" w:eastAsia="zh-CN" w:bidi="ar"/>
    </w:rPr>
  </w:style>
  <w:style w:type="paragraph" w:styleId="21">
    <w:name w:val="Normal (Web)"/>
    <w:basedOn w:val="1"/>
    <w:qFormat/>
    <w:uiPriority w:val="0"/>
    <w:pPr>
      <w:widowControl/>
      <w:spacing w:before="100" w:beforeAutospacing="1" w:after="100" w:afterAutospacing="1"/>
      <w:jc w:val="left"/>
    </w:pPr>
    <w:rPr>
      <w:rFonts w:ascii="宋体" w:hAnsi="宋体"/>
      <w:kern w:val="0"/>
      <w:sz w:val="24"/>
      <w:szCs w:val="20"/>
    </w:rPr>
  </w:style>
  <w:style w:type="paragraph" w:styleId="22">
    <w:name w:val="Body Text First Indent"/>
    <w:basedOn w:val="6"/>
    <w:next w:val="1"/>
    <w:qFormat/>
    <w:uiPriority w:val="0"/>
    <w:pPr>
      <w:ind w:firstLine="420" w:firstLineChars="100"/>
    </w:pPr>
    <w:rPr>
      <w:szCs w:val="24"/>
    </w:rPr>
  </w:style>
  <w:style w:type="paragraph" w:styleId="23">
    <w:name w:val="Body Text First Indent 2"/>
    <w:basedOn w:val="10"/>
    <w:next w:val="22"/>
    <w:qFormat/>
    <w:uiPriority w:val="0"/>
    <w:pPr>
      <w:keepNext w:val="0"/>
      <w:keepLines w:val="0"/>
      <w:widowControl w:val="0"/>
      <w:suppressLineNumbers w:val="0"/>
      <w:spacing w:before="0" w:beforeAutospacing="0" w:after="0" w:afterAutospacing="0"/>
      <w:ind w:left="0" w:right="0" w:firstLine="420" w:firstLineChars="200"/>
      <w:jc w:val="both"/>
    </w:pPr>
    <w:rPr>
      <w:rFonts w:hint="default" w:ascii="Times New Roman" w:hAnsi="Times New Roman" w:eastAsia="宋体" w:cs="Times New Roman"/>
      <w:kern w:val="2"/>
      <w:sz w:val="21"/>
      <w:szCs w:val="24"/>
      <w:lang w:val="en-US" w:eastAsia="zh-CN" w:bidi="ar"/>
    </w:rPr>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basedOn w:val="26"/>
    <w:qFormat/>
    <w:uiPriority w:val="0"/>
    <w:rPr>
      <w:b/>
    </w:rPr>
  </w:style>
  <w:style w:type="character" w:styleId="28">
    <w:name w:val="page number"/>
    <w:basedOn w:val="26"/>
    <w:qFormat/>
    <w:uiPriority w:val="0"/>
  </w:style>
  <w:style w:type="character" w:styleId="29">
    <w:name w:val="Hyperlink"/>
    <w:qFormat/>
    <w:uiPriority w:val="0"/>
    <w:rPr>
      <w:rFonts w:eastAsia="宋体"/>
      <w:color w:val="0000FF"/>
      <w:sz w:val="24"/>
      <w:szCs w:val="24"/>
      <w:u w:val="none"/>
    </w:rPr>
  </w:style>
  <w:style w:type="character" w:styleId="30">
    <w:name w:val="annotation reference"/>
    <w:basedOn w:val="26"/>
    <w:qFormat/>
    <w:uiPriority w:val="0"/>
    <w:rPr>
      <w:sz w:val="21"/>
      <w:szCs w:val="21"/>
    </w:rPr>
  </w:style>
  <w:style w:type="paragraph" w:customStyle="1" w:styleId="31">
    <w:name w:val="表头"/>
    <w:basedOn w:val="1"/>
    <w:next w:val="1"/>
    <w:link w:val="48"/>
    <w:qFormat/>
    <w:uiPriority w:val="0"/>
    <w:pPr>
      <w:ind w:firstLine="0" w:firstLineChars="0"/>
      <w:jc w:val="center"/>
    </w:pPr>
    <w:rPr>
      <w:b/>
      <w:sz w:val="21"/>
    </w:rPr>
  </w:style>
  <w:style w:type="paragraph" w:customStyle="1" w:styleId="32">
    <w:name w:val="表格"/>
    <w:basedOn w:val="33"/>
    <w:next w:val="1"/>
    <w:qFormat/>
    <w:uiPriority w:val="0"/>
    <w:pPr>
      <w:spacing w:line="240" w:lineRule="auto"/>
      <w:ind w:firstLine="0" w:firstLineChars="0"/>
      <w:jc w:val="center"/>
    </w:pPr>
    <w:rPr>
      <w:rFonts w:ascii="Times New Roman" w:hAnsi="Times New Roman" w:eastAsia="宋体"/>
      <w:sz w:val="21"/>
      <w:szCs w:val="21"/>
    </w:rPr>
  </w:style>
  <w:style w:type="paragraph" w:customStyle="1" w:styleId="33">
    <w:name w:val="正文1"/>
    <w:basedOn w:val="1"/>
    <w:next w:val="1"/>
    <w:qFormat/>
    <w:uiPriority w:val="0"/>
    <w:pPr>
      <w:spacing w:before="78" w:after="78" w:line="360" w:lineRule="auto"/>
      <w:ind w:firstLine="480"/>
    </w:pPr>
    <w:rPr>
      <w:kern w:val="1"/>
      <w:sz w:val="24"/>
    </w:rPr>
  </w:style>
  <w:style w:type="paragraph" w:customStyle="1" w:styleId="34">
    <w:name w:val="封皮"/>
    <w:basedOn w:val="1"/>
    <w:qFormat/>
    <w:uiPriority w:val="0"/>
    <w:pPr>
      <w:spacing w:line="240" w:lineRule="auto"/>
      <w:ind w:firstLine="0" w:firstLineChars="0"/>
      <w:jc w:val="center"/>
    </w:pPr>
    <w:rPr>
      <w:b/>
      <w:sz w:val="72"/>
    </w:rPr>
  </w:style>
  <w:style w:type="paragraph" w:customStyle="1" w:styleId="35">
    <w:name w:val="Table Paragraph"/>
    <w:basedOn w:val="1"/>
    <w:qFormat/>
    <w:uiPriority w:val="1"/>
    <w:pPr>
      <w:autoSpaceDE w:val="0"/>
      <w:autoSpaceDN w:val="0"/>
      <w:adjustRightInd w:val="0"/>
      <w:jc w:val="left"/>
    </w:pPr>
    <w:rPr>
      <w:kern w:val="0"/>
      <w:sz w:val="24"/>
    </w:rPr>
  </w:style>
  <w:style w:type="paragraph" w:styleId="36">
    <w:name w:val="List Paragraph"/>
    <w:basedOn w:val="1"/>
    <w:qFormat/>
    <w:uiPriority w:val="34"/>
    <w:pPr>
      <w:adjustRightInd w:val="0"/>
      <w:spacing w:line="360" w:lineRule="atLeast"/>
      <w:ind w:firstLine="420" w:firstLineChars="200"/>
      <w:jc w:val="left"/>
      <w:textAlignment w:val="baseline"/>
    </w:pPr>
    <w:rPr>
      <w:rFonts w:ascii="Times New Roman" w:hAnsi="Times New Roman" w:eastAsia="宋体" w:cs="Times New Roman"/>
      <w:kern w:val="0"/>
      <w:sz w:val="24"/>
      <w:szCs w:val="20"/>
    </w:rPr>
  </w:style>
  <w:style w:type="character" w:customStyle="1" w:styleId="37">
    <w:name w:val="正文文本 (2) + 9.5 pt"/>
    <w:qFormat/>
    <w:uiPriority w:val="0"/>
    <w:rPr>
      <w:rFonts w:ascii="MingLiU-ExtB" w:hAnsi="MingLiU-ExtB" w:eastAsia="MingLiU-ExtB" w:cs="MingLiU-ExtB"/>
      <w:color w:val="000000"/>
      <w:spacing w:val="0"/>
      <w:w w:val="100"/>
      <w:position w:val="0"/>
      <w:sz w:val="19"/>
      <w:szCs w:val="19"/>
      <w:u w:val="none"/>
      <w:shd w:val="clear" w:color="auto" w:fill="FFFFFF"/>
      <w:lang w:val="zh-TW" w:eastAsia="zh-TW" w:bidi="zh-TW"/>
    </w:rPr>
  </w:style>
  <w:style w:type="character" w:customStyle="1" w:styleId="38">
    <w:name w:val="正文文本 (2) + AngsanaUPC"/>
    <w:qFormat/>
    <w:uiPriority w:val="0"/>
    <w:rPr>
      <w:rFonts w:ascii="Mongolian Baiti" w:hAnsi="Mongolian Baiti" w:eastAsia="Mongolian Baiti" w:cs="Mongolian Baiti"/>
      <w:color w:val="000000"/>
      <w:spacing w:val="0"/>
      <w:w w:val="100"/>
      <w:position w:val="0"/>
      <w:sz w:val="32"/>
      <w:szCs w:val="32"/>
      <w:u w:val="none"/>
      <w:shd w:val="clear" w:color="auto" w:fill="FFFFFF"/>
      <w:lang w:val="en-US" w:eastAsia="en-US" w:bidi="en-US"/>
    </w:rPr>
  </w:style>
  <w:style w:type="character" w:customStyle="1" w:styleId="39">
    <w:name w:val="font31"/>
    <w:basedOn w:val="26"/>
    <w:qFormat/>
    <w:uiPriority w:val="0"/>
    <w:rPr>
      <w:rFonts w:hint="eastAsia" w:ascii="宋体" w:hAnsi="宋体" w:eastAsia="宋体" w:cs="宋体"/>
      <w:color w:val="000000"/>
      <w:sz w:val="24"/>
      <w:szCs w:val="24"/>
      <w:u w:val="none"/>
    </w:rPr>
  </w:style>
  <w:style w:type="paragraph" w:customStyle="1" w:styleId="40">
    <w:name w:val="列出段落1"/>
    <w:basedOn w:val="1"/>
    <w:qFormat/>
    <w:uiPriority w:val="0"/>
    <w:pPr>
      <w:ind w:firstLine="420" w:firstLineChars="200"/>
    </w:pPr>
    <w:rPr>
      <w:rFonts w:ascii="Calibri" w:hAnsi="Calibri" w:eastAsia="宋体"/>
    </w:rPr>
  </w:style>
  <w:style w:type="paragraph" w:customStyle="1" w:styleId="41">
    <w:name w:val="(.a表格内容"/>
    <w:basedOn w:val="42"/>
    <w:qFormat/>
    <w:uiPriority w:val="0"/>
    <w:pPr>
      <w:spacing w:line="0" w:lineRule="atLeast"/>
      <w:jc w:val="center"/>
    </w:pPr>
    <w:rPr>
      <w:sz w:val="21"/>
    </w:rPr>
  </w:style>
  <w:style w:type="paragraph" w:customStyle="1" w:styleId="42">
    <w:name w:val="（.a正文"/>
    <w:qFormat/>
    <w:uiPriority w:val="0"/>
    <w:pPr>
      <w:adjustRightInd w:val="0"/>
      <w:spacing w:line="480" w:lineRule="exact"/>
      <w:ind w:firstLine="200" w:firstLineChars="200"/>
      <w:jc w:val="both"/>
    </w:pPr>
    <w:rPr>
      <w:rFonts w:ascii="Times New Roman" w:hAnsi="Times New Roman" w:eastAsia="宋体" w:cs="Times New Roman"/>
      <w:bCs/>
      <w:kern w:val="2"/>
      <w:sz w:val="24"/>
      <w:szCs w:val="24"/>
      <w:lang w:val="en-US" w:eastAsia="zh-CN" w:bidi="ar-SA"/>
    </w:rPr>
  </w:style>
  <w:style w:type="paragraph" w:customStyle="1" w:styleId="43">
    <w:name w:val="我的表格"/>
    <w:basedOn w:val="1"/>
    <w:qFormat/>
    <w:uiPriority w:val="0"/>
    <w:pPr>
      <w:spacing w:line="240" w:lineRule="auto"/>
      <w:ind w:firstLine="0" w:firstLineChars="0"/>
      <w:jc w:val="center"/>
    </w:pPr>
    <w:rPr>
      <w:rFonts w:ascii="Times New Roman" w:hAnsi="Times New Roman"/>
      <w:sz w:val="21"/>
      <w:szCs w:val="21"/>
    </w:rPr>
  </w:style>
  <w:style w:type="paragraph" w:customStyle="1" w:styleId="44">
    <w:name w:val="正常格式"/>
    <w:basedOn w:val="45"/>
    <w:qFormat/>
    <w:uiPriority w:val="0"/>
    <w:pPr>
      <w:snapToGrid w:val="0"/>
      <w:spacing w:line="480" w:lineRule="exact"/>
      <w:ind w:firstLine="602"/>
    </w:pPr>
    <w:rPr>
      <w:rFonts w:ascii="Times New Roman" w:hAnsi="Times New Roman" w:eastAsia="方正仿宋_GB2312"/>
      <w:kern w:val="0"/>
      <w:szCs w:val="20"/>
    </w:rPr>
  </w:style>
  <w:style w:type="paragraph" w:customStyle="1" w:styleId="45">
    <w:name w:val="正文2"/>
    <w:basedOn w:val="46"/>
    <w:qFormat/>
    <w:uiPriority w:val="0"/>
    <w:pPr>
      <w:spacing w:line="360" w:lineRule="auto"/>
      <w:ind w:firstLine="480" w:firstLineChars="200"/>
    </w:pPr>
    <w:rPr>
      <w:rFonts w:ascii="宋体" w:hAnsi="宋体"/>
      <w:sz w:val="24"/>
    </w:rPr>
  </w:style>
  <w:style w:type="paragraph" w:customStyle="1" w:styleId="46">
    <w:name w:val="Body Text 22"/>
    <w:qFormat/>
    <w:uiPriority w:val="0"/>
    <w:pPr>
      <w:widowControl w:val="0"/>
      <w:adjustRightInd w:val="0"/>
      <w:spacing w:line="440" w:lineRule="atLeast"/>
      <w:ind w:firstLine="480"/>
      <w:jc w:val="both"/>
      <w:textAlignment w:val="baseline"/>
    </w:pPr>
    <w:rPr>
      <w:rFonts w:ascii="Times New Roman" w:hAnsi="Times New Roman" w:eastAsia="方正仿宋_GB2312" w:cs="Times New Roman"/>
      <w:kern w:val="2"/>
      <w:sz w:val="24"/>
      <w:szCs w:val="22"/>
      <w:lang w:val="en-US" w:eastAsia="zh-CN" w:bidi="ar-SA"/>
    </w:rPr>
  </w:style>
  <w:style w:type="paragraph" w:customStyle="1" w:styleId="47">
    <w:name w:val="正文文本 (2)"/>
    <w:qFormat/>
    <w:uiPriority w:val="0"/>
    <w:pPr>
      <w:widowControl w:val="0"/>
      <w:shd w:val="clear" w:color="auto" w:fill="FFFFFF"/>
      <w:spacing w:before="420" w:after="360" w:line="0" w:lineRule="atLeast"/>
      <w:jc w:val="distribute"/>
    </w:pPr>
    <w:rPr>
      <w:rFonts w:ascii="MingLiU-ExtB" w:hAnsi="MingLiU-ExtB" w:eastAsia="MingLiU-ExtB" w:cs="MingLiU-ExtB"/>
      <w:sz w:val="26"/>
      <w:szCs w:val="26"/>
      <w:lang w:val="en-US" w:eastAsia="en-US" w:bidi="en-US"/>
    </w:rPr>
  </w:style>
  <w:style w:type="character" w:customStyle="1" w:styleId="48">
    <w:name w:val="表头 Char"/>
    <w:link w:val="31"/>
    <w:qFormat/>
    <w:uiPriority w:val="0"/>
    <w:rPr>
      <w:rFonts w:ascii="Times New Roman" w:hAnsi="Times New Roman" w:eastAsia="宋体"/>
      <w:b/>
      <w:sz w:val="21"/>
    </w:rPr>
  </w:style>
  <w:style w:type="paragraph" w:customStyle="1" w:styleId="49">
    <w:name w:val="样式 正文文字 + 首行缩进:  2 字符 行距: 最小值 24 磅"/>
    <w:basedOn w:val="1"/>
    <w:qFormat/>
    <w:uiPriority w:val="0"/>
    <w:pPr>
      <w:adjustRightInd w:val="0"/>
      <w:snapToGrid w:val="0"/>
      <w:spacing w:line="480" w:lineRule="atLeast"/>
      <w:ind w:firstLine="480" w:firstLineChars="200"/>
    </w:pPr>
    <w:rPr>
      <w:rFonts w:ascii="Times New Roman" w:hAnsi="Times New Roman" w:eastAsia="宋体" w:cs="宋体"/>
      <w:sz w:val="24"/>
      <w:szCs w:val="20"/>
    </w:rPr>
  </w:style>
  <w:style w:type="paragraph" w:customStyle="1" w:styleId="50">
    <w:name w:val="正"/>
    <w:basedOn w:val="1"/>
    <w:qFormat/>
    <w:uiPriority w:val="0"/>
    <w:pPr>
      <w:ind w:firstLine="200"/>
    </w:pPr>
    <w:rPr>
      <w:rFonts w:ascii="Times New Roman" w:hAnsi="Times New Roman" w:eastAsia="宋体" w:cs="Times New Roman"/>
      <w:sz w:val="24"/>
    </w:rPr>
  </w:style>
  <w:style w:type="paragraph" w:customStyle="1" w:styleId="51">
    <w:name w:val="a)"/>
    <w:basedOn w:val="1"/>
    <w:qFormat/>
    <w:uiPriority w:val="0"/>
    <w:pPr>
      <w:tabs>
        <w:tab w:val="left" w:pos="1134"/>
      </w:tabs>
      <w:adjustRightInd w:val="0"/>
      <w:spacing w:line="360" w:lineRule="auto"/>
      <w:ind w:firstLine="567"/>
      <w:textAlignment w:val="baseline"/>
    </w:pPr>
    <w:rPr>
      <w:rFonts w:ascii="Times New Roman"/>
      <w:spacing w:val="0"/>
      <w:kern w:val="0"/>
      <w:sz w:val="28"/>
      <w:szCs w:val="20"/>
    </w:rPr>
  </w:style>
  <w:style w:type="paragraph" w:customStyle="1" w:styleId="52">
    <w:name w:val="样式 样式 样式 四号 左侧:  1.53 厘米 + 首行缩进:  2 字符 + 居中 左侧:  2 字符 首行缩进:  2..."/>
    <w:basedOn w:val="1"/>
    <w:qFormat/>
    <w:uiPriority w:val="0"/>
    <w:pPr>
      <w:adjustRightInd w:val="0"/>
      <w:snapToGrid w:val="0"/>
      <w:spacing w:line="500" w:lineRule="exact"/>
      <w:ind w:left="200" w:leftChars="200"/>
      <w:jc w:val="center"/>
    </w:pPr>
    <w:rPr>
      <w:rFonts w:ascii="Times New Roman" w:eastAsia="华文中宋" w:cs="华康俪金黑W8"/>
      <w:spacing w:val="0"/>
      <w:w w:val="90"/>
      <w:kern w:val="2"/>
    </w:rPr>
  </w:style>
  <w:style w:type="paragraph" w:customStyle="1" w:styleId="53">
    <w:name w:val="2.1.1"/>
    <w:basedOn w:val="1"/>
    <w:qFormat/>
    <w:uiPriority w:val="0"/>
    <w:rPr>
      <w:rFonts w:ascii="Times New Roman"/>
      <w:sz w:val="24"/>
    </w:rPr>
  </w:style>
  <w:style w:type="paragraph" w:customStyle="1" w:styleId="54">
    <w:name w:val="Default"/>
    <w:basedOn w:val="55"/>
    <w:next w:val="8"/>
    <w:qFormat/>
    <w:uiPriority w:val="0"/>
    <w:pPr>
      <w:widowControl w:val="0"/>
      <w:autoSpaceDE w:val="0"/>
      <w:autoSpaceDN w:val="0"/>
      <w:adjustRightInd w:val="0"/>
    </w:pPr>
    <w:rPr>
      <w:rFonts w:ascii="黑体" w:hAnsi="Times New Roman" w:eastAsia="黑体" w:cs="Times New Roman"/>
      <w:color w:val="000000"/>
      <w:sz w:val="24"/>
      <w:lang w:val="en-US" w:eastAsia="zh-CN" w:bidi="ar-SA"/>
    </w:rPr>
  </w:style>
  <w:style w:type="paragraph" w:customStyle="1" w:styleId="55">
    <w:name w:val="纯文本1"/>
    <w:basedOn w:val="1"/>
    <w:qFormat/>
    <w:uiPriority w:val="0"/>
    <w:pPr>
      <w:widowControl/>
      <w:spacing w:beforeLines="10" w:afterLines="10" w:line="360" w:lineRule="auto"/>
      <w:ind w:firstLine="200" w:firstLineChars="200"/>
      <w:jc w:val="left"/>
    </w:pPr>
    <w:rPr>
      <w:rFonts w:hAnsi="宋体" w:cs="宋体"/>
      <w:kern w:val="0"/>
      <w:sz w:val="24"/>
    </w:rPr>
  </w:style>
  <w:style w:type="paragraph" w:customStyle="1" w:styleId="56">
    <w:name w:val="样式 四号 首行缩进:  2 字符"/>
    <w:basedOn w:val="1"/>
    <w:qFormat/>
    <w:uiPriority w:val="0"/>
    <w:pPr>
      <w:spacing w:line="480" w:lineRule="atLeast"/>
      <w:ind w:firstLine="480" w:firstLineChars="200"/>
    </w:pPr>
    <w:rPr>
      <w:rFonts w:ascii="Times New Roman"/>
      <w:sz w:val="24"/>
    </w:rPr>
  </w:style>
  <w:style w:type="paragraph" w:customStyle="1" w:styleId="57">
    <w:name w:val="表格内容"/>
    <w:basedOn w:val="1"/>
    <w:next w:val="1"/>
    <w:qFormat/>
    <w:uiPriority w:val="0"/>
    <w:pPr>
      <w:spacing w:line="320" w:lineRule="exact"/>
      <w:ind w:firstLine="0" w:firstLineChars="0"/>
      <w:jc w:val="center"/>
    </w:pPr>
    <w:rPr>
      <w:sz w:val="21"/>
    </w:rPr>
  </w:style>
  <w:style w:type="paragraph" w:customStyle="1" w:styleId="58">
    <w:name w:val="表格标题"/>
    <w:basedOn w:val="1"/>
    <w:next w:val="1"/>
    <w:qFormat/>
    <w:uiPriority w:val="0"/>
    <w:pPr>
      <w:ind w:firstLine="0" w:firstLineChars="0"/>
      <w:jc w:val="center"/>
    </w:pPr>
    <w:rPr>
      <w:b/>
    </w:rPr>
  </w:style>
  <w:style w:type="table" w:customStyle="1" w:styleId="59">
    <w:name w:val="Table Normal"/>
    <w:semiHidden/>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paragraph" w:customStyle="1" w:styleId="60">
    <w:name w:val="WPSOffice手动目录 1"/>
    <w:qFormat/>
    <w:uiPriority w:val="0"/>
    <w:pPr>
      <w:ind w:leftChars="0"/>
    </w:pPr>
    <w:rPr>
      <w:rFonts w:ascii="Times New Roman" w:hAnsi="Times New Roman" w:eastAsia="宋体" w:cs="Times New Roman"/>
      <w:sz w:val="20"/>
      <w:szCs w:val="20"/>
    </w:rPr>
  </w:style>
  <w:style w:type="paragraph" w:customStyle="1" w:styleId="61">
    <w:name w:val="[1]正文"/>
    <w:basedOn w:val="1"/>
    <w:qFormat/>
    <w:uiPriority w:val="0"/>
    <w:pPr>
      <w:widowControl/>
      <w:snapToGrid w:val="0"/>
      <w:ind w:firstLine="200"/>
      <w:jc w:val="left"/>
    </w:pPr>
    <w:rPr>
      <w:szCs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7" Type="http://schemas.openxmlformats.org/officeDocument/2006/relationships/fontTable" Target="fontTable.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image" Target="media/image9.wmf"/><Relationship Id="rId23" Type="http://schemas.openxmlformats.org/officeDocument/2006/relationships/oleObject" Target="embeddings/oleObject4.bin"/><Relationship Id="rId22" Type="http://schemas.openxmlformats.org/officeDocument/2006/relationships/image" Target="media/image8.wmf"/><Relationship Id="rId21" Type="http://schemas.openxmlformats.org/officeDocument/2006/relationships/oleObject" Target="embeddings/oleObject3.bin"/><Relationship Id="rId20" Type="http://schemas.openxmlformats.org/officeDocument/2006/relationships/image" Target="media/image7.wmf"/><Relationship Id="rId2" Type="http://schemas.openxmlformats.org/officeDocument/2006/relationships/settings" Target="settings.xml"/><Relationship Id="rId19" Type="http://schemas.openxmlformats.org/officeDocument/2006/relationships/oleObject" Target="embeddings/oleObject2.bin"/><Relationship Id="rId18" Type="http://schemas.openxmlformats.org/officeDocument/2006/relationships/image" Target="media/image6.wmf"/><Relationship Id="rId17" Type="http://schemas.openxmlformats.org/officeDocument/2006/relationships/oleObject" Target="embeddings/oleObject1.bin"/><Relationship Id="rId16" Type="http://schemas.openxmlformats.org/officeDocument/2006/relationships/image" Target="media/image5.png"/><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104</Pages>
  <Words>55919</Words>
  <Characters>64361</Characters>
  <Lines>0</Lines>
  <Paragraphs>0</Paragraphs>
  <TotalTime>1</TotalTime>
  <ScaleCrop>false</ScaleCrop>
  <LinksUpToDate>false</LinksUpToDate>
  <CharactersWithSpaces>64827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2021-12-08T03:54:00Z</dcterms:created>
  <dc:creator>Administrator</dc:creator>
  <cp:lastModifiedBy>Administrator</cp:lastModifiedBy>
  <cp:lastPrinted>2022-01-08T12:42:00Z</cp:lastPrinted>
  <dcterms:modified xsi:type="dcterms:W3CDTF">2023-07-04T11:18:25Z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01548A023940404EB991DC9B36757F50</vt:lpwstr>
  </property>
</Properties>
</file>