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B8B550">
      <w:pPr>
        <w:pStyle w:val="7"/>
        <w:spacing w:line="240" w:lineRule="atLeast"/>
        <w:ind w:firstLine="4740" w:firstLineChars="1500"/>
        <w:jc w:val="both"/>
        <w:rPr>
          <w:rFonts w:hint="eastAsia" w:ascii="仿宋" w:hAnsi="仿宋" w:eastAsia="仿宋" w:cs="仿宋"/>
          <w:b w:val="0"/>
          <w:bCs/>
          <w:kern w:val="2"/>
          <w:sz w:val="32"/>
          <w:szCs w:val="32"/>
          <w:lang w:val="en-US" w:eastAsia="zh-CN" w:bidi="ar-SA"/>
        </w:rPr>
      </w:pPr>
      <w:r>
        <w:rPr>
          <w:rFonts w:hint="eastAsia" w:ascii="仿宋" w:hAnsi="仿宋" w:eastAsia="仿宋" w:cs="仿宋"/>
          <w:color w:val="auto"/>
          <w:sz w:val="32"/>
          <w:szCs w:val="32"/>
          <w:lang w:val="en-US" w:eastAsia="zh-CN"/>
        </w:rPr>
        <w:t>唐高行审环表</w:t>
      </w:r>
      <w:r>
        <w:rPr>
          <w:rFonts w:hint="eastAsia" w:ascii="仿宋" w:hAnsi="仿宋" w:eastAsia="仿宋" w:cs="仿宋"/>
          <w:color w:val="auto"/>
          <w:sz w:val="32"/>
          <w:szCs w:val="32"/>
        </w:rPr>
        <w:t>〔</w:t>
      </w:r>
      <w:r>
        <w:rPr>
          <w:rFonts w:hint="eastAsia" w:ascii="仿宋" w:hAnsi="仿宋" w:eastAsia="仿宋" w:cs="仿宋"/>
          <w:b w:val="0"/>
          <w:bCs/>
          <w:kern w:val="2"/>
          <w:sz w:val="32"/>
          <w:szCs w:val="32"/>
          <w:lang w:val="en-US" w:eastAsia="zh-CN" w:bidi="ar-SA"/>
        </w:rPr>
        <w:t>2025〕8号</w:t>
      </w:r>
    </w:p>
    <w:p w14:paraId="752C990B">
      <w:pPr>
        <w:pStyle w:val="7"/>
        <w:spacing w:line="240" w:lineRule="atLeast"/>
        <w:ind w:firstLine="5372" w:firstLineChars="1700"/>
        <w:jc w:val="both"/>
        <w:rPr>
          <w:rFonts w:ascii="??_GB2312" w:hAnsi="宋体" w:eastAsia="Times New Roman" w:cs="宋体"/>
          <w:color w:val="FF0000"/>
          <w:sz w:val="32"/>
          <w:szCs w:val="32"/>
        </w:rPr>
      </w:pPr>
    </w:p>
    <w:p w14:paraId="44BE9322">
      <w:pPr>
        <w:pStyle w:val="16"/>
        <w:spacing w:line="560" w:lineRule="exact"/>
        <w:jc w:val="center"/>
        <w:rPr>
          <w:rFonts w:ascii="黑体" w:hAnsi="黑体" w:eastAsia="黑体" w:cs="黑体"/>
          <w:w w:val="97"/>
          <w:sz w:val="44"/>
          <w:szCs w:val="44"/>
        </w:rPr>
      </w:pPr>
      <w:r>
        <w:rPr>
          <w:rFonts w:hint="eastAsia" w:ascii="黑体" w:hAnsi="黑体" w:eastAsia="黑体" w:cs="黑体"/>
          <w:w w:val="97"/>
          <w:sz w:val="44"/>
          <w:szCs w:val="44"/>
          <w:highlight w:val="none"/>
        </w:rPr>
        <w:t>唐山高新技术产业开发区行政审批局</w:t>
      </w:r>
    </w:p>
    <w:p w14:paraId="520D21A1">
      <w:pPr>
        <w:pStyle w:val="7"/>
        <w:spacing w:line="600" w:lineRule="exact"/>
        <w:jc w:val="center"/>
        <w:rPr>
          <w:rFonts w:hint="eastAsia" w:ascii="黑体" w:hAnsi="黑体" w:eastAsia="黑体" w:cs="黑体"/>
          <w:w w:val="97"/>
          <w:sz w:val="44"/>
          <w:szCs w:val="44"/>
        </w:rPr>
      </w:pPr>
      <w:r>
        <w:rPr>
          <w:rFonts w:hint="eastAsia" w:ascii="黑体" w:hAnsi="黑体" w:eastAsia="黑体" w:cs="黑体"/>
          <w:w w:val="97"/>
          <w:sz w:val="44"/>
          <w:szCs w:val="44"/>
        </w:rPr>
        <w:t>关</w:t>
      </w:r>
      <w:r>
        <w:rPr>
          <w:rFonts w:hint="eastAsia" w:ascii="黑体" w:hAnsi="黑体" w:eastAsia="黑体" w:cs="黑体"/>
          <w:w w:val="97"/>
          <w:kern w:val="0"/>
          <w:sz w:val="44"/>
          <w:szCs w:val="44"/>
          <w:highlight w:val="none"/>
          <w:lang w:val="en-US" w:eastAsia="zh-CN" w:bidi="ar-SA"/>
        </w:rPr>
        <w:t>于唐山首佳安宁疗护中心新建医疗床位项目（重新报批）</w:t>
      </w:r>
      <w:r>
        <w:rPr>
          <w:rFonts w:hint="eastAsia" w:ascii="黑体" w:hAnsi="黑体" w:eastAsia="黑体" w:cs="黑体"/>
          <w:w w:val="97"/>
          <w:sz w:val="44"/>
          <w:szCs w:val="44"/>
        </w:rPr>
        <w:t>环境影响报告</w:t>
      </w:r>
      <w:r>
        <w:rPr>
          <w:rFonts w:hint="eastAsia" w:ascii="黑体" w:hAnsi="黑体" w:eastAsia="黑体" w:cs="黑体"/>
          <w:w w:val="97"/>
          <w:sz w:val="44"/>
          <w:szCs w:val="44"/>
          <w:lang w:val="en-US" w:eastAsia="zh-CN"/>
        </w:rPr>
        <w:t>表</w:t>
      </w:r>
      <w:r>
        <w:rPr>
          <w:rFonts w:hint="eastAsia" w:ascii="黑体" w:hAnsi="黑体" w:eastAsia="黑体" w:cs="黑体"/>
          <w:w w:val="97"/>
          <w:sz w:val="44"/>
          <w:szCs w:val="44"/>
        </w:rPr>
        <w:t>的批复</w:t>
      </w:r>
    </w:p>
    <w:p w14:paraId="2621A8FC">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sz w:val="44"/>
          <w:szCs w:val="44"/>
        </w:rPr>
      </w:pPr>
    </w:p>
    <w:p w14:paraId="048F95C0">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唐山首佳安宁疗护中心有限公司：</w:t>
      </w:r>
    </w:p>
    <w:p w14:paraId="21E0E76D">
      <w:pPr>
        <w:keepNext w:val="0"/>
        <w:keepLines w:val="0"/>
        <w:pageBreakBefore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ascii="仿宋" w:hAnsi="仿宋" w:eastAsia="仿宋" w:cs="仿宋"/>
          <w:b w:val="0"/>
          <w:bCs/>
          <w:sz w:val="32"/>
          <w:szCs w:val="32"/>
          <w:lang w:eastAsia="zh-CN"/>
        </w:rPr>
      </w:pPr>
      <w:r>
        <w:rPr>
          <w:rFonts w:hint="eastAsia" w:ascii="仿宋" w:hAnsi="仿宋" w:eastAsia="仿宋" w:cs="仿宋"/>
          <w:b w:val="0"/>
          <w:bCs/>
          <w:sz w:val="32"/>
          <w:szCs w:val="32"/>
          <w:lang w:val="en-US" w:eastAsia="zh-CN"/>
        </w:rPr>
        <w:t>你公司所报《唐山首佳安宁疗护中心新建医疗床位项目（重新报批）》（</w:t>
      </w:r>
      <w:r>
        <w:rPr>
          <w:rFonts w:hint="eastAsia" w:ascii="仿宋" w:hAnsi="仿宋" w:eastAsia="仿宋" w:cs="仿宋"/>
          <w:b w:val="0"/>
          <w:bCs/>
          <w:sz w:val="32"/>
          <w:szCs w:val="32"/>
          <w:lang w:eastAsia="zh-CN"/>
        </w:rPr>
        <w:t>以下简称《报告</w:t>
      </w:r>
      <w:r>
        <w:rPr>
          <w:rFonts w:hint="eastAsia" w:ascii="仿宋" w:hAnsi="仿宋" w:eastAsia="仿宋" w:cs="仿宋"/>
          <w:b w:val="0"/>
          <w:bCs/>
          <w:sz w:val="32"/>
          <w:szCs w:val="32"/>
          <w:lang w:val="en-US" w:eastAsia="zh-CN"/>
        </w:rPr>
        <w:t>表</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lang w:val="en-US" w:eastAsia="zh-CN"/>
        </w:rPr>
        <w:t>及</w:t>
      </w:r>
      <w:r>
        <w:rPr>
          <w:rFonts w:hint="eastAsia" w:ascii="仿宋" w:hAnsi="仿宋" w:eastAsia="仿宋" w:cs="仿宋"/>
          <w:b w:val="0"/>
          <w:bCs/>
          <w:sz w:val="32"/>
          <w:szCs w:val="32"/>
          <w:lang w:eastAsia="zh-CN"/>
        </w:rPr>
        <w:t>审批申请</w:t>
      </w:r>
      <w:r>
        <w:rPr>
          <w:rFonts w:hint="eastAsia" w:ascii="仿宋" w:hAnsi="仿宋" w:eastAsia="仿宋" w:cs="仿宋"/>
          <w:b w:val="0"/>
          <w:bCs/>
          <w:sz w:val="32"/>
          <w:szCs w:val="32"/>
          <w:lang w:val="en-US" w:eastAsia="zh-CN"/>
        </w:rPr>
        <w:t>等</w:t>
      </w:r>
      <w:r>
        <w:rPr>
          <w:rFonts w:hint="eastAsia" w:ascii="仿宋" w:hAnsi="仿宋" w:eastAsia="仿宋" w:cs="仿宋"/>
          <w:b w:val="0"/>
          <w:bCs/>
          <w:sz w:val="32"/>
          <w:szCs w:val="32"/>
          <w:lang w:eastAsia="zh-CN"/>
        </w:rPr>
        <w:t>相关材料</w:t>
      </w:r>
      <w:r>
        <w:rPr>
          <w:rFonts w:hint="eastAsia" w:ascii="仿宋" w:hAnsi="仿宋" w:eastAsia="仿宋" w:cs="仿宋"/>
          <w:b w:val="0"/>
          <w:bCs/>
          <w:sz w:val="32"/>
          <w:szCs w:val="32"/>
          <w:lang w:val="en-US" w:eastAsia="zh-CN"/>
        </w:rPr>
        <w:t>我局已</w:t>
      </w:r>
      <w:r>
        <w:rPr>
          <w:rFonts w:hint="eastAsia" w:ascii="仿宋" w:hAnsi="仿宋" w:eastAsia="仿宋" w:cs="仿宋"/>
          <w:b w:val="0"/>
          <w:bCs/>
          <w:sz w:val="32"/>
          <w:szCs w:val="32"/>
          <w:lang w:eastAsia="zh-CN"/>
        </w:rPr>
        <w:t>收悉。根据《报告</w:t>
      </w:r>
      <w:r>
        <w:rPr>
          <w:rFonts w:hint="eastAsia" w:ascii="仿宋" w:hAnsi="仿宋" w:eastAsia="仿宋" w:cs="仿宋"/>
          <w:b w:val="0"/>
          <w:bCs/>
          <w:sz w:val="32"/>
          <w:szCs w:val="32"/>
          <w:lang w:val="en-US" w:eastAsia="zh-CN"/>
        </w:rPr>
        <w:t>表》</w:t>
      </w:r>
      <w:r>
        <w:rPr>
          <w:rFonts w:hint="eastAsia" w:ascii="仿宋" w:hAnsi="仿宋" w:eastAsia="仿宋" w:cs="仿宋"/>
          <w:b w:val="0"/>
          <w:bCs/>
          <w:sz w:val="32"/>
          <w:szCs w:val="32"/>
          <w:lang w:eastAsia="zh-CN"/>
        </w:rPr>
        <w:t>结论、专家评审意见，结合工程环境影响特点，经研究，现批复如下：</w:t>
      </w:r>
    </w:p>
    <w:p w14:paraId="26780729">
      <w:pPr>
        <w:keepNext w:val="0"/>
        <w:keepLines w:val="0"/>
        <w:pageBreakBefore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ascii="仿宋" w:hAnsi="仿宋" w:eastAsia="仿宋" w:cs="仿宋"/>
          <w:b w:val="0"/>
          <w:bCs/>
          <w:sz w:val="32"/>
          <w:szCs w:val="32"/>
          <w:lang w:val="en-US" w:eastAsia="zh-CN"/>
        </w:rPr>
      </w:pPr>
      <w:r>
        <w:rPr>
          <w:rFonts w:hint="default" w:ascii="仿宋" w:hAnsi="仿宋" w:eastAsia="仿宋" w:cs="仿宋"/>
          <w:b w:val="0"/>
          <w:bCs/>
          <w:sz w:val="32"/>
          <w:szCs w:val="32"/>
          <w:lang w:val="en-US" w:eastAsia="zh-CN"/>
        </w:rPr>
        <w:t>项目位于河北省唐山高新技术产业开发区机场连接线8号-1号楼、10号-1号楼，项目总投资</w:t>
      </w:r>
      <w:r>
        <w:rPr>
          <w:rFonts w:hint="eastAsia" w:ascii="仿宋" w:hAnsi="仿宋" w:eastAsia="仿宋" w:cs="仿宋"/>
          <w:b w:val="0"/>
          <w:bCs/>
          <w:sz w:val="32"/>
          <w:szCs w:val="32"/>
          <w:lang w:val="en-US" w:eastAsia="zh-CN"/>
        </w:rPr>
        <w:t>300</w:t>
      </w:r>
      <w:r>
        <w:rPr>
          <w:rFonts w:hint="default" w:ascii="仿宋" w:hAnsi="仿宋" w:eastAsia="仿宋" w:cs="仿宋"/>
          <w:b w:val="0"/>
          <w:bCs/>
          <w:sz w:val="32"/>
          <w:szCs w:val="32"/>
          <w:lang w:val="en-US" w:eastAsia="zh-CN"/>
        </w:rPr>
        <w:t>万元，其中环保投资</w:t>
      </w:r>
      <w:r>
        <w:rPr>
          <w:rFonts w:hint="eastAsia" w:ascii="仿宋" w:hAnsi="仿宋" w:eastAsia="仿宋" w:cs="仿宋"/>
          <w:b w:val="0"/>
          <w:bCs/>
          <w:sz w:val="32"/>
          <w:szCs w:val="32"/>
          <w:lang w:val="en-US" w:eastAsia="zh-CN"/>
        </w:rPr>
        <w:t>5</w:t>
      </w:r>
      <w:r>
        <w:rPr>
          <w:rFonts w:hint="default" w:ascii="仿宋" w:hAnsi="仿宋" w:eastAsia="仿宋" w:cs="仿宋"/>
          <w:b w:val="0"/>
          <w:bCs/>
          <w:sz w:val="32"/>
          <w:szCs w:val="32"/>
          <w:lang w:val="en-US" w:eastAsia="zh-CN"/>
        </w:rPr>
        <w:t>万元。项目建成后新增医疗床位259张。</w:t>
      </w:r>
    </w:p>
    <w:p w14:paraId="03323470">
      <w:pPr>
        <w:keepNext w:val="0"/>
        <w:keepLines w:val="0"/>
        <w:pageBreakBefore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根据你公司所报《报告</w:t>
      </w:r>
      <w:r>
        <w:rPr>
          <w:rFonts w:hint="eastAsia" w:ascii="仿宋" w:hAnsi="仿宋" w:eastAsia="仿宋" w:cs="仿宋"/>
          <w:b w:val="0"/>
          <w:bCs/>
          <w:sz w:val="32"/>
          <w:szCs w:val="32"/>
          <w:lang w:val="en-US" w:eastAsia="zh-CN"/>
        </w:rPr>
        <w:t>表</w:t>
      </w:r>
      <w:r>
        <w:rPr>
          <w:rFonts w:hint="eastAsia" w:ascii="仿宋" w:hAnsi="仿宋" w:eastAsia="仿宋" w:cs="仿宋"/>
          <w:b w:val="0"/>
          <w:bCs/>
          <w:sz w:val="32"/>
          <w:szCs w:val="32"/>
        </w:rPr>
        <w:t>》以及报告</w:t>
      </w:r>
      <w:r>
        <w:rPr>
          <w:rFonts w:hint="eastAsia" w:ascii="仿宋" w:hAnsi="仿宋" w:eastAsia="仿宋" w:cs="仿宋"/>
          <w:b w:val="0"/>
          <w:bCs/>
          <w:sz w:val="32"/>
          <w:szCs w:val="32"/>
          <w:lang w:val="en-US" w:eastAsia="zh-CN"/>
        </w:rPr>
        <w:t>表</w:t>
      </w:r>
      <w:r>
        <w:rPr>
          <w:rFonts w:hint="eastAsia" w:ascii="仿宋" w:hAnsi="仿宋" w:eastAsia="仿宋" w:cs="仿宋"/>
          <w:bCs/>
          <w:sz w:val="32"/>
          <w:szCs w:val="32"/>
          <w:lang w:val="en-US" w:eastAsia="zh-CN"/>
        </w:rPr>
        <w:t>技术评估</w:t>
      </w:r>
      <w:r>
        <w:rPr>
          <w:rFonts w:hint="eastAsia" w:ascii="仿宋" w:hAnsi="仿宋" w:eastAsia="仿宋" w:cs="仿宋"/>
          <w:bCs/>
          <w:sz w:val="32"/>
          <w:szCs w:val="32"/>
        </w:rPr>
        <w:t>意见</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从环境保护角度分析，我局原则</w:t>
      </w:r>
      <w:r>
        <w:rPr>
          <w:rFonts w:hint="eastAsia" w:ascii="仿宋" w:hAnsi="仿宋" w:eastAsia="仿宋" w:cs="仿宋"/>
          <w:b w:val="0"/>
          <w:bCs/>
          <w:sz w:val="32"/>
          <w:szCs w:val="32"/>
          <w:lang w:val="en-US" w:eastAsia="zh-CN"/>
        </w:rPr>
        <w:t>上</w:t>
      </w:r>
      <w:r>
        <w:rPr>
          <w:rFonts w:hint="eastAsia" w:ascii="仿宋" w:hAnsi="仿宋" w:eastAsia="仿宋" w:cs="仿宋"/>
          <w:b w:val="0"/>
          <w:bCs/>
          <w:sz w:val="32"/>
          <w:szCs w:val="32"/>
        </w:rPr>
        <w:t>同意《报告</w:t>
      </w:r>
      <w:r>
        <w:rPr>
          <w:rFonts w:hint="eastAsia" w:ascii="仿宋" w:hAnsi="仿宋" w:eastAsia="仿宋" w:cs="仿宋"/>
          <w:b w:val="0"/>
          <w:bCs/>
          <w:sz w:val="32"/>
          <w:szCs w:val="32"/>
          <w:lang w:val="en-US" w:eastAsia="zh-CN"/>
        </w:rPr>
        <w:t>表</w:t>
      </w:r>
      <w:r>
        <w:rPr>
          <w:rFonts w:hint="eastAsia" w:ascii="仿宋" w:hAnsi="仿宋" w:eastAsia="仿宋" w:cs="仿宋"/>
          <w:b w:val="0"/>
          <w:bCs/>
          <w:sz w:val="32"/>
          <w:szCs w:val="32"/>
        </w:rPr>
        <w:t>》结论。</w:t>
      </w:r>
    </w:p>
    <w:p w14:paraId="1B16982E">
      <w:pPr>
        <w:keepNext w:val="0"/>
        <w:keepLines w:val="0"/>
        <w:pageBreakBefore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lang w:eastAsia="zh-CN"/>
        </w:rPr>
        <w:t>一、</w:t>
      </w:r>
      <w:r>
        <w:rPr>
          <w:rFonts w:hint="eastAsia" w:ascii="仿宋" w:hAnsi="仿宋" w:eastAsia="仿宋" w:cs="仿宋"/>
          <w:b w:val="0"/>
          <w:bCs/>
          <w:sz w:val="32"/>
          <w:szCs w:val="32"/>
        </w:rPr>
        <w:t>你公司须严格按照《报告</w:t>
      </w:r>
      <w:r>
        <w:rPr>
          <w:rFonts w:hint="eastAsia" w:ascii="仿宋" w:hAnsi="仿宋" w:eastAsia="仿宋" w:cs="仿宋"/>
          <w:b w:val="0"/>
          <w:bCs/>
          <w:sz w:val="32"/>
          <w:szCs w:val="32"/>
          <w:lang w:val="en-US" w:eastAsia="zh-CN"/>
        </w:rPr>
        <w:t>表</w:t>
      </w:r>
      <w:r>
        <w:rPr>
          <w:rFonts w:hint="eastAsia" w:ascii="仿宋" w:hAnsi="仿宋" w:eastAsia="仿宋" w:cs="仿宋"/>
          <w:b w:val="0"/>
          <w:bCs/>
          <w:sz w:val="32"/>
          <w:szCs w:val="32"/>
        </w:rPr>
        <w:t>》所列建设项目的性质、规模、地点、生产工艺、环保措施及要求实施项目建设。</w:t>
      </w:r>
    </w:p>
    <w:p w14:paraId="3F12C0D5">
      <w:pPr>
        <w:keepNext w:val="0"/>
        <w:keepLines w:val="0"/>
        <w:pageBreakBefore w:val="0"/>
        <w:numPr>
          <w:ilvl w:val="0"/>
          <w:numId w:val="0"/>
        </w:numPr>
        <w:shd w:val="clear" w:color="auto" w:fill="FFFFFF"/>
        <w:kinsoku/>
        <w:wordWrap/>
        <w:overflowPunct/>
        <w:topLinePunct w:val="0"/>
        <w:autoSpaceDE/>
        <w:autoSpaceDN/>
        <w:bidi w:val="0"/>
        <w:adjustRightInd/>
        <w:snapToGrid/>
        <w:spacing w:line="240" w:lineRule="auto"/>
        <w:ind w:firstLine="632"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lang w:eastAsia="zh-CN"/>
        </w:rPr>
        <w:t>二、</w:t>
      </w:r>
      <w:r>
        <w:rPr>
          <w:rFonts w:hint="eastAsia" w:ascii="仿宋" w:hAnsi="仿宋" w:eastAsia="仿宋" w:cs="仿宋"/>
          <w:b w:val="0"/>
          <w:bCs/>
          <w:sz w:val="32"/>
          <w:szCs w:val="32"/>
        </w:rPr>
        <w:t>项目建设和运行过程中要认真落实《报告</w:t>
      </w:r>
      <w:r>
        <w:rPr>
          <w:rFonts w:hint="eastAsia" w:ascii="仿宋" w:hAnsi="仿宋" w:eastAsia="仿宋" w:cs="仿宋"/>
          <w:b w:val="0"/>
          <w:bCs/>
          <w:sz w:val="32"/>
          <w:szCs w:val="32"/>
          <w:lang w:val="en-US" w:eastAsia="zh-CN"/>
        </w:rPr>
        <w:t>表</w:t>
      </w:r>
      <w:r>
        <w:rPr>
          <w:rFonts w:hint="eastAsia" w:ascii="仿宋" w:hAnsi="仿宋" w:eastAsia="仿宋" w:cs="仿宋"/>
          <w:b w:val="0"/>
          <w:bCs/>
          <w:sz w:val="32"/>
          <w:szCs w:val="32"/>
        </w:rPr>
        <w:t>》及相关</w:t>
      </w:r>
    </w:p>
    <w:p w14:paraId="4D36F569">
      <w:pPr>
        <w:keepNext w:val="0"/>
        <w:keepLines w:val="0"/>
        <w:pageBreakBefore w:val="0"/>
        <w:widowControl/>
        <w:suppressLineNumbers w:val="0"/>
        <w:kinsoku/>
        <w:wordWrap/>
        <w:overflowPunct/>
        <w:topLinePunct w:val="0"/>
        <w:autoSpaceDE/>
        <w:autoSpaceDN/>
        <w:bidi w:val="0"/>
        <w:adjustRightInd/>
        <w:snapToGrid/>
        <w:spacing w:line="240" w:lineRule="auto"/>
        <w:ind w:firstLine="632" w:firstLineChars="200"/>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的各项污染防治措施，</w:t>
      </w:r>
      <w:r>
        <w:rPr>
          <w:rFonts w:hint="eastAsia" w:ascii="仿宋" w:hAnsi="仿宋" w:eastAsia="仿宋" w:cs="仿宋"/>
          <w:b w:val="0"/>
          <w:bCs/>
          <w:sz w:val="32"/>
          <w:szCs w:val="32"/>
          <w:lang w:val="en-US" w:eastAsia="zh-CN"/>
        </w:rPr>
        <w:t>并</w:t>
      </w:r>
      <w:r>
        <w:rPr>
          <w:rFonts w:hint="eastAsia" w:ascii="仿宋" w:hAnsi="仿宋" w:eastAsia="仿宋" w:cs="仿宋"/>
          <w:b w:val="0"/>
          <w:bCs/>
          <w:sz w:val="32"/>
          <w:szCs w:val="32"/>
        </w:rPr>
        <w:t>重点做好以下工作：</w:t>
      </w:r>
    </w:p>
    <w:p w14:paraId="75324DB3">
      <w:pPr>
        <w:keepNext w:val="0"/>
        <w:keepLines w:val="0"/>
        <w:pageBreakBefore w:val="0"/>
        <w:widowControl/>
        <w:suppressLineNumbers w:val="0"/>
        <w:kinsoku/>
        <w:wordWrap/>
        <w:overflowPunct/>
        <w:topLinePunct w:val="0"/>
        <w:autoSpaceDE/>
        <w:autoSpaceDN/>
        <w:bidi w:val="0"/>
        <w:adjustRightInd/>
        <w:snapToGrid/>
        <w:spacing w:line="240" w:lineRule="auto"/>
        <w:ind w:firstLine="632" w:firstLineChars="200"/>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t>（一）加强施工期管理，严格按照《报告</w:t>
      </w:r>
      <w:r>
        <w:rPr>
          <w:rFonts w:hint="eastAsia" w:ascii="仿宋" w:hAnsi="仿宋" w:eastAsia="仿宋" w:cs="仿宋"/>
          <w:b w:val="0"/>
          <w:bCs/>
          <w:sz w:val="32"/>
          <w:szCs w:val="32"/>
          <w:lang w:val="en-US" w:eastAsia="zh-CN"/>
        </w:rPr>
        <w:t>表</w:t>
      </w:r>
      <w:r>
        <w:rPr>
          <w:rFonts w:hint="eastAsia" w:ascii="仿宋" w:hAnsi="仿宋" w:eastAsia="仿宋" w:cs="仿宋"/>
          <w:b w:val="0"/>
          <w:bCs/>
          <w:sz w:val="32"/>
          <w:szCs w:val="32"/>
        </w:rPr>
        <w:t>》要求认真落实施工期各项污染防治措施，确保达到环保要求。</w:t>
      </w:r>
    </w:p>
    <w:p w14:paraId="4DD37D8F">
      <w:pPr>
        <w:keepNext w:val="0"/>
        <w:keepLines w:val="0"/>
        <w:pageBreakBefore w:val="0"/>
        <w:widowControl/>
        <w:suppressLineNumbers w:val="0"/>
        <w:kinsoku/>
        <w:wordWrap/>
        <w:overflowPunct/>
        <w:topLinePunct w:val="0"/>
        <w:autoSpaceDE/>
        <w:autoSpaceDN/>
        <w:bidi w:val="0"/>
        <w:adjustRightInd/>
        <w:snapToGrid/>
        <w:spacing w:line="240" w:lineRule="auto"/>
        <w:ind w:firstLine="632" w:firstLineChars="200"/>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t>（</w:t>
      </w:r>
      <w:r>
        <w:rPr>
          <w:rFonts w:hint="eastAsia" w:ascii="仿宋" w:hAnsi="仿宋" w:eastAsia="仿宋" w:cs="仿宋"/>
          <w:b w:val="0"/>
          <w:bCs/>
          <w:sz w:val="32"/>
          <w:szCs w:val="32"/>
          <w:lang w:val="en-US" w:eastAsia="zh-CN"/>
        </w:rPr>
        <w:t>二</w:t>
      </w:r>
      <w:r>
        <w:rPr>
          <w:rFonts w:hint="eastAsia" w:ascii="仿宋" w:hAnsi="仿宋" w:eastAsia="仿宋" w:cs="仿宋"/>
          <w:b w:val="0"/>
          <w:bCs/>
          <w:sz w:val="32"/>
          <w:szCs w:val="32"/>
        </w:rPr>
        <w:t>）严格落实水环境保护措施。</w:t>
      </w:r>
    </w:p>
    <w:p w14:paraId="086A8592">
      <w:pPr>
        <w:keepNext w:val="0"/>
        <w:keepLines w:val="0"/>
        <w:pageBreakBefore w:val="0"/>
        <w:widowControl/>
        <w:suppressLineNumbers w:val="0"/>
        <w:kinsoku/>
        <w:wordWrap/>
        <w:overflowPunct/>
        <w:topLinePunct w:val="0"/>
        <w:autoSpaceDE/>
        <w:autoSpaceDN/>
        <w:bidi w:val="0"/>
        <w:adjustRightInd/>
        <w:snapToGrid/>
        <w:spacing w:line="240" w:lineRule="auto"/>
        <w:ind w:firstLine="632" w:firstLineChars="200"/>
        <w:jc w:val="left"/>
        <w:textAlignment w:val="auto"/>
        <w:rPr>
          <w:rFonts w:hint="default"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项目</w:t>
      </w:r>
      <w:r>
        <w:rPr>
          <w:rFonts w:hint="default" w:ascii="仿宋" w:hAnsi="仿宋" w:eastAsia="仿宋" w:cs="仿宋"/>
          <w:b w:val="0"/>
          <w:bCs/>
          <w:sz w:val="32"/>
          <w:szCs w:val="32"/>
          <w:lang w:val="en-US" w:eastAsia="zh-CN"/>
        </w:rPr>
        <w:t>租赁养老服务中心1#老年养护院内80张床位产生的医疗病房废水依托唐山首佳安宁疗护中心有限公司现有医疗污水处理站处理</w:t>
      </w:r>
      <w:r>
        <w:rPr>
          <w:rFonts w:hint="eastAsia" w:ascii="仿宋" w:hAnsi="仿宋" w:eastAsia="仿宋" w:cs="仿宋"/>
          <w:b w:val="0"/>
          <w:bCs/>
          <w:sz w:val="32"/>
          <w:szCs w:val="32"/>
          <w:lang w:val="en-US" w:eastAsia="zh-CN"/>
        </w:rPr>
        <w:t>达标</w:t>
      </w:r>
      <w:r>
        <w:rPr>
          <w:rFonts w:hint="default" w:ascii="仿宋" w:hAnsi="仿宋" w:eastAsia="仿宋" w:cs="仿宋"/>
          <w:b w:val="0"/>
          <w:bCs/>
          <w:sz w:val="32"/>
          <w:szCs w:val="32"/>
          <w:lang w:val="en-US" w:eastAsia="zh-CN"/>
        </w:rPr>
        <w:t>后汇同养老服务中心养老生活污水通过市政污水管网</w:t>
      </w:r>
      <w:r>
        <w:rPr>
          <w:rFonts w:hint="eastAsia" w:ascii="仿宋" w:hAnsi="仿宋" w:eastAsia="仿宋" w:cs="仿宋"/>
          <w:b w:val="0"/>
          <w:bCs/>
          <w:sz w:val="32"/>
          <w:szCs w:val="32"/>
          <w:lang w:val="en-US" w:eastAsia="zh-CN"/>
        </w:rPr>
        <w:t>进入</w:t>
      </w:r>
      <w:r>
        <w:rPr>
          <w:rFonts w:hint="default" w:ascii="仿宋" w:hAnsi="仿宋" w:eastAsia="仿宋" w:cs="仿宋"/>
          <w:b w:val="0"/>
          <w:bCs/>
          <w:sz w:val="32"/>
          <w:szCs w:val="32"/>
          <w:lang w:val="en-US" w:eastAsia="zh-CN"/>
        </w:rPr>
        <w:t>市政污水处理厂（唐山市润城水净化有限公司</w:t>
      </w:r>
      <w:bookmarkStart w:id="0" w:name="_GoBack"/>
      <w:bookmarkEnd w:id="0"/>
      <w:r>
        <w:rPr>
          <w:rFonts w:hint="default" w:ascii="仿宋" w:hAnsi="仿宋" w:eastAsia="仿宋" w:cs="仿宋"/>
          <w:b w:val="0"/>
          <w:bCs/>
          <w:sz w:val="32"/>
          <w:szCs w:val="32"/>
          <w:lang w:val="en-US" w:eastAsia="zh-CN"/>
        </w:rPr>
        <w:t>）处理，养老服务中心现有综合污水处理站不再使用</w:t>
      </w:r>
      <w:r>
        <w:rPr>
          <w:rFonts w:hint="eastAsia" w:ascii="仿宋" w:hAnsi="仿宋" w:eastAsia="仿宋" w:cs="仿宋"/>
          <w:b w:val="0"/>
          <w:bCs/>
          <w:sz w:val="32"/>
          <w:szCs w:val="32"/>
          <w:lang w:val="en-US" w:eastAsia="zh-CN"/>
        </w:rPr>
        <w:t>；租赁</w:t>
      </w:r>
      <w:r>
        <w:rPr>
          <w:rFonts w:hint="default" w:ascii="仿宋" w:hAnsi="仿宋" w:eastAsia="仿宋" w:cs="仿宋"/>
          <w:b w:val="0"/>
          <w:bCs/>
          <w:sz w:val="32"/>
          <w:szCs w:val="32"/>
          <w:lang w:val="en-US" w:eastAsia="zh-CN"/>
        </w:rPr>
        <w:t>智慧养老基地1#医院及养老服务中心大楼内179张床位产生的医疗病房废水依托智慧养老基地现有医疗废水处理站处理，达标后通过市政污水管网进入市政污水处理厂（唐山市润城水净化有限公司）处理。</w:t>
      </w:r>
    </w:p>
    <w:p w14:paraId="500CD44C">
      <w:pPr>
        <w:keepNext w:val="0"/>
        <w:keepLines w:val="0"/>
        <w:pageBreakBefore w:val="0"/>
        <w:widowControl/>
        <w:suppressLineNumbers w:val="0"/>
        <w:kinsoku/>
        <w:wordWrap/>
        <w:overflowPunct/>
        <w:topLinePunct w:val="0"/>
        <w:autoSpaceDE/>
        <w:autoSpaceDN/>
        <w:bidi w:val="0"/>
        <w:adjustRightInd/>
        <w:snapToGrid/>
        <w:spacing w:line="240" w:lineRule="auto"/>
        <w:ind w:firstLine="632" w:firstLineChars="200"/>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（三）严格落实大气环境保护措施。</w:t>
      </w:r>
    </w:p>
    <w:p w14:paraId="6E13D222">
      <w:pPr>
        <w:keepNext w:val="0"/>
        <w:keepLines w:val="0"/>
        <w:pageBreakBefore w:val="0"/>
        <w:widowControl/>
        <w:suppressLineNumbers w:val="0"/>
        <w:kinsoku/>
        <w:wordWrap/>
        <w:overflowPunct/>
        <w:topLinePunct w:val="0"/>
        <w:autoSpaceDE/>
        <w:autoSpaceDN/>
        <w:bidi w:val="0"/>
        <w:adjustRightInd/>
        <w:snapToGrid/>
        <w:spacing w:line="240" w:lineRule="auto"/>
        <w:ind w:firstLine="632" w:firstLineChars="200"/>
        <w:jc w:val="left"/>
        <w:textAlignment w:val="auto"/>
        <w:rPr>
          <w:rFonts w:hint="default" w:ascii="仿宋" w:hAnsi="仿宋" w:eastAsia="仿宋" w:cs="仿宋"/>
          <w:b w:val="0"/>
          <w:bCs/>
          <w:sz w:val="32"/>
          <w:szCs w:val="32"/>
          <w:lang w:val="en-US" w:eastAsia="zh-CN"/>
        </w:rPr>
      </w:pPr>
      <w:r>
        <w:rPr>
          <w:rFonts w:hint="default" w:ascii="仿宋" w:hAnsi="仿宋" w:eastAsia="仿宋" w:cs="仿宋"/>
          <w:b w:val="0"/>
          <w:bCs/>
          <w:sz w:val="32"/>
          <w:szCs w:val="32"/>
          <w:lang w:val="en-US" w:eastAsia="zh-CN"/>
        </w:rPr>
        <w:t>唐山首佳安宁疗护中心有限公司</w:t>
      </w:r>
      <w:r>
        <w:rPr>
          <w:rFonts w:hint="eastAsia" w:ascii="仿宋" w:hAnsi="仿宋" w:eastAsia="仿宋" w:cs="仿宋"/>
          <w:b w:val="0"/>
          <w:bCs/>
          <w:sz w:val="32"/>
          <w:szCs w:val="32"/>
          <w:lang w:val="en-US" w:eastAsia="zh-CN"/>
        </w:rPr>
        <w:t>现有</w:t>
      </w:r>
      <w:r>
        <w:rPr>
          <w:rFonts w:hint="default" w:ascii="仿宋" w:hAnsi="仿宋" w:eastAsia="仿宋" w:cs="仿宋"/>
          <w:b w:val="0"/>
          <w:bCs/>
          <w:sz w:val="32"/>
          <w:szCs w:val="32"/>
          <w:lang w:val="en-US" w:eastAsia="zh-CN"/>
        </w:rPr>
        <w:t>医疗废水处理站加盖密闭，周边定期喷洒除臭剂，废气经处理后</w:t>
      </w:r>
      <w:r>
        <w:rPr>
          <w:rFonts w:hint="eastAsia" w:ascii="仿宋" w:hAnsi="仿宋" w:eastAsia="仿宋" w:cs="仿宋"/>
          <w:b w:val="0"/>
          <w:bCs/>
          <w:sz w:val="32"/>
          <w:szCs w:val="32"/>
          <w:lang w:val="en-US" w:eastAsia="zh-CN"/>
        </w:rPr>
        <w:t>氨、硫化氢、臭气浓度</w:t>
      </w:r>
      <w:r>
        <w:rPr>
          <w:rFonts w:hint="default" w:ascii="仿宋" w:hAnsi="仿宋" w:eastAsia="仿宋" w:cs="仿宋"/>
          <w:b w:val="0"/>
          <w:bCs/>
          <w:sz w:val="32"/>
          <w:szCs w:val="32"/>
          <w:lang w:val="en-US" w:eastAsia="zh-CN"/>
        </w:rPr>
        <w:t>满足《医疗机构水污染物排放标准》(GB18466-2005)表3污水处理站周边最高允浓度限值要求。</w:t>
      </w:r>
    </w:p>
    <w:p w14:paraId="223CC3BE">
      <w:pPr>
        <w:keepNext w:val="0"/>
        <w:keepLines w:val="0"/>
        <w:pageBreakBefore w:val="0"/>
        <w:widowControl/>
        <w:suppressLineNumbers w:val="0"/>
        <w:kinsoku/>
        <w:wordWrap/>
        <w:overflowPunct/>
        <w:topLinePunct w:val="0"/>
        <w:autoSpaceDE/>
        <w:autoSpaceDN/>
        <w:bidi w:val="0"/>
        <w:adjustRightInd/>
        <w:snapToGrid/>
        <w:spacing w:line="240" w:lineRule="auto"/>
        <w:ind w:firstLine="632" w:firstLineChars="200"/>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（四）严格落实噪声污染防治措施。</w:t>
      </w:r>
    </w:p>
    <w:p w14:paraId="23E17519">
      <w:pPr>
        <w:keepNext w:val="0"/>
        <w:keepLines w:val="0"/>
        <w:pageBreakBefore w:val="0"/>
        <w:widowControl/>
        <w:suppressLineNumbers w:val="0"/>
        <w:kinsoku/>
        <w:wordWrap/>
        <w:overflowPunct/>
        <w:topLinePunct w:val="0"/>
        <w:autoSpaceDE/>
        <w:autoSpaceDN/>
        <w:bidi w:val="0"/>
        <w:adjustRightInd/>
        <w:snapToGrid/>
        <w:spacing w:line="240" w:lineRule="auto"/>
        <w:ind w:firstLine="632" w:firstLineChars="200"/>
        <w:jc w:val="left"/>
        <w:textAlignment w:val="auto"/>
        <w:rPr>
          <w:rFonts w:hint="default" w:ascii="仿宋" w:hAnsi="仿宋" w:eastAsia="仿宋" w:cs="仿宋"/>
          <w:b w:val="0"/>
          <w:bCs/>
          <w:sz w:val="32"/>
          <w:szCs w:val="32"/>
          <w:lang w:val="en-US" w:eastAsia="zh-CN"/>
        </w:rPr>
      </w:pPr>
      <w:r>
        <w:rPr>
          <w:rFonts w:hint="default" w:ascii="仿宋" w:hAnsi="仿宋" w:eastAsia="仿宋" w:cs="仿宋"/>
          <w:b w:val="0"/>
          <w:bCs/>
          <w:sz w:val="32"/>
          <w:szCs w:val="32"/>
          <w:lang w:val="en-US" w:eastAsia="zh-CN"/>
        </w:rPr>
        <w:t>项目新增设备主要为低噪医疗设备</w:t>
      </w:r>
      <w:r>
        <w:rPr>
          <w:rFonts w:hint="eastAsia" w:ascii="仿宋" w:hAnsi="仿宋" w:eastAsia="仿宋" w:cs="仿宋"/>
          <w:b w:val="0"/>
          <w:bCs/>
          <w:sz w:val="32"/>
          <w:szCs w:val="32"/>
          <w:lang w:val="en-US" w:eastAsia="zh-CN"/>
        </w:rPr>
        <w:t>，采取</w:t>
      </w:r>
      <w:r>
        <w:rPr>
          <w:rFonts w:hint="default" w:ascii="仿宋" w:hAnsi="仿宋" w:eastAsia="仿宋" w:cs="仿宋"/>
          <w:b w:val="0"/>
          <w:bCs/>
          <w:sz w:val="32"/>
          <w:szCs w:val="32"/>
          <w:lang w:val="en-US" w:eastAsia="zh-CN"/>
        </w:rPr>
        <w:t>墙体隔声、距离衰减，项目厂界外1m处噪声值满足《工业企业厂界环境噪声排放标准》(GB12348-2008)</w:t>
      </w:r>
      <w:r>
        <w:rPr>
          <w:rFonts w:hint="eastAsia" w:ascii="仿宋" w:hAnsi="仿宋" w:eastAsia="仿宋" w:cs="仿宋"/>
          <w:b w:val="0"/>
          <w:bCs/>
          <w:sz w:val="32"/>
          <w:szCs w:val="32"/>
          <w:lang w:val="en-US" w:eastAsia="zh-CN"/>
        </w:rPr>
        <w:t>2</w:t>
      </w:r>
      <w:r>
        <w:rPr>
          <w:rFonts w:hint="default" w:ascii="仿宋" w:hAnsi="仿宋" w:eastAsia="仿宋" w:cs="仿宋"/>
          <w:b w:val="0"/>
          <w:bCs/>
          <w:sz w:val="32"/>
          <w:szCs w:val="32"/>
          <w:lang w:val="en-US" w:eastAsia="zh-CN"/>
        </w:rPr>
        <w:t>类</w:t>
      </w:r>
      <w:r>
        <w:rPr>
          <w:rFonts w:hint="eastAsia" w:ascii="仿宋" w:hAnsi="仿宋" w:eastAsia="仿宋" w:cs="仿宋"/>
          <w:b w:val="0"/>
          <w:bCs/>
          <w:sz w:val="32"/>
          <w:szCs w:val="32"/>
          <w:lang w:val="en-US" w:eastAsia="zh-CN"/>
        </w:rPr>
        <w:t>、4类</w:t>
      </w:r>
      <w:r>
        <w:rPr>
          <w:rFonts w:hint="default" w:ascii="仿宋" w:hAnsi="仿宋" w:eastAsia="仿宋" w:cs="仿宋"/>
          <w:b w:val="0"/>
          <w:bCs/>
          <w:sz w:val="32"/>
          <w:szCs w:val="32"/>
          <w:lang w:val="en-US" w:eastAsia="zh-CN"/>
        </w:rPr>
        <w:t>标准限值要求。</w:t>
      </w:r>
    </w:p>
    <w:p w14:paraId="59E19942">
      <w:pPr>
        <w:keepNext w:val="0"/>
        <w:keepLines w:val="0"/>
        <w:pageBreakBefore w:val="0"/>
        <w:widowControl/>
        <w:suppressLineNumbers w:val="0"/>
        <w:kinsoku/>
        <w:wordWrap/>
        <w:overflowPunct/>
        <w:topLinePunct w:val="0"/>
        <w:autoSpaceDE/>
        <w:autoSpaceDN/>
        <w:bidi w:val="0"/>
        <w:adjustRightInd/>
        <w:snapToGrid/>
        <w:spacing w:line="240" w:lineRule="auto"/>
        <w:ind w:firstLine="632" w:firstLineChars="200"/>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（五）严格落实固体废物污染防治措施。</w:t>
      </w:r>
    </w:p>
    <w:p w14:paraId="3D78BD7D">
      <w:pPr>
        <w:keepNext w:val="0"/>
        <w:keepLines w:val="0"/>
        <w:pageBreakBefore w:val="0"/>
        <w:widowControl/>
        <w:suppressLineNumbers w:val="0"/>
        <w:kinsoku/>
        <w:wordWrap/>
        <w:overflowPunct/>
        <w:topLinePunct w:val="0"/>
        <w:autoSpaceDE/>
        <w:autoSpaceDN/>
        <w:bidi w:val="0"/>
        <w:adjustRightInd/>
        <w:snapToGrid/>
        <w:spacing w:line="240" w:lineRule="auto"/>
        <w:ind w:firstLine="632" w:firstLineChars="200"/>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严格按照有关规定，对固体废物实施分类收集和处理、处置，做到资源化、减量化、无害化。一般固废妥善处理，最大限度回收利用，危险废物按规定暂存，定期交有相应资质的危废处理单位处理。危险废物暂存间应满足《危险废物贮存污染控制标准》（GB18597-2023）要求。</w:t>
      </w:r>
    </w:p>
    <w:p w14:paraId="67697D35">
      <w:pPr>
        <w:keepNext w:val="0"/>
        <w:keepLines w:val="0"/>
        <w:pageBreakBefore w:val="0"/>
        <w:widowControl/>
        <w:suppressLineNumbers w:val="0"/>
        <w:kinsoku/>
        <w:wordWrap/>
        <w:overflowPunct/>
        <w:topLinePunct w:val="0"/>
        <w:autoSpaceDE/>
        <w:autoSpaceDN/>
        <w:bidi w:val="0"/>
        <w:adjustRightInd/>
        <w:snapToGrid/>
        <w:spacing w:line="240" w:lineRule="auto"/>
        <w:ind w:firstLine="632" w:firstLineChars="200"/>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（六）加强环境风险防范，落实环境风险应急措施。</w:t>
      </w:r>
    </w:p>
    <w:p w14:paraId="5916F792">
      <w:pPr>
        <w:keepNext w:val="0"/>
        <w:keepLines w:val="0"/>
        <w:pageBreakBefore w:val="0"/>
        <w:widowControl/>
        <w:suppressLineNumbers w:val="0"/>
        <w:kinsoku/>
        <w:wordWrap/>
        <w:overflowPunct/>
        <w:topLinePunct w:val="0"/>
        <w:autoSpaceDE/>
        <w:autoSpaceDN/>
        <w:bidi w:val="0"/>
        <w:adjustRightInd/>
        <w:snapToGrid/>
        <w:spacing w:line="240" w:lineRule="auto"/>
        <w:ind w:firstLine="632" w:firstLineChars="200"/>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制定和完善突发事件环境应急预案，与当地政府应急预案做好衔接，按照规定报相关部门备案。配备必要的应急设备和物资，加大风险监测和监控力度，定期进行应急培训和演练，有效防范和应对环境风险。</w:t>
      </w:r>
    </w:p>
    <w:p w14:paraId="1671AD49">
      <w:pPr>
        <w:keepNext w:val="0"/>
        <w:keepLines w:val="0"/>
        <w:pageBreakBefore w:val="0"/>
        <w:widowControl/>
        <w:suppressLineNumbers w:val="0"/>
        <w:kinsoku/>
        <w:wordWrap/>
        <w:overflowPunct/>
        <w:topLinePunct w:val="0"/>
        <w:autoSpaceDE/>
        <w:autoSpaceDN/>
        <w:bidi w:val="0"/>
        <w:adjustRightInd/>
        <w:snapToGrid/>
        <w:spacing w:line="240" w:lineRule="auto"/>
        <w:ind w:firstLine="632" w:firstLineChars="200"/>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三、结合该报告表的计算，该项目污染物排放总量指标为：COD：1.070t/a；氨氮：0.054t/a，SO</w:t>
      </w:r>
      <w:r>
        <w:rPr>
          <w:rFonts w:hint="eastAsia" w:ascii="仿宋" w:hAnsi="仿宋" w:eastAsia="仿宋" w:cs="仿宋"/>
          <w:b w:val="0"/>
          <w:bCs/>
          <w:sz w:val="32"/>
          <w:szCs w:val="32"/>
          <w:vertAlign w:val="subscript"/>
          <w:lang w:val="en-US" w:eastAsia="zh-CN"/>
        </w:rPr>
        <w:t>2</w:t>
      </w:r>
      <w:r>
        <w:rPr>
          <w:rFonts w:hint="eastAsia" w:ascii="仿宋" w:hAnsi="仿宋" w:eastAsia="仿宋" w:cs="仿宋"/>
          <w:b w:val="0"/>
          <w:bCs/>
          <w:sz w:val="32"/>
          <w:szCs w:val="32"/>
          <w:lang w:val="en-US" w:eastAsia="zh-CN"/>
        </w:rPr>
        <w:t>：0t/a、NOx：0t/a。</w:t>
      </w:r>
    </w:p>
    <w:p w14:paraId="30AF9F65">
      <w:pPr>
        <w:keepNext w:val="0"/>
        <w:keepLines w:val="0"/>
        <w:pageBreakBefore w:val="0"/>
        <w:widowControl/>
        <w:suppressLineNumbers w:val="0"/>
        <w:kinsoku/>
        <w:wordWrap/>
        <w:overflowPunct/>
        <w:topLinePunct w:val="0"/>
        <w:autoSpaceDE/>
        <w:autoSpaceDN/>
        <w:bidi w:val="0"/>
        <w:adjustRightInd/>
        <w:snapToGrid/>
        <w:spacing w:line="240" w:lineRule="auto"/>
        <w:ind w:firstLine="632" w:firstLineChars="200"/>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四、严格落实各项建设项目环境管理要求</w:t>
      </w:r>
    </w:p>
    <w:p w14:paraId="7B00CA1C">
      <w:pPr>
        <w:keepNext w:val="0"/>
        <w:keepLines w:val="0"/>
        <w:pageBreakBefore w:val="0"/>
        <w:widowControl/>
        <w:suppressLineNumbers w:val="0"/>
        <w:kinsoku/>
        <w:wordWrap/>
        <w:overflowPunct/>
        <w:topLinePunct w:val="0"/>
        <w:autoSpaceDE/>
        <w:autoSpaceDN/>
        <w:bidi w:val="0"/>
        <w:adjustRightInd/>
        <w:snapToGrid/>
        <w:spacing w:line="240" w:lineRule="auto"/>
        <w:ind w:firstLine="632" w:firstLineChars="200"/>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（一）建立内部生态环境管理机构和制度，明确人员和生态环境保护职责。</w:t>
      </w:r>
    </w:p>
    <w:p w14:paraId="5BA67540">
      <w:pPr>
        <w:keepNext w:val="0"/>
        <w:keepLines w:val="0"/>
        <w:pageBreakBefore w:val="0"/>
        <w:widowControl/>
        <w:suppressLineNumbers w:val="0"/>
        <w:kinsoku/>
        <w:wordWrap/>
        <w:overflowPunct/>
        <w:topLinePunct w:val="0"/>
        <w:autoSpaceDE/>
        <w:autoSpaceDN/>
        <w:bidi w:val="0"/>
        <w:adjustRightInd/>
        <w:snapToGrid/>
        <w:spacing w:line="240" w:lineRule="auto"/>
        <w:ind w:firstLine="632" w:firstLineChars="200"/>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二）你公司应按照国家相关规定，严格执行环境保护设施与主体工程同时设计、同时施工、同时投产使用的“三同时”制度。环境影响报告表经批准后，项目的性质、规模、地点或者防治污染、防止生态破坏的措施发生重大变动的，或自环境影响报告表批复文件批准之日起，超过5年方决定工程开工建设的，你公司应当向我局重新报批或申请重新审核该项目的环境影响报告表。</w:t>
      </w:r>
    </w:p>
    <w:p w14:paraId="570C0C62">
      <w:pPr>
        <w:keepNext w:val="0"/>
        <w:keepLines w:val="0"/>
        <w:pageBreakBefore w:val="0"/>
        <w:widowControl/>
        <w:suppressLineNumbers w:val="0"/>
        <w:kinsoku/>
        <w:wordWrap/>
        <w:overflowPunct/>
        <w:topLinePunct w:val="0"/>
        <w:autoSpaceDE/>
        <w:autoSpaceDN/>
        <w:bidi w:val="0"/>
        <w:adjustRightInd/>
        <w:snapToGrid/>
        <w:spacing w:line="240" w:lineRule="auto"/>
        <w:ind w:firstLine="632" w:firstLineChars="200"/>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（三）建设项目竣工后，建设单位按照有关规定要求开展自主验收或委托第三方机构编写建设项目竣工环境保护验收报告，依法向社会公开。</w:t>
      </w:r>
    </w:p>
    <w:p w14:paraId="22699B97">
      <w:pPr>
        <w:pStyle w:val="2"/>
        <w:keepNext w:val="0"/>
        <w:keepLines w:val="0"/>
        <w:pageBreakBefore w:val="0"/>
        <w:kinsoku/>
        <w:wordWrap/>
        <w:overflowPunct/>
        <w:topLinePunct w:val="0"/>
        <w:autoSpaceDE/>
        <w:autoSpaceDN/>
        <w:bidi w:val="0"/>
        <w:adjustRightInd/>
        <w:snapToGrid/>
        <w:spacing w:line="240" w:lineRule="auto"/>
        <w:textAlignment w:val="auto"/>
        <w:rPr>
          <w:rFonts w:hint="default"/>
          <w:lang w:val="en-US" w:eastAsia="zh-CN"/>
        </w:rPr>
      </w:pPr>
    </w:p>
    <w:p w14:paraId="68253453">
      <w:pPr>
        <w:keepNext w:val="0"/>
        <w:keepLines w:val="0"/>
        <w:pageBreakBefore w:val="0"/>
        <w:kinsoku/>
        <w:wordWrap/>
        <w:overflowPunct/>
        <w:topLinePunct w:val="0"/>
        <w:autoSpaceDE/>
        <w:autoSpaceDN/>
        <w:bidi w:val="0"/>
        <w:adjustRightInd/>
        <w:snapToGrid/>
        <w:spacing w:line="240" w:lineRule="auto"/>
        <w:ind w:firstLine="5056" w:firstLineChars="1600"/>
        <w:jc w:val="left"/>
        <w:textAlignment w:val="auto"/>
        <w:rPr>
          <w:rFonts w:ascii="仿宋" w:hAnsi="仿宋" w:eastAsia="仿宋" w:cs="??_GB2312"/>
          <w:color w:val="auto"/>
          <w:sz w:val="32"/>
          <w:szCs w:val="32"/>
        </w:rPr>
      </w:pPr>
      <w:r>
        <w:rPr>
          <w:rFonts w:hint="eastAsia" w:ascii="仿宋" w:hAnsi="仿宋" w:eastAsia="仿宋" w:cs="宋体"/>
          <w:color w:val="auto"/>
          <w:sz w:val="32"/>
          <w:szCs w:val="32"/>
        </w:rPr>
        <w:t>唐山</w:t>
      </w:r>
      <w:r>
        <w:rPr>
          <w:rFonts w:hint="eastAsia" w:ascii="仿宋" w:hAnsi="仿宋" w:eastAsia="仿宋" w:cs="宋体"/>
          <w:color w:val="auto"/>
          <w:sz w:val="32"/>
          <w:szCs w:val="32"/>
          <w:lang w:eastAsia="zh-CN"/>
        </w:rPr>
        <w:t>高新区</w:t>
      </w:r>
      <w:r>
        <w:rPr>
          <w:rFonts w:hint="eastAsia" w:ascii="仿宋" w:hAnsi="仿宋" w:eastAsia="仿宋" w:cs="宋体"/>
          <w:color w:val="auto"/>
          <w:sz w:val="32"/>
          <w:szCs w:val="32"/>
        </w:rPr>
        <w:t>行政审批局</w:t>
      </w:r>
    </w:p>
    <w:p w14:paraId="6B287A61">
      <w:pPr>
        <w:keepNext w:val="0"/>
        <w:keepLines w:val="0"/>
        <w:pageBreakBefore w:val="0"/>
        <w:kinsoku/>
        <w:wordWrap/>
        <w:overflowPunct/>
        <w:topLinePunct w:val="0"/>
        <w:autoSpaceDE/>
        <w:autoSpaceDN/>
        <w:bidi w:val="0"/>
        <w:adjustRightInd/>
        <w:snapToGrid/>
        <w:spacing w:line="240" w:lineRule="auto"/>
        <w:ind w:firstLine="5372" w:firstLineChars="1700"/>
        <w:jc w:val="left"/>
        <w:textAlignment w:val="auto"/>
        <w:rPr>
          <w:rFonts w:hint="eastAsia" w:ascii="仿宋" w:hAnsi="仿宋" w:eastAsia="仿宋" w:cs="仿宋"/>
          <w:b w:val="0"/>
          <w:bCs/>
          <w:sz w:val="32"/>
          <w:szCs w:val="32"/>
          <w:lang w:val="en-US" w:eastAsia="zh-CN"/>
        </w:rPr>
      </w:pPr>
      <w:r>
        <w:rPr>
          <w:rFonts w:hint="eastAsia" w:ascii="仿宋" w:hAnsi="仿宋" w:eastAsia="仿宋" w:cs="宋体"/>
          <w:color w:val="auto"/>
          <w:sz w:val="32"/>
          <w:szCs w:val="32"/>
        </w:rPr>
        <w:t>202</w:t>
      </w:r>
      <w:r>
        <w:rPr>
          <w:rFonts w:hint="eastAsia" w:ascii="仿宋" w:hAnsi="仿宋" w:eastAsia="仿宋" w:cs="宋体"/>
          <w:color w:val="auto"/>
          <w:sz w:val="32"/>
          <w:szCs w:val="32"/>
          <w:lang w:val="en-US" w:eastAsia="zh-CN"/>
        </w:rPr>
        <w:t>5</w:t>
      </w:r>
      <w:r>
        <w:rPr>
          <w:rFonts w:hint="eastAsia" w:ascii="仿宋" w:hAnsi="仿宋" w:eastAsia="仿宋" w:cs="仿宋"/>
          <w:b w:val="0"/>
          <w:bCs/>
          <w:sz w:val="32"/>
          <w:szCs w:val="32"/>
          <w:lang w:val="en-US" w:eastAsia="zh-CN"/>
        </w:rPr>
        <w:t>年10月20日</w:t>
      </w:r>
    </w:p>
    <w:sectPr>
      <w:headerReference r:id="rId4" w:type="first"/>
      <w:headerReference r:id="rId3" w:type="default"/>
      <w:footerReference r:id="rId5" w:type="default"/>
      <w:footerReference r:id="rId6" w:type="even"/>
      <w:pgSz w:w="11906" w:h="16838"/>
      <w:pgMar w:top="2098" w:right="1474" w:bottom="1701" w:left="1588" w:header="851" w:footer="992"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6D259">
    <w:pPr>
      <w:pStyle w:val="8"/>
      <w:framePr w:wrap="around" w:vAnchor="text" w:hAnchor="margin" w:xAlign="center" w:y="1"/>
      <w:rPr>
        <w:rStyle w:val="13"/>
      </w:rPr>
    </w:pPr>
    <w:r>
      <w:rPr>
        <w:rStyle w:val="13"/>
      </w:rPr>
      <w:fldChar w:fldCharType="begin"/>
    </w:r>
    <w:r>
      <w:rPr>
        <w:rStyle w:val="13"/>
      </w:rPr>
      <w:instrText xml:space="preserve">PAGE  </w:instrText>
    </w:r>
    <w:r>
      <w:rPr>
        <w:rStyle w:val="13"/>
      </w:rPr>
      <w:fldChar w:fldCharType="separate"/>
    </w:r>
    <w:r>
      <w:rPr>
        <w:rStyle w:val="13"/>
      </w:rPr>
      <w:t>1</w:t>
    </w:r>
    <w:r>
      <w:rPr>
        <w:rStyle w:val="13"/>
      </w:rPr>
      <w:fldChar w:fldCharType="end"/>
    </w:r>
  </w:p>
  <w:p w14:paraId="69CD2070">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A79F8">
    <w:pPr>
      <w:pStyle w:val="8"/>
      <w:framePr w:wrap="around" w:vAnchor="text" w:hAnchor="margin" w:xAlign="center" w:y="1"/>
      <w:rPr>
        <w:rStyle w:val="13"/>
      </w:rPr>
    </w:pPr>
    <w:r>
      <w:rPr>
        <w:rStyle w:val="13"/>
      </w:rPr>
      <w:fldChar w:fldCharType="begin"/>
    </w:r>
    <w:r>
      <w:rPr>
        <w:rStyle w:val="13"/>
      </w:rPr>
      <w:instrText xml:space="preserve">PAGE  </w:instrText>
    </w:r>
    <w:r>
      <w:rPr>
        <w:rStyle w:val="13"/>
      </w:rPr>
      <w:fldChar w:fldCharType="separate"/>
    </w:r>
    <w:r>
      <w:rPr>
        <w:rStyle w:val="13"/>
      </w:rPr>
      <w:t>2</w:t>
    </w:r>
    <w:r>
      <w:rPr>
        <w:rStyle w:val="13"/>
      </w:rPr>
      <w:fldChar w:fldCharType="end"/>
    </w:r>
  </w:p>
  <w:p w14:paraId="24ACADA9">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A0E1A">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4F8F8">
    <w:pPr>
      <w:pStyle w:val="9"/>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kMGU5MGY0MWQ0M2MxYmU1MGY3NTJiNmNhNmM2MWEifQ=="/>
  </w:docVars>
  <w:rsids>
    <w:rsidRoot w:val="28A616E4"/>
    <w:rsid w:val="02842701"/>
    <w:rsid w:val="053C13FF"/>
    <w:rsid w:val="059D2F85"/>
    <w:rsid w:val="06B3451B"/>
    <w:rsid w:val="06CA6ACF"/>
    <w:rsid w:val="08834192"/>
    <w:rsid w:val="0AE20722"/>
    <w:rsid w:val="0BFF1C67"/>
    <w:rsid w:val="0C304E24"/>
    <w:rsid w:val="0CF723C7"/>
    <w:rsid w:val="0F611E32"/>
    <w:rsid w:val="0FD10543"/>
    <w:rsid w:val="10E17636"/>
    <w:rsid w:val="123C7672"/>
    <w:rsid w:val="14E26DC1"/>
    <w:rsid w:val="162F468A"/>
    <w:rsid w:val="1977008B"/>
    <w:rsid w:val="19C553F3"/>
    <w:rsid w:val="1B3E0B82"/>
    <w:rsid w:val="1C06578C"/>
    <w:rsid w:val="1D747907"/>
    <w:rsid w:val="1EA5462B"/>
    <w:rsid w:val="22281BFD"/>
    <w:rsid w:val="28A616E4"/>
    <w:rsid w:val="2C4663EF"/>
    <w:rsid w:val="2E150147"/>
    <w:rsid w:val="30B47E7A"/>
    <w:rsid w:val="31A61BA1"/>
    <w:rsid w:val="31CE5C65"/>
    <w:rsid w:val="34AC4A74"/>
    <w:rsid w:val="36831FFD"/>
    <w:rsid w:val="3A8B4809"/>
    <w:rsid w:val="3CDC1F55"/>
    <w:rsid w:val="3D3019A4"/>
    <w:rsid w:val="3D49760D"/>
    <w:rsid w:val="418547AC"/>
    <w:rsid w:val="43DA69A1"/>
    <w:rsid w:val="452278BB"/>
    <w:rsid w:val="4B4B4D7A"/>
    <w:rsid w:val="4C2167F0"/>
    <w:rsid w:val="4EF13605"/>
    <w:rsid w:val="506F2CC4"/>
    <w:rsid w:val="52112BB5"/>
    <w:rsid w:val="526A33A1"/>
    <w:rsid w:val="58910A6D"/>
    <w:rsid w:val="58A0454E"/>
    <w:rsid w:val="58C33B87"/>
    <w:rsid w:val="5BD94E94"/>
    <w:rsid w:val="5EB331C8"/>
    <w:rsid w:val="65B94D9D"/>
    <w:rsid w:val="6B262D61"/>
    <w:rsid w:val="6C501D6F"/>
    <w:rsid w:val="6F972F3C"/>
    <w:rsid w:val="755D7B0C"/>
    <w:rsid w:val="78DC497A"/>
    <w:rsid w:val="7A942F6A"/>
    <w:rsid w:val="7CC77F82"/>
    <w:rsid w:val="7D6652E1"/>
    <w:rsid w:val="7E4E25AE"/>
    <w:rsid w:val="7E823B19"/>
    <w:rsid w:val="7FB7235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unhideWhenUsed="0" w:uiPriority="0" w:semiHidden="0" w:name="toc 2"/>
    <w:lsdException w:unhideWhenUsed="0" w:uiPriority="0" w:semiHidden="0" w:name="toc 3"/>
    <w:lsdException w:qFormat="1" w:unhideWhenUsed="0"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99"/>
    <w:pPr>
      <w:keepNext/>
      <w:keepLines/>
      <w:spacing w:before="120" w:after="120" w:line="480" w:lineRule="exact"/>
      <w:outlineLvl w:val="1"/>
    </w:pPr>
    <w:rPr>
      <w:b/>
      <w:bCs/>
      <w:sz w:val="30"/>
      <w:szCs w:val="32"/>
    </w:rPr>
  </w:style>
  <w:style w:type="paragraph" w:styleId="4">
    <w:name w:val="heading 4"/>
    <w:basedOn w:val="5"/>
    <w:next w:val="6"/>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lock Text"/>
    <w:basedOn w:val="1"/>
    <w:next w:val="1"/>
    <w:unhideWhenUsed/>
    <w:qFormat/>
    <w:uiPriority w:val="99"/>
    <w:pPr>
      <w:ind w:left="1440" w:leftChars="700" w:right="700" w:rightChars="700"/>
    </w:pPr>
  </w:style>
  <w:style w:type="paragraph" w:styleId="5">
    <w:name w:val="toc 4"/>
    <w:basedOn w:val="1"/>
    <w:next w:val="1"/>
    <w:qFormat/>
    <w:uiPriority w:val="39"/>
    <w:pPr>
      <w:ind w:left="1260" w:leftChars="600"/>
    </w:pPr>
    <w:rPr>
      <w:szCs w:val="20"/>
    </w:rPr>
  </w:style>
  <w:style w:type="paragraph" w:styleId="6">
    <w:name w:val="Normal Indent"/>
    <w:basedOn w:val="1"/>
    <w:next w:val="4"/>
    <w:qFormat/>
    <w:uiPriority w:val="99"/>
    <w:pPr>
      <w:ind w:firstLine="420" w:firstLineChars="200"/>
    </w:pPr>
    <w:rPr>
      <w:szCs w:val="20"/>
    </w:rPr>
  </w:style>
  <w:style w:type="paragraph" w:styleId="7">
    <w:name w:val="Plain Text"/>
    <w:basedOn w:val="1"/>
    <w:qFormat/>
    <w:uiPriority w:val="99"/>
    <w:rPr>
      <w:rFonts w:ascii="宋体" w:hAnsi="Courier New" w:cs="Courier New"/>
      <w:szCs w:val="21"/>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0"/>
    <w:pPr>
      <w:spacing w:line="360" w:lineRule="auto"/>
      <w:jc w:val="both"/>
    </w:pPr>
    <w:rPr>
      <w:rFonts w:ascii="Calibri" w:hAnsi="Calibri" w:eastAsia="宋体" w:cs="Times New Roman"/>
      <w:b/>
      <w:kern w:val="2"/>
      <w:sz w:val="24"/>
      <w:szCs w:val="24"/>
      <w:lang w:val="en-US" w:eastAsia="zh-CN" w:bidi="ar-SA"/>
    </w:rPr>
  </w:style>
  <w:style w:type="character" w:styleId="13">
    <w:name w:val="page number"/>
    <w:qFormat/>
    <w:uiPriority w:val="99"/>
    <w:rPr>
      <w:rFonts w:cs="Times New Roman"/>
    </w:rPr>
  </w:style>
  <w:style w:type="paragraph" w:customStyle="1" w:styleId="14">
    <w:name w:val="Char Char Char Char Char Char Char Char Char1 Char"/>
    <w:basedOn w:val="1"/>
    <w:qFormat/>
    <w:uiPriority w:val="0"/>
    <w:pPr>
      <w:spacing w:line="360" w:lineRule="auto"/>
      <w:ind w:firstLine="200" w:firstLineChars="200"/>
    </w:pPr>
    <w:rPr>
      <w:rFonts w:ascii="宋体" w:hAnsi="宋体" w:cs="宋体"/>
      <w:sz w:val="24"/>
    </w:rPr>
  </w:style>
  <w:style w:type="paragraph" w:customStyle="1" w:styleId="15">
    <w:name w:val="列出段落1"/>
    <w:basedOn w:val="1"/>
    <w:qFormat/>
    <w:uiPriority w:val="0"/>
    <w:pPr>
      <w:ind w:firstLine="420" w:firstLineChars="200"/>
    </w:pPr>
  </w:style>
  <w:style w:type="paragraph" w:customStyle="1" w:styleId="16">
    <w:name w:val="纯文本1"/>
    <w:basedOn w:val="1"/>
    <w:qFormat/>
    <w:uiPriority w:val="0"/>
    <w:rPr>
      <w:rFonts w:ascii="宋体" w:hAnsi="Courier New"/>
      <w:kern w:val="0"/>
      <w:sz w:val="2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1446</Words>
  <Characters>1530</Characters>
  <Lines>0</Lines>
  <Paragraphs>0</Paragraphs>
  <TotalTime>6</TotalTime>
  <ScaleCrop>false</ScaleCrop>
  <LinksUpToDate>false</LinksUpToDate>
  <CharactersWithSpaces>1530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2021-05-11T06:06:00Z</dcterms:created>
  <dc:creator>NTKO</dc:creator>
  <cp:lastModifiedBy>WPS_1686796837</cp:lastModifiedBy>
  <cp:lastPrinted>2025-10-20T01:02:15Z</cp:lastPrinted>
  <dcterms:modified xsi:type="dcterms:W3CDTF">2025-10-20T01:03:00Z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E906AD78D05A4E86ADE769B9EC0FFA40_13</vt:lpwstr>
  </property>
  <property fmtid="{D5CDD505-2E9C-101B-9397-08002B2CF9AE}" pid="4" name="KSOTemplateDocerSaveRecord">
    <vt:lpwstr>eyJoZGlkIjoiZTQ1OTU0ZTE5Njg0MmMzMDZhMWRhZTk2MzFlN2NkYjEiLCJ1c2VySWQiOiIxNTA1NDU3MjA3In0=</vt:lpwstr>
  </property>
</Properties>
</file>