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rPr>
          <w:rFonts w:hint="eastAsia" w:eastAsiaTheme="minorEastAsia"/>
          <w:lang w:eastAsia="zh-CN"/>
        </w:rPr>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13</w:t>
      </w:r>
      <w:r>
        <w:rPr>
          <w:rFonts w:hint="eastAsia" w:eastAsiaTheme="minorEastAsia"/>
          <w:lang w:eastAsia="zh-CN"/>
        </w:rPr>
        <w:fldChar w:fldCharType="end"/>
      </w:r>
    </w:p>
    <w:p>
      <w:pPr>
        <w:pStyle w:val="3"/>
        <w:tabs>
          <w:tab w:val="right" w:leader="dot" w:pos="14562"/>
        </w:tabs>
        <w:rPr>
          <w:rFonts w:hint="eastAsia" w:eastAsiaTheme="minorEastAsia"/>
          <w:lang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rPr>
          <w:rFonts w:hint="eastAsia" w:eastAsiaTheme="minorEastAsia"/>
          <w:lang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rPr>
          <w:rFonts w:hint="eastAsia" w:eastAsiaTheme="minorEastAsia"/>
          <w:lang w:eastAsia="zh-CN"/>
        </w:rPr>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rPr>
          <w:rFonts w:eastAsiaTheme="minorEastAsia"/>
          <w:lang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eastAsiaTheme="minorEastAsia"/>
          <w:lang w:eastAsia="zh-CN"/>
        </w:rPr>
        <w:t>18</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eastAsiaTheme="minorEastAsia"/>
          <w:lang w:eastAsia="zh-CN"/>
        </w:rPr>
        <w:t>19</w:t>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2</w:t>
      </w:r>
      <w:r>
        <w:rPr>
          <w:rFonts w:hint="eastAsia" w:eastAsiaTheme="minorEastAsia"/>
          <w:lang w:eastAsia="zh-CN"/>
        </w:rPr>
        <w:fldChar w:fldCharType="end"/>
      </w:r>
      <w:r>
        <w:rPr>
          <w:rFonts w:hint="eastAsia" w:eastAsiaTheme="minorEastAsia"/>
          <w:lang w:eastAsia="zh-CN"/>
        </w:rPr>
        <w:t>1</w:t>
      </w:r>
    </w:p>
    <w:p>
      <w:pPr>
        <w:pStyle w:val="3"/>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2</w:t>
      </w:r>
      <w:r>
        <w:rPr>
          <w:rFonts w:hint="eastAsia" w:eastAsiaTheme="minorEastAsia"/>
          <w:lang w:eastAsia="zh-CN"/>
        </w:rPr>
        <w:fldChar w:fldCharType="end"/>
      </w:r>
      <w:r>
        <w:rPr>
          <w:rFonts w:hint="eastAsia" w:eastAsiaTheme="minorEastAsia"/>
          <w:lang w:eastAsia="zh-CN"/>
        </w:rPr>
        <w:t>1</w:t>
      </w:r>
    </w:p>
    <w:p>
      <w:pPr>
        <w:pStyle w:val="3"/>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22</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2</w:t>
      </w:r>
      <w:r>
        <w:rPr>
          <w:rFonts w:hint="eastAsia" w:eastAsiaTheme="minorEastAsia"/>
          <w:lang w:eastAsia="zh-CN"/>
        </w:rPr>
        <w:fldChar w:fldCharType="end"/>
      </w:r>
      <w:r>
        <w:rPr>
          <w:rFonts w:hint="eastAsia" w:eastAsiaTheme="minorEastAsia"/>
          <w:lang w:eastAsia="zh-CN"/>
        </w:rPr>
        <w:t>3</w:t>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894.10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894.10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894.10</w:t>
            </w:r>
          </w:p>
        </w:tc>
        <w:tc>
          <w:tcPr>
            <w:tcW w:w="4535" w:type="dxa"/>
            <w:vAlign w:val="center"/>
          </w:tcPr>
          <w:p>
            <w:pPr>
              <w:pStyle w:val="15"/>
            </w:pPr>
            <w:r>
              <w:t>本年支出合计</w:t>
            </w:r>
          </w:p>
        </w:tc>
        <w:tc>
          <w:tcPr>
            <w:tcW w:w="2126" w:type="dxa"/>
            <w:vAlign w:val="center"/>
          </w:tcPr>
          <w:p>
            <w:pPr>
              <w:pStyle w:val="16"/>
            </w:pPr>
            <w:r>
              <w:t>894.10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894.10</w:t>
            </w:r>
          </w:p>
        </w:tc>
        <w:tc>
          <w:tcPr>
            <w:tcW w:w="4535" w:type="dxa"/>
            <w:vAlign w:val="center"/>
          </w:tcPr>
          <w:p>
            <w:pPr>
              <w:pStyle w:val="15"/>
            </w:pPr>
            <w:r>
              <w:t>支出总计</w:t>
            </w:r>
          </w:p>
        </w:tc>
        <w:tc>
          <w:tcPr>
            <w:tcW w:w="2126" w:type="dxa"/>
            <w:vAlign w:val="center"/>
          </w:tcPr>
          <w:p>
            <w:pPr>
              <w:pStyle w:val="16"/>
            </w:pPr>
            <w:r>
              <w:t>894.10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894.10</w:t>
            </w:r>
          </w:p>
        </w:tc>
        <w:tc>
          <w:tcPr>
            <w:tcW w:w="1134" w:type="dxa"/>
            <w:vAlign w:val="center"/>
          </w:tcPr>
          <w:p>
            <w:pPr>
              <w:pStyle w:val="16"/>
            </w:pPr>
            <w:r>
              <w:t>894.10</w:t>
            </w:r>
          </w:p>
        </w:tc>
        <w:tc>
          <w:tcPr>
            <w:tcW w:w="1134" w:type="dxa"/>
            <w:vAlign w:val="center"/>
          </w:tcPr>
          <w:p>
            <w:pPr>
              <w:pStyle w:val="16"/>
            </w:pPr>
            <w:r>
              <w:t>894.10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2040299</w:t>
            </w:r>
          </w:p>
        </w:tc>
        <w:tc>
          <w:tcPr>
            <w:tcW w:w="1559" w:type="dxa"/>
            <w:vAlign w:val="center"/>
          </w:tcPr>
          <w:p>
            <w:pPr>
              <w:pStyle w:val="13"/>
            </w:pPr>
            <w:r>
              <w:t>其他公安支出</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r>
              <w:t>894.10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894.10</w:t>
            </w:r>
          </w:p>
        </w:tc>
        <w:tc>
          <w:tcPr>
            <w:tcW w:w="1361" w:type="dxa"/>
            <w:vAlign w:val="center"/>
          </w:tcPr>
          <w:p>
            <w:pPr>
              <w:pStyle w:val="16"/>
            </w:pPr>
            <w:r>
              <w:t>854.10</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894.10</w:t>
            </w:r>
          </w:p>
        </w:tc>
        <w:tc>
          <w:tcPr>
            <w:tcW w:w="1361" w:type="dxa"/>
            <w:vAlign w:val="center"/>
          </w:tcPr>
          <w:p>
            <w:pPr>
              <w:pStyle w:val="12"/>
            </w:pPr>
            <w:r>
              <w:t>854.10</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894.10</w:t>
            </w:r>
          </w:p>
        </w:tc>
        <w:tc>
          <w:tcPr>
            <w:tcW w:w="1361" w:type="dxa"/>
            <w:vAlign w:val="center"/>
          </w:tcPr>
          <w:p>
            <w:pPr>
              <w:pStyle w:val="12"/>
            </w:pPr>
            <w:r>
              <w:t>854.10</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2040299</w:t>
            </w:r>
          </w:p>
        </w:tc>
        <w:tc>
          <w:tcPr>
            <w:tcW w:w="4535" w:type="dxa"/>
            <w:vAlign w:val="center"/>
          </w:tcPr>
          <w:p>
            <w:pPr>
              <w:pStyle w:val="13"/>
            </w:pPr>
            <w:r>
              <w:t>其他公安支出</w:t>
            </w:r>
          </w:p>
        </w:tc>
        <w:tc>
          <w:tcPr>
            <w:tcW w:w="1361" w:type="dxa"/>
            <w:vAlign w:val="center"/>
          </w:tcPr>
          <w:p>
            <w:pPr>
              <w:pStyle w:val="12"/>
            </w:pPr>
            <w:r>
              <w:t>894.10</w:t>
            </w:r>
          </w:p>
        </w:tc>
        <w:tc>
          <w:tcPr>
            <w:tcW w:w="1361" w:type="dxa"/>
            <w:vAlign w:val="center"/>
          </w:tcPr>
          <w:p>
            <w:pPr>
              <w:pStyle w:val="12"/>
            </w:pPr>
            <w:r>
              <w:t>854.10</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894.10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894.10</w:t>
            </w:r>
          </w:p>
        </w:tc>
        <w:tc>
          <w:tcPr>
            <w:tcW w:w="1474" w:type="dxa"/>
            <w:vAlign w:val="center"/>
          </w:tcPr>
          <w:p>
            <w:pPr>
              <w:pStyle w:val="12"/>
            </w:pPr>
            <w:r>
              <w:t>894.10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894.10</w:t>
            </w:r>
          </w:p>
        </w:tc>
        <w:tc>
          <w:tcPr>
            <w:tcW w:w="3402" w:type="dxa"/>
            <w:vAlign w:val="center"/>
          </w:tcPr>
          <w:p>
            <w:pPr>
              <w:pStyle w:val="15"/>
            </w:pPr>
            <w:r>
              <w:t>本年支出合计</w:t>
            </w:r>
          </w:p>
        </w:tc>
        <w:tc>
          <w:tcPr>
            <w:tcW w:w="1474" w:type="dxa"/>
            <w:vAlign w:val="center"/>
          </w:tcPr>
          <w:p>
            <w:pPr>
              <w:pStyle w:val="16"/>
            </w:pPr>
            <w:r>
              <w:t>894.10</w:t>
            </w:r>
          </w:p>
        </w:tc>
        <w:tc>
          <w:tcPr>
            <w:tcW w:w="1474" w:type="dxa"/>
            <w:vAlign w:val="center"/>
          </w:tcPr>
          <w:p>
            <w:pPr>
              <w:pStyle w:val="16"/>
            </w:pPr>
            <w:r>
              <w:t>894.10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894.10</w:t>
            </w:r>
          </w:p>
        </w:tc>
        <w:tc>
          <w:tcPr>
            <w:tcW w:w="3402" w:type="dxa"/>
            <w:vAlign w:val="center"/>
          </w:tcPr>
          <w:p>
            <w:pPr>
              <w:pStyle w:val="15"/>
            </w:pPr>
            <w:r>
              <w:t>支出总计</w:t>
            </w:r>
          </w:p>
        </w:tc>
        <w:tc>
          <w:tcPr>
            <w:tcW w:w="1474" w:type="dxa"/>
            <w:vAlign w:val="center"/>
          </w:tcPr>
          <w:p>
            <w:pPr>
              <w:pStyle w:val="16"/>
            </w:pPr>
            <w:r>
              <w:t>894.10</w:t>
            </w:r>
          </w:p>
        </w:tc>
        <w:tc>
          <w:tcPr>
            <w:tcW w:w="1474" w:type="dxa"/>
            <w:vAlign w:val="center"/>
          </w:tcPr>
          <w:p>
            <w:pPr>
              <w:pStyle w:val="16"/>
            </w:pPr>
            <w:r>
              <w:t>894.10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894.10</w:t>
            </w:r>
          </w:p>
        </w:tc>
        <w:tc>
          <w:tcPr>
            <w:tcW w:w="2551" w:type="dxa"/>
            <w:vAlign w:val="center"/>
          </w:tcPr>
          <w:p>
            <w:pPr>
              <w:pStyle w:val="16"/>
            </w:pPr>
            <w:r>
              <w:t>854.10</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894.10</w:t>
            </w:r>
          </w:p>
        </w:tc>
        <w:tc>
          <w:tcPr>
            <w:tcW w:w="2551" w:type="dxa"/>
            <w:vAlign w:val="center"/>
          </w:tcPr>
          <w:p>
            <w:pPr>
              <w:pStyle w:val="12"/>
            </w:pPr>
            <w:r>
              <w:t>854.10</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894.10</w:t>
            </w:r>
          </w:p>
        </w:tc>
        <w:tc>
          <w:tcPr>
            <w:tcW w:w="2551" w:type="dxa"/>
            <w:vAlign w:val="center"/>
          </w:tcPr>
          <w:p>
            <w:pPr>
              <w:pStyle w:val="12"/>
            </w:pPr>
            <w:r>
              <w:t>854.10</w:t>
            </w: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2040299</w:t>
            </w:r>
          </w:p>
        </w:tc>
        <w:tc>
          <w:tcPr>
            <w:tcW w:w="4535" w:type="dxa"/>
            <w:vAlign w:val="center"/>
          </w:tcPr>
          <w:p>
            <w:pPr>
              <w:pStyle w:val="13"/>
            </w:pPr>
            <w:r>
              <w:t>其他公安支出</w:t>
            </w:r>
          </w:p>
        </w:tc>
        <w:tc>
          <w:tcPr>
            <w:tcW w:w="2551" w:type="dxa"/>
            <w:vAlign w:val="center"/>
          </w:tcPr>
          <w:p>
            <w:pPr>
              <w:pStyle w:val="12"/>
            </w:pPr>
            <w:r>
              <w:t>894.10</w:t>
            </w:r>
          </w:p>
        </w:tc>
        <w:tc>
          <w:tcPr>
            <w:tcW w:w="2551" w:type="dxa"/>
            <w:vAlign w:val="center"/>
          </w:tcPr>
          <w:p>
            <w:pPr>
              <w:pStyle w:val="12"/>
            </w:pPr>
            <w:r>
              <w:t>854.10</w:t>
            </w:r>
          </w:p>
        </w:tc>
        <w:tc>
          <w:tcPr>
            <w:tcW w:w="2551" w:type="dxa"/>
            <w:vAlign w:val="center"/>
          </w:tcPr>
          <w:p>
            <w:pPr>
              <w:pStyle w:val="12"/>
            </w:pPr>
            <w:r>
              <w:t>40.00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854.10</w:t>
            </w:r>
          </w:p>
        </w:tc>
        <w:tc>
          <w:tcPr>
            <w:tcW w:w="2551" w:type="dxa"/>
            <w:vAlign w:val="center"/>
          </w:tcPr>
          <w:p>
            <w:pPr>
              <w:pStyle w:val="16"/>
            </w:pPr>
            <w:r>
              <w:t>854.10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854.10</w:t>
            </w:r>
          </w:p>
        </w:tc>
        <w:tc>
          <w:tcPr>
            <w:tcW w:w="2551" w:type="dxa"/>
            <w:vAlign w:val="center"/>
          </w:tcPr>
          <w:p>
            <w:pPr>
              <w:pStyle w:val="12"/>
            </w:pPr>
            <w:r>
              <w:t>854.10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854.10</w:t>
            </w:r>
          </w:p>
        </w:tc>
        <w:tc>
          <w:tcPr>
            <w:tcW w:w="2551" w:type="dxa"/>
            <w:vAlign w:val="center"/>
          </w:tcPr>
          <w:p>
            <w:pPr>
              <w:pStyle w:val="12"/>
            </w:pPr>
            <w:r>
              <w:t>854.10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唐山市公安交通警察支队第五交通警察大队2024年部门预算信息公开情况说明</w:t>
      </w:r>
    </w:p>
    <w:p>
      <w:pPr>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唐山市公安交通警察支队第五交通警察大队</w:t>
      </w:r>
    </w:p>
    <w:p>
      <w:pPr>
        <w:jc w:val="center"/>
      </w:pPr>
      <w:r>
        <w:rPr>
          <w:rFonts w:ascii="方正小标宋_GBK" w:hAnsi="方正小标宋_GBK" w:eastAsia="方正小标宋_GBK" w:cs="方正小标宋_GBK"/>
          <w:color w:val="000000"/>
          <w:sz w:val="44"/>
        </w:rPr>
        <w:t>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按照《中华人民共和国预算法》、《地方预决算公开操作规程》和《关于进一步推进预算公开工作的实施意见》规定，现将唐山市公安交通警察支队第五交通警察大队2024年部门预算公开如下：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（一）依法对辖区道路交通实行统一管理，维护辖区道路交通秩序，预防和减少交通事故；</w:t>
      </w:r>
    </w:p>
    <w:p>
      <w:pPr>
        <w:pStyle w:val="18"/>
      </w:pPr>
      <w:r>
        <w:t>（二）根据辖区道路交通情况，适时组织各种交通安全的专项治理；</w:t>
      </w:r>
    </w:p>
    <w:p>
      <w:pPr>
        <w:pStyle w:val="18"/>
      </w:pPr>
      <w:r>
        <w:t>（三）具体负责辖区机动车辆及驾驶员的管理业务；</w:t>
      </w:r>
    </w:p>
    <w:p>
      <w:pPr>
        <w:pStyle w:val="18"/>
      </w:pPr>
      <w:r>
        <w:t>（四）负责境内各种交通事故的调查、分析、责任认定、调解处理、事故统计工作，并向有关领导和部门提出事故预防对策。</w:t>
      </w:r>
    </w:p>
    <w:p>
      <w:pPr>
        <w:pStyle w:val="18"/>
      </w:pPr>
      <w:r>
        <w:t>（五）具体组织各项交通勤务，保证安全有序，畅通的道路交通环境。</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唐山市公安交通警察支队第五交通警察大队（本级）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按照预算管理有关规定，目前部门预算的编制实行综合预算管理，即全部收入和支出都反映在预算中。唐山市公安交通警察支队第五交通警察大队机关及所属事业单位的收支包含在部门预算中。</w:t>
      </w:r>
    </w:p>
    <w:p>
      <w:pPr>
        <w:pStyle w:val="19"/>
      </w:pPr>
      <w:r>
        <w:t>1、收入说明</w:t>
      </w:r>
    </w:p>
    <w:p>
      <w:pPr>
        <w:pStyle w:val="19"/>
      </w:pPr>
      <w:r>
        <w:t>反映本部门当年全部收入。2024年预算收入894.10万元，其中：一般公共预算收入894.10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唐山市公安交通警察支队第五交通警察大队年度部门预算中支出预算的总体情况。2024年支出预算894.10万元，其中基本支出854.10万元，包括人员经费854.10万元和日常公用经费0.00万元；项目支出40.00万元，主要为被装保障费25万元，执法办案费15万元。</w:t>
      </w:r>
    </w:p>
    <w:p>
      <w:pPr>
        <w:pStyle w:val="19"/>
      </w:pPr>
      <w:r>
        <w:t>3、比上年增减情况</w:t>
      </w:r>
    </w:p>
    <w:p>
      <w:pPr>
        <w:pStyle w:val="19"/>
        <w:rPr>
          <w:rFonts w:eastAsiaTheme="minorEastAsia"/>
          <w:lang w:eastAsia="zh-CN"/>
        </w:rPr>
      </w:pPr>
      <w:r>
        <w:t>2024年预算收支安排894.10万元，较2023年预算增加454.68万元，其中：基本支出增加439.68万元，主要为辅警人员增加，工资上涨。项目支出增加15.00万元，主要为被装保障费增长15万元</w:t>
      </w:r>
      <w:r>
        <w:rPr>
          <w:rFonts w:hint="eastAsia" w:eastAsiaTheme="minorEastAsia"/>
          <w:lang w:eastAsia="zh-CN"/>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2024年，我部门机关运行经费共计安排0.00万元，主要用于日常维修、办公用房水电费、办公用房取暖费、办公用房物业管理费等日常运行支出。</w:t>
      </w:r>
      <w:r>
        <w:rPr>
          <w:rFonts w:hint="eastAsia"/>
          <w:lang w:val="en-US" w:eastAsia="zh-CN"/>
        </w:rPr>
        <w:t>我单位为上级派驻机构，机关运行经费由上级安排，预算安全情况与2023年一致。</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eastAsiaTheme="minorEastAsia"/>
          <w:lang w:eastAsia="zh-CN"/>
        </w:rPr>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w:t>
      </w:r>
    </w:p>
    <w:p>
      <w:pPr>
        <w:pStyle w:val="21"/>
      </w:pPr>
      <w:r>
        <w:t>（一）公务用车购置及运行费，共计安排0万元，与上年持平。</w:t>
      </w:r>
    </w:p>
    <w:p>
      <w:pPr>
        <w:pStyle w:val="21"/>
      </w:pPr>
      <w:r>
        <w:t>1.公务用车购置安排0万元，与上年持平。</w:t>
      </w:r>
    </w:p>
    <w:p>
      <w:pPr>
        <w:pStyle w:val="21"/>
      </w:pPr>
      <w:r>
        <w:t>2.公务用车运行维护经费共计安排0万元，与上年持平。</w:t>
      </w:r>
    </w:p>
    <w:p>
      <w:pPr>
        <w:pStyle w:val="21"/>
      </w:pPr>
      <w:r>
        <w:t>（二）公务接待费安排0万元，与上年持平。</w:t>
      </w:r>
    </w:p>
    <w:p>
      <w:pPr>
        <w:pStyle w:val="21"/>
      </w:pPr>
      <w:r>
        <w:t>（三）因公出国（境）费安排0万元，与上年持平。</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、道路交通秩序管理</w:t>
      </w:r>
      <w:r>
        <w:rPr>
          <w:rFonts w:ascii="仿宋" w:hAnsi="仿宋" w:eastAsia="仿宋"/>
          <w:sz w:val="32"/>
          <w:szCs w:val="32"/>
        </w:rPr>
        <w:tab/>
      </w:r>
    </w:p>
    <w:p>
      <w:pPr>
        <w:ind w:firstLine="640" w:firstLineChars="200"/>
        <w:rPr>
          <w:rFonts w:ascii="仿宋" w:hAnsi="仿宋" w:eastAsia="仿宋"/>
          <w:sz w:val="32"/>
          <w:szCs w:val="32"/>
        </w:rPr>
      </w:pPr>
      <w:r>
        <w:rPr>
          <w:rFonts w:hint="eastAsia" w:ascii="仿宋" w:hAnsi="仿宋" w:eastAsia="仿宋"/>
          <w:sz w:val="32"/>
          <w:szCs w:val="32"/>
        </w:rPr>
        <w:t>加强道路交通秩序管控，加强行人、非机动车管理，开展好环境卫生综合整治行动，完成治堵治乱等整治任务，执行暑期及两会安保任务。</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、道路交通事故处理与预防</w:t>
      </w:r>
      <w:r>
        <w:rPr>
          <w:rFonts w:ascii="仿宋" w:hAnsi="仿宋" w:eastAsia="仿宋"/>
          <w:sz w:val="32"/>
          <w:szCs w:val="32"/>
        </w:rPr>
        <w:tab/>
      </w:r>
    </w:p>
    <w:p>
      <w:pPr>
        <w:ind w:firstLine="640" w:firstLineChars="200"/>
        <w:rPr>
          <w:rFonts w:ascii="仿宋" w:hAnsi="仿宋" w:eastAsia="仿宋"/>
          <w:sz w:val="32"/>
          <w:szCs w:val="32"/>
        </w:rPr>
      </w:pPr>
      <w:r>
        <w:rPr>
          <w:rFonts w:hint="eastAsia" w:ascii="仿宋" w:hAnsi="仿宋" w:eastAsia="仿宋"/>
          <w:sz w:val="32"/>
          <w:szCs w:val="32"/>
        </w:rPr>
        <w:t>组织处理道路交通事故和重大交通事故肇事逃逸案件的查缉侦破；进行疑难交通事故责任认定；组织开展事故分析研判和预防对策的研究及隐患排查等预防工作；妥善处理由交通事故引发的信访工作。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、道路交通安全宣传</w:t>
      </w:r>
      <w:r>
        <w:rPr>
          <w:rFonts w:ascii="仿宋" w:hAnsi="仿宋" w:eastAsia="仿宋"/>
          <w:sz w:val="32"/>
          <w:szCs w:val="32"/>
        </w:rPr>
        <w:tab/>
      </w:r>
      <w:r>
        <w:rPr>
          <w:rFonts w:ascii="仿宋" w:hAnsi="仿宋" w:eastAsia="仿宋"/>
          <w:sz w:val="32"/>
          <w:szCs w:val="32"/>
        </w:rPr>
        <w:tab/>
      </w:r>
    </w:p>
    <w:p>
      <w:pPr>
        <w:ind w:firstLine="640" w:firstLineChars="200"/>
        <w:rPr>
          <w:rFonts w:ascii="仿宋" w:hAnsi="仿宋" w:eastAsia="仿宋"/>
          <w:sz w:val="32"/>
          <w:szCs w:val="32"/>
        </w:rPr>
      </w:pPr>
      <w:r>
        <w:rPr>
          <w:rFonts w:hint="eastAsia" w:ascii="仿宋" w:hAnsi="仿宋" w:eastAsia="仿宋"/>
          <w:sz w:val="32"/>
          <w:szCs w:val="32"/>
        </w:rPr>
        <w:t>深入开展五进宣传，加强源头监管力度，增强群众交通安全守法意识。加强交通法制建设与安全宣传力度，加强“两客一危”重点车辆源头监管，有效预防和杜绝重特大交通事故的发生。</w:t>
      </w:r>
    </w:p>
    <w:p>
      <w:pPr>
        <w:spacing w:line="500" w:lineRule="exact"/>
        <w:ind w:firstLine="560"/>
      </w:pPr>
      <w:r>
        <w:rPr>
          <w:rFonts w:eastAsia="方正仿宋_GBK"/>
          <w:color w:val="000000"/>
          <w:sz w:val="28"/>
        </w:rPr>
        <w:t>（二）分项绩效目标</w:t>
      </w:r>
    </w:p>
    <w:p>
      <w:pPr>
        <w:spacing w:line="56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1.</w:t>
      </w:r>
      <w:r>
        <w:rPr>
          <w:rFonts w:hint="eastAsia" w:ascii="楷体_GB2312" w:hAnsi="楷体_GB2312" w:eastAsia="楷体_GB2312" w:cs="楷体_GB2312"/>
          <w:sz w:val="32"/>
          <w:szCs w:val="32"/>
        </w:rPr>
        <w:t>道路交通秩序管理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绩效目标：保障道路交通安全、畅通、有序，为辖区经济社会发展提供良好的道路交通环境。加强道路交通秩序管控，加强行人、非机动车管理，开展好环境卫生综合整治行动，完成治堵治乱等整治任务，执行暑期及两会安保任务。</w:t>
      </w:r>
    </w:p>
    <w:p>
      <w:pPr>
        <w:spacing w:line="56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rPr>
        <w:t>绩效指标：持续拥堵时间不超过一小时</w:t>
      </w:r>
      <w:r>
        <w:rPr>
          <w:rFonts w:hint="eastAsia" w:ascii="仿宋_GB2312" w:hAnsi="宋体" w:eastAsia="仿宋_GB2312" w:cs="宋体"/>
          <w:sz w:val="32"/>
          <w:szCs w:val="32"/>
          <w:lang w:eastAsia="zh-CN"/>
        </w:rPr>
        <w:t>；发生拥堵数量比上年同期减少15%；拥堵里程比上年同期减少15%。</w:t>
      </w:r>
    </w:p>
    <w:p>
      <w:pPr>
        <w:spacing w:line="56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2.</w:t>
      </w:r>
      <w:r>
        <w:rPr>
          <w:rFonts w:hint="eastAsia" w:ascii="楷体_GB2312" w:hAnsi="楷体_GB2312" w:eastAsia="楷体_GB2312" w:cs="楷体_GB2312"/>
          <w:sz w:val="32"/>
          <w:szCs w:val="32"/>
        </w:rPr>
        <w:t>道路交通事故处理与预防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预防和减少道路交通事故，提高辖区交通事故处理工作规范化、科学化水平。组织处理道路交通事故和重大交通事故肇事逃逸案件的查缉侦破；进行疑难交通事故责任认定；组织开展事故分析研判和预防对策的研究及隐患排查等预防工作；妥善处理由交通事故引发的信访工作。加大道路交通安全宣传力度，开展普法宣传教育10次以上，同时确保“两客一危”运输企业监管及中小学校交通安全宣传覆盖率达到90%以上。</w:t>
      </w:r>
    </w:p>
    <w:p>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绩效指标：交通事故下降率达到8%</w:t>
      </w:r>
      <w:r>
        <w:rPr>
          <w:rFonts w:hint="eastAsia" w:ascii="仿宋_GB2312" w:hAnsi="仿宋_GB2312" w:eastAsia="仿宋_GB2312" w:cs="仿宋_GB2312"/>
          <w:sz w:val="32"/>
          <w:szCs w:val="32"/>
          <w:lang w:eastAsia="zh-CN"/>
        </w:rPr>
        <w:t>；肇事逃逸案件侦破率达到60%；事故处理办结率达到60%；举办普法宣传教育8次；“两客一危”运输企业监管覆盖率达90%；中小学校交通安全宣传覆盖率达90%。</w:t>
      </w:r>
    </w:p>
    <w:p>
      <w:pPr>
        <w:spacing w:line="500" w:lineRule="exact"/>
        <w:ind w:firstLine="560"/>
      </w:pPr>
      <w:r>
        <w:rPr>
          <w:rFonts w:eastAsia="方正仿宋_GBK"/>
          <w:color w:val="000000"/>
          <w:sz w:val="28"/>
        </w:rPr>
        <w:t>（三）工作保障措施</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1.</w:t>
      </w:r>
      <w:r>
        <w:rPr>
          <w:rFonts w:hint="eastAsia" w:ascii="楷体_GB2312" w:hAnsi="楷体_GB2312" w:eastAsia="楷体_GB2312" w:cs="楷体_GB2312"/>
          <w:sz w:val="32"/>
          <w:szCs w:val="32"/>
        </w:rPr>
        <w:t>完善制度建设。</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完善预算绩效管理制度、资金管理办法、工作保障制度，为全年预算绩效目标的实现奠定制度基础。</w:t>
      </w:r>
    </w:p>
    <w:p>
      <w:pPr>
        <w:spacing w:line="58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2.</w:t>
      </w:r>
      <w:r>
        <w:rPr>
          <w:rFonts w:hint="eastAsia" w:ascii="楷体_GB2312" w:hAnsi="楷体_GB2312" w:eastAsia="楷体_GB2312" w:cs="楷体_GB2312"/>
          <w:sz w:val="32"/>
          <w:szCs w:val="32"/>
        </w:rPr>
        <w:t>加强支出管理</w:t>
      </w:r>
      <w:r>
        <w:rPr>
          <w:rFonts w:hint="eastAsia" w:ascii="仿宋_GB2312" w:hAnsi="仿宋_GB2312" w:eastAsia="仿宋_GB2312" w:cs="仿宋_GB2312"/>
          <w:sz w:val="32"/>
          <w:szCs w:val="32"/>
        </w:rPr>
        <w:t>。</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3.</w:t>
      </w:r>
      <w:r>
        <w:rPr>
          <w:rFonts w:hint="eastAsia" w:ascii="楷体_GB2312" w:hAnsi="楷体_GB2312" w:eastAsia="楷体_GB2312" w:cs="楷体_GB2312"/>
          <w:sz w:val="32"/>
          <w:szCs w:val="32"/>
        </w:rPr>
        <w:t>加强绩效运行监控。</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按要求开展绩效运行监控，发现问题及时采取措施，确保绩效目标如期保质实现。</w:t>
      </w:r>
    </w:p>
    <w:p>
      <w:pPr>
        <w:spacing w:line="580" w:lineRule="exact"/>
        <w:ind w:firstLine="630"/>
        <w:rPr>
          <w:rFonts w:ascii="楷体_GB2312" w:hAnsi="楷体_GB2312" w:eastAsia="楷体_GB2312" w:cs="楷体_GB2312"/>
          <w:sz w:val="32"/>
          <w:szCs w:val="32"/>
        </w:rPr>
      </w:pPr>
      <w:r>
        <w:rPr>
          <w:rFonts w:hint="eastAsia" w:ascii="仿宋_GB2312" w:hAnsi="仿宋_GB2312" w:eastAsia="仿宋_GB2312" w:cs="仿宋_GB2312"/>
          <w:sz w:val="32"/>
          <w:szCs w:val="32"/>
          <w:lang w:eastAsia="zh-CN"/>
        </w:rPr>
        <w:t>4.</w:t>
      </w:r>
      <w:r>
        <w:rPr>
          <w:rFonts w:hint="eastAsia" w:ascii="楷体_GB2312" w:hAnsi="楷体_GB2312" w:eastAsia="楷体_GB2312" w:cs="楷体_GB2312"/>
          <w:sz w:val="32"/>
          <w:szCs w:val="32"/>
        </w:rPr>
        <w:t>做好绩效自评。</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5.</w:t>
      </w:r>
      <w:r>
        <w:rPr>
          <w:rFonts w:hint="eastAsia" w:ascii="楷体_GB2312" w:hAnsi="楷体_GB2312" w:eastAsia="楷体_GB2312" w:cs="楷体_GB2312"/>
          <w:sz w:val="32"/>
          <w:szCs w:val="32"/>
        </w:rPr>
        <w:t>规范财务资产管理。</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完善财务管理制度，严格审批程序，加强固定资产登记、使用和报废处置管理，做到支出合理，物尽其用。</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6.</w:t>
      </w:r>
      <w:r>
        <w:rPr>
          <w:rFonts w:hint="eastAsia" w:ascii="楷体_GB2312" w:hAnsi="楷体_GB2312" w:eastAsia="楷体_GB2312" w:cs="楷体_GB2312"/>
          <w:sz w:val="32"/>
          <w:szCs w:val="32"/>
        </w:rPr>
        <w:t>加强内部监督。</w:t>
      </w:r>
    </w:p>
    <w:p>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7.</w:t>
      </w:r>
      <w:r>
        <w:rPr>
          <w:rFonts w:hint="eastAsia" w:ascii="楷体_GB2312" w:hAnsi="楷体_GB2312" w:eastAsia="楷体_GB2312" w:cs="楷体_GB2312"/>
          <w:sz w:val="32"/>
          <w:szCs w:val="32"/>
        </w:rPr>
        <w:t>加强宣传培训调研等。</w:t>
      </w:r>
    </w:p>
    <w:p>
      <w:pPr>
        <w:spacing w:line="580" w:lineRule="exact"/>
        <w:ind w:firstLine="63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加强人员培训，提高本部门职工业务素质；加强调研，提出优化财政资金配置、提高资金使用效益的意见意见；加大宣传力度，强化预算绩效管理意识，促进预算绩效管理水平进一步提升。</w:t>
      </w:r>
      <w:bookmarkStart w:id="14" w:name="_Toc_3_3_0000000015"/>
    </w:p>
    <w:p>
      <w:pPr>
        <w:spacing w:line="580" w:lineRule="exact"/>
        <w:ind w:firstLine="630"/>
        <w:rPr>
          <w:rFonts w:ascii="黑体" w:hAnsi="黑体" w:eastAsia="黑体" w:cs="黑体"/>
          <w:color w:val="000000"/>
          <w:sz w:val="32"/>
          <w:lang w:eastAsia="zh-CN"/>
        </w:rPr>
      </w:pPr>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仿宋_GB2312" w:hAnsi="仿宋_GB2312" w:eastAsia="仿宋_GB2312" w:cs="仿宋_GB2312"/>
          <w:sz w:val="32"/>
          <w:szCs w:val="3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en-US" w:eastAsia="zh-CN"/>
        </w:rPr>
        <w:t>相关内容</w:t>
      </w:r>
      <w:r>
        <w:rPr>
          <w:rFonts w:hint="eastAsia" w:ascii="仿宋_GB2312" w:hAnsi="仿宋_GB2312" w:eastAsia="仿宋_GB2312" w:cs="仿宋_GB2312"/>
          <w:sz w:val="32"/>
          <w:szCs w:val="32"/>
        </w:rPr>
        <w:t>。</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1、被装保障费绩效目标表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13021124P00481610006L</w:t>
            </w:r>
          </w:p>
        </w:tc>
        <w:tc>
          <w:tcPr>
            <w:tcW w:w="2835" w:type="dxa"/>
            <w:vAlign w:val="center"/>
          </w:tcPr>
          <w:p>
            <w:pPr>
              <w:pStyle w:val="11"/>
            </w:pPr>
            <w:r>
              <w:t>项目名称</w:t>
            </w:r>
          </w:p>
        </w:tc>
        <w:tc>
          <w:tcPr>
            <w:tcW w:w="6094" w:type="dxa"/>
            <w:gridSpan w:val="3"/>
            <w:vAlign w:val="center"/>
          </w:tcPr>
          <w:p>
            <w:pPr>
              <w:pStyle w:val="13"/>
            </w:pPr>
            <w:r>
              <w:t>被装保障费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主要用于大队辅警服装购置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1.主要用于大队辅警服装购置</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购买率</w:t>
            </w:r>
          </w:p>
        </w:tc>
        <w:tc>
          <w:tcPr>
            <w:tcW w:w="5386" w:type="dxa"/>
            <w:vAlign w:val="center"/>
          </w:tcPr>
          <w:p>
            <w:pPr>
              <w:pStyle w:val="13"/>
            </w:pPr>
            <w:r>
              <w:t>服装被装购置数量人员</w:t>
            </w:r>
          </w:p>
        </w:tc>
        <w:tc>
          <w:tcPr>
            <w:tcW w:w="2268" w:type="dxa"/>
            <w:vAlign w:val="center"/>
          </w:tcPr>
          <w:p>
            <w:pPr>
              <w:pStyle w:val="13"/>
            </w:pPr>
            <w:r>
              <w:t>98人</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服装质量是否达到规定标准</w:t>
            </w:r>
          </w:p>
        </w:tc>
        <w:tc>
          <w:tcPr>
            <w:tcW w:w="5386" w:type="dxa"/>
            <w:vAlign w:val="center"/>
          </w:tcPr>
          <w:p>
            <w:pPr>
              <w:pStyle w:val="13"/>
            </w:pPr>
            <w:r>
              <w:t>服装质量是否达到规定标准</w:t>
            </w:r>
          </w:p>
        </w:tc>
        <w:tc>
          <w:tcPr>
            <w:tcW w:w="2268" w:type="dxa"/>
            <w:vAlign w:val="center"/>
          </w:tcPr>
          <w:p>
            <w:pPr>
              <w:pStyle w:val="13"/>
            </w:pPr>
            <w:r>
              <w:t>符合标准</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服装是否按照季节配备</w:t>
            </w:r>
          </w:p>
        </w:tc>
        <w:tc>
          <w:tcPr>
            <w:tcW w:w="5386" w:type="dxa"/>
            <w:vAlign w:val="center"/>
          </w:tcPr>
          <w:p>
            <w:pPr>
              <w:pStyle w:val="13"/>
            </w:pPr>
            <w:r>
              <w:t>服装是否按照季节配备</w:t>
            </w:r>
          </w:p>
        </w:tc>
        <w:tc>
          <w:tcPr>
            <w:tcW w:w="2268" w:type="dxa"/>
            <w:vAlign w:val="center"/>
          </w:tcPr>
          <w:p>
            <w:pPr>
              <w:pStyle w:val="13"/>
            </w:pPr>
            <w:r>
              <w:t>是</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服装购置费用是否按照预算资金</w:t>
            </w:r>
          </w:p>
        </w:tc>
        <w:tc>
          <w:tcPr>
            <w:tcW w:w="5386" w:type="dxa"/>
            <w:vAlign w:val="center"/>
          </w:tcPr>
          <w:p>
            <w:pPr>
              <w:pStyle w:val="13"/>
            </w:pPr>
            <w:r>
              <w:t>服装购置费用是否按照预算资金</w:t>
            </w:r>
          </w:p>
        </w:tc>
        <w:tc>
          <w:tcPr>
            <w:tcW w:w="2268" w:type="dxa"/>
            <w:vAlign w:val="center"/>
          </w:tcPr>
          <w:p>
            <w:pPr>
              <w:pStyle w:val="13"/>
            </w:pPr>
            <w:r>
              <w:t>25万</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着装形象</w:t>
            </w:r>
          </w:p>
        </w:tc>
        <w:tc>
          <w:tcPr>
            <w:tcW w:w="5386" w:type="dxa"/>
            <w:vAlign w:val="center"/>
          </w:tcPr>
          <w:p>
            <w:pPr>
              <w:pStyle w:val="13"/>
            </w:pPr>
            <w:r>
              <w:t>是否反映队伍整体形象</w:t>
            </w:r>
          </w:p>
        </w:tc>
        <w:tc>
          <w:tcPr>
            <w:tcW w:w="2268" w:type="dxa"/>
            <w:vAlign w:val="center"/>
          </w:tcPr>
          <w:p>
            <w:pPr>
              <w:pStyle w:val="13"/>
            </w:pPr>
            <w:r>
              <w:t>是</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≥85%</w:t>
            </w:r>
          </w:p>
        </w:tc>
        <w:tc>
          <w:tcPr>
            <w:tcW w:w="1276" w:type="dxa"/>
            <w:vAlign w:val="center"/>
          </w:tcPr>
          <w:p>
            <w:pPr>
              <w:pStyle w:val="13"/>
            </w:pPr>
            <w:r>
              <w:t>根据工作经验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2、执法办案费绩效目标表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13021124P006RTA100080</w:t>
            </w:r>
          </w:p>
        </w:tc>
        <w:tc>
          <w:tcPr>
            <w:tcW w:w="2835" w:type="dxa"/>
            <w:vAlign w:val="center"/>
          </w:tcPr>
          <w:p>
            <w:pPr>
              <w:pStyle w:val="11"/>
            </w:pPr>
            <w:r>
              <w:t>项目名称</w:t>
            </w:r>
          </w:p>
        </w:tc>
        <w:tc>
          <w:tcPr>
            <w:tcW w:w="6094" w:type="dxa"/>
            <w:gridSpan w:val="3"/>
            <w:vAlign w:val="center"/>
          </w:tcPr>
          <w:p>
            <w:pPr>
              <w:pStyle w:val="13"/>
            </w:pPr>
            <w:r>
              <w:t>执法办案费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主要用于全道路交通管理共顺利完成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1.全年道路交通管理工作顺利完成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交通拥堵次数</w:t>
            </w:r>
          </w:p>
        </w:tc>
        <w:tc>
          <w:tcPr>
            <w:tcW w:w="5386" w:type="dxa"/>
            <w:vAlign w:val="center"/>
          </w:tcPr>
          <w:p>
            <w:pPr>
              <w:pStyle w:val="13"/>
            </w:pPr>
            <w:r>
              <w:t>交通拥堵次同期比去年对比</w:t>
            </w:r>
          </w:p>
        </w:tc>
        <w:tc>
          <w:tcPr>
            <w:tcW w:w="2268" w:type="dxa"/>
            <w:vAlign w:val="center"/>
          </w:tcPr>
          <w:p>
            <w:pPr>
              <w:pStyle w:val="13"/>
            </w:pPr>
            <w:r>
              <w:t>≤10%</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交通拥堵时长</w:t>
            </w:r>
          </w:p>
        </w:tc>
        <w:tc>
          <w:tcPr>
            <w:tcW w:w="5386" w:type="dxa"/>
            <w:vAlign w:val="center"/>
          </w:tcPr>
          <w:p>
            <w:pPr>
              <w:pStyle w:val="13"/>
            </w:pPr>
            <w:r>
              <w:t>持续交通拥堵时长</w:t>
            </w:r>
          </w:p>
        </w:tc>
        <w:tc>
          <w:tcPr>
            <w:tcW w:w="2268" w:type="dxa"/>
            <w:vAlign w:val="center"/>
          </w:tcPr>
          <w:p>
            <w:pPr>
              <w:pStyle w:val="13"/>
            </w:pPr>
            <w:r>
              <w:t>≥30分钟</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交通拥堵里程</w:t>
            </w:r>
          </w:p>
        </w:tc>
        <w:tc>
          <w:tcPr>
            <w:tcW w:w="5386" w:type="dxa"/>
            <w:vAlign w:val="center"/>
          </w:tcPr>
          <w:p>
            <w:pPr>
              <w:pStyle w:val="13"/>
            </w:pPr>
            <w:r>
              <w:t>反映交通拥堵里程同期比去年较长比例</w:t>
            </w:r>
          </w:p>
        </w:tc>
        <w:tc>
          <w:tcPr>
            <w:tcW w:w="2268" w:type="dxa"/>
            <w:vAlign w:val="center"/>
          </w:tcPr>
          <w:p>
            <w:pPr>
              <w:pStyle w:val="13"/>
            </w:pPr>
            <w:r>
              <w:t>≤10%</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交通拥堵现象</w:t>
            </w:r>
          </w:p>
        </w:tc>
        <w:tc>
          <w:tcPr>
            <w:tcW w:w="5386" w:type="dxa"/>
            <w:vAlign w:val="center"/>
          </w:tcPr>
          <w:p>
            <w:pPr>
              <w:pStyle w:val="13"/>
            </w:pPr>
            <w:r>
              <w:t>反映改善交通拥堵的效率是否持续渐进</w:t>
            </w:r>
          </w:p>
        </w:tc>
        <w:tc>
          <w:tcPr>
            <w:tcW w:w="2268" w:type="dxa"/>
            <w:vAlign w:val="center"/>
          </w:tcPr>
          <w:p>
            <w:pPr>
              <w:pStyle w:val="13"/>
            </w:pPr>
            <w:r>
              <w:t>已得到长期改善</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为辖区群众便利通行</w:t>
            </w:r>
          </w:p>
        </w:tc>
        <w:tc>
          <w:tcPr>
            <w:tcW w:w="5386" w:type="dxa"/>
            <w:vAlign w:val="center"/>
          </w:tcPr>
          <w:p>
            <w:pPr>
              <w:pStyle w:val="13"/>
            </w:pPr>
            <w:r>
              <w:t>为辖区群众便利通行</w:t>
            </w:r>
          </w:p>
        </w:tc>
        <w:tc>
          <w:tcPr>
            <w:tcW w:w="2268" w:type="dxa"/>
            <w:vAlign w:val="center"/>
          </w:tcPr>
          <w:p>
            <w:pPr>
              <w:pStyle w:val="13"/>
            </w:pPr>
            <w:r>
              <w:t>是</w:t>
            </w:r>
          </w:p>
        </w:tc>
        <w:tc>
          <w:tcPr>
            <w:tcW w:w="1276" w:type="dxa"/>
            <w:vAlign w:val="center"/>
          </w:tcPr>
          <w:p>
            <w:pPr>
              <w:pStyle w:val="13"/>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≥85%</w:t>
            </w:r>
          </w:p>
        </w:tc>
        <w:tc>
          <w:tcPr>
            <w:tcW w:w="1276" w:type="dxa"/>
            <w:vAlign w:val="center"/>
          </w:tcPr>
          <w:p>
            <w:pPr>
              <w:pStyle w:val="13"/>
            </w:pPr>
            <w:r>
              <w:t>根据工作经验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唐山市公安交通警察支队第五交通警察大队（含所属单位）上年末固定资产金额为0.00万元（详见下表）。本年度拟购置固定资产总额为0.00万元，已按要求列入政府采购预算，详见政府采购预算表。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58"/>
        <w:gridCol w:w="3947"/>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258" w:type="dxa"/>
            <w:tcBorders>
              <w:top w:val="single" w:color="FFFFFF" w:sz="6" w:space="0"/>
              <w:left w:val="single" w:color="FFFFFF" w:sz="6" w:space="0"/>
              <w:right w:val="single" w:color="FFFFFF" w:sz="6" w:space="0"/>
            </w:tcBorders>
            <w:vAlign w:val="center"/>
          </w:tcPr>
          <w:p>
            <w:pPr>
              <w:pStyle w:val="10"/>
            </w:pPr>
            <w:r>
              <w:t>149唐山市公安交通警察支队第五交通警察大队</w:t>
            </w:r>
          </w:p>
        </w:tc>
        <w:tc>
          <w:tcPr>
            <w:tcW w:w="6782"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258" w:type="dxa"/>
            <w:vAlign w:val="center"/>
          </w:tcPr>
          <w:p>
            <w:pPr>
              <w:pStyle w:val="11"/>
            </w:pPr>
            <w:r>
              <w:t>项   目</w:t>
            </w:r>
          </w:p>
        </w:tc>
        <w:tc>
          <w:tcPr>
            <w:tcW w:w="3947"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资产总额</w:t>
            </w:r>
          </w:p>
        </w:tc>
        <w:tc>
          <w:tcPr>
            <w:tcW w:w="3947"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1、房屋（平方米）</w:t>
            </w:r>
            <w:bookmarkStart w:id="20" w:name="_GoBack"/>
            <w:bookmarkEnd w:id="20"/>
          </w:p>
        </w:tc>
        <w:tc>
          <w:tcPr>
            <w:tcW w:w="3947"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　　其中：办公用房（平方米）</w:t>
            </w:r>
          </w:p>
        </w:tc>
        <w:tc>
          <w:tcPr>
            <w:tcW w:w="3947"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2、车辆（台、辆）</w:t>
            </w:r>
          </w:p>
        </w:tc>
        <w:tc>
          <w:tcPr>
            <w:tcW w:w="3947"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3、单价在20万元以上的设备</w:t>
            </w:r>
          </w:p>
        </w:tc>
        <w:tc>
          <w:tcPr>
            <w:tcW w:w="3947"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258" w:type="dxa"/>
            <w:vAlign w:val="center"/>
          </w:tcPr>
          <w:p>
            <w:pPr>
              <w:pStyle w:val="13"/>
            </w:pPr>
            <w:r>
              <w:t>4、其他固定资产</w:t>
            </w:r>
          </w:p>
        </w:tc>
        <w:tc>
          <w:tcPr>
            <w:tcW w:w="3947" w:type="dxa"/>
            <w:vAlign w:val="center"/>
          </w:tcPr>
          <w:p>
            <w:pPr>
              <w:pStyle w:val="14"/>
            </w:pPr>
          </w:p>
        </w:tc>
        <w:tc>
          <w:tcPr>
            <w:tcW w:w="2835" w:type="dxa"/>
            <w:vAlign w:val="center"/>
          </w:tcPr>
          <w:p>
            <w:pPr>
              <w:pStyle w:val="12"/>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NkN2EzYjg1ZjVjODQ5ZTFhNjAwNDRiMDg2OGQifQ=="/>
  </w:docVars>
  <w:rsids>
    <w:rsidRoot w:val="0049456E"/>
    <w:rsid w:val="0049456E"/>
    <w:rsid w:val="009D43AC"/>
    <w:rsid w:val="00B130D9"/>
    <w:rsid w:val="00D44A17"/>
    <w:rsid w:val="00FB7295"/>
    <w:rsid w:val="00FC0E33"/>
    <w:rsid w:val="07020F0F"/>
    <w:rsid w:val="0ABF7321"/>
    <w:rsid w:val="75D6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2024-02-19T16:30:53Z</dcterms:created>
  <dcterms:modified xsi:type="dcterms:W3CDTF">2024-02-19T08:30:53Z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2024-02-19T16:30:53Z</dcterms:created>
  <dcterms:modified xsi:type="dcterms:W3CDTF">2024-02-19T08:30:53Z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2024-02-19T16:30:52Z</dcterms:created>
  <dcterms:modified xsi:type="dcterms:W3CDTF">2024-02-19T08:30:52Z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2024-02-19T16:30:51Z</dcterms:created>
  <dcterms:modified xsi:type="dcterms:W3CDTF">2024-02-19T08:30:51Z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2024-02-19T16:30:52Z</dcterms:created>
  <dcterms:modified xsi:type="dcterms:W3CDTF">2024-02-19T08:30:52Z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2024-02-19T16:30:52Z</dcterms:created>
  <dcterms:modified xsi:type="dcterms:W3CDTF">2024-02-19T08:30:52Z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127252F-4FB6-4083-8682-1FCEAC24C6F2}">
  <ds:schemaRefs/>
</ds:datastoreItem>
</file>

<file path=customXml/itemProps10.xml><?xml version="1.0" encoding="utf-8"?>
<ds:datastoreItem xmlns:ds="http://schemas.openxmlformats.org/officeDocument/2006/customXml" ds:itemID="{5A5E3E01-FBC1-43D8-8A54-39A188EF405C}">
  <ds:schemaRefs/>
</ds:datastoreItem>
</file>

<file path=customXml/itemProps11.xml><?xml version="1.0" encoding="utf-8"?>
<ds:datastoreItem xmlns:ds="http://schemas.openxmlformats.org/officeDocument/2006/customXml" ds:itemID="{4E1F697C-BE48-420C-AF89-AB8629FB441B}">
  <ds:schemaRefs/>
</ds:datastoreItem>
</file>

<file path=customXml/itemProps12.xml><?xml version="1.0" encoding="utf-8"?>
<ds:datastoreItem xmlns:ds="http://schemas.openxmlformats.org/officeDocument/2006/customXml" ds:itemID="{37BF6647-B2A6-4189-B970-0F0A27FD4739}">
  <ds:schemaRefs/>
</ds:datastoreItem>
</file>

<file path=customXml/itemProps2.xml><?xml version="1.0" encoding="utf-8"?>
<ds:datastoreItem xmlns:ds="http://schemas.openxmlformats.org/officeDocument/2006/customXml" ds:itemID="{30AA9658-760C-46AC-90EA-09283C561430}">
  <ds:schemaRefs/>
</ds:datastoreItem>
</file>

<file path=customXml/itemProps3.xml><?xml version="1.0" encoding="utf-8"?>
<ds:datastoreItem xmlns:ds="http://schemas.openxmlformats.org/officeDocument/2006/customXml" ds:itemID="{0A648B84-F5DE-43B7-A57D-642E22F93702}">
  <ds:schemaRefs/>
</ds:datastoreItem>
</file>

<file path=customXml/itemProps4.xml><?xml version="1.0" encoding="utf-8"?>
<ds:datastoreItem xmlns:ds="http://schemas.openxmlformats.org/officeDocument/2006/customXml" ds:itemID="{F80DD3C9-7E7A-491C-9D83-8B455DCEFEF5}">
  <ds:schemaRefs/>
</ds:datastoreItem>
</file>

<file path=customXml/itemProps5.xml><?xml version="1.0" encoding="utf-8"?>
<ds:datastoreItem xmlns:ds="http://schemas.openxmlformats.org/officeDocument/2006/customXml" ds:itemID="{4BA740F9-CF2F-401D-84B5-9545EAFD31E1}">
  <ds:schemaRefs/>
</ds:datastoreItem>
</file>

<file path=customXml/itemProps6.xml><?xml version="1.0" encoding="utf-8"?>
<ds:datastoreItem xmlns:ds="http://schemas.openxmlformats.org/officeDocument/2006/customXml" ds:itemID="{BDE0BD71-9550-4EF3-A4E8-3A2807EE3F1B}">
  <ds:schemaRefs/>
</ds:datastoreItem>
</file>

<file path=customXml/itemProps7.xml><?xml version="1.0" encoding="utf-8"?>
<ds:datastoreItem xmlns:ds="http://schemas.openxmlformats.org/officeDocument/2006/customXml" ds:itemID="{531B0313-ECD6-435A-96DD-03E3EE5C9759}">
  <ds:schemaRefs/>
</ds:datastoreItem>
</file>

<file path=customXml/itemProps8.xml><?xml version="1.0" encoding="utf-8"?>
<ds:datastoreItem xmlns:ds="http://schemas.openxmlformats.org/officeDocument/2006/customXml" ds:itemID="{8516E3AB-C987-45B5-8A5B-402777842947}">
  <ds:schemaRefs/>
</ds:datastoreItem>
</file>

<file path=customXml/itemProps9.xml><?xml version="1.0" encoding="utf-8"?>
<ds:datastoreItem xmlns:ds="http://schemas.openxmlformats.org/officeDocument/2006/customXml" ds:itemID="{A2D62F8D-3085-449A-AB58-D1450F924F00}">
  <ds:schemaRefs/>
</ds:datastoreItem>
</file>

<file path=docProps/app.xml><?xml version="1.0" encoding="utf-8"?>
<Properties xmlns="http://schemas.openxmlformats.org/officeDocument/2006/extended-properties" xmlns:vt="http://schemas.openxmlformats.org/officeDocument/2006/docPropsVTypes">
  <Template>Normal</Template>
  <Pages>25</Pages>
  <Words>1509</Words>
  <Characters>8607</Characters>
  <Lines>71</Lines>
  <Paragraphs>20</Paragraphs>
  <TotalTime>0</TotalTime>
  <ScaleCrop>false</ScaleCrop>
  <LinksUpToDate>false</LinksUpToDate>
  <CharactersWithSpaces>10096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2024-02-19T08:51:00Z</dcterms:created>
  <dc:creator>y chi</dc:creator>
  <cp:lastModifiedBy>望溪</cp:lastModifiedBy>
  <dcterms:modified xsi:type="dcterms:W3CDTF">2024-02-23T03:33:14Z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7F1B0B4E6A6F40EF8DE4A14DC9A5691C_13</vt:lpwstr>
  </property>
</Properties>
</file>