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s="仿宋_GB2312" w:asciiTheme="minorEastAsia" w:hAnsiTheme="minorEastAsia" w:eastAsiaTheme="minorEastAsia"/>
          <w:color w:val="auto"/>
          <w:sz w:val="36"/>
          <w:szCs w:val="36"/>
        </w:rPr>
      </w:pPr>
    </w:p>
    <w:p>
      <w:pPr>
        <w:rPr>
          <w:rFonts w:cs="仿宋_GB2312" w:asciiTheme="minorEastAsia" w:hAnsiTheme="minorEastAsia" w:eastAsiaTheme="minorEastAsia"/>
          <w:color w:val="auto"/>
          <w:sz w:val="36"/>
          <w:szCs w:val="36"/>
        </w:rPr>
      </w:pPr>
    </w:p>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方正小标宋_GBK" w:hAnsi="Times New Roman" w:eastAsia="方正小标宋_GBK" w:cs="Times New Roman"/>
          <w:bCs/>
          <w:sz w:val="72"/>
          <w:szCs w:val="72"/>
        </w:rPr>
      </w:pPr>
      <w:r>
        <w:rPr>
          <w:rFonts w:hint="eastAsia" w:ascii="方正小标宋_GBK" w:hAnsi="Times New Roman" w:eastAsia="方正小标宋_GBK" w:cs="Times New Roman"/>
          <w:bCs/>
          <w:sz w:val="72"/>
          <w:szCs w:val="72"/>
        </w:rPr>
        <w:t>建设项目环境影响报告表</w:t>
      </w:r>
    </w:p>
    <w:p>
      <w:pPr>
        <w:adjustRightInd w:val="0"/>
        <w:snapToGrid w:val="0"/>
        <w:spacing w:before="192" w:beforeLines="80"/>
        <w:jc w:val="center"/>
        <w:rPr>
          <w:rFonts w:hint="eastAsia" w:ascii="楷体_GB2312" w:hAnsi="Times New Roman" w:eastAsia="楷体_GB2312" w:cs="Times New Roman"/>
          <w:bCs/>
          <w:sz w:val="48"/>
          <w:szCs w:val="48"/>
        </w:rPr>
      </w:pPr>
      <w:r>
        <w:rPr>
          <w:rFonts w:hint="eastAsia" w:ascii="楷体_GB2312" w:hAnsi="Times New Roman" w:eastAsia="楷体_GB2312" w:cs="Times New Roman"/>
          <w:bCs/>
          <w:sz w:val="48"/>
          <w:szCs w:val="48"/>
        </w:rPr>
        <w:t>（污染影响类）</w:t>
      </w:r>
    </w:p>
    <w:p>
      <w:pPr>
        <w:ind w:firstLine="1040"/>
        <w:rPr>
          <w:rFonts w:asciiTheme="minorEastAsia" w:hAnsiTheme="minorEastAsia" w:eastAsiaTheme="minorEastAsia"/>
          <w:color w:val="auto"/>
          <w:sz w:val="44"/>
          <w:szCs w:val="44"/>
        </w:rPr>
      </w:pPr>
    </w:p>
    <w:p>
      <w:pPr>
        <w:ind w:firstLine="1040"/>
        <w:rPr>
          <w:rFonts w:asciiTheme="minorEastAsia" w:hAnsiTheme="minorEastAsia" w:eastAsiaTheme="minorEastAsia"/>
          <w:color w:val="auto"/>
          <w:sz w:val="44"/>
          <w:szCs w:val="44"/>
        </w:rPr>
      </w:pPr>
    </w:p>
    <w:p>
      <w:pPr>
        <w:ind w:firstLine="1040"/>
        <w:rPr>
          <w:rFonts w:asciiTheme="minorEastAsia" w:hAnsiTheme="minorEastAsia" w:eastAsiaTheme="minorEastAsia"/>
          <w:color w:val="auto"/>
          <w:sz w:val="44"/>
          <w:szCs w:val="44"/>
        </w:rPr>
      </w:pPr>
    </w:p>
    <w:p>
      <w:pPr>
        <w:ind w:firstLine="1040"/>
        <w:rPr>
          <w:rFonts w:asciiTheme="minorEastAsia" w:hAnsiTheme="minorEastAsia" w:eastAsiaTheme="minorEastAsia"/>
          <w:color w:val="auto"/>
          <w:sz w:val="44"/>
          <w:szCs w:val="44"/>
        </w:rPr>
      </w:pPr>
    </w:p>
    <w:p>
      <w:pPr>
        <w:ind w:firstLine="1040"/>
        <w:rPr>
          <w:rFonts w:asciiTheme="minorEastAsia" w:hAnsiTheme="minorEastAsia" w:eastAsiaTheme="minorEastAsia"/>
          <w:color w:val="auto"/>
          <w:sz w:val="44"/>
          <w:szCs w:val="44"/>
        </w:rPr>
      </w:pPr>
    </w:p>
    <w:p>
      <w:pPr>
        <w:pStyle w:val="43"/>
        <w:rPr>
          <w:rFonts w:asciiTheme="minorEastAsia" w:hAnsiTheme="minorEastAsia" w:eastAsiaTheme="minorEastAsia"/>
          <w:color w:val="auto"/>
          <w:sz w:val="44"/>
          <w:szCs w:val="44"/>
        </w:rPr>
      </w:pPr>
    </w:p>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964"/>
        <w:textAlignment w:val="auto"/>
        <w:rPr>
          <w:rFonts w:hint="default" w:ascii="仿宋_GB2312" w:eastAsia="仿宋_GB2312"/>
          <w:sz w:val="32"/>
          <w:szCs w:val="32"/>
          <w:u w:val="single"/>
          <w:lang w:val="en-US" w:eastAsia="zh-CN"/>
        </w:rPr>
      </w:pPr>
      <w:r>
        <w:rPr>
          <w:rFonts w:hint="eastAsia" w:ascii="仿宋_GB2312" w:eastAsia="仿宋_GB2312"/>
          <w:sz w:val="32"/>
          <w:szCs w:val="32"/>
        </w:rPr>
        <w:t>项目名称：</w:t>
      </w:r>
      <w:r>
        <w:rPr>
          <w:rFonts w:hint="eastAsia" w:ascii="仿宋_GB2312" w:eastAsia="仿宋_GB2312"/>
          <w:sz w:val="32"/>
          <w:szCs w:val="32"/>
          <w:u w:val="single"/>
        </w:rPr>
        <w:t>大型多向模锻件及重型装备自主化产业基地</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2428" w:firstLineChars="759"/>
        <w:textAlignment w:val="auto"/>
        <w:rPr>
          <w:rFonts w:hint="default"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建设项目技改升级项目</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964"/>
        <w:textAlignment w:val="auto"/>
        <w:rPr>
          <w:rFonts w:hint="eastAsia" w:ascii="仿宋_GB2312" w:hAnsi="Times New Roman" w:eastAsia="仿宋_GB2312" w:cs="Times New Roman"/>
          <w:sz w:val="32"/>
          <w:szCs w:val="32"/>
          <w:u w:val="single"/>
          <w:lang w:eastAsia="zh-CN"/>
        </w:rPr>
      </w:pPr>
      <w:r>
        <w:rPr>
          <w:rFonts w:hint="eastAsia" w:ascii="仿宋_GB2312" w:hAnsi="Times New Roman" w:eastAsia="仿宋_GB2312" w:cs="Times New Roman"/>
          <w:sz w:val="32"/>
          <w:szCs w:val="32"/>
        </w:rPr>
        <w:t>建设单位（盖章）：</w:t>
      </w:r>
      <w:r>
        <w:rPr>
          <w:rFonts w:hint="eastAsia" w:ascii="仿宋_GB2312" w:eastAsia="仿宋_GB2312" w:cs="Times New Roman"/>
          <w:sz w:val="32"/>
          <w:szCs w:val="32"/>
          <w:u w:val="single"/>
          <w:lang w:eastAsia="zh-CN"/>
        </w:rPr>
        <w:t>中冶重工（唐山）有限公司</w:t>
      </w:r>
      <w:r>
        <w:rPr>
          <w:rFonts w:hint="eastAsia" w:ascii="仿宋_GB2312" w:eastAsia="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964"/>
        <w:textAlignment w:val="auto"/>
        <w:rPr>
          <w:rFonts w:hint="default" w:ascii="仿宋_GB2312" w:eastAsia="仿宋_GB2312"/>
          <w:sz w:val="30"/>
          <w:szCs w:val="30"/>
          <w:u w:val="single"/>
          <w:lang w:val="en-US" w:eastAsia="zh-CN"/>
        </w:rPr>
      </w:pPr>
      <w:r>
        <w:rPr>
          <w:rFonts w:hint="eastAsia" w:ascii="仿宋_GB2312" w:eastAsia="仿宋_GB2312"/>
          <w:sz w:val="32"/>
          <w:szCs w:val="32"/>
        </w:rPr>
        <w:t>编制日期：</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2023</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6</w:t>
      </w:r>
      <w:r>
        <w:rPr>
          <w:rFonts w:hint="eastAsia" w:ascii="仿宋_GB2312" w:eastAsia="仿宋_GB2312"/>
          <w:sz w:val="32"/>
          <w:szCs w:val="32"/>
          <w:u w:val="single"/>
        </w:rPr>
        <w:t>月</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ind w:firstLine="1040"/>
        <w:rPr>
          <w:rFonts w:asciiTheme="minorEastAsia" w:hAnsiTheme="minorEastAsia" w:eastAsiaTheme="minorEastAsia"/>
          <w:color w:val="auto"/>
          <w:sz w:val="44"/>
          <w:szCs w:val="44"/>
        </w:rPr>
      </w:pPr>
    </w:p>
    <w:p>
      <w:pPr>
        <w:adjustRightInd w:val="0"/>
        <w:snapToGrid w:val="0"/>
        <w:spacing w:line="288" w:lineRule="auto"/>
        <w:ind w:firstLine="1040"/>
        <w:rPr>
          <w:rFonts w:hint="eastAsia" w:ascii="仿宋_GB2312" w:hAnsi="Times New Roman" w:eastAsia="仿宋_GB2312" w:cs="Times New Roman"/>
          <w:sz w:val="36"/>
          <w:szCs w:val="36"/>
        </w:rPr>
      </w:pPr>
      <w:bookmarkStart w:id="0" w:name="_Hlk57884087"/>
    </w:p>
    <w:p>
      <w:pPr>
        <w:pStyle w:val="2"/>
        <w:rPr>
          <w:rFonts w:hint="eastAsia" w:ascii="仿宋_GB2312" w:hAnsi="Times New Roman" w:eastAsia="仿宋_GB2312" w:cs="Times New Roman"/>
          <w:sz w:val="36"/>
          <w:szCs w:val="36"/>
        </w:rPr>
      </w:pPr>
    </w:p>
    <w:p>
      <w:pPr>
        <w:pStyle w:val="2"/>
        <w:rPr>
          <w:rFonts w:hint="eastAsia" w:ascii="仿宋_GB2312" w:hAnsi="Times New Roman" w:eastAsia="仿宋_GB2312" w:cs="Times New Roman"/>
          <w:sz w:val="36"/>
          <w:szCs w:val="36"/>
        </w:rPr>
      </w:pPr>
    </w:p>
    <w:p>
      <w:pPr>
        <w:pStyle w:val="43"/>
        <w:rPr>
          <w:rFonts w:hint="eastAsia"/>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eastAsia" w:ascii="仿宋_GB2312" w:hAnsi="Times New Roman" w:eastAsia="仿宋_GB2312" w:cs="Times New Roman"/>
          <w:sz w:val="36"/>
          <w:szCs w:val="36"/>
        </w:rPr>
      </w:pPr>
      <w:r>
        <w:rPr>
          <w:rFonts w:hint="eastAsia" w:ascii="楷体_GB2312" w:hAnsi="Times New Roman" w:eastAsia="楷体_GB2312" w:cs="Times New Roman"/>
          <w:sz w:val="36"/>
          <w:szCs w:val="36"/>
        </w:rPr>
        <w:t>中华人民共和国生态环境部制</w:t>
      </w:r>
    </w:p>
    <w:p>
      <w:pPr>
        <w:adjustRightInd w:val="0"/>
        <w:snapToGrid w:val="0"/>
        <w:spacing w:line="288" w:lineRule="auto"/>
        <w:ind w:firstLine="1040"/>
        <w:rPr>
          <w:rFonts w:asciiTheme="minorEastAsia" w:hAnsiTheme="minorEastAsia" w:eastAsiaTheme="minorEastAsia"/>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2"/>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sdt>
      <w:sdtPr>
        <w:rPr>
          <w:rFonts w:ascii="宋体" w:hAnsi="宋体" w:eastAsia="宋体" w:cs="Times New Roman"/>
          <w:kern w:val="2"/>
          <w:sz w:val="24"/>
          <w:szCs w:val="32"/>
          <w:lang w:val="en-US" w:eastAsia="zh-CN" w:bidi="ar-SA"/>
        </w:rPr>
        <w:id w:val="147469698"/>
        <w15:color w:val="DBDBDB"/>
        <w:docPartObj>
          <w:docPartGallery w:val="Table of Contents"/>
          <w:docPartUnique/>
        </w:docPartObj>
      </w:sdtPr>
      <w:sdtEndPr>
        <w:rPr>
          <w:rFonts w:ascii="Times New Roman" w:hAnsi="Times New Roman" w:eastAsia="华文中宋" w:cs="华康简仿宋"/>
          <w:w w:val="90"/>
          <w:kern w:val="2"/>
          <w:sz w:val="28"/>
          <w:szCs w:val="20"/>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sz w:val="32"/>
              <w:szCs w:val="32"/>
            </w:rPr>
          </w:pPr>
          <w:r>
            <w:rPr>
              <w:rFonts w:ascii="宋体" w:hAnsi="宋体" w:eastAsia="宋体"/>
              <w:sz w:val="32"/>
              <w:szCs w:val="32"/>
            </w:rPr>
            <w:t>目录</w:t>
          </w:r>
        </w:p>
        <w:p>
          <w:pPr>
            <w:pStyle w:val="2"/>
          </w:pP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TOC \o "1-1" \h \u </w:instrText>
          </w:r>
          <w:r>
            <w:rPr>
              <w:sz w:val="24"/>
              <w:szCs w:val="24"/>
            </w:rPr>
            <w:fldChar w:fldCharType="separate"/>
          </w:r>
          <w:r>
            <w:rPr>
              <w:sz w:val="24"/>
              <w:szCs w:val="24"/>
            </w:rPr>
            <w:fldChar w:fldCharType="begin"/>
          </w:r>
          <w:r>
            <w:rPr>
              <w:sz w:val="24"/>
              <w:szCs w:val="24"/>
            </w:rPr>
            <w:instrText xml:space="preserve"> HYPERLINK \l _Toc23807 </w:instrText>
          </w:r>
          <w:r>
            <w:rPr>
              <w:sz w:val="24"/>
              <w:szCs w:val="24"/>
            </w:rPr>
            <w:fldChar w:fldCharType="separate"/>
          </w:r>
          <w:r>
            <w:rPr>
              <w:rFonts w:hint="default" w:ascii="Times New Roman" w:hAnsi="Times New Roman" w:eastAsia="黑体" w:cs="Times New Roman"/>
              <w:snapToGrid w:val="0"/>
              <w:sz w:val="24"/>
              <w:szCs w:val="24"/>
            </w:rPr>
            <w:t>一、建设项目基本情况</w:t>
          </w:r>
          <w:r>
            <w:rPr>
              <w:sz w:val="24"/>
              <w:szCs w:val="24"/>
            </w:rPr>
            <w:tab/>
          </w:r>
          <w:r>
            <w:rPr>
              <w:sz w:val="24"/>
              <w:szCs w:val="24"/>
            </w:rPr>
            <w:fldChar w:fldCharType="begin"/>
          </w:r>
          <w:r>
            <w:rPr>
              <w:sz w:val="24"/>
              <w:szCs w:val="24"/>
            </w:rPr>
            <w:instrText xml:space="preserve"> PAGEREF _Toc23807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 HYPERLINK \l _Toc26626 </w:instrText>
          </w:r>
          <w:r>
            <w:rPr>
              <w:sz w:val="24"/>
              <w:szCs w:val="24"/>
            </w:rPr>
            <w:fldChar w:fldCharType="separate"/>
          </w:r>
          <w:r>
            <w:rPr>
              <w:rFonts w:hint="default" w:ascii="Times New Roman" w:hAnsi="Times New Roman" w:eastAsia="黑体" w:cs="Times New Roman"/>
              <w:snapToGrid w:val="0"/>
              <w:sz w:val="24"/>
              <w:szCs w:val="24"/>
            </w:rPr>
            <w:t>二、建设项目工程分析</w:t>
          </w:r>
          <w:r>
            <w:rPr>
              <w:sz w:val="24"/>
              <w:szCs w:val="24"/>
            </w:rPr>
            <w:tab/>
          </w:r>
          <w:r>
            <w:rPr>
              <w:sz w:val="24"/>
              <w:szCs w:val="24"/>
            </w:rPr>
            <w:fldChar w:fldCharType="begin"/>
          </w:r>
          <w:r>
            <w:rPr>
              <w:sz w:val="24"/>
              <w:szCs w:val="24"/>
            </w:rPr>
            <w:instrText xml:space="preserve"> PAGEREF _Toc26626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 HYPERLINK \l _Toc22999 </w:instrText>
          </w:r>
          <w:r>
            <w:rPr>
              <w:sz w:val="24"/>
              <w:szCs w:val="24"/>
            </w:rPr>
            <w:fldChar w:fldCharType="separate"/>
          </w:r>
          <w:r>
            <w:rPr>
              <w:rFonts w:hint="default" w:ascii="Times New Roman" w:hAnsi="Times New Roman" w:eastAsia="黑体" w:cs="Times New Roman"/>
              <w:snapToGrid w:val="0"/>
              <w:sz w:val="24"/>
              <w:szCs w:val="24"/>
            </w:rPr>
            <w:t>三、区域环境质量现状、环境保护目标及评价标准</w:t>
          </w:r>
          <w:r>
            <w:rPr>
              <w:sz w:val="24"/>
              <w:szCs w:val="24"/>
            </w:rPr>
            <w:tab/>
          </w:r>
          <w:r>
            <w:rPr>
              <w:sz w:val="24"/>
              <w:szCs w:val="24"/>
            </w:rPr>
            <w:fldChar w:fldCharType="begin"/>
          </w:r>
          <w:r>
            <w:rPr>
              <w:sz w:val="24"/>
              <w:szCs w:val="24"/>
            </w:rPr>
            <w:instrText xml:space="preserve"> PAGEREF _Toc22999 </w:instrText>
          </w:r>
          <w:r>
            <w:rPr>
              <w:sz w:val="24"/>
              <w:szCs w:val="24"/>
            </w:rPr>
            <w:fldChar w:fldCharType="separate"/>
          </w:r>
          <w:r>
            <w:rPr>
              <w:sz w:val="24"/>
              <w:szCs w:val="24"/>
            </w:rPr>
            <w:t>39</w:t>
          </w:r>
          <w:r>
            <w:rPr>
              <w:sz w:val="24"/>
              <w:szCs w:val="24"/>
            </w:rPr>
            <w:fldChar w:fldCharType="end"/>
          </w:r>
          <w:r>
            <w:rPr>
              <w:sz w:val="24"/>
              <w:szCs w:val="24"/>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 HYPERLINK \l _Toc13996 </w:instrText>
          </w:r>
          <w:r>
            <w:rPr>
              <w:sz w:val="24"/>
              <w:szCs w:val="24"/>
            </w:rPr>
            <w:fldChar w:fldCharType="separate"/>
          </w:r>
          <w:r>
            <w:rPr>
              <w:rFonts w:hint="default" w:ascii="Times New Roman" w:hAnsi="Times New Roman" w:eastAsia="黑体" w:cs="Times New Roman"/>
              <w:snapToGrid w:val="0"/>
              <w:sz w:val="24"/>
              <w:szCs w:val="24"/>
            </w:rPr>
            <w:t>四、主要环境影响和保护措施</w:t>
          </w:r>
          <w:r>
            <w:rPr>
              <w:sz w:val="24"/>
              <w:szCs w:val="24"/>
            </w:rPr>
            <w:tab/>
          </w:r>
          <w:r>
            <w:rPr>
              <w:sz w:val="24"/>
              <w:szCs w:val="24"/>
            </w:rPr>
            <w:fldChar w:fldCharType="begin"/>
          </w:r>
          <w:r>
            <w:rPr>
              <w:sz w:val="24"/>
              <w:szCs w:val="24"/>
            </w:rPr>
            <w:instrText xml:space="preserve"> PAGEREF _Toc13996 </w:instrText>
          </w:r>
          <w:r>
            <w:rPr>
              <w:sz w:val="24"/>
              <w:szCs w:val="24"/>
            </w:rPr>
            <w:fldChar w:fldCharType="separate"/>
          </w:r>
          <w:r>
            <w:rPr>
              <w:sz w:val="24"/>
              <w:szCs w:val="24"/>
            </w:rPr>
            <w:t>45</w:t>
          </w:r>
          <w:r>
            <w:rPr>
              <w:sz w:val="24"/>
              <w:szCs w:val="24"/>
            </w:rPr>
            <w:fldChar w:fldCharType="end"/>
          </w:r>
          <w:r>
            <w:rPr>
              <w:sz w:val="24"/>
              <w:szCs w:val="24"/>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 HYPERLINK \l _Toc2139 </w:instrText>
          </w:r>
          <w:r>
            <w:rPr>
              <w:sz w:val="24"/>
              <w:szCs w:val="24"/>
            </w:rPr>
            <w:fldChar w:fldCharType="separate"/>
          </w:r>
          <w:r>
            <w:rPr>
              <w:rFonts w:hint="default" w:ascii="Times New Roman" w:hAnsi="Times New Roman" w:eastAsia="黑体" w:cs="Times New Roman"/>
              <w:snapToGrid w:val="0"/>
              <w:sz w:val="24"/>
              <w:szCs w:val="24"/>
            </w:rPr>
            <w:t>五、环境保护措施监督检查清单</w:t>
          </w:r>
          <w:r>
            <w:rPr>
              <w:sz w:val="24"/>
              <w:szCs w:val="24"/>
            </w:rPr>
            <w:tab/>
          </w:r>
          <w:r>
            <w:rPr>
              <w:sz w:val="24"/>
              <w:szCs w:val="24"/>
            </w:rPr>
            <w:fldChar w:fldCharType="begin"/>
          </w:r>
          <w:r>
            <w:rPr>
              <w:sz w:val="24"/>
              <w:szCs w:val="24"/>
            </w:rPr>
            <w:instrText xml:space="preserve"> PAGEREF _Toc2139 </w:instrText>
          </w:r>
          <w:r>
            <w:rPr>
              <w:sz w:val="24"/>
              <w:szCs w:val="24"/>
            </w:rPr>
            <w:fldChar w:fldCharType="separate"/>
          </w:r>
          <w:r>
            <w:rPr>
              <w:sz w:val="24"/>
              <w:szCs w:val="24"/>
            </w:rPr>
            <w:t>61</w:t>
          </w:r>
          <w:r>
            <w:rPr>
              <w:sz w:val="24"/>
              <w:szCs w:val="24"/>
            </w:rPr>
            <w:fldChar w:fldCharType="end"/>
          </w:r>
          <w:r>
            <w:rPr>
              <w:sz w:val="24"/>
              <w:szCs w:val="24"/>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line="240" w:lineRule="auto"/>
            <w:textAlignment w:val="auto"/>
            <w:rPr>
              <w:sz w:val="24"/>
              <w:szCs w:val="24"/>
            </w:rPr>
          </w:pPr>
          <w:r>
            <w:rPr>
              <w:sz w:val="24"/>
              <w:szCs w:val="24"/>
            </w:rPr>
            <w:fldChar w:fldCharType="begin"/>
          </w:r>
          <w:r>
            <w:rPr>
              <w:sz w:val="24"/>
              <w:szCs w:val="24"/>
            </w:rPr>
            <w:instrText xml:space="preserve"> HYPERLINK \l _Toc7478 </w:instrText>
          </w:r>
          <w:r>
            <w:rPr>
              <w:sz w:val="24"/>
              <w:szCs w:val="24"/>
            </w:rPr>
            <w:fldChar w:fldCharType="separate"/>
          </w:r>
          <w:r>
            <w:rPr>
              <w:rFonts w:hint="default" w:ascii="Times New Roman" w:hAnsi="Times New Roman" w:eastAsia="黑体" w:cs="Times New Roman"/>
              <w:snapToGrid w:val="0"/>
              <w:sz w:val="24"/>
              <w:szCs w:val="24"/>
            </w:rPr>
            <w:t>六、结论</w:t>
          </w:r>
          <w:r>
            <w:rPr>
              <w:sz w:val="24"/>
              <w:szCs w:val="24"/>
            </w:rPr>
            <w:tab/>
          </w:r>
          <w:r>
            <w:rPr>
              <w:sz w:val="24"/>
              <w:szCs w:val="24"/>
            </w:rPr>
            <w:fldChar w:fldCharType="begin"/>
          </w:r>
          <w:r>
            <w:rPr>
              <w:sz w:val="24"/>
              <w:szCs w:val="24"/>
            </w:rPr>
            <w:instrText xml:space="preserve"> PAGEREF _Toc7478 </w:instrText>
          </w:r>
          <w:r>
            <w:rPr>
              <w:sz w:val="24"/>
              <w:szCs w:val="24"/>
            </w:rPr>
            <w:fldChar w:fldCharType="separate"/>
          </w:r>
          <w:r>
            <w:rPr>
              <w:sz w:val="24"/>
              <w:szCs w:val="24"/>
            </w:rPr>
            <w:t>65</w:t>
          </w:r>
          <w:r>
            <w:rPr>
              <w:sz w:val="24"/>
              <w:szCs w:val="24"/>
            </w:rPr>
            <w:fldChar w:fldCharType="end"/>
          </w:r>
          <w:r>
            <w:rPr>
              <w:sz w:val="24"/>
              <w:szCs w:val="24"/>
            </w:rPr>
            <w:fldChar w:fldCharType="end"/>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b/>
              <w:bCs/>
              <w:sz w:val="24"/>
              <w:szCs w:val="24"/>
              <w:highlight w:val="none"/>
              <w:lang w:eastAsia="zh-CN"/>
            </w:rPr>
          </w:pPr>
          <w:r>
            <w:rPr>
              <w:rFonts w:hint="eastAsia"/>
              <w:b/>
              <w:bCs/>
              <w:sz w:val="24"/>
              <w:szCs w:val="24"/>
              <w:highlight w:val="none"/>
              <w:lang w:eastAsia="zh-CN"/>
            </w:rPr>
            <w:t>附图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附图1 项目地理位置图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附图2 项目周边关系图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附图3 项目平面布置图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w:t>
          </w:r>
          <w:r>
            <w:rPr>
              <w:rFonts w:hint="eastAsia"/>
              <w:sz w:val="24"/>
              <w:szCs w:val="24"/>
              <w:highlight w:val="none"/>
              <w:lang w:val="en-US" w:eastAsia="zh-CN"/>
            </w:rPr>
            <w:t>4</w:t>
          </w:r>
          <w:r>
            <w:rPr>
              <w:rFonts w:hint="eastAsia"/>
              <w:sz w:val="24"/>
              <w:szCs w:val="24"/>
              <w:highlight w:val="none"/>
              <w:lang w:eastAsia="zh-CN"/>
            </w:rPr>
            <w:t xml:space="preserve"> 项目</w:t>
          </w:r>
          <w:r>
            <w:rPr>
              <w:rFonts w:hint="eastAsia"/>
              <w:sz w:val="24"/>
              <w:szCs w:val="24"/>
              <w:highlight w:val="none"/>
              <w:lang w:val="en-US" w:eastAsia="zh-CN"/>
            </w:rPr>
            <w:t>车间设备</w:t>
          </w:r>
          <w:r>
            <w:rPr>
              <w:rFonts w:hint="eastAsia"/>
              <w:sz w:val="24"/>
              <w:szCs w:val="24"/>
              <w:highlight w:val="none"/>
              <w:lang w:eastAsia="zh-CN"/>
            </w:rPr>
            <w:t>布置图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w:t>
          </w:r>
          <w:r>
            <w:rPr>
              <w:rFonts w:hint="eastAsia"/>
              <w:sz w:val="24"/>
              <w:szCs w:val="24"/>
              <w:highlight w:val="none"/>
              <w:lang w:val="en-US" w:eastAsia="zh-CN"/>
            </w:rPr>
            <w:t>5</w:t>
          </w:r>
          <w:r>
            <w:rPr>
              <w:rFonts w:hint="eastAsia"/>
              <w:sz w:val="24"/>
              <w:szCs w:val="24"/>
              <w:highlight w:val="none"/>
              <w:lang w:eastAsia="zh-CN"/>
            </w:rPr>
            <w:t xml:space="preserve"> 项目现状监测布点图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eastAsia="zh-CN"/>
            </w:rPr>
          </w:pPr>
          <w:r>
            <w:rPr>
              <w:rFonts w:hint="eastAsia"/>
              <w:sz w:val="24"/>
              <w:szCs w:val="24"/>
              <w:highlight w:val="none"/>
              <w:lang w:eastAsia="zh-CN"/>
            </w:rPr>
            <w:t>附图</w:t>
          </w:r>
          <w:r>
            <w:rPr>
              <w:rFonts w:hint="eastAsia"/>
              <w:sz w:val="24"/>
              <w:szCs w:val="24"/>
              <w:highlight w:val="none"/>
              <w:lang w:val="en-US" w:eastAsia="zh-CN"/>
            </w:rPr>
            <w:t>6</w:t>
          </w:r>
          <w:r>
            <w:rPr>
              <w:rFonts w:hint="eastAsia"/>
              <w:sz w:val="24"/>
              <w:szCs w:val="24"/>
              <w:highlight w:val="none"/>
              <w:lang w:eastAsia="zh-CN"/>
            </w:rPr>
            <w:t xml:space="preserve"> 唐山市环境管控单元分布图</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b/>
              <w:bCs/>
              <w:sz w:val="24"/>
              <w:szCs w:val="24"/>
              <w:highlight w:val="yellow"/>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b/>
              <w:bCs/>
              <w:sz w:val="24"/>
              <w:szCs w:val="24"/>
              <w:highlight w:val="yellow"/>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b/>
              <w:bCs/>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b/>
              <w:bCs/>
              <w:sz w:val="24"/>
              <w:szCs w:val="24"/>
              <w:highlight w:val="none"/>
              <w:lang w:eastAsia="zh-CN"/>
            </w:rPr>
          </w:pPr>
          <w:r>
            <w:rPr>
              <w:rFonts w:hint="eastAsia"/>
              <w:b/>
              <w:bCs/>
              <w:sz w:val="24"/>
              <w:szCs w:val="24"/>
              <w:highlight w:val="none"/>
              <w:lang w:eastAsia="zh-CN"/>
            </w:rPr>
            <w:t>附件</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1 营业执照</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2 备案信息</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3 环评审批、验收意见</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4 排污许可证</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5 声环境质量现状检测报告</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6 土地证明</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7 静电粉末喷涂线采购合同</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8 粉末涂料成分表</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9 应急预案备案表</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highlight w:val="none"/>
              <w:lang w:val="en-US" w:eastAsia="zh-CN"/>
            </w:rPr>
          </w:pPr>
          <w:r>
            <w:rPr>
              <w:rFonts w:hint="eastAsia"/>
              <w:sz w:val="24"/>
              <w:szCs w:val="24"/>
              <w:highlight w:val="none"/>
              <w:lang w:eastAsia="zh-CN"/>
            </w:rPr>
            <w:t>附件</w:t>
          </w:r>
          <w:r>
            <w:rPr>
              <w:rFonts w:hint="eastAsia"/>
              <w:sz w:val="24"/>
              <w:szCs w:val="24"/>
              <w:highlight w:val="none"/>
              <w:lang w:val="en-US" w:eastAsia="zh-CN"/>
            </w:rPr>
            <w:t>10 委托书、承诺书</w:t>
          </w: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lang w:val="en-US" w:eastAsia="zh-CN"/>
            </w:rPr>
          </w:pPr>
          <w:r>
            <w:rPr>
              <w:rFonts w:hint="eastAsia"/>
              <w:sz w:val="24"/>
              <w:szCs w:val="24"/>
              <w:highlight w:val="none"/>
              <w:lang w:eastAsia="zh-CN"/>
            </w:rPr>
            <w:t>附件</w:t>
          </w:r>
          <w:r>
            <w:rPr>
              <w:rFonts w:hint="eastAsia"/>
              <w:sz w:val="24"/>
              <w:szCs w:val="24"/>
              <w:highlight w:val="none"/>
              <w:lang w:val="en-US" w:eastAsia="zh-CN"/>
            </w:rPr>
            <w:t>11 专家意见</w:t>
          </w: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sz w:val="24"/>
              <w:szCs w:val="24"/>
              <w:lang w:eastAsia="zh-CN"/>
            </w:rPr>
          </w:pPr>
        </w:p>
        <w:p>
          <w:pPr>
            <w:pStyle w:val="2"/>
            <w:rPr>
              <w:sz w:val="24"/>
              <w:szCs w:val="24"/>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sz w:val="24"/>
              <w:szCs w:val="24"/>
            </w:rPr>
            <w:fldChar w:fldCharType="end"/>
          </w:r>
        </w:p>
        <w:p>
          <w:pPr>
            <w:pStyle w:val="2"/>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sdtContent>
    </w:sdt>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1" w:name="_Toc23807"/>
      <w:r>
        <w:rPr>
          <w:rFonts w:hint="default" w:ascii="Times New Roman" w:hAnsi="Times New Roman" w:eastAsia="黑体" w:cs="Times New Roman"/>
          <w:snapToGrid w:val="0"/>
          <w:color w:val="auto"/>
          <w:sz w:val="30"/>
          <w:szCs w:val="30"/>
        </w:rPr>
        <w:t>一、建设项目基本情况</w:t>
      </w:r>
      <w:bookmarkEnd w:id="1"/>
    </w:p>
    <w:tbl>
      <w:tblPr>
        <w:tblStyle w:val="35"/>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19"/>
        <w:gridCol w:w="2300"/>
        <w:gridCol w:w="2066"/>
        <w:gridCol w:w="27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建设项目名称</w:t>
            </w:r>
          </w:p>
        </w:tc>
        <w:tc>
          <w:tcPr>
            <w:tcW w:w="7151" w:type="dxa"/>
            <w:gridSpan w:val="3"/>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eastAsia"/>
                <w:color w:val="auto"/>
                <w:sz w:val="21"/>
                <w:szCs w:val="21"/>
                <w:lang w:eastAsia="zh-CN"/>
              </w:rPr>
              <w:t>大型多向模锻件及重型装备自主化产业基地建设项目技改升级项目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项目代码</w:t>
            </w:r>
          </w:p>
        </w:tc>
        <w:tc>
          <w:tcPr>
            <w:tcW w:w="7151" w:type="dxa"/>
            <w:gridSpan w:val="3"/>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2211-130273-89-02-774193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建设单位联系人</w:t>
            </w:r>
          </w:p>
        </w:tc>
        <w:tc>
          <w:tcPr>
            <w:tcW w:w="23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赵骥</w:t>
            </w:r>
          </w:p>
        </w:tc>
        <w:tc>
          <w:tcPr>
            <w:tcW w:w="206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联系方式</w:t>
            </w:r>
          </w:p>
        </w:tc>
        <w:tc>
          <w:tcPr>
            <w:tcW w:w="278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17731464506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建设地点</w:t>
            </w:r>
          </w:p>
        </w:tc>
        <w:tc>
          <w:tcPr>
            <w:tcW w:w="7151" w:type="dxa"/>
            <w:gridSpan w:val="3"/>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color w:val="auto"/>
                <w:sz w:val="21"/>
                <w:szCs w:val="21"/>
                <w:highlight w:val="none"/>
              </w:rPr>
              <w:t>唐山市高新区学院北路1700号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地理坐标</w:t>
            </w:r>
          </w:p>
        </w:tc>
        <w:tc>
          <w:tcPr>
            <w:tcW w:w="7151" w:type="dxa"/>
            <w:gridSpan w:val="3"/>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u w:val="single"/>
              </w:rPr>
              <w:t xml:space="preserve"> 118 </w:t>
            </w:r>
            <w:r>
              <w:rPr>
                <w:rFonts w:hint="default" w:ascii="Times New Roman" w:hAnsi="Times New Roman" w:eastAsia="宋体" w:cs="Times New Roman"/>
                <w:color w:val="auto"/>
                <w:sz w:val="21"/>
                <w:szCs w:val="21"/>
              </w:rPr>
              <w:t>度</w:t>
            </w:r>
            <w:r>
              <w:rPr>
                <w:rFonts w:hint="default" w:ascii="Times New Roman" w:hAnsi="Times New Roman" w:eastAsia="宋体" w:cs="Times New Roman"/>
                <w:color w:val="auto"/>
                <w:sz w:val="21"/>
                <w:szCs w:val="21"/>
                <w:u w:val="single"/>
              </w:rPr>
              <w:t xml:space="preserve"> </w:t>
            </w:r>
            <w:r>
              <w:rPr>
                <w:rFonts w:hint="eastAsia" w:cs="Times New Roman"/>
                <w:color w:val="auto"/>
                <w:sz w:val="21"/>
                <w:szCs w:val="21"/>
                <w:u w:val="single"/>
                <w:lang w:val="en-US" w:eastAsia="zh-CN"/>
              </w:rPr>
              <w:t>8</w:t>
            </w:r>
            <w:r>
              <w:rPr>
                <w:rFonts w:hint="default" w:ascii="Times New Roman" w:hAnsi="Times New Roman" w:eastAsia="宋体" w:cs="Times New Roman"/>
                <w:color w:val="auto"/>
                <w:sz w:val="21"/>
                <w:szCs w:val="21"/>
                <w:u w:val="single"/>
              </w:rPr>
              <w:t xml:space="preserve"> </w:t>
            </w:r>
            <w:r>
              <w:rPr>
                <w:rFonts w:hint="default" w:ascii="Times New Roman" w:hAnsi="Times New Roman" w:eastAsia="宋体" w:cs="Times New Roman"/>
                <w:color w:val="auto"/>
                <w:sz w:val="21"/>
                <w:szCs w:val="21"/>
              </w:rPr>
              <w:t>分</w:t>
            </w:r>
            <w:r>
              <w:rPr>
                <w:rFonts w:hint="default" w:ascii="Times New Roman" w:hAnsi="Times New Roman" w:eastAsia="宋体" w:cs="Times New Roman"/>
                <w:color w:val="auto"/>
                <w:sz w:val="21"/>
                <w:szCs w:val="21"/>
                <w:u w:val="single"/>
              </w:rPr>
              <w:t xml:space="preserve"> </w:t>
            </w:r>
            <w:r>
              <w:rPr>
                <w:rFonts w:hint="eastAsia" w:cs="Times New Roman"/>
                <w:color w:val="auto"/>
                <w:sz w:val="21"/>
                <w:szCs w:val="21"/>
                <w:u w:val="single"/>
                <w:lang w:val="en-US" w:eastAsia="zh-CN"/>
              </w:rPr>
              <w:t>57.088</w:t>
            </w:r>
            <w:r>
              <w:rPr>
                <w:rFonts w:hint="default" w:ascii="Times New Roman" w:hAnsi="Times New Roman" w:eastAsia="宋体" w:cs="Times New Roman"/>
                <w:color w:val="auto"/>
                <w:sz w:val="21"/>
                <w:szCs w:val="21"/>
                <w:u w:val="single"/>
              </w:rPr>
              <w:t xml:space="preserve"> </w:t>
            </w:r>
            <w:r>
              <w:rPr>
                <w:rFonts w:hint="default" w:ascii="Times New Roman" w:hAnsi="Times New Roman" w:eastAsia="宋体" w:cs="Times New Roman"/>
                <w:color w:val="auto"/>
                <w:sz w:val="21"/>
                <w:szCs w:val="21"/>
              </w:rPr>
              <w:t>秒，</w:t>
            </w:r>
            <w:r>
              <w:rPr>
                <w:rFonts w:hint="default" w:ascii="Times New Roman" w:hAnsi="Times New Roman" w:eastAsia="宋体" w:cs="Times New Roman"/>
                <w:color w:val="auto"/>
                <w:sz w:val="21"/>
                <w:szCs w:val="21"/>
                <w:u w:val="single"/>
              </w:rPr>
              <w:t xml:space="preserve"> 39 </w:t>
            </w:r>
            <w:r>
              <w:rPr>
                <w:rFonts w:hint="default" w:ascii="Times New Roman" w:hAnsi="Times New Roman" w:eastAsia="宋体" w:cs="Times New Roman"/>
                <w:color w:val="auto"/>
                <w:sz w:val="21"/>
                <w:szCs w:val="21"/>
              </w:rPr>
              <w:t>度</w:t>
            </w:r>
            <w:r>
              <w:rPr>
                <w:rFonts w:hint="default" w:ascii="Times New Roman" w:hAnsi="Times New Roman" w:eastAsia="宋体" w:cs="Times New Roman"/>
                <w:color w:val="auto"/>
                <w:sz w:val="21"/>
                <w:szCs w:val="21"/>
                <w:u w:val="single"/>
              </w:rPr>
              <w:t xml:space="preserve"> </w:t>
            </w:r>
            <w:r>
              <w:rPr>
                <w:rFonts w:hint="eastAsia" w:cs="Times New Roman"/>
                <w:color w:val="auto"/>
                <w:sz w:val="21"/>
                <w:szCs w:val="21"/>
                <w:u w:val="single"/>
                <w:lang w:val="en-US" w:eastAsia="zh-CN"/>
              </w:rPr>
              <w:t>41</w:t>
            </w:r>
            <w:r>
              <w:rPr>
                <w:rFonts w:hint="default" w:ascii="Times New Roman" w:hAnsi="Times New Roman" w:eastAsia="宋体" w:cs="Times New Roman"/>
                <w:color w:val="auto"/>
                <w:sz w:val="21"/>
                <w:szCs w:val="21"/>
                <w:u w:val="single"/>
                <w:lang w:val="en-US" w:eastAsia="zh-CN"/>
              </w:rPr>
              <w:t xml:space="preserve"> </w:t>
            </w:r>
            <w:r>
              <w:rPr>
                <w:rFonts w:hint="default" w:ascii="Times New Roman" w:hAnsi="Times New Roman" w:eastAsia="宋体" w:cs="Times New Roman"/>
                <w:color w:val="auto"/>
                <w:sz w:val="21"/>
                <w:szCs w:val="21"/>
              </w:rPr>
              <w:t>分</w:t>
            </w:r>
            <w:r>
              <w:rPr>
                <w:rFonts w:hint="default" w:ascii="Times New Roman" w:hAnsi="Times New Roman" w:eastAsia="宋体" w:cs="Times New Roman"/>
                <w:color w:val="auto"/>
                <w:sz w:val="21"/>
                <w:szCs w:val="21"/>
                <w:u w:val="single"/>
              </w:rPr>
              <w:t xml:space="preserve"> </w:t>
            </w:r>
            <w:r>
              <w:rPr>
                <w:rFonts w:hint="eastAsia" w:cs="Times New Roman"/>
                <w:color w:val="auto"/>
                <w:sz w:val="21"/>
                <w:szCs w:val="21"/>
                <w:u w:val="single"/>
                <w:lang w:val="en-US" w:eastAsia="zh-CN"/>
              </w:rPr>
              <w:t>33.192</w:t>
            </w:r>
            <w:r>
              <w:rPr>
                <w:rFonts w:hint="default" w:ascii="Times New Roman" w:hAnsi="Times New Roman" w:eastAsia="宋体" w:cs="Times New Roman"/>
                <w:color w:val="auto"/>
                <w:sz w:val="21"/>
                <w:szCs w:val="21"/>
                <w:u w:val="single"/>
              </w:rPr>
              <w:t xml:space="preserve"> </w:t>
            </w:r>
            <w:r>
              <w:rPr>
                <w:rFonts w:hint="default" w:ascii="Times New Roman" w:hAnsi="Times New Roman" w:eastAsia="宋体" w:cs="Times New Roman"/>
                <w:color w:val="auto"/>
                <w:sz w:val="21"/>
                <w:szCs w:val="21"/>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50"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国民经济</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行业类别</w:t>
            </w:r>
          </w:p>
        </w:tc>
        <w:tc>
          <w:tcPr>
            <w:tcW w:w="23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C3499其他未列明通用设备制造业</w:t>
            </w:r>
          </w:p>
        </w:tc>
        <w:tc>
          <w:tcPr>
            <w:tcW w:w="206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bookmarkStart w:id="2" w:name="_Hlk49843745"/>
            <w:r>
              <w:rPr>
                <w:rFonts w:hint="default" w:ascii="Times New Roman" w:hAnsi="Times New Roman" w:eastAsia="宋体" w:cs="Times New Roman"/>
                <w:color w:val="auto"/>
                <w:sz w:val="21"/>
                <w:szCs w:val="21"/>
                <w:highlight w:val="none"/>
              </w:rPr>
              <w:t>建设项目</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行业类别</w:t>
            </w:r>
            <w:bookmarkEnd w:id="2"/>
          </w:p>
        </w:tc>
        <w:tc>
          <w:tcPr>
            <w:tcW w:w="2785" w:type="dxa"/>
            <w:noWrap w:val="0"/>
            <w:vAlign w:val="center"/>
          </w:tcPr>
          <w:p>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三十一、通用设备制造业69其他通用设备制造业 其他（仅分割、焊接、组装的除外；年用非溶剂型低VOCs含量涂料10吨以下的除外）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52"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建设性质</w:t>
            </w:r>
          </w:p>
        </w:tc>
        <w:tc>
          <w:tcPr>
            <w:tcW w:w="2300" w:type="dxa"/>
            <w:noWrap w:val="0"/>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□新建（迁建）</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改建</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扩建</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技术改造</w:t>
            </w:r>
          </w:p>
        </w:tc>
        <w:tc>
          <w:tcPr>
            <w:tcW w:w="206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申报情形</w:t>
            </w:r>
          </w:p>
        </w:tc>
        <w:tc>
          <w:tcPr>
            <w:tcW w:w="2785" w:type="dxa"/>
            <w:noWrap w:val="0"/>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eastAsia" w:cs="Times New Roman"/>
                <w:color w:val="auto"/>
                <w:sz w:val="21"/>
                <w:szCs w:val="21"/>
                <w:lang w:eastAsia="zh-CN"/>
              </w:rPr>
              <w:sym w:font="Wingdings 2" w:char="0052"/>
            </w:r>
            <w:r>
              <w:rPr>
                <w:rFonts w:hint="default" w:ascii="Times New Roman" w:hAnsi="Times New Roman" w:eastAsia="宋体" w:cs="Times New Roman"/>
                <w:color w:val="auto"/>
                <w:sz w:val="21"/>
                <w:szCs w:val="21"/>
              </w:rPr>
              <w:t xml:space="preserve">首次申报项目             </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□不予批准后再次申报项目</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□超五年重新审核项目     </w:t>
            </w:r>
          </w:p>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sym w:font="Wingdings 2" w:char="00A3"/>
            </w:r>
            <w:r>
              <w:rPr>
                <w:rFonts w:hint="default" w:ascii="Times New Roman" w:hAnsi="Times New Roman" w:eastAsia="宋体" w:cs="Times New Roman"/>
                <w:color w:val="auto"/>
                <w:sz w:val="21"/>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项目审批（核准/备案）部门（选填）</w:t>
            </w:r>
          </w:p>
        </w:tc>
        <w:tc>
          <w:tcPr>
            <w:tcW w:w="23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唐山高新技术产业开发区行政审批局</w:t>
            </w:r>
          </w:p>
        </w:tc>
        <w:tc>
          <w:tcPr>
            <w:tcW w:w="206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项目审批（核准/</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备案）文号（选填）</w:t>
            </w:r>
          </w:p>
        </w:tc>
        <w:tc>
          <w:tcPr>
            <w:tcW w:w="278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唐高备字[2022]70号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总投资（万元）</w:t>
            </w:r>
          </w:p>
        </w:tc>
        <w:tc>
          <w:tcPr>
            <w:tcW w:w="23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2000</w:t>
            </w:r>
          </w:p>
        </w:tc>
        <w:tc>
          <w:tcPr>
            <w:tcW w:w="2066"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环保投资（万元）</w:t>
            </w:r>
          </w:p>
        </w:tc>
        <w:tc>
          <w:tcPr>
            <w:tcW w:w="278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环保投资占比（%）</w:t>
            </w:r>
          </w:p>
        </w:tc>
        <w:tc>
          <w:tcPr>
            <w:tcW w:w="23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4.0</w:t>
            </w:r>
            <w:r>
              <w:rPr>
                <w:rFonts w:hint="default" w:ascii="Times New Roman" w:hAnsi="Times New Roman" w:eastAsia="宋体" w:cs="Times New Roman"/>
                <w:color w:val="auto"/>
                <w:sz w:val="21"/>
                <w:szCs w:val="21"/>
                <w:highlight w:val="none"/>
              </w:rPr>
              <w:t>%</w:t>
            </w:r>
          </w:p>
        </w:tc>
        <w:tc>
          <w:tcPr>
            <w:tcW w:w="2066"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施工工期</w:t>
            </w:r>
          </w:p>
        </w:tc>
        <w:tc>
          <w:tcPr>
            <w:tcW w:w="278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w:t>
            </w:r>
            <w:r>
              <w:rPr>
                <w:rFonts w:hint="default" w:ascii="Times New Roman" w:hAnsi="Times New Roman" w:eastAsia="宋体" w:cs="Times New Roman"/>
                <w:color w:val="auto"/>
                <w:sz w:val="21"/>
                <w:szCs w:val="21"/>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1719"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是否开工建设</w:t>
            </w:r>
          </w:p>
        </w:tc>
        <w:tc>
          <w:tcPr>
            <w:tcW w:w="2300" w:type="dxa"/>
            <w:noWrap w:val="0"/>
            <w:vAlign w:val="center"/>
          </w:tcPr>
          <w:p>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否</w:t>
            </w:r>
          </w:p>
          <w:p>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是：</w:t>
            </w:r>
            <w:r>
              <w:rPr>
                <w:rFonts w:hint="default" w:ascii="Times New Roman" w:hAnsi="Times New Roman" w:eastAsia="宋体" w:cs="Times New Roman"/>
                <w:color w:val="auto"/>
                <w:sz w:val="21"/>
                <w:szCs w:val="21"/>
                <w:u w:val="single"/>
              </w:rPr>
              <w:t xml:space="preserve">             </w:t>
            </w:r>
          </w:p>
        </w:tc>
        <w:tc>
          <w:tcPr>
            <w:tcW w:w="2066" w:type="dxa"/>
            <w:noWrap w:val="0"/>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用地（用海）</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面积（m</w:t>
            </w:r>
            <w:r>
              <w:rPr>
                <w:rFonts w:hint="default" w:ascii="Times New Roman" w:hAnsi="Times New Roman" w:eastAsia="宋体" w:cs="Times New Roman"/>
                <w:color w:val="auto"/>
                <w:spacing w:val="-6"/>
                <w:sz w:val="21"/>
                <w:szCs w:val="21"/>
                <w:vertAlign w:val="superscript"/>
              </w:rPr>
              <w:t>2</w:t>
            </w:r>
            <w:r>
              <w:rPr>
                <w:rFonts w:hint="default" w:ascii="Times New Roman" w:hAnsi="Times New Roman" w:eastAsia="宋体" w:cs="Times New Roman"/>
                <w:color w:val="auto"/>
                <w:spacing w:val="-6"/>
                <w:sz w:val="21"/>
                <w:szCs w:val="21"/>
              </w:rPr>
              <w:t>）</w:t>
            </w:r>
          </w:p>
        </w:tc>
        <w:tc>
          <w:tcPr>
            <w:tcW w:w="278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利用现有厂房，</w:t>
            </w:r>
            <w:r>
              <w:rPr>
                <w:rFonts w:hint="default" w:ascii="Times New Roman" w:hAnsi="Times New Roman" w:eastAsia="宋体" w:cs="Times New Roman"/>
                <w:color w:val="auto"/>
                <w:sz w:val="21"/>
                <w:szCs w:val="21"/>
                <w:lang w:val="en-US" w:eastAsia="zh-CN"/>
              </w:rPr>
              <w:t>无</w:t>
            </w:r>
            <w:r>
              <w:rPr>
                <w:rFonts w:hint="eastAsia" w:cs="Times New Roman"/>
                <w:color w:val="auto"/>
                <w:sz w:val="21"/>
                <w:szCs w:val="21"/>
                <w:lang w:val="en-US" w:eastAsia="zh-CN"/>
              </w:rPr>
              <w:t>新增用地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719" w:type="dxa"/>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专项评价设置情况</w:t>
            </w:r>
          </w:p>
        </w:tc>
        <w:tc>
          <w:tcPr>
            <w:tcW w:w="7151" w:type="dxa"/>
            <w:gridSpan w:val="3"/>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sz w:val="21"/>
                <w:szCs w:val="21"/>
                <w:lang w:val="en-US" w:eastAsia="zh-CN"/>
              </w:rPr>
            </w:pPr>
            <w:r>
              <w:rPr>
                <w:rFonts w:hint="eastAsia"/>
                <w:color w:val="auto"/>
                <w:sz w:val="21"/>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19" w:type="dxa"/>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规划情况</w:t>
            </w:r>
          </w:p>
        </w:tc>
        <w:tc>
          <w:tcPr>
            <w:tcW w:w="7151" w:type="dxa"/>
            <w:gridSpan w:val="3"/>
            <w:noWrap w:val="0"/>
            <w:vAlign w:val="center"/>
          </w:tcPr>
          <w:p>
            <w:pPr>
              <w:keepNext w:val="0"/>
              <w:keepLines w:val="0"/>
              <w:suppressLineNumbers w:val="0"/>
              <w:autoSpaceDE w:val="0"/>
              <w:autoSpaceDN w:val="0"/>
              <w:adjustRightInd w:val="0"/>
              <w:snapToGrid w:val="0"/>
              <w:spacing w:before="0" w:beforeAutospacing="0" w:after="0" w:afterAutospacing="0"/>
              <w:ind w:left="0" w:right="0"/>
              <w:jc w:val="both"/>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《唐山市高新技术开发区总体规划》</w:t>
            </w:r>
            <w:r>
              <w:rPr>
                <w:rFonts w:hint="default" w:ascii="Times New Roman" w:hAnsi="Times New Roman" w:eastAsia="宋体" w:cs="Times New Roman"/>
                <w:color w:val="auto"/>
                <w:kern w:val="0"/>
                <w:sz w:val="21"/>
                <w:szCs w:val="21"/>
                <w:highlight w:val="none"/>
                <w:lang w:val="en-US" w:eastAsia="zh-CN"/>
              </w:rPr>
              <w:t>已于</w:t>
            </w:r>
            <w:r>
              <w:rPr>
                <w:rFonts w:hint="eastAsia" w:cs="Times New Roman"/>
                <w:color w:val="auto"/>
                <w:kern w:val="0"/>
                <w:sz w:val="21"/>
                <w:szCs w:val="21"/>
                <w:highlight w:val="none"/>
                <w:lang w:val="en-US" w:eastAsia="zh-CN"/>
              </w:rPr>
              <w:t>1992</w:t>
            </w:r>
            <w:r>
              <w:rPr>
                <w:rFonts w:hint="default" w:ascii="Times New Roman" w:hAnsi="Times New Roman" w:eastAsia="宋体" w:cs="Times New Roman"/>
                <w:color w:val="auto"/>
                <w:kern w:val="0"/>
                <w:sz w:val="21"/>
                <w:szCs w:val="21"/>
                <w:highlight w:val="none"/>
                <w:lang w:val="en-US" w:eastAsia="zh-CN"/>
              </w:rPr>
              <w:t>年9月</w:t>
            </w:r>
            <w:r>
              <w:rPr>
                <w:rFonts w:hint="eastAsia" w:cs="Times New Roman"/>
                <w:color w:val="auto"/>
                <w:kern w:val="0"/>
                <w:sz w:val="21"/>
                <w:szCs w:val="21"/>
                <w:highlight w:val="none"/>
                <w:lang w:val="en-US" w:eastAsia="zh-CN"/>
              </w:rPr>
              <w:t>7</w:t>
            </w:r>
            <w:r>
              <w:rPr>
                <w:rFonts w:hint="default" w:ascii="Times New Roman" w:hAnsi="Times New Roman" w:eastAsia="宋体" w:cs="Times New Roman"/>
                <w:color w:val="auto"/>
                <w:kern w:val="0"/>
                <w:sz w:val="21"/>
                <w:szCs w:val="21"/>
                <w:highlight w:val="none"/>
                <w:lang w:val="en-US" w:eastAsia="zh-CN"/>
              </w:rPr>
              <w:t>日通过唐山市人民政府的批复</w:t>
            </w:r>
            <w:r>
              <w:rPr>
                <w:rFonts w:hint="eastAsia" w:cs="Times New Roman"/>
                <w:color w:val="auto"/>
                <w:kern w:val="0"/>
                <w:sz w:val="21"/>
                <w:szCs w:val="21"/>
                <w:highlight w:val="none"/>
                <w:lang w:val="en-US" w:eastAsia="zh-CN"/>
              </w:rPr>
              <w:t>（唐山市人民政府[1992]120号）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1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规划环境影响评价情况</w:t>
            </w:r>
          </w:p>
        </w:tc>
        <w:tc>
          <w:tcPr>
            <w:tcW w:w="7151" w:type="dxa"/>
            <w:gridSpan w:val="3"/>
            <w:noWrap w:val="0"/>
            <w:vAlign w:val="center"/>
          </w:tcPr>
          <w:p>
            <w:pPr>
              <w:keepNext w:val="0"/>
              <w:keepLines w:val="0"/>
              <w:suppressLineNumbers w:val="0"/>
              <w:autoSpaceDE w:val="0"/>
              <w:autoSpaceDN w:val="0"/>
              <w:adjustRightInd w:val="0"/>
              <w:snapToGrid w:val="0"/>
              <w:spacing w:before="0" w:beforeAutospacing="0" w:after="0" w:afterAutospacing="0"/>
              <w:ind w:left="0" w:right="0"/>
              <w:jc w:val="both"/>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rPr>
              <w:t>《唐山市高新技术开发区环境影响报告书》已于2000年6月取得了原河北省环境保护厅的审批意见（冀环管[2000]256号）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719" w:type="dxa"/>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规划及规划环境影响评价符合性分析</w:t>
            </w:r>
          </w:p>
        </w:tc>
        <w:tc>
          <w:tcPr>
            <w:tcW w:w="7151" w:type="dxa"/>
            <w:gridSpan w:val="3"/>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Times New Roman"/>
                <w:color w:val="auto"/>
                <w:kern w:val="0"/>
                <w:sz w:val="21"/>
                <w:szCs w:val="21"/>
                <w:highlight w:val="none"/>
                <w:lang w:val="en-US" w:eastAsia="zh-CN"/>
              </w:rPr>
            </w:pPr>
          </w:p>
          <w:p>
            <w:pPr>
              <w:keepNext w:val="0"/>
              <w:keepLines w:val="0"/>
              <w:suppressLineNumbers w:val="0"/>
              <w:autoSpaceDE w:val="0"/>
              <w:autoSpaceDN w:val="0"/>
              <w:adjustRightInd w:val="0"/>
              <w:snapToGrid w:val="0"/>
              <w:spacing w:before="0" w:beforeAutospacing="0" w:after="0" w:afterAutospacing="0"/>
              <w:ind w:left="0" w:right="0"/>
              <w:jc w:val="both"/>
              <w:rPr>
                <w:rFonts w:hint="eastAsia" w:cs="Times New Roman"/>
                <w:color w:val="auto"/>
                <w:kern w:val="0"/>
                <w:sz w:val="21"/>
                <w:szCs w:val="21"/>
                <w:highlight w:val="none"/>
                <w:lang w:val="en-US" w:eastAsia="zh-CN"/>
              </w:rPr>
            </w:pPr>
            <w:r>
              <w:rPr>
                <w:rFonts w:hint="default" w:cs="Times New Roman"/>
                <w:color w:val="auto"/>
                <w:kern w:val="0"/>
                <w:sz w:val="21"/>
                <w:szCs w:val="21"/>
                <w:highlight w:val="none"/>
                <w:lang w:val="en-US" w:eastAsia="zh-CN"/>
              </w:rPr>
              <w:t>本项目</w:t>
            </w:r>
            <w:r>
              <w:rPr>
                <w:rFonts w:hint="eastAsia" w:cs="Times New Roman"/>
                <w:color w:val="auto"/>
                <w:kern w:val="0"/>
                <w:sz w:val="21"/>
                <w:szCs w:val="21"/>
                <w:highlight w:val="none"/>
                <w:lang w:val="en-US" w:eastAsia="zh-CN"/>
              </w:rPr>
              <w:t>属于技改升级项目，本项目</w:t>
            </w:r>
            <w:r>
              <w:rPr>
                <w:rFonts w:hint="default" w:cs="Times New Roman"/>
                <w:color w:val="auto"/>
                <w:kern w:val="0"/>
                <w:sz w:val="21"/>
                <w:szCs w:val="21"/>
                <w:highlight w:val="none"/>
                <w:lang w:val="en-US" w:eastAsia="zh-CN"/>
              </w:rPr>
              <w:t>在高新区规划范围内</w:t>
            </w:r>
            <w:r>
              <w:rPr>
                <w:rFonts w:hint="eastAsia" w:cs="Times New Roman"/>
                <w:color w:val="auto"/>
                <w:kern w:val="0"/>
                <w:sz w:val="21"/>
                <w:szCs w:val="21"/>
                <w:highlight w:val="none"/>
                <w:lang w:val="en-US" w:eastAsia="zh-CN"/>
              </w:rPr>
              <w:t>，高新区规划环评于2000年6月取得了原河北省环境保护厅的审批意见（冀环管[2000]256号），本项目</w:t>
            </w:r>
            <w:r>
              <w:rPr>
                <w:rFonts w:hint="default" w:cs="Times New Roman"/>
                <w:color w:val="auto"/>
                <w:kern w:val="0"/>
                <w:sz w:val="21"/>
                <w:szCs w:val="21"/>
                <w:highlight w:val="none"/>
                <w:lang w:val="en-US" w:eastAsia="zh-CN"/>
              </w:rPr>
              <w:t>所建设内容符合高新区的规划内容，符合《唐山市高新技术开发区环境影响报告书》中的相关规定</w:t>
            </w:r>
            <w:r>
              <w:rPr>
                <w:rFonts w:hint="eastAsia" w:cs="Times New Roman"/>
                <w:color w:val="auto"/>
                <w:kern w:val="0"/>
                <w:sz w:val="21"/>
                <w:szCs w:val="21"/>
                <w:highlight w:val="none"/>
                <w:lang w:val="en-US" w:eastAsia="zh-CN"/>
              </w:rPr>
              <w:t>。</w:t>
            </w:r>
          </w:p>
          <w:p>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19" w:type="dxa"/>
            <w:noWrap w:val="0"/>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其他符合性分析</w:t>
            </w:r>
          </w:p>
        </w:tc>
        <w:tc>
          <w:tcPr>
            <w:tcW w:w="7151" w:type="dxa"/>
            <w:gridSpan w:val="3"/>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1、三线一单符合性分析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根据</w:t>
            </w:r>
            <w:r>
              <w:rPr>
                <w:rFonts w:hint="default" w:ascii="Times New Roman" w:hAnsi="Times New Roman" w:eastAsia="宋体" w:cs="Times New Roman"/>
                <w:color w:val="auto"/>
                <w:sz w:val="21"/>
                <w:szCs w:val="21"/>
                <w:highlight w:val="none"/>
              </w:rPr>
              <w:t>《关于以改善环境质量为核心加强环境影响评价管理的通知》（环评[2016]150号）的符合性分析，要求以生态保护红线、环境质量底线、资源利用上线和环境准入负面清单（</w:t>
            </w:r>
            <w:r>
              <w:rPr>
                <w:rFonts w:hint="eastAsia" w:ascii="宋体" w:hAnsi="宋体" w:eastAsia="宋体" w:cs="宋体"/>
                <w:color w:val="auto"/>
                <w:sz w:val="21"/>
                <w:szCs w:val="21"/>
                <w:highlight w:val="none"/>
              </w:rPr>
              <w:t>以下简称“三线一单”）</w:t>
            </w:r>
            <w:r>
              <w:rPr>
                <w:rFonts w:hint="default" w:ascii="Times New Roman" w:hAnsi="Times New Roman" w:eastAsia="宋体" w:cs="Times New Roman"/>
                <w:color w:val="auto"/>
                <w:sz w:val="21"/>
                <w:szCs w:val="21"/>
                <w:highlight w:val="none"/>
              </w:rPr>
              <w:t>为手段，强化空间、总量和准入环境管理。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为适应以改善环境质量为核心的环境管理要求，切实加强环境影响评价（以下简称环评）管理，落</w:t>
            </w:r>
            <w:r>
              <w:rPr>
                <w:rFonts w:hint="eastAsia" w:ascii="宋体" w:hAnsi="宋体" w:eastAsia="宋体" w:cs="宋体"/>
                <w:color w:val="auto"/>
                <w:sz w:val="21"/>
                <w:szCs w:val="21"/>
                <w:highlight w:val="none"/>
              </w:rPr>
              <w:t>实“生态保护红线、环境质量底线、资源利用上线和环境准入负面清单”（以下简称“三线一单”</w:t>
            </w:r>
            <w:r>
              <w:rPr>
                <w:rFonts w:hint="default" w:ascii="Times New Roman" w:hAnsi="Times New Roman" w:eastAsia="宋体" w:cs="Times New Roman"/>
                <w:color w:val="auto"/>
                <w:sz w:val="21"/>
                <w:szCs w:val="21"/>
                <w:highlight w:val="none"/>
              </w:rPr>
              <w:t>）约束，建立项目环评审批与规划环评、现有项目环境管理、区域环境质量联动机制（以下简称“三挂钩”机制），更好地发挥环评制度从源头防范环境污染和生态破坏的作用，加快推进改善环境质量</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zh-TW"/>
              </w:rPr>
              <w:t>本项目</w:t>
            </w:r>
            <w:r>
              <w:rPr>
                <w:rFonts w:hint="default" w:ascii="Times New Roman" w:hAnsi="Times New Roman" w:eastAsia="宋体" w:cs="Times New Roman"/>
                <w:color w:val="auto"/>
                <w:sz w:val="21"/>
                <w:szCs w:val="21"/>
                <w:highlight w:val="none"/>
              </w:rPr>
              <w:t>建设与</w:t>
            </w:r>
            <w:r>
              <w:rPr>
                <w:rFonts w:hint="default" w:ascii="Times New Roman" w:hAnsi="Times New Roman" w:eastAsia="宋体" w:cs="Times New Roman"/>
                <w:color w:val="auto"/>
                <w:sz w:val="21"/>
                <w:szCs w:val="21"/>
                <w:highlight w:val="none"/>
                <w:lang w:val="zh-TW"/>
              </w:rPr>
              <w:t>上述要求的</w:t>
            </w:r>
            <w:r>
              <w:rPr>
                <w:rFonts w:hint="default" w:ascii="Times New Roman" w:hAnsi="Times New Roman" w:eastAsia="宋体" w:cs="Times New Roman"/>
                <w:color w:val="auto"/>
                <w:sz w:val="21"/>
                <w:szCs w:val="21"/>
                <w:highlight w:val="none"/>
              </w:rPr>
              <w:t>符合性</w:t>
            </w:r>
            <w:r>
              <w:rPr>
                <w:rFonts w:hint="default" w:ascii="Times New Roman" w:hAnsi="Times New Roman" w:eastAsia="宋体" w:cs="Times New Roman"/>
                <w:color w:val="auto"/>
                <w:sz w:val="21"/>
                <w:szCs w:val="21"/>
                <w:highlight w:val="none"/>
                <w:lang w:val="zh-TW"/>
              </w:rPr>
              <w:t>分析如下</w:t>
            </w:r>
            <w:r>
              <w:rPr>
                <w:rFonts w:hint="eastAsia" w:eastAsia="宋体" w:cs="Times New Roman"/>
                <w:color w:val="auto"/>
                <w:sz w:val="21"/>
                <w:szCs w:val="21"/>
                <w:highlight w:val="none"/>
                <w:lang w:val="en-US" w:eastAsia="zh-CN"/>
              </w:rPr>
              <w:t>表</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cs="Times New Roman"/>
                <w:b w:val="0"/>
                <w:bCs w:val="0"/>
                <w:color w:val="auto"/>
                <w:sz w:val="21"/>
                <w:szCs w:val="21"/>
                <w:highlight w:val="none"/>
                <w:lang w:val="en-US" w:eastAsia="zh-CN"/>
              </w:rPr>
              <w:t>本项目与“三线一单”</w:t>
            </w:r>
            <w:r>
              <w:rPr>
                <w:rFonts w:hint="eastAsia" w:ascii="Times New Roman" w:hAnsi="Times New Roman" w:eastAsia="宋体" w:cs="Times New Roman"/>
                <w:b w:val="0"/>
                <w:bCs w:val="0"/>
                <w:color w:val="auto"/>
                <w:sz w:val="21"/>
                <w:szCs w:val="21"/>
                <w:highlight w:val="none"/>
                <w:lang w:val="en-US" w:eastAsia="zh-CN"/>
              </w:rPr>
              <w:t>符合性分析</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3191"/>
              <w:gridCol w:w="2317"/>
              <w:gridCol w:w="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3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目标</w:t>
                  </w:r>
                </w:p>
              </w:tc>
              <w:tc>
                <w:tcPr>
                  <w:tcW w:w="230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“三线一单”要求</w:t>
                  </w:r>
                </w:p>
              </w:tc>
              <w:tc>
                <w:tcPr>
                  <w:tcW w:w="1673"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本项目符合性分析</w:t>
                  </w:r>
                </w:p>
              </w:tc>
              <w:tc>
                <w:tcPr>
                  <w:tcW w:w="387"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63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生态保护红线</w:t>
                  </w:r>
                </w:p>
              </w:tc>
              <w:tc>
                <w:tcPr>
                  <w:tcW w:w="230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生态保护红线清单要求：保证生态功能的系统性和完整性，做到应划尽划、应保尽保。重要生态功能区域生态功能不降低、面积不减少、性质不改变。</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根据2018年6月29日河北省发布的《河北省生态保护红线通知》，唐山市生态保护红线总面积1383.02km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剔除重叠面积）。红线区分布在开平区、古冶区、丰南区、丰润区、滦县、滦南县、乐亭县、玉田县、遵化市、迁西县、迁安市、曹妃甸区，包括重点生态功能区（主要为水源涵养、土壤保持、洪水调蓄和生物多样性保护区）、生态环境敏感脆弱区（主要为河湖滨岸带）、禁止开发区（自然保护区、饮用水水源保护区、森林公园、湿地公园、地质公园、水产种质资源保护区、风景名胜区）</w:t>
                  </w:r>
                </w:p>
              </w:tc>
              <w:tc>
                <w:tcPr>
                  <w:tcW w:w="1673"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为技改项目，不新增用地，厂区</w:t>
                  </w:r>
                  <w:r>
                    <w:rPr>
                      <w:rFonts w:hint="default" w:ascii="Times New Roman" w:hAnsi="Times New Roman" w:eastAsia="宋体" w:cs="Times New Roman"/>
                      <w:color w:val="auto"/>
                      <w:sz w:val="21"/>
                      <w:szCs w:val="21"/>
                      <w:highlight w:val="none"/>
                      <w:lang w:val="en-US" w:eastAsia="zh-CN"/>
                    </w:rPr>
                    <w:t>位于</w:t>
                  </w:r>
                  <w:r>
                    <w:rPr>
                      <w:rFonts w:hint="eastAsia" w:ascii="Times New Roman" w:hAnsi="Times New Roman" w:cs="Times New Roman"/>
                      <w:color w:val="auto"/>
                      <w:sz w:val="21"/>
                      <w:szCs w:val="21"/>
                      <w:highlight w:val="none"/>
                      <w:lang w:val="en-US" w:eastAsia="zh-CN"/>
                    </w:rPr>
                    <w:t>唐山市高新区学院北路1700号，中冶重工（唐山）有限公司</w:t>
                  </w:r>
                  <w:r>
                    <w:rPr>
                      <w:rFonts w:hint="eastAsia" w:ascii="Times New Roman" w:hAnsi="Times New Roman" w:eastAsia="宋体" w:cs="Times New Roman"/>
                      <w:color w:val="auto"/>
                      <w:sz w:val="21"/>
                      <w:szCs w:val="21"/>
                      <w:highlight w:val="none"/>
                      <w:lang w:val="en-US" w:eastAsia="zh-CN"/>
                    </w:rPr>
                    <w:t>院内</w:t>
                  </w:r>
                  <w:r>
                    <w:rPr>
                      <w:rFonts w:hint="default" w:ascii="Times New Roman" w:hAnsi="Times New Roman" w:eastAsia="宋体" w:cs="Times New Roman"/>
                      <w:color w:val="auto"/>
                      <w:sz w:val="21"/>
                      <w:szCs w:val="21"/>
                      <w:highlight w:val="none"/>
                      <w:lang w:val="en-US" w:eastAsia="zh-CN"/>
                    </w:rPr>
                    <w:t>，项目选址不在上述生态保护红线内。</w:t>
                  </w:r>
                  <w:r>
                    <w:rPr>
                      <w:rFonts w:hint="eastAsia" w:ascii="Times New Roman" w:hAnsi="Times New Roman" w:eastAsia="宋体" w:cs="Times New Roman"/>
                      <w:color w:val="auto"/>
                      <w:sz w:val="21"/>
                      <w:szCs w:val="21"/>
                      <w:highlight w:val="none"/>
                      <w:lang w:val="en-US" w:eastAsia="zh-CN"/>
                    </w:rPr>
                    <w:t>本项目无新增占地</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不会降低</w:t>
                  </w:r>
                  <w:r>
                    <w:rPr>
                      <w:rFonts w:hint="default" w:ascii="Times New Roman" w:hAnsi="Times New Roman" w:eastAsia="宋体" w:cs="Times New Roman"/>
                      <w:color w:val="auto"/>
                      <w:sz w:val="21"/>
                      <w:szCs w:val="21"/>
                      <w:highlight w:val="none"/>
                      <w:lang w:val="en-US" w:eastAsia="zh-CN"/>
                    </w:rPr>
                    <w:t>区域生态功能</w:t>
                  </w:r>
                  <w:r>
                    <w:rPr>
                      <w:rFonts w:hint="eastAsia" w:ascii="Times New Roman" w:hAnsi="Times New Roman" w:eastAsia="宋体" w:cs="Times New Roman"/>
                      <w:color w:val="auto"/>
                      <w:sz w:val="21"/>
                      <w:szCs w:val="21"/>
                      <w:highlight w:val="none"/>
                      <w:lang w:val="en-US" w:eastAsia="zh-CN"/>
                    </w:rPr>
                    <w:t>，不减少其</w:t>
                  </w:r>
                  <w:r>
                    <w:rPr>
                      <w:rFonts w:hint="default" w:ascii="Times New Roman" w:hAnsi="Times New Roman" w:eastAsia="宋体" w:cs="Times New Roman"/>
                      <w:color w:val="auto"/>
                      <w:sz w:val="21"/>
                      <w:szCs w:val="21"/>
                      <w:highlight w:val="none"/>
                      <w:lang w:val="en-US" w:eastAsia="zh-CN"/>
                    </w:rPr>
                    <w:t>面积</w:t>
                  </w:r>
                  <w:r>
                    <w:rPr>
                      <w:rFonts w:hint="eastAsia" w:ascii="Times New Roman" w:hAnsi="Times New Roman" w:eastAsia="宋体" w:cs="Times New Roman"/>
                      <w:color w:val="auto"/>
                      <w:sz w:val="21"/>
                      <w:szCs w:val="21"/>
                      <w:highlight w:val="none"/>
                      <w:lang w:val="en-US" w:eastAsia="zh-CN"/>
                    </w:rPr>
                    <w:t>，不改变其</w:t>
                  </w:r>
                  <w:r>
                    <w:rPr>
                      <w:rFonts w:hint="default" w:ascii="Times New Roman" w:hAnsi="Times New Roman" w:eastAsia="宋体" w:cs="Times New Roman"/>
                      <w:color w:val="auto"/>
                      <w:sz w:val="21"/>
                      <w:szCs w:val="21"/>
                      <w:highlight w:val="none"/>
                      <w:lang w:val="en-US" w:eastAsia="zh-CN"/>
                    </w:rPr>
                    <w:t>性质。因此，项目符合生态保护红线要求</w:t>
                  </w:r>
                  <w:r>
                    <w:rPr>
                      <w:rFonts w:hint="eastAsia" w:ascii="Times New Roman" w:hAnsi="Times New Roman" w:cs="Times New Roman"/>
                      <w:color w:val="auto"/>
                      <w:sz w:val="21"/>
                      <w:szCs w:val="21"/>
                      <w:highlight w:val="none"/>
                      <w:lang w:val="en-US" w:eastAsia="zh-CN"/>
                    </w:rPr>
                    <w:t>。</w:t>
                  </w:r>
                </w:p>
              </w:tc>
              <w:tc>
                <w:tcPr>
                  <w:tcW w:w="387"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环境质量底线</w:t>
                  </w:r>
                </w:p>
              </w:tc>
              <w:tc>
                <w:tcPr>
                  <w:tcW w:w="230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本项目所在区域的环境质量底线为：环境空气质量目标为《环境空气质量标准》(GB3095-2012)二级；地下水质量标准为《地下水质量标准》（GB/T14848-2017）III类；声环境质量目标为《声环境质量标准》（GB3096-2008）</w:t>
                  </w:r>
                  <w:r>
                    <w:rPr>
                      <w:rFonts w:hint="eastAsia" w:ascii="Times New Roman" w:hAnsi="Times New Roman" w:eastAsia="宋体" w:cs="Times New Roman"/>
                      <w:color w:val="auto"/>
                      <w:sz w:val="21"/>
                      <w:szCs w:val="21"/>
                      <w:highlight w:val="none"/>
                      <w:lang w:val="en-US" w:eastAsia="zh-CN"/>
                    </w:rPr>
                    <w:t>2类</w:t>
                  </w:r>
                  <w:r>
                    <w:rPr>
                      <w:rFonts w:hint="default" w:ascii="Times New Roman" w:hAnsi="Times New Roman" w:eastAsia="宋体" w:cs="Times New Roman"/>
                      <w:color w:val="auto"/>
                      <w:sz w:val="21"/>
                      <w:szCs w:val="21"/>
                      <w:highlight w:val="none"/>
                      <w:lang w:val="en-US" w:eastAsia="zh-CN"/>
                    </w:rPr>
                    <w:t>区标准。</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项目区域大气环境为二类区，SO</w:t>
                  </w:r>
                  <w:r>
                    <w:rPr>
                      <w:rFonts w:hint="default" w:ascii="Times New Roman" w:hAnsi="Times New Roman" w:eastAsia="宋体"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、NO</w:t>
                  </w:r>
                  <w:r>
                    <w:rPr>
                      <w:rFonts w:hint="default" w:ascii="Times New Roman" w:hAnsi="Times New Roman" w:eastAsia="宋体" w:cs="Times New Roman"/>
                      <w:color w:val="auto"/>
                      <w:sz w:val="21"/>
                      <w:szCs w:val="21"/>
                      <w:highlight w:val="none"/>
                      <w:vertAlign w:val="subscript"/>
                      <w:lang w:val="en-US" w:eastAsia="zh-CN"/>
                    </w:rPr>
                    <w:t>2</w:t>
                  </w:r>
                  <w:r>
                    <w:rPr>
                      <w:rFonts w:hint="default" w:ascii="Times New Roman" w:hAnsi="Times New Roman" w:eastAsia="宋体" w:cs="Times New Roman"/>
                      <w:color w:val="auto"/>
                      <w:sz w:val="21"/>
                      <w:szCs w:val="21"/>
                      <w:highlight w:val="none"/>
                      <w:lang w:val="en-US" w:eastAsia="zh-CN"/>
                    </w:rPr>
                    <w:t>的年平均质量浓度达标，CO的第95百分位数24h平均浓度和O</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的第90百分位数8h平均浓度达标，PM</w:t>
                  </w:r>
                  <w:r>
                    <w:rPr>
                      <w:rFonts w:hint="default" w:ascii="Times New Roman" w:hAnsi="Times New Roman" w:eastAsia="宋体" w:cs="Times New Roman"/>
                      <w:color w:val="auto"/>
                      <w:sz w:val="21"/>
                      <w:szCs w:val="21"/>
                      <w:highlight w:val="none"/>
                      <w:vertAlign w:val="subscript"/>
                      <w:lang w:val="en-US" w:eastAsia="zh-CN"/>
                    </w:rPr>
                    <w:t>2.5</w:t>
                  </w:r>
                  <w:r>
                    <w:rPr>
                      <w:rFonts w:hint="default" w:ascii="Times New Roman" w:hAnsi="Times New Roman" w:eastAsia="宋体" w:cs="Times New Roman"/>
                      <w:color w:val="auto"/>
                      <w:sz w:val="21"/>
                      <w:szCs w:val="21"/>
                      <w:highlight w:val="none"/>
                      <w:lang w:val="en-US" w:eastAsia="zh-CN"/>
                    </w:rPr>
                    <w:t>、PM</w:t>
                  </w:r>
                  <w:r>
                    <w:rPr>
                      <w:rFonts w:hint="default" w:ascii="Times New Roman" w:hAnsi="Times New Roman" w:eastAsia="宋体" w:cs="Times New Roman"/>
                      <w:color w:val="auto"/>
                      <w:sz w:val="21"/>
                      <w:szCs w:val="21"/>
                      <w:highlight w:val="none"/>
                      <w:vertAlign w:val="subscript"/>
                      <w:lang w:val="en-US" w:eastAsia="zh-CN"/>
                    </w:rPr>
                    <w:t>10</w:t>
                  </w:r>
                  <w:r>
                    <w:rPr>
                      <w:rFonts w:hint="default" w:ascii="Times New Roman" w:hAnsi="Times New Roman" w:eastAsia="宋体" w:cs="Times New Roman"/>
                      <w:color w:val="auto"/>
                      <w:sz w:val="21"/>
                      <w:szCs w:val="21"/>
                      <w:highlight w:val="none"/>
                      <w:lang w:val="en-US" w:eastAsia="zh-CN"/>
                    </w:rPr>
                    <w:t>的年平均质量浓度不达标，不满足《环境空气质量标准》(GB3095-2012)二级标准及其修改单</w:t>
                  </w:r>
                </w:p>
              </w:tc>
              <w:tc>
                <w:tcPr>
                  <w:tcW w:w="1673"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项目各产污环节采取了完善的污染防治措施，严格控制污染物排放。本项目采取完善的污染源处理措施，各类污染物均能够实现达标排放</w:t>
                  </w:r>
                  <w:r>
                    <w:rPr>
                      <w:rFonts w:hint="eastAsia" w:ascii="Times New Roman" w:hAnsi="Times New Roman" w:eastAsia="宋体" w:cs="Times New Roman"/>
                      <w:color w:val="auto"/>
                      <w:sz w:val="21"/>
                      <w:szCs w:val="21"/>
                      <w:highlight w:val="none"/>
                      <w:lang w:val="en-US" w:eastAsia="zh-CN"/>
                    </w:rPr>
                    <w:t>，在严格落实废气、废水、噪声、固废等污染防治措施前提下，项目的实施不会对周围环境产生明显影响，不会改变区域的环境质量功能类别</w:t>
                  </w:r>
                  <w:r>
                    <w:rPr>
                      <w:rFonts w:hint="default" w:ascii="Times New Roman" w:hAnsi="Times New Roman" w:eastAsia="宋体" w:cs="Times New Roman"/>
                      <w:color w:val="auto"/>
                      <w:sz w:val="21"/>
                      <w:szCs w:val="21"/>
                      <w:highlight w:val="none"/>
                      <w:lang w:val="en-US" w:eastAsia="zh-CN"/>
                    </w:rPr>
                    <w:t>。</w:t>
                  </w:r>
                </w:p>
              </w:tc>
              <w:tc>
                <w:tcPr>
                  <w:tcW w:w="387"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资源利用上线</w:t>
                  </w:r>
                </w:p>
              </w:tc>
              <w:tc>
                <w:tcPr>
                  <w:tcW w:w="230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资源利用上线要求：以保障生态安全、改善环境质量为核心，合理确定全市资源利用上线目标，实现水资源与水环境、能源与大气环境、岸线与海洋环境的协同管控。到2035年，广泛形成绿色生产生活方式，生态环境根本好转，建成天蓝、水碧、土净的美丽唐山。</w:t>
                  </w:r>
                </w:p>
              </w:tc>
              <w:tc>
                <w:tcPr>
                  <w:tcW w:w="1673"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本项目消耗的资源为水和电，用水来自中心城区供水管网，用电为本地电网，能源消耗量相对于区域资源利用量较小。本项目</w:t>
                  </w:r>
                  <w:r>
                    <w:rPr>
                      <w:rFonts w:hint="eastAsia" w:ascii="Times New Roman" w:hAnsi="Times New Roman" w:eastAsia="宋体" w:cs="Times New Roman"/>
                      <w:color w:val="auto"/>
                      <w:sz w:val="21"/>
                      <w:szCs w:val="21"/>
                      <w:highlight w:val="none"/>
                      <w:lang w:val="en-US" w:eastAsia="zh-CN"/>
                    </w:rPr>
                    <w:t>不新增占地</w:t>
                  </w:r>
                  <w:r>
                    <w:rPr>
                      <w:rFonts w:hint="default" w:ascii="Times New Roman" w:hAnsi="Times New Roman" w:eastAsia="宋体" w:cs="Times New Roman"/>
                      <w:color w:val="auto"/>
                      <w:sz w:val="21"/>
                      <w:szCs w:val="21"/>
                      <w:highlight w:val="none"/>
                      <w:lang w:val="en-US" w:eastAsia="zh-CN"/>
                    </w:rPr>
                    <w:t>，不涉及自然资源开发，因此本项目建设不会与资源利用发生冲突，符合资源利用上线要求。</w:t>
                  </w:r>
                </w:p>
              </w:tc>
              <w:tc>
                <w:tcPr>
                  <w:tcW w:w="387"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环境准入负面清单</w:t>
                  </w:r>
                </w:p>
              </w:tc>
              <w:tc>
                <w:tcPr>
                  <w:tcW w:w="2304"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不属于《产业结构调整指导目录(2011 年本）（2013 修正）禁止或限制类工程，属于鼓励建设类工程；不属于《河北省人民政府办公厅关于印发河北省新增限制和淘汰类产业目录的通知》（冀</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政办发[2015]7 号）中所规定的禁止和限制建设的工程。</w:t>
                  </w:r>
                </w:p>
              </w:tc>
              <w:tc>
                <w:tcPr>
                  <w:tcW w:w="1673"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本项目属于</w:t>
                  </w:r>
                  <w:r>
                    <w:rPr>
                      <w:rFonts w:hint="eastAsia" w:cs="Times New Roman"/>
                      <w:color w:val="auto"/>
                      <w:sz w:val="21"/>
                      <w:szCs w:val="21"/>
                      <w:highlight w:val="none"/>
                      <w:lang w:val="en-US" w:eastAsia="zh-CN"/>
                    </w:rPr>
                    <w:t>通用设备制造业业</w:t>
                  </w:r>
                  <w:r>
                    <w:rPr>
                      <w:rFonts w:hint="eastAsia" w:ascii="Times New Roman" w:hAnsi="Times New Roman" w:cs="Times New Roman"/>
                      <w:color w:val="auto"/>
                      <w:sz w:val="21"/>
                      <w:szCs w:val="21"/>
                      <w:highlight w:val="none"/>
                      <w:lang w:val="en-US" w:eastAsia="zh-CN"/>
                    </w:rPr>
                    <w:t>，不属于禁止类和限制类项目</w:t>
                  </w:r>
                </w:p>
              </w:tc>
              <w:tc>
                <w:tcPr>
                  <w:tcW w:w="387" w:type="pct"/>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bl>
          <w:p>
            <w:pPr>
              <w:pStyle w:val="10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根据《唐山市人民政府关于实施“三线一单”生态环境分区管控的意见》（唐政字[2021]48号），本项目位于唐山高新技术产业开发区，属于ZH13027320001重点管控单元</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本项目所在区域生态环境管控要求如下表。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 xml:space="preserve">2 </w:t>
            </w:r>
            <w:r>
              <w:rPr>
                <w:rFonts w:hint="eastAsia" w:eastAsia="宋体"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lang w:val="en-US" w:eastAsia="zh-CN"/>
              </w:rPr>
              <w:t>项目所在区域生态环境管控要求</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636"/>
              <w:gridCol w:w="10"/>
              <w:gridCol w:w="416"/>
              <w:gridCol w:w="2674"/>
              <w:gridCol w:w="1638"/>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三线一单</w:t>
                  </w:r>
                </w:p>
              </w:tc>
              <w:tc>
                <w:tcPr>
                  <w:tcW w:w="2630" w:type="pct"/>
                  <w:gridSpan w:val="4"/>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管控要求</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本项目建设情况</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restar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主要目标</w:t>
                  </w:r>
                </w:p>
              </w:tc>
              <w:tc>
                <w:tcPr>
                  <w:tcW w:w="33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生态保护红线</w:t>
                  </w:r>
                </w:p>
              </w:tc>
              <w:tc>
                <w:tcPr>
                  <w:tcW w:w="2297"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保证生态功能的系统性和完整性，做到应划尽划、应保尽保。重要生态功能区域生态功能不降低、面积不减少、性质不改变。</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本项目不在生态保护红线内</w:t>
                  </w:r>
                  <w:r>
                    <w:rPr>
                      <w:rFonts w:hint="eastAsia" w:ascii="Times New Roman" w:hAnsi="Times New Roman" w:eastAsia="宋体" w:cs="Times New Roman"/>
                      <w:color w:val="auto"/>
                      <w:sz w:val="21"/>
                      <w:szCs w:val="21"/>
                      <w:highlight w:val="none"/>
                      <w:lang w:val="en-US" w:eastAsia="zh-CN"/>
                    </w:rPr>
                    <w:t>。</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33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环境质量底线</w:t>
                  </w:r>
                </w:p>
              </w:tc>
              <w:tc>
                <w:tcPr>
                  <w:tcW w:w="2297"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到2025年，地表水国省考断面优良（Ⅲ类以上）比例、近岸海域优良海水比例稳定达标；PM</w:t>
                  </w:r>
                  <w:r>
                    <w:rPr>
                      <w:rFonts w:hint="default" w:ascii="Times New Roman" w:hAnsi="Times New Roman" w:eastAsia="宋体" w:cs="Times New Roman"/>
                      <w:color w:val="auto"/>
                      <w:sz w:val="21"/>
                      <w:szCs w:val="21"/>
                      <w:highlight w:val="none"/>
                      <w:vertAlign w:val="subscript"/>
                      <w:lang w:val="en-US" w:eastAsia="zh-CN"/>
                    </w:rPr>
                    <w:t>2.5</w:t>
                  </w:r>
                  <w:r>
                    <w:rPr>
                      <w:rFonts w:hint="default" w:ascii="Times New Roman" w:hAnsi="Times New Roman" w:eastAsia="宋体" w:cs="Times New Roman"/>
                      <w:color w:val="auto"/>
                      <w:sz w:val="21"/>
                      <w:szCs w:val="21"/>
                      <w:highlight w:val="none"/>
                      <w:lang w:val="en-US" w:eastAsia="zh-CN"/>
                    </w:rPr>
                    <w:t>年均浓度持续降低、优良天数比例稳步提升；受污染耕地安全利用率、污染地块安全利用率进一步提升。</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本项目产生的颗粒物经布袋除尘器处理后达标排放</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固化</w:t>
                  </w:r>
                  <w:r>
                    <w:rPr>
                      <w:rFonts w:hint="eastAsia" w:ascii="Times New Roman" w:hAnsi="Times New Roman" w:eastAsia="宋体" w:cs="Times New Roman"/>
                      <w:color w:val="auto"/>
                      <w:sz w:val="21"/>
                      <w:szCs w:val="21"/>
                      <w:highlight w:val="none"/>
                      <w:lang w:val="en-US" w:eastAsia="zh-CN"/>
                    </w:rPr>
                    <w:t>过程产生的废气通过</w:t>
                  </w:r>
                  <w:r>
                    <w:rPr>
                      <w:rFonts w:hint="eastAsia" w:ascii="Times New Roman" w:hAnsi="Times New Roman" w:cs="Times New Roman"/>
                      <w:color w:val="auto"/>
                      <w:sz w:val="21"/>
                      <w:szCs w:val="21"/>
                      <w:highlight w:val="none"/>
                      <w:lang w:val="en-US" w:eastAsia="zh-CN"/>
                    </w:rPr>
                    <w:t>“喷淋塔+干式过滤箱+活性炭吸附/脱附+催化燃烧装置</w:t>
                  </w:r>
                  <w:r>
                    <w:rPr>
                      <w:rFonts w:hint="eastAsia" w:ascii="Times New Roman" w:hAnsi="Times New Roman" w:eastAsia="宋体" w:cs="Times New Roman"/>
                      <w:color w:val="auto"/>
                      <w:sz w:val="21"/>
                      <w:szCs w:val="21"/>
                      <w:highlight w:val="none"/>
                      <w:lang w:val="en-US" w:eastAsia="zh-CN"/>
                    </w:rPr>
                    <w:t>”进行处理，处理后由</w:t>
                  </w:r>
                  <w:r>
                    <w:rPr>
                      <w:rFonts w:hint="eastAsia" w:ascii="Times New Roman" w:hAnsi="Times New Roman"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lang w:val="en-US" w:eastAsia="zh-CN"/>
                    </w:rPr>
                    <w:t>高排气筒排放；</w:t>
                  </w:r>
                  <w:r>
                    <w:rPr>
                      <w:rFonts w:hint="eastAsia" w:ascii="Times New Roman" w:hAnsi="Times New Roman"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lang w:val="en-US" w:eastAsia="zh-CN"/>
                    </w:rPr>
                    <w:t>废水</w:t>
                  </w:r>
                  <w:r>
                    <w:rPr>
                      <w:rFonts w:hint="eastAsia" w:ascii="Times New Roman" w:hAnsi="Times New Roman" w:cs="Times New Roman"/>
                      <w:color w:val="auto"/>
                      <w:sz w:val="21"/>
                      <w:szCs w:val="21"/>
                      <w:highlight w:val="none"/>
                      <w:lang w:val="en-US" w:eastAsia="zh-CN"/>
                    </w:rPr>
                    <w:t>产生</w:t>
                  </w:r>
                  <w:r>
                    <w:rPr>
                      <w:rFonts w:hint="eastAsia" w:ascii="Times New Roman" w:hAnsi="Times New Roman" w:eastAsia="宋体" w:cs="Times New Roman"/>
                      <w:color w:val="auto"/>
                      <w:sz w:val="21"/>
                      <w:szCs w:val="21"/>
                      <w:highlight w:val="none"/>
                      <w:lang w:val="en-US" w:eastAsia="zh-CN"/>
                    </w:rPr>
                    <w:t>。</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33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资源利用上线</w:t>
                  </w:r>
                </w:p>
              </w:tc>
              <w:tc>
                <w:tcPr>
                  <w:tcW w:w="2297"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以保障生态安全、改善环境质量为核心，合理确定全市资源利用上线目标，实现水资源与水环境、能源与大气环境、岸线与海洋环境的协同管控。到2035年，广泛形成绿色生产生活方式，生态环境根本好转，建成天蓝、水碧、土净的美丽唐山。</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本项目用电由</w:t>
                  </w:r>
                  <w:r>
                    <w:rPr>
                      <w:rStyle w:val="97"/>
                      <w:rFonts w:hint="eastAsia" w:cs="Times New Roman"/>
                      <w:color w:val="auto"/>
                      <w:sz w:val="21"/>
                      <w:szCs w:val="21"/>
                      <w:highlight w:val="none"/>
                      <w:lang w:val="en-US"/>
                    </w:rPr>
                    <w:t>由产业园区变电站提供</w:t>
                  </w:r>
                  <w:r>
                    <w:rPr>
                      <w:rFonts w:hint="default" w:ascii="Times New Roman" w:hAnsi="Times New Roman" w:eastAsia="宋体" w:cs="Times New Roman"/>
                      <w:color w:val="auto"/>
                      <w:sz w:val="21"/>
                      <w:szCs w:val="21"/>
                      <w:highlight w:val="none"/>
                      <w:lang w:val="en-US" w:eastAsia="zh-CN"/>
                    </w:rPr>
                    <w:t>，能源利用量较小，符合利用上线要求</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生态保护红线</w:t>
                  </w:r>
                </w:p>
              </w:tc>
              <w:tc>
                <w:tcPr>
                  <w:tcW w:w="2630" w:type="pct"/>
                  <w:gridSpan w:val="4"/>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保护红线区、自然保护区、风景名胜区、森林公园、湿地公园、地质公园、水产种质资源保护区、自然文化遗产、湿地空间、饮用水地表水源保护区、饮用水地下水源保护区空间布局约束，制定了上述区域的禁止类管控要求、限制类管控要求和允许类管控要求。</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本项目不在上述区域</w:t>
                  </w:r>
                  <w:r>
                    <w:rPr>
                      <w:rFonts w:hint="eastAsia" w:ascii="Times New Roman" w:hAnsi="Times New Roman" w:eastAsia="宋体" w:cs="Times New Roman"/>
                      <w:color w:val="auto"/>
                      <w:sz w:val="21"/>
                      <w:szCs w:val="21"/>
                      <w:highlight w:val="none"/>
                      <w:lang w:val="en-US" w:eastAsia="zh-CN"/>
                    </w:rPr>
                    <w:t>。</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restar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陆域环境管控单元生态环境准入清单</w:t>
                  </w:r>
                </w:p>
              </w:tc>
              <w:tc>
                <w:tcPr>
                  <w:tcW w:w="324" w:type="pct"/>
                  <w:vMerge w:val="restar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高新区街道、庆北街道</w:t>
                  </w:r>
                </w:p>
              </w:tc>
              <w:tc>
                <w:tcPr>
                  <w:tcW w:w="35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空间布局约束</w:t>
                  </w:r>
                </w:p>
              </w:tc>
              <w:tc>
                <w:tcPr>
                  <w:tcW w:w="195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开发区内北郊饮用水水源地二级保护区执行全市生态环境空间总体管控要求的各类保护地中饮用水水源地的管控要求。</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二环线内，禁止新建铸造、轧钢、石灰窑、砖瓦窑、家具制造（涉VOCs）、化工行业企业，严禁国Ⅳ及以下排放标准柴油货车驶入。</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本项目位于</w:t>
                  </w:r>
                  <w:r>
                    <w:rPr>
                      <w:rFonts w:hint="default" w:ascii="Times New Roman" w:hAnsi="Times New Roman" w:eastAsia="宋体" w:cs="Times New Roman"/>
                      <w:color w:val="auto"/>
                      <w:sz w:val="21"/>
                      <w:szCs w:val="21"/>
                      <w:highlight w:val="none"/>
                      <w:lang w:val="en-US" w:eastAsia="zh-CN"/>
                    </w:rPr>
                    <w:t>高新技术开发区内</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不位于保护区，</w:t>
                  </w:r>
                  <w:r>
                    <w:rPr>
                      <w:rFonts w:hint="eastAsia" w:ascii="Times New Roman" w:hAnsi="Times New Roman" w:eastAsia="宋体" w:cs="Times New Roman"/>
                      <w:color w:val="auto"/>
                      <w:sz w:val="21"/>
                      <w:szCs w:val="21"/>
                      <w:highlight w:val="none"/>
                      <w:lang w:val="en-US" w:eastAsia="zh-CN"/>
                    </w:rPr>
                    <w:t>本项目不属于</w:t>
                  </w:r>
                  <w:r>
                    <w:rPr>
                      <w:rFonts w:hint="eastAsia" w:ascii="Times New Roman" w:hAnsi="Times New Roman" w:cs="Times New Roman"/>
                      <w:color w:val="auto"/>
                      <w:sz w:val="21"/>
                      <w:szCs w:val="21"/>
                      <w:highlight w:val="none"/>
                      <w:lang w:val="en-US" w:eastAsia="zh-CN"/>
                    </w:rPr>
                    <w:t>新建</w:t>
                  </w:r>
                  <w:r>
                    <w:rPr>
                      <w:rFonts w:hint="eastAsia" w:ascii="Times New Roman" w:hAnsi="Times New Roman" w:eastAsia="宋体" w:cs="Times New Roman"/>
                      <w:color w:val="auto"/>
                      <w:sz w:val="21"/>
                      <w:szCs w:val="21"/>
                      <w:highlight w:val="none"/>
                      <w:lang w:val="en-US" w:eastAsia="zh-CN"/>
                    </w:rPr>
                    <w:t>铸造、轧钢、石灰窑、砖瓦窑、家具制造（涉VOCS）、化工行业企业。</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324"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35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污染物排放管控</w:t>
                  </w:r>
                </w:p>
              </w:tc>
              <w:tc>
                <w:tcPr>
                  <w:tcW w:w="195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对环线内汽修企业的喷漆工序加强源头控制，禁止使用等离子、活性炭吸附、光催化氧化等单级治理技术处理VOCs废气，必须使用双级或多级质量技术处理措施。</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本项目属于</w:t>
                  </w:r>
                  <w:r>
                    <w:rPr>
                      <w:rFonts w:hint="eastAsia" w:cs="Times New Roman"/>
                      <w:color w:val="auto"/>
                      <w:sz w:val="21"/>
                      <w:szCs w:val="21"/>
                      <w:highlight w:val="none"/>
                      <w:lang w:val="en-US" w:eastAsia="zh-CN"/>
                    </w:rPr>
                    <w:t>通用设备制造业</w:t>
                  </w:r>
                  <w:r>
                    <w:rPr>
                      <w:rFonts w:hint="default" w:ascii="Times New Roman" w:hAnsi="Times New Roman" w:eastAsia="宋体" w:cs="Times New Roman"/>
                      <w:color w:val="auto"/>
                      <w:sz w:val="21"/>
                      <w:szCs w:val="21"/>
                      <w:highlight w:val="none"/>
                      <w:lang w:val="en-US" w:eastAsia="zh-CN"/>
                    </w:rPr>
                    <w:t>，不涉及此项内容。</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FF0000"/>
                      <w:sz w:val="21"/>
                      <w:szCs w:val="21"/>
                      <w:highlight w:val="none"/>
                      <w:lang w:val="en-US" w:eastAsia="zh-CN"/>
                    </w:rPr>
                  </w:pPr>
                </w:p>
              </w:tc>
              <w:tc>
                <w:tcPr>
                  <w:tcW w:w="324"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FF0000"/>
                      <w:sz w:val="21"/>
                      <w:szCs w:val="21"/>
                      <w:highlight w:val="none"/>
                      <w:lang w:val="en-US" w:eastAsia="zh-CN"/>
                    </w:rPr>
                  </w:pPr>
                </w:p>
              </w:tc>
              <w:tc>
                <w:tcPr>
                  <w:tcW w:w="35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环境风险防控</w:t>
                  </w:r>
                </w:p>
              </w:tc>
              <w:tc>
                <w:tcPr>
                  <w:tcW w:w="195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1、开发区及入区企业需组织编制《环境风险应急预案》，成立应急组织机构，定期开展应急演练，提高区域环境风险防范能力。</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企业事业单位拆除设施、设备或者建筑物、构筑物的，应当采取相应的土壤污染防治措施。其中，土壤污染重点监管单位还应当制定包括应急措施在内的土壤污染防治工作方案，报地方人民政府生态环境、工业和信息化主管部门备案并实施。退成搬迁企业用地再次开发利用前，按程序开展土壤污染状况调查、风险评估、风险管控和修复。</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1、企业编制《环境风险应急预案》，成立应急组织机构，定期开展应急演练。</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2、不涉及此项内容。</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3"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FF0000"/>
                      <w:sz w:val="21"/>
                      <w:szCs w:val="21"/>
                      <w:highlight w:val="none"/>
                      <w:lang w:val="en-US" w:eastAsia="zh-CN"/>
                    </w:rPr>
                  </w:pPr>
                </w:p>
              </w:tc>
              <w:tc>
                <w:tcPr>
                  <w:tcW w:w="324" w:type="pct"/>
                  <w:vMerge w:val="continue"/>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FF0000"/>
                      <w:sz w:val="21"/>
                      <w:szCs w:val="21"/>
                      <w:highlight w:val="none"/>
                      <w:lang w:val="en-US" w:eastAsia="zh-CN"/>
                    </w:rPr>
                  </w:pPr>
                </w:p>
              </w:tc>
              <w:tc>
                <w:tcPr>
                  <w:tcW w:w="352" w:type="pct"/>
                  <w:gridSpan w:val="2"/>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资源利用效率要求</w:t>
                  </w:r>
                </w:p>
              </w:tc>
              <w:tc>
                <w:tcPr>
                  <w:tcW w:w="1953"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高新区街道、庆北街道为浅层地下水限采区，一般不得开凿新的取水井。确需取用地下水的，应当由省人民政府水行政主管部门统筹安排，按照总量控制原则通过按比例核减其他取水单位的地下水取水量和年度用水计划，进行合理配置。</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2、推进海绵城市建设，加快城镇供水管网改造，推广节水器具，提高水资源重复利用率，加强再生水的回用。</w:t>
                  </w:r>
                </w:p>
              </w:tc>
              <w:tc>
                <w:tcPr>
                  <w:tcW w:w="1205"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项目用水为</w:t>
                  </w:r>
                  <w:r>
                    <w:rPr>
                      <w:rStyle w:val="97"/>
                      <w:rFonts w:hint="eastAsia" w:cs="Times New Roman"/>
                      <w:color w:val="auto"/>
                      <w:sz w:val="21"/>
                      <w:szCs w:val="21"/>
                      <w:highlight w:val="none"/>
                      <w:lang w:val="en-US"/>
                    </w:rPr>
                    <w:t>市政管网供水</w:t>
                  </w:r>
                  <w:r>
                    <w:rPr>
                      <w:rFonts w:hint="default" w:ascii="Times New Roman" w:hAnsi="Times New Roman" w:eastAsia="宋体" w:cs="Times New Roman"/>
                      <w:color w:val="auto"/>
                      <w:sz w:val="21"/>
                      <w:szCs w:val="21"/>
                      <w:highlight w:val="none"/>
                      <w:lang w:val="en-US" w:eastAsia="zh-CN"/>
                    </w:rPr>
                    <w:t>供给</w:t>
                  </w:r>
                  <w:r>
                    <w:rPr>
                      <w:rFonts w:hint="eastAsia" w:ascii="Times New Roman" w:hAnsi="Times New Roman" w:eastAsia="宋体" w:cs="Times New Roman"/>
                      <w:color w:val="auto"/>
                      <w:sz w:val="21"/>
                      <w:szCs w:val="21"/>
                      <w:highlight w:val="none"/>
                      <w:lang w:val="en-US" w:eastAsia="zh-CN"/>
                    </w:rPr>
                    <w:t>。</w:t>
                  </w:r>
                </w:p>
              </w:tc>
              <w:tc>
                <w:tcPr>
                  <w:tcW w:w="660" w:type="pct"/>
                  <w:tcBorders>
                    <w:tl2br w:val="nil"/>
                    <w:tr2bl w:val="nil"/>
                  </w:tcBorders>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bl>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2、</w:t>
            </w:r>
            <w:r>
              <w:rPr>
                <w:rFonts w:hint="eastAsia" w:ascii="Times New Roman" w:hAnsi="Times New Roman" w:eastAsia="宋体" w:cs="Times New Roman"/>
                <w:b w:val="0"/>
                <w:bCs w:val="0"/>
                <w:color w:val="auto"/>
                <w:kern w:val="2"/>
                <w:sz w:val="21"/>
                <w:szCs w:val="21"/>
                <w:lang w:val="en-US" w:eastAsia="zh-CN" w:bidi="ar-SA"/>
              </w:rPr>
              <w:t>与污染防治行动计划符合性分析</w:t>
            </w:r>
          </w:p>
          <w:p>
            <w:pPr>
              <w:pStyle w:val="103"/>
              <w:keepNext w:val="0"/>
              <w:keepLines w:val="0"/>
              <w:widowControl/>
              <w:suppressLineNumbers w:val="0"/>
              <w:bidi w:val="0"/>
              <w:spacing w:before="0" w:beforeAutospacing="0" w:after="0" w:afterAutospacing="0"/>
              <w:ind w:left="0" w:right="0"/>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本项目与大气污染防治行动计划、水污染防治行动计划、土壤污染防治行动计划等文件要求的符合性分析见下表。</w:t>
            </w:r>
          </w:p>
          <w:p>
            <w:pPr>
              <w:pStyle w:val="10"/>
              <w:numPr>
                <w:ilvl w:val="0"/>
                <w:numId w:val="0"/>
              </w:numPr>
              <w:suppressLineNumbers w:val="0"/>
              <w:spacing w:before="0" w:beforeAutospacing="0" w:after="0" w:afterAutospacing="0" w:line="240" w:lineRule="auto"/>
              <w:ind w:right="0" w:right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 xml:space="preserve">表3  </w:t>
            </w:r>
            <w:r>
              <w:rPr>
                <w:rFonts w:hint="eastAsia" w:ascii="Times New Roman" w:hAnsi="Times New Roman" w:eastAsia="宋体" w:cs="Times New Roman"/>
                <w:b w:val="0"/>
                <w:bCs w:val="0"/>
                <w:color w:val="auto"/>
                <w:kern w:val="2"/>
                <w:sz w:val="21"/>
                <w:szCs w:val="21"/>
                <w:highlight w:val="none"/>
                <w:lang w:val="en-US" w:eastAsia="zh-CN" w:bidi="ar-SA"/>
              </w:rPr>
              <w:t>本项目与各要素污染防治行动计划符合性分析一览表</w:t>
            </w:r>
          </w:p>
          <w:tbl>
            <w:tblPr>
              <w:tblStyle w:val="35"/>
              <w:tblpPr w:vertAnchor="text" w:horzAnchor="page" w:tblpXSpec="center" w:tblpY="1"/>
              <w:tblOverlap w:val="never"/>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2"/>
              <w:gridCol w:w="3260"/>
              <w:gridCol w:w="2287"/>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73"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各要素污染防治行动计划要求</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本项目情况</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31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大气污染防治行动计划</w:t>
                  </w: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完善涂料、胶粘剂等产品挥发性有机物限值标准，推广使用水性涂料，鼓励生产、销售和使用低毒、低挥发性有机溶剂。</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3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施工扬尘监管，积极推进绿色施工，建设工程施工现场应全封闭设置围挡墙，严禁敞开式作业，施工现场道路应进行地面硬化。渣土运输车辆应采取密闭措施，并逐步安装卫星定位系统。推行道路机械化清扫等低尘作业方式。</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项目施工期不涉及土方工程，租用现有车间，只进行设备的安装和调试。</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3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加快清洁能源替代利用。加大天然气、煤制天然气、煤层气供应。优化天然气使用方式，新增天然气应优先保障居民生活或用于替代燃煤；鼓励发展天然气分布式能源等高效利用项目。</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项目</w:t>
                  </w:r>
                  <w:r>
                    <w:rPr>
                      <w:rFonts w:hint="eastAsia"/>
                      <w:color w:val="auto"/>
                      <w:spacing w:val="5"/>
                      <w:kern w:val="2"/>
                      <w:sz w:val="21"/>
                      <w:szCs w:val="21"/>
                      <w:highlight w:val="none"/>
                    </w:rPr>
                    <w:t>釆暖由唐山高新技术产业园集中供热系统提供热源</w:t>
                  </w:r>
                  <w:r>
                    <w:rPr>
                      <w:rFonts w:hint="default" w:ascii="Times New Roman" w:hAnsi="Times New Roman" w:eastAsia="宋体" w:cs="Times New Roman"/>
                      <w:color w:val="auto"/>
                      <w:kern w:val="2"/>
                      <w:sz w:val="21"/>
                      <w:szCs w:val="21"/>
                      <w:highlight w:val="none"/>
                      <w:lang w:val="en-US" w:eastAsia="zh-CN" w:bidi="ar-SA"/>
                    </w:rPr>
                    <w:t>。</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31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水污染防治行动计划</w:t>
                  </w: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所有排污单位必须依法实现全面达标排放。逐一排查工业企业排污情况，达标企业应采取措施确保稳定达标；对超标和超总量的企业予</w:t>
                  </w:r>
                  <w:r>
                    <w:rPr>
                      <w:rFonts w:hint="eastAsia" w:ascii="宋体" w:hAnsi="宋体" w:eastAsia="宋体" w:cs="宋体"/>
                      <w:color w:val="auto"/>
                      <w:sz w:val="21"/>
                      <w:szCs w:val="21"/>
                      <w:lang w:val="en-US" w:eastAsia="zh-CN"/>
                    </w:rPr>
                    <w:t>以“黄牌”警示</w:t>
                  </w:r>
                  <w:r>
                    <w:rPr>
                      <w:rFonts w:hint="eastAsia" w:ascii="Times New Roman" w:hAnsi="Times New Roman" w:eastAsia="宋体" w:cs="Times New Roman"/>
                      <w:color w:val="auto"/>
                      <w:sz w:val="21"/>
                      <w:szCs w:val="21"/>
                      <w:lang w:val="en-US" w:eastAsia="zh-CN"/>
                    </w:rPr>
                    <w:t>，一律限制生产或停产整治；对整治仍不能达到要求且情节严重的企业予</w:t>
                  </w:r>
                  <w:r>
                    <w:rPr>
                      <w:rFonts w:hint="eastAsia" w:ascii="宋体" w:hAnsi="宋体" w:eastAsia="宋体" w:cs="宋体"/>
                      <w:color w:val="auto"/>
                      <w:sz w:val="21"/>
                      <w:szCs w:val="21"/>
                      <w:lang w:val="en-US" w:eastAsia="zh-CN"/>
                    </w:rPr>
                    <w:t>以“红牌”处罚</w:t>
                  </w:r>
                  <w:r>
                    <w:rPr>
                      <w:rFonts w:hint="eastAsia" w:ascii="Times New Roman" w:hAnsi="Times New Roman" w:eastAsia="宋体" w:cs="Times New Roman"/>
                      <w:color w:val="auto"/>
                      <w:sz w:val="21"/>
                      <w:szCs w:val="21"/>
                      <w:lang w:val="en-US" w:eastAsia="zh-CN"/>
                    </w:rPr>
                    <w:t>，一律停业、关闭。</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w:t>
                  </w:r>
                  <w:r>
                    <w:rPr>
                      <w:rFonts w:hint="eastAsia" w:cs="Times New Roman"/>
                      <w:color w:val="auto"/>
                      <w:sz w:val="21"/>
                      <w:szCs w:val="21"/>
                      <w:lang w:val="en-US" w:eastAsia="zh-CN"/>
                    </w:rPr>
                    <w:t>无废水产生</w:t>
                  </w:r>
                  <w:r>
                    <w:rPr>
                      <w:rFonts w:hint="eastAsia" w:ascii="Times New Roman" w:hAnsi="Times New Roman" w:eastAsia="宋体" w:cs="Times New Roman"/>
                      <w:color w:val="auto"/>
                      <w:sz w:val="21"/>
                      <w:szCs w:val="21"/>
                      <w:lang w:val="en-US" w:eastAsia="zh-CN"/>
                    </w:rPr>
                    <w:t>。</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3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深化污染物排放总量控制。完善污染物统计监测体系，将工业、城镇生活、农业、移动源等各类污染源纳入调查范围。</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本项目核算了污染物排放总量控制指标。</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31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土壤污染防治行动计划</w:t>
                  </w: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防控企业污染。严格控制在优先保护类耕地集中区域新建有色金属冶炼、石油加工、化工、焦化、电镀、制革等行业企业，现有相关行业企业要采用新技术、新工艺，加快提标升级改造步伐。</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本项目位于高新</w:t>
                  </w:r>
                  <w:r>
                    <w:rPr>
                      <w:rFonts w:hint="eastAsia" w:cs="Times New Roman"/>
                      <w:color w:val="auto"/>
                      <w:sz w:val="21"/>
                      <w:szCs w:val="21"/>
                      <w:lang w:val="en-US" w:eastAsia="zh-CN"/>
                    </w:rPr>
                    <w:t>技术开发区</w:t>
                  </w:r>
                  <w:r>
                    <w:rPr>
                      <w:rFonts w:hint="eastAsia" w:ascii="Times New Roman" w:hAnsi="Times New Roman" w:eastAsia="宋体" w:cs="Times New Roman"/>
                      <w:color w:val="auto"/>
                      <w:sz w:val="21"/>
                      <w:szCs w:val="21"/>
                      <w:lang w:val="en-US" w:eastAsia="zh-CN"/>
                    </w:rPr>
                    <w:t>内，属于工业用地。</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3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p>
              </w:tc>
              <w:tc>
                <w:tcPr>
                  <w:tcW w:w="23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将建设用地土壤环境管理要求纳入城市规划和供地管理，土地开发利用必须符合土壤环境质量要求。</w:t>
                  </w:r>
                </w:p>
              </w:tc>
              <w:tc>
                <w:tcPr>
                  <w:tcW w:w="165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本项目位于</w:t>
                  </w:r>
                  <w:r>
                    <w:rPr>
                      <w:rFonts w:hint="eastAsia" w:ascii="Times New Roman" w:hAnsi="Times New Roman" w:eastAsia="宋体" w:cs="Times New Roman"/>
                      <w:color w:val="auto"/>
                      <w:sz w:val="21"/>
                      <w:szCs w:val="21"/>
                      <w:lang w:val="en-US" w:eastAsia="zh-CN"/>
                    </w:rPr>
                    <w:t>工业用地，项目建设用地满足土壤环境质量要求。</w:t>
                  </w:r>
                </w:p>
              </w:tc>
              <w:tc>
                <w:tcPr>
                  <w:tcW w:w="67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符合</w:t>
                  </w:r>
                </w:p>
              </w:tc>
            </w:tr>
          </w:tbl>
          <w:p>
            <w:pPr>
              <w:pStyle w:val="10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3、与</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S政策符合性分析</w:t>
            </w:r>
          </w:p>
          <w:p>
            <w:pPr>
              <w:pStyle w:val="10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本项目与国家及地方</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S排放环境管理文件要求进行对比，具体内容见表对比详见下表。</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表4 本项目与</w:t>
            </w:r>
            <w:r>
              <w:rPr>
                <w:rFonts w:hint="default" w:ascii="Times New Roman" w:hAnsi="Times New Roman" w:eastAsia="宋体" w:cs="Times New Roman"/>
                <w:b w:val="0"/>
                <w:bCs w:val="0"/>
                <w:color w:val="auto"/>
                <w:kern w:val="2"/>
                <w:sz w:val="21"/>
                <w:szCs w:val="21"/>
                <w:highlight w:val="none"/>
                <w:lang w:val="en-US" w:eastAsia="zh-CN" w:bidi="ar-SA"/>
              </w:rPr>
              <w:t>VOC</w:t>
            </w:r>
            <w:r>
              <w:rPr>
                <w:rFonts w:hint="eastAsia" w:ascii="Times New Roman" w:hAnsi="Times New Roman" w:eastAsia="宋体" w:cs="Times New Roman"/>
                <w:b w:val="0"/>
                <w:bCs w:val="0"/>
                <w:color w:val="auto"/>
                <w:kern w:val="2"/>
                <w:sz w:val="21"/>
                <w:szCs w:val="21"/>
                <w:highlight w:val="none"/>
                <w:lang w:val="en-US" w:eastAsia="zh-CN" w:bidi="ar-SA"/>
              </w:rPr>
              <w:t>S环境政策要求对比一览表</w:t>
            </w:r>
          </w:p>
          <w:tbl>
            <w:tblPr>
              <w:tblStyle w:val="35"/>
              <w:tblpPr w:vertAnchor="text" w:tblpXSpec="center" w:tblpY="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37"/>
              <w:gridCol w:w="2936"/>
              <w:gridCol w:w="1910"/>
              <w:gridCol w:w="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环保政策</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政策要求</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拟建项目实际情况</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“十三五”挥发性有机物污染防治工作方案</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提高VOC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排放重点行业环保准入门槛，严格控制新增污染物排放量。重点地区要严格限制石化、化工、包装印刷、工业涂装等高VOC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排放建设项目。新建涉VOC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排放的工业企业要入园区。</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本项目位于</w:t>
                  </w:r>
                  <w:r>
                    <w:rPr>
                      <w:rFonts w:hint="eastAsia" w:ascii="Times New Roman" w:cs="Times New Roman"/>
                      <w:color w:val="auto"/>
                      <w:sz w:val="21"/>
                      <w:szCs w:val="21"/>
                      <w:lang w:val="en-US" w:eastAsia="zh-CN"/>
                    </w:rPr>
                    <w:t>高新技术开发区内</w:t>
                  </w:r>
                  <w:r>
                    <w:rPr>
                      <w:rFonts w:hint="default" w:ascii="Times New Roman" w:hAnsi="Times New Roman" w:eastAsia="宋体" w:cs="Times New Roman"/>
                      <w:color w:val="auto"/>
                      <w:sz w:val="21"/>
                      <w:szCs w:val="21"/>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新、改、扩建涉</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lang w:val="en-US" w:eastAsia="zh-CN"/>
                    </w:rPr>
                    <w:t>排放项目，应从源头加强控制，使用低（无）</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lang w:val="en-US" w:eastAsia="zh-CN"/>
                    </w:rPr>
                    <w:t>含量的原辅材料，加强废气收集，安装高效治理设施。</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项目使用的原辅材料属于低（无）</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lang w:val="en-US" w:eastAsia="zh-CN"/>
                    </w:rPr>
                    <w:t>含量物料；本项目生产过程产生的</w:t>
                  </w:r>
                  <w:r>
                    <w:rPr>
                      <w:rFonts w:hint="eastAsia" w:ascii="Times New Roman"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sz w:val="21"/>
                      <w:szCs w:val="21"/>
                      <w:lang w:val="en-US" w:eastAsia="zh-CN"/>
                    </w:rPr>
                    <w:t>进行处理，安装了高效的治理设施。</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加强有机废气收集与治理，有机废气收集率不低于80%，建议采取吸附燃烧等高效治理设施，实现达标排放。</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本项目在</w:t>
                  </w:r>
                  <w:r>
                    <w:rPr>
                      <w:rFonts w:hint="eastAsia" w:ascii="Times New Roman" w:cs="Times New Roman"/>
                      <w:color w:val="auto"/>
                      <w:sz w:val="21"/>
                      <w:szCs w:val="21"/>
                      <w:lang w:val="en-US" w:eastAsia="zh-CN"/>
                    </w:rPr>
                    <w:t>固化</w:t>
                  </w:r>
                  <w:r>
                    <w:rPr>
                      <w:rFonts w:hint="default" w:ascii="Times New Roman" w:hAnsi="Times New Roman" w:eastAsia="宋体" w:cs="Times New Roman"/>
                      <w:color w:val="auto"/>
                      <w:sz w:val="21"/>
                      <w:szCs w:val="21"/>
                      <w:lang w:val="en-US" w:eastAsia="zh-CN"/>
                    </w:rPr>
                    <w:t>工序设置有废气高效收集措施，废气收集率90%以上，废气收集经</w:t>
                  </w:r>
                  <w:r>
                    <w:rPr>
                      <w:rFonts w:hint="eastAsia" w:ascii="Times New Roman"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sz w:val="21"/>
                      <w:szCs w:val="21"/>
                      <w:lang w:val="en-US" w:eastAsia="zh-CN"/>
                    </w:rPr>
                    <w:t>处理后，可实现达标排放。</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关于印发《重点行业挥发性有机物综合治理方案》的通知（环大气〔2019〕53号）</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企业采用符合国家有关低VOC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含量产品规定的涂料、油墨、胶粘剂等，排放浓度稳定达标且排放速率、排放</w:t>
                  </w:r>
                  <w:r>
                    <w:rPr>
                      <w:rFonts w:hint="default" w:ascii="Times New Roman" w:hAnsi="Times New Roman" w:eastAsia="宋体" w:cs="Times New Roman"/>
                      <w:color w:val="auto"/>
                      <w:sz w:val="21"/>
                      <w:szCs w:val="21"/>
                      <w:lang w:val="en-US" w:eastAsia="zh-CN"/>
                    </w:rPr>
                    <w:t>绩效</w:t>
                  </w:r>
                  <w:r>
                    <w:rPr>
                      <w:rFonts w:hint="default" w:ascii="Times New Roman" w:hAnsi="Times New Roman" w:eastAsia="宋体" w:cs="Times New Roman"/>
                      <w:color w:val="auto"/>
                      <w:sz w:val="21"/>
                      <w:szCs w:val="21"/>
                    </w:rPr>
                    <w:t>等满足相关规定的，相应生产工序可不要求建设末端治理设施。使用的原辅材料VOC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含量（质量比）低于10%的工序，可不要求采取无组织排放收集措施。</w:t>
                  </w:r>
                </w:p>
              </w:tc>
              <w:tc>
                <w:tcPr>
                  <w:tcW w:w="137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r>
                    <w:rPr>
                      <w:rFonts w:hint="default"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固化</w:t>
                  </w:r>
                  <w:r>
                    <w:rPr>
                      <w:rFonts w:hint="default" w:ascii="Times New Roman" w:hAnsi="Times New Roman" w:eastAsia="宋体" w:cs="Times New Roman"/>
                      <w:color w:val="auto"/>
                      <w:sz w:val="21"/>
                      <w:szCs w:val="21"/>
                      <w:lang w:val="en-US" w:eastAsia="zh-CN"/>
                    </w:rPr>
                    <w:t>过程产生的废气通过</w:t>
                  </w:r>
                  <w:r>
                    <w:rPr>
                      <w:rFonts w:hint="eastAsia" w:cs="Times New Roman"/>
                      <w:color w:val="auto"/>
                      <w:sz w:val="21"/>
                      <w:szCs w:val="21"/>
                      <w:lang w:val="en-US" w:eastAsia="zh-CN"/>
                    </w:rPr>
                    <w:t>“喷淋塔+干式过滤箱+活性炭吸附/脱附+催化燃烧装置</w:t>
                  </w:r>
                  <w:r>
                    <w:rPr>
                      <w:rFonts w:hint="default" w:ascii="Times New Roman" w:hAnsi="Times New Roman" w:eastAsia="宋体" w:cs="Times New Roman"/>
                      <w:color w:val="auto"/>
                      <w:sz w:val="21"/>
                      <w:szCs w:val="21"/>
                      <w:lang w:val="en-US" w:eastAsia="zh-CN"/>
                    </w:rPr>
                    <w:t>”进行处理，处理后由</w:t>
                  </w:r>
                  <w:r>
                    <w:rPr>
                      <w:rFonts w:hint="eastAsia" w:cs="Times New Roman"/>
                      <w:color w:val="auto"/>
                      <w:sz w:val="21"/>
                      <w:szCs w:val="21"/>
                      <w:lang w:val="en-US" w:eastAsia="zh-CN"/>
                    </w:rPr>
                    <w:t>30</w:t>
                  </w:r>
                  <w:r>
                    <w:rPr>
                      <w:rFonts w:hint="default" w:ascii="Times New Roman" w:hAnsi="Times New Roman" w:eastAsia="宋体" w:cs="Times New Roman"/>
                      <w:color w:val="auto"/>
                      <w:sz w:val="21"/>
                      <w:szCs w:val="21"/>
                      <w:lang w:val="en-US" w:eastAsia="zh-CN"/>
                    </w:rPr>
                    <w:t>m高排气筒排放。</w:t>
                  </w:r>
                  <w:r>
                    <w:rPr>
                      <w:rFonts w:hint="eastAsia" w:cs="Times New Roman"/>
                      <w:color w:val="auto"/>
                      <w:sz w:val="21"/>
                      <w:szCs w:val="21"/>
                      <w:lang w:val="en-US" w:eastAsia="zh-CN"/>
                    </w:rPr>
                    <w:t>固化炉密闭，尽可能的采取措施减少VOC无组织排放。</w:t>
                  </w:r>
                  <w:r>
                    <w:rPr>
                      <w:rFonts w:hint="default" w:ascii="Times New Roman" w:hAnsi="Times New Roman" w:eastAsia="宋体" w:cs="Times New Roman"/>
                      <w:color w:val="auto"/>
                      <w:sz w:val="21"/>
                      <w:szCs w:val="21"/>
                      <w:lang w:val="en-US" w:eastAsia="zh-CN"/>
                    </w:rPr>
                    <w:t>项目建成后</w:t>
                  </w:r>
                  <w:r>
                    <w:rPr>
                      <w:rFonts w:hint="default" w:ascii="Times New Roman" w:hAnsi="Times New Roman" w:eastAsia="宋体" w:cs="Times New Roman"/>
                      <w:color w:val="auto"/>
                      <w:sz w:val="21"/>
                      <w:szCs w:val="21"/>
                      <w:lang w:val="en-US"/>
                    </w:rPr>
                    <w:t>建立原辅材料台账，记录VOC</w:t>
                  </w:r>
                  <w:r>
                    <w:rPr>
                      <w:rFonts w:hint="default" w:ascii="Times New Roman" w:hAnsi="Times New Roman" w:eastAsia="宋体" w:cs="Times New Roman"/>
                      <w:color w:val="auto"/>
                      <w:sz w:val="21"/>
                      <w:szCs w:val="21"/>
                      <w:vertAlign w:val="subscript"/>
                      <w:lang w:val="en-US"/>
                    </w:rPr>
                    <w:t>S</w:t>
                  </w:r>
                  <w:r>
                    <w:rPr>
                      <w:rFonts w:hint="default" w:ascii="Times New Roman" w:hAnsi="Times New Roman" w:eastAsia="宋体" w:cs="Times New Roman"/>
                      <w:color w:val="auto"/>
                      <w:sz w:val="21"/>
                      <w:szCs w:val="21"/>
                      <w:lang w:val="en-US"/>
                    </w:rPr>
                    <w:t>原辅材料名称、成分、VOC</w:t>
                  </w:r>
                  <w:r>
                    <w:rPr>
                      <w:rFonts w:hint="default" w:ascii="Times New Roman" w:hAnsi="Times New Roman" w:eastAsia="宋体" w:cs="Times New Roman"/>
                      <w:color w:val="auto"/>
                      <w:sz w:val="21"/>
                      <w:szCs w:val="21"/>
                      <w:vertAlign w:val="subscript"/>
                      <w:lang w:val="en-US"/>
                    </w:rPr>
                    <w:t>S</w:t>
                  </w:r>
                  <w:r>
                    <w:rPr>
                      <w:rFonts w:hint="default" w:ascii="Times New Roman" w:hAnsi="Times New Roman" w:eastAsia="宋体" w:cs="Times New Roman"/>
                      <w:color w:val="auto"/>
                      <w:sz w:val="21"/>
                      <w:szCs w:val="21"/>
                      <w:lang w:val="en-US"/>
                    </w:rPr>
                    <w:t>含量、采购量、使用量、库存量、回收方式、回收量等信息，并保存相关证明材料。</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关于印发《2020年挥发性有机物治理攻坚方案》的通知（环大气〔2020〕33号）</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大力推进低（无）VOC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含量原辅材料替代。将全面使用符合国家要求的低VOC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含量原辅材料的企业纳入正面清单和政府绿色采购清单。企业应建立原辅材料台账，记录VOC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原辅材料名称、成分、VOC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含量、采购量、使用量、库存量、回收方式、回收量等信息，并保存相关证明材料。采用符合国家有关低VOC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含量产品规定的涂料、油墨、胶粘剂等，排放浓度稳定达标且排放速率满足相关规定的，相应生产工序可不要求建设末端治理设施。使用的原辅材料VOC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含量（质量比）均低于10%的工序，可不要求采取无组织排放收集和处理措施。</w:t>
                  </w:r>
                </w:p>
              </w:tc>
              <w:tc>
                <w:tcPr>
                  <w:tcW w:w="1379"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企业在无组织排放排查整治过程中，在保证安全的前提下，加强含VOC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物料的包装容器、含VOC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废料（渣、液）、废吸附剂等通过加盖、封装等方式密闭，妥善存放，不得随意丢弃，7月15日前集中清运一次，交有资质的单位处置；处置单位在贮存、喷漆、破碎等环节应按要求对VOC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无组织排放废气进行收集、处理。高VOC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含量废水的集输、储存和处理环节，应加盖密闭。</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项目原料采用</w:t>
                  </w:r>
                  <w:r>
                    <w:rPr>
                      <w:rFonts w:hint="default" w:ascii="Times New Roman" w:hAnsi="Times New Roman" w:eastAsia="宋体" w:cs="Times New Roman"/>
                      <w:color w:val="auto"/>
                      <w:kern w:val="2"/>
                      <w:sz w:val="21"/>
                      <w:szCs w:val="21"/>
                      <w:lang w:val="en-US" w:eastAsia="zh-CN" w:bidi="ar-SA"/>
                    </w:rPr>
                    <w:t>包装袋</w:t>
                  </w:r>
                  <w:r>
                    <w:rPr>
                      <w:rFonts w:hint="default" w:ascii="Times New Roman" w:hAnsi="Times New Roman" w:eastAsia="宋体" w:cs="Times New Roman"/>
                      <w:color w:val="auto"/>
                      <w:kern w:val="0"/>
                      <w:sz w:val="21"/>
                      <w:szCs w:val="21"/>
                      <w:lang w:val="en-US" w:eastAsia="zh-CN" w:bidi="ar"/>
                    </w:rPr>
                    <w:t>密闭储存，产污环节均设置收集措施，做到了“应收尽收”，减少无组织排放。</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《挥发性有机物无组织排放控制标准》（GB37822</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2019）</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Style w:val="104"/>
                      <w:rFonts w:hint="default" w:ascii="Times New Roman" w:hAnsi="Times New Roman" w:eastAsia="宋体" w:cs="Times New Roman"/>
                      <w:color w:val="auto"/>
                      <w:sz w:val="21"/>
                      <w:szCs w:val="21"/>
                    </w:rPr>
                    <w:t>盛装</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物料的容器或包装袋应存放于室内，或存放于设置有雨棚、遮阳和防渗设施的专用场地。盛装</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物料的容器或包装袋在非取用状态时应加盖、封口，保持密闭</w:t>
                  </w:r>
                  <w:r>
                    <w:rPr>
                      <w:rStyle w:val="104"/>
                      <w:rFonts w:hint="default" w:ascii="Times New Roman" w:hAnsi="Times New Roman" w:eastAsia="宋体" w:cs="Times New Roman"/>
                      <w:color w:val="auto"/>
                      <w:sz w:val="21"/>
                      <w:szCs w:val="21"/>
                      <w:lang w:eastAsia="zh-CN"/>
                    </w:rPr>
                    <w:t>。</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项目原料采用</w:t>
                  </w:r>
                  <w:r>
                    <w:rPr>
                      <w:rFonts w:hint="default" w:ascii="Times New Roman" w:hAnsi="Times New Roman" w:eastAsia="宋体" w:cs="Times New Roman"/>
                      <w:color w:val="auto"/>
                      <w:kern w:val="2"/>
                      <w:sz w:val="21"/>
                      <w:szCs w:val="21"/>
                      <w:lang w:val="en-US" w:eastAsia="zh-CN" w:bidi="ar-SA"/>
                    </w:rPr>
                    <w:t>包装袋</w:t>
                  </w:r>
                  <w:r>
                    <w:rPr>
                      <w:rFonts w:hint="default" w:ascii="Times New Roman" w:hAnsi="Times New Roman" w:eastAsia="宋体" w:cs="Times New Roman"/>
                      <w:color w:val="auto"/>
                      <w:kern w:val="0"/>
                      <w:sz w:val="21"/>
                      <w:szCs w:val="21"/>
                      <w:lang w:val="en-US" w:eastAsia="zh-CN" w:bidi="ar"/>
                    </w:rPr>
                    <w:t>密闭储存</w:t>
                  </w:r>
                </w:p>
              </w:tc>
              <w:tc>
                <w:tcPr>
                  <w:tcW w:w="24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质量占比大于等于10%的含</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产品，其使用过程应釆用密闭设备或在密闭空间内操作，废气应排至</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废气收集处理系统；无法密闭的，应采取局部气体收集措施，废气应排至</w:t>
                  </w:r>
                  <w:r>
                    <w:rPr>
                      <w:rFonts w:hint="default" w:ascii="Times New Roman" w:hAnsi="Times New Roman" w:eastAsia="宋体" w:cs="Times New Roman"/>
                      <w:color w:val="auto"/>
                      <w:sz w:val="21"/>
                      <w:szCs w:val="21"/>
                    </w:rPr>
                    <w:t>VOC</w:t>
                  </w:r>
                  <w:r>
                    <w:rPr>
                      <w:rFonts w:hint="default" w:ascii="Times New Roman" w:hAnsi="Times New Roman" w:eastAsia="宋体" w:cs="Times New Roman"/>
                      <w:color w:val="auto"/>
                      <w:sz w:val="21"/>
                      <w:szCs w:val="21"/>
                      <w:vertAlign w:val="subscript"/>
                    </w:rPr>
                    <w:t>S</w:t>
                  </w:r>
                  <w:r>
                    <w:rPr>
                      <w:rStyle w:val="104"/>
                      <w:rFonts w:hint="default" w:ascii="Times New Roman" w:hAnsi="Times New Roman" w:eastAsia="宋体" w:cs="Times New Roman"/>
                      <w:color w:val="auto"/>
                      <w:sz w:val="21"/>
                      <w:szCs w:val="21"/>
                    </w:rPr>
                    <w:t>废气收集处理系统</w:t>
                  </w:r>
                  <w:r>
                    <w:rPr>
                      <w:rStyle w:val="104"/>
                      <w:rFonts w:hint="default" w:ascii="Times New Roman" w:hAnsi="Times New Roman" w:eastAsia="宋体" w:cs="Times New Roman"/>
                      <w:color w:val="auto"/>
                      <w:sz w:val="21"/>
                      <w:szCs w:val="21"/>
                      <w:lang w:eastAsia="zh-CN"/>
                    </w:rPr>
                    <w:t>。</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val="en-US" w:eastAsia="zh-CN"/>
                    </w:rPr>
                    <w:t>固化</w:t>
                  </w:r>
                  <w:r>
                    <w:rPr>
                      <w:rFonts w:hint="default" w:ascii="Times New Roman" w:hAnsi="Times New Roman" w:eastAsia="宋体" w:cs="Times New Roman"/>
                      <w:color w:val="auto"/>
                      <w:kern w:val="2"/>
                      <w:sz w:val="21"/>
                      <w:szCs w:val="21"/>
                      <w:lang w:val="en-US" w:eastAsia="zh-CN" w:bidi="ar-SA"/>
                    </w:rPr>
                    <w:t>过程产生的废气通过</w:t>
                  </w:r>
                  <w:r>
                    <w:rPr>
                      <w:rFonts w:hint="eastAsia" w:ascii="Times New Roman" w:cs="Times New Roman"/>
                      <w:color w:val="auto"/>
                      <w:kern w:val="2"/>
                      <w:sz w:val="21"/>
                      <w:szCs w:val="21"/>
                      <w:lang w:val="en-US" w:eastAsia="zh-CN" w:bidi="ar-SA"/>
                    </w:rPr>
                    <w:t>“</w:t>
                  </w:r>
                  <w:r>
                    <w:rPr>
                      <w:rFonts w:hint="eastAsia" w:ascii="Times New Roman"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kern w:val="2"/>
                      <w:sz w:val="21"/>
                      <w:szCs w:val="21"/>
                      <w:highlight w:val="none"/>
                      <w:lang w:val="en-US" w:eastAsia="zh-CN" w:bidi="ar-SA"/>
                    </w:rPr>
                    <w:t>”进</w:t>
                  </w:r>
                  <w:r>
                    <w:rPr>
                      <w:rFonts w:hint="default" w:ascii="Times New Roman" w:hAnsi="Times New Roman" w:eastAsia="宋体" w:cs="Times New Roman"/>
                      <w:color w:val="auto"/>
                      <w:kern w:val="2"/>
                      <w:sz w:val="21"/>
                      <w:szCs w:val="21"/>
                      <w:lang w:val="en-US" w:eastAsia="zh-CN" w:bidi="ar-SA"/>
                    </w:rPr>
                    <w:t>行处理，</w:t>
                  </w:r>
                  <w:r>
                    <w:rPr>
                      <w:rFonts w:hint="eastAsia" w:ascii="Times New Roman" w:cs="Times New Roman"/>
                      <w:color w:val="auto"/>
                      <w:kern w:val="2"/>
                      <w:sz w:val="21"/>
                      <w:szCs w:val="21"/>
                      <w:lang w:val="en-US" w:eastAsia="zh-CN" w:bidi="ar-SA"/>
                    </w:rPr>
                    <w:t>处理后由30m高排气筒排放</w:t>
                  </w:r>
                  <w:r>
                    <w:rPr>
                      <w:rFonts w:hint="default" w:ascii="Times New Roman" w:hAnsi="Times New Roman" w:eastAsia="宋体" w:cs="Times New Roman"/>
                      <w:color w:val="auto"/>
                      <w:sz w:val="21"/>
                      <w:szCs w:val="21"/>
                      <w:highlight w:val="none"/>
                    </w:rPr>
                    <w:t>。</w:t>
                  </w:r>
                </w:p>
              </w:tc>
              <w:tc>
                <w:tcPr>
                  <w:tcW w:w="24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河北省挥发性有机物污染防治行动计划（2018-2020年）</w:t>
                  </w: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Style w:val="105"/>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严守生态保护红线、环境质量底线、资源利用上限和环境准入负面清单，重点地区要严格限制石化、化工、包装印刷、工业涂装等高VOC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排放建设项目。</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Style w:val="104"/>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本项目满足生态保护红线、环境质量底线、资源利用上线和环境准入负面清单要求，VOC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排放量较小。</w:t>
                  </w:r>
                </w:p>
              </w:tc>
              <w:tc>
                <w:tcPr>
                  <w:tcW w:w="244" w:type="pct"/>
                  <w:vMerge w:val="restar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Style w:val="105"/>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新、改、扩建涉VOC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排放项目，应从源头加强控制，使用低（无）VOC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含量的原辅材料。</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pacing w:val="0"/>
                      <w:w w:val="100"/>
                      <w:kern w:val="0"/>
                      <w:position w:val="0"/>
                      <w:sz w:val="21"/>
                      <w:szCs w:val="21"/>
                      <w:highlight w:val="none"/>
                      <w:u w:val="none"/>
                      <w:shd w:val="clear" w:color="auto" w:fill="FFFFFF"/>
                      <w:lang w:val="zh-TW" w:eastAsia="zh-TW" w:bidi="zh-TW"/>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r>
                    <w:rPr>
                      <w:rFonts w:hint="default" w:ascii="Times New Roman" w:hAnsi="Times New Roman" w:eastAsia="宋体" w:cs="Times New Roman"/>
                      <w:color w:val="auto"/>
                      <w:sz w:val="21"/>
                      <w:szCs w:val="21"/>
                      <w:highlight w:val="none"/>
                      <w:lang w:val="en-US" w:eastAsia="zh-CN"/>
                    </w:rPr>
                    <w:t>。</w:t>
                  </w:r>
                </w:p>
              </w:tc>
              <w:tc>
                <w:tcPr>
                  <w:tcW w:w="24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《关于在重点行业开展推广替代使用低挥发性有机物含量用漆(涂料)工作的通知》(2020年3月27日)</w:t>
                  </w: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2020年5月底前，市区二环以内工业涂装、汽修、包装印刷等行业全部更换为水性漆(涂料)等低VOC</w:t>
                  </w:r>
                  <w:r>
                    <w:rPr>
                      <w:rFonts w:hint="default" w:ascii="Times New Roman" w:hAnsi="Times New Roman" w:eastAsia="宋体" w:cs="Times New Roman"/>
                      <w:color w:val="auto"/>
                      <w:sz w:val="21"/>
                      <w:szCs w:val="21"/>
                      <w:vertAlign w:val="subscript"/>
                    </w:rPr>
                    <w:t>S</w:t>
                  </w:r>
                  <w:r>
                    <w:rPr>
                      <w:rFonts w:hint="default" w:ascii="Times New Roman" w:hAnsi="Times New Roman" w:eastAsia="宋体" w:cs="Times New Roman"/>
                      <w:color w:val="auto"/>
                      <w:sz w:val="21"/>
                      <w:szCs w:val="21"/>
                    </w:rPr>
                    <w:t>原辅料。</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本项目位于</w:t>
                  </w:r>
                  <w:r>
                    <w:rPr>
                      <w:rFonts w:hint="eastAsia" w:cs="Times New Roman"/>
                      <w:color w:val="auto"/>
                      <w:sz w:val="21"/>
                      <w:szCs w:val="21"/>
                      <w:lang w:val="en-US" w:eastAsia="zh-CN"/>
                    </w:rPr>
                    <w:t>高新技术开发区内</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r>
                    <w:rPr>
                      <w:rFonts w:hint="default" w:ascii="Times New Roman" w:hAnsi="Times New Roman" w:eastAsia="宋体" w:cs="Times New Roman"/>
                      <w:color w:val="auto"/>
                      <w:sz w:val="21"/>
                      <w:szCs w:val="21"/>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河北省生态环境厅 关于印发《河北省涉VOC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工业企业常用治理技术指南》的通知（冀环应急〔2022〕140号）</w:t>
                  </w: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1.针对生产过程中产生的连续稳定VOC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废气宜选用固定床或转轮吸附处理技术，非连续性生产或产生浓度不稳定的VOC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废气宜选用固定床吸附处理技术。2.当废气VOC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浓度较高时，宜先采用冷凝、吸收等回收技术降低废气中VOC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含量，再选择适宜吸附技术；采用固定床吸附技术时，当VOC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产生量&gt;500kg/年，宜配合具有再生、回收、销毁功能的组合处理技术。3.当废气中VOC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有回收价值时，根据情况宜选用水蒸气、热气流、氮气脱附等方法进行活性炭再生，脱附后的VOC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可采用冷凝或液体吸收技术进行富集回收，并确保不凝汽及未吸收废气达标排放；当废气中的VOC</w:t>
                  </w:r>
                  <w:r>
                    <w:rPr>
                      <w:rFonts w:hint="default" w:ascii="Times New Roman" w:hAnsi="Times New Roman" w:eastAsia="宋体" w:cs="Times New Roman"/>
                      <w:color w:val="auto"/>
                      <w:sz w:val="21"/>
                      <w:szCs w:val="21"/>
                      <w:vertAlign w:val="subscript"/>
                      <w:lang w:val="en-US" w:eastAsia="zh-CN"/>
                    </w:rPr>
                    <w:t>S</w:t>
                  </w:r>
                  <w:r>
                    <w:rPr>
                      <w:rFonts w:hint="default" w:ascii="Times New Roman" w:hAnsi="Times New Roman" w:eastAsia="宋体" w:cs="Times New Roman"/>
                      <w:color w:val="auto"/>
                      <w:sz w:val="21"/>
                      <w:szCs w:val="21"/>
                      <w:lang w:val="en-US" w:eastAsia="zh-CN"/>
                    </w:rPr>
                    <w:t>不宜回收时，宜采用燃烧工艺进行销毁。4.废气中含有SVOC（漆雾、油滴）及颗粒物时，应配备过滤、电捕集等适宜高效前处理技术，最大限度减少SVOC及颗粒物对吸附材料的污染；当废气中含有CVOC（卤化挥发性有机化合物）时，选用燃烧工艺进行销毁时应控制适宜燃烧温度及废气停留时间，监控二噁英等相关污染物的排放。</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w:t>
                  </w:r>
                  <w:r>
                    <w:rPr>
                      <w:rFonts w:hint="eastAsia" w:cs="Times New Roman"/>
                      <w:color w:val="auto"/>
                      <w:kern w:val="2"/>
                      <w:sz w:val="21"/>
                      <w:szCs w:val="21"/>
                      <w:lang w:val="en-US" w:eastAsia="zh-CN" w:bidi="ar-SA"/>
                    </w:rPr>
                    <w:t>固化</w:t>
                  </w:r>
                  <w:r>
                    <w:rPr>
                      <w:rFonts w:hint="default" w:ascii="Times New Roman" w:hAnsi="Times New Roman" w:eastAsia="宋体" w:cs="Times New Roman"/>
                      <w:color w:val="auto"/>
                      <w:kern w:val="2"/>
                      <w:sz w:val="21"/>
                      <w:szCs w:val="21"/>
                      <w:lang w:val="en-US" w:eastAsia="zh-CN" w:bidi="ar-SA"/>
                    </w:rPr>
                    <w:t>过程产生的废气通过</w:t>
                  </w:r>
                  <w:r>
                    <w:rPr>
                      <w:rFonts w:hint="eastAsia" w:cs="Times New Roman"/>
                      <w:color w:val="auto"/>
                      <w:kern w:val="2"/>
                      <w:sz w:val="21"/>
                      <w:szCs w:val="21"/>
                      <w:lang w:val="en-US" w:eastAsia="zh-CN" w:bidi="ar-SA"/>
                    </w:rPr>
                    <w:t>“</w:t>
                  </w:r>
                  <w:r>
                    <w:rPr>
                      <w:rFonts w:hint="eastAsia"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kern w:val="2"/>
                      <w:sz w:val="21"/>
                      <w:szCs w:val="21"/>
                      <w:highlight w:val="none"/>
                      <w:lang w:val="en-US" w:eastAsia="zh-CN" w:bidi="ar-SA"/>
                    </w:rPr>
                    <w:t>”进</w:t>
                  </w:r>
                  <w:r>
                    <w:rPr>
                      <w:rFonts w:hint="default"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处理后由30m高排气筒排放</w:t>
                  </w:r>
                  <w:r>
                    <w:rPr>
                      <w:rFonts w:hint="default" w:ascii="Times New Roman" w:hAnsi="Times New Roman" w:eastAsia="宋体" w:cs="Times New Roman"/>
                      <w:color w:val="auto"/>
                      <w:kern w:val="2"/>
                      <w:sz w:val="21"/>
                      <w:szCs w:val="21"/>
                      <w:lang w:val="en-US" w:eastAsia="zh-CN" w:bidi="ar-SA"/>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5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含有酸、碱腐蚀性气体的废气可选用吸收方式进行预处理，处理后废气进行脱水除湿后进入吸附装置。预处理过滤箱结构设计合理，避免门板、折流板及挡板缝隙较大造成气流短路，宜采用胶条或结构胶密封，不得使未经过滤气体进入后续吸附工艺。蜂窝活性炭碘值≥650mg/g的，比表面积应不低于750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/g。蜂窝状活性炭填充量与每小时处理废气量体积之比宜≮1:5000，每1万Nm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/h废气处理蜂窝活性炭吸附截面积宜≮2.3m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lang w:val="en-US" w:eastAsia="zh-CN"/>
                    </w:rPr>
                    <w:t>催化燃烧设备应具有保温措施，保证设备表面温度不高于60℃，并设置高温警示标识。催化剂应有质检部门出具的合格证明。</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w:t>
                  </w:r>
                  <w:r>
                    <w:rPr>
                      <w:rFonts w:hint="default" w:ascii="Times New Roman" w:hAnsi="Times New Roman" w:eastAsia="宋体" w:cs="Times New Roman"/>
                      <w:color w:val="auto"/>
                      <w:sz w:val="21"/>
                      <w:szCs w:val="21"/>
                      <w:highlight w:val="none"/>
                      <w:lang w:val="en-US" w:eastAsia="zh-CN"/>
                    </w:rPr>
                    <w:t>蜂窝活性炭碘值650mg/g，比表面积</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750m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/g。蜂窝状活性炭填充量与每小时处理废气量体积之比大于1:5000。催化燃烧设备应具有保温措施，应设置高温警示标识。催化剂有质检部门出具的合格证明。</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25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唐山市生态环境局关于开展涉挥发性有机物企业提标改造的通知</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唐环气</w:t>
                  </w:r>
                  <w:r>
                    <w:rPr>
                      <w:rFonts w:hint="default" w:ascii="Times New Roman" w:hAnsi="Times New Roman" w:eastAsia="宋体" w:cs="Times New Roman"/>
                      <w:color w:val="auto"/>
                      <w:sz w:val="21"/>
                      <w:szCs w:val="21"/>
                    </w:rPr>
                    <w:t>〔20</w:t>
                  </w:r>
                  <w:r>
                    <w:rPr>
                      <w:rFonts w:hint="default" w:ascii="Times New Roman" w:hAnsi="Times New Roman" w:eastAsia="宋体" w:cs="Times New Roman"/>
                      <w:color w:val="auto"/>
                      <w:sz w:val="21"/>
                      <w:szCs w:val="21"/>
                      <w:lang w:val="en-US" w:eastAsia="zh-CN"/>
                    </w:rPr>
                    <w:t>22</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1号</w:t>
                  </w:r>
                  <w:r>
                    <w:rPr>
                      <w:rFonts w:hint="default" w:ascii="Times New Roman" w:hAnsi="Times New Roman" w:eastAsia="宋体" w:cs="Times New Roman"/>
                      <w:color w:val="auto"/>
                      <w:sz w:val="21"/>
                      <w:szCs w:val="21"/>
                      <w:lang w:eastAsia="zh-CN"/>
                    </w:rPr>
                    <w:t>）</w:t>
                  </w: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lang w:val="en-US" w:eastAsia="zh-CN" w:bidi="ar-SA"/>
                    </w:rPr>
                    <w:t>使用低VOC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或无VOC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的环保型原辅料。</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r>
                    <w:rPr>
                      <w:rFonts w:hint="default" w:ascii="Times New Roman" w:hAnsi="Times New Roman" w:eastAsia="宋体" w:cs="Times New Roman"/>
                      <w:color w:val="auto"/>
                      <w:sz w:val="21"/>
                      <w:szCs w:val="21"/>
                      <w:highlight w:val="none"/>
                      <w:lang w:val="en-US" w:eastAsia="zh-CN"/>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25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pP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挥发性有机污染物各点源、各环节无组织排放得到高效控制，确保车间内（</w:t>
                  </w:r>
                  <w:r>
                    <w:rPr>
                      <w:rFonts w:hint="default" w:ascii="Times New Roman" w:hAnsi="Times New Roman" w:eastAsia="宋体" w:cs="Times New Roman"/>
                      <w:color w:val="auto"/>
                      <w:kern w:val="2"/>
                      <w:sz w:val="21"/>
                      <w:szCs w:val="21"/>
                      <w:lang w:val="en-US" w:eastAsia="zh-CN" w:bidi="ar-SA"/>
                    </w:rPr>
                    <w:t>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sz w:val="21"/>
                      <w:szCs w:val="21"/>
                      <w:lang w:val="en-US" w:eastAsia="zh-CN"/>
                    </w:rPr>
                    <w:t>收集区域外）无明显异味，厂区内无异味。</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lang w:val="en-US" w:eastAsia="zh-CN"/>
                    </w:rPr>
                    <w:t>固化</w:t>
                  </w:r>
                  <w:r>
                    <w:rPr>
                      <w:rFonts w:hint="default" w:ascii="Times New Roman" w:hAnsi="Times New Roman" w:eastAsia="宋体" w:cs="Times New Roman"/>
                      <w:color w:val="auto"/>
                      <w:sz w:val="21"/>
                      <w:szCs w:val="21"/>
                      <w:lang w:val="en-US" w:eastAsia="zh-CN"/>
                    </w:rPr>
                    <w:t>工序在密闭的</w:t>
                  </w:r>
                  <w:r>
                    <w:rPr>
                      <w:rFonts w:hint="eastAsia" w:cs="Times New Roman"/>
                      <w:color w:val="auto"/>
                      <w:sz w:val="21"/>
                      <w:szCs w:val="21"/>
                      <w:lang w:val="en-US" w:eastAsia="zh-CN"/>
                    </w:rPr>
                    <w:t>固化室</w:t>
                  </w:r>
                  <w:r>
                    <w:rPr>
                      <w:rFonts w:hint="default" w:ascii="Times New Roman" w:hAnsi="Times New Roman" w:eastAsia="宋体" w:cs="Times New Roman"/>
                      <w:color w:val="auto"/>
                      <w:sz w:val="21"/>
                      <w:szCs w:val="21"/>
                      <w:lang w:val="en-US" w:eastAsia="zh-CN"/>
                    </w:rPr>
                    <w:t>内进行。</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254"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采用蓄热燃烧、催化燃烧等高效</w:t>
                  </w:r>
                  <w:r>
                    <w:rPr>
                      <w:rFonts w:hint="default" w:ascii="Times New Roman" w:hAnsi="Times New Roman" w:eastAsia="宋体" w:cs="Times New Roman"/>
                      <w:color w:val="auto"/>
                      <w:kern w:val="2"/>
                      <w:sz w:val="21"/>
                      <w:szCs w:val="21"/>
                      <w:lang w:val="en-US" w:eastAsia="zh-CN" w:bidi="ar-SA"/>
                    </w:rPr>
                    <w:t>VOC</w:t>
                  </w:r>
                  <w:r>
                    <w:rPr>
                      <w:rFonts w:hint="default"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sz w:val="21"/>
                      <w:szCs w:val="21"/>
                      <w:lang w:val="en-US" w:eastAsia="zh-CN"/>
                    </w:rPr>
                    <w:t>废气处理工艺，取消UV紫外光分解或低温等离子等低效治理工艺。</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2"/>
                      <w:sz w:val="21"/>
                      <w:szCs w:val="21"/>
                      <w:lang w:val="en-US" w:eastAsia="zh-CN" w:bidi="ar-SA"/>
                    </w:rPr>
                    <w:t>固化</w:t>
                  </w:r>
                  <w:r>
                    <w:rPr>
                      <w:rFonts w:hint="default" w:ascii="Times New Roman" w:hAnsi="Times New Roman" w:eastAsia="宋体" w:cs="Times New Roman"/>
                      <w:color w:val="auto"/>
                      <w:kern w:val="2"/>
                      <w:sz w:val="21"/>
                      <w:szCs w:val="21"/>
                      <w:lang w:val="en-US" w:eastAsia="zh-CN" w:bidi="ar-SA"/>
                    </w:rPr>
                    <w:t>过程产生的废气通过</w:t>
                  </w:r>
                  <w:r>
                    <w:rPr>
                      <w:rFonts w:hint="eastAsia" w:cs="Times New Roman"/>
                      <w:color w:val="auto"/>
                      <w:kern w:val="2"/>
                      <w:sz w:val="21"/>
                      <w:szCs w:val="21"/>
                      <w:lang w:val="en-US" w:eastAsia="zh-CN" w:bidi="ar-SA"/>
                    </w:rPr>
                    <w:t>“</w:t>
                  </w:r>
                  <w:r>
                    <w:rPr>
                      <w:rFonts w:hint="eastAsia"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kern w:val="2"/>
                      <w:sz w:val="21"/>
                      <w:szCs w:val="21"/>
                      <w:highlight w:val="none"/>
                      <w:lang w:val="en-US" w:eastAsia="zh-CN" w:bidi="ar-SA"/>
                    </w:rPr>
                    <w:t>”进</w:t>
                  </w:r>
                  <w:r>
                    <w:rPr>
                      <w:rFonts w:hint="default"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处理后由30m高排气筒排放</w:t>
                  </w:r>
                  <w:r>
                    <w:rPr>
                      <w:rFonts w:hint="default" w:ascii="Times New Roman" w:hAnsi="Times New Roman" w:eastAsia="宋体" w:cs="Times New Roman"/>
                      <w:color w:val="auto"/>
                      <w:kern w:val="2"/>
                      <w:sz w:val="21"/>
                      <w:szCs w:val="21"/>
                      <w:lang w:val="en-US" w:eastAsia="zh-CN" w:bidi="ar-SA"/>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唐山市重点行业涉VOCs治理技术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推荐指导意见</w:t>
                  </w:r>
                </w:p>
              </w:tc>
              <w:tc>
                <w:tcPr>
                  <w:tcW w:w="212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企业采用符合国家有关低VOCs含量产品规定的涂料、油墨、胶粘剂等，排放浓度稳定达标且排放速率、排放绩效等满足相关规定的，相应生产工序可不要求建设末端治理设施。使用的原辅材料VOCs含量（质量比）低于10%的工序，可不要求采取无组织排放收集措施</w:t>
                  </w:r>
                </w:p>
              </w:tc>
              <w:tc>
                <w:tcPr>
                  <w:tcW w:w="137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kern w:val="2"/>
                      <w:sz w:val="21"/>
                      <w:szCs w:val="21"/>
                      <w:lang w:val="en-US" w:eastAsia="zh-CN" w:bidi="ar-SA"/>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r>
                    <w:rPr>
                      <w:rFonts w:hint="default" w:ascii="Times New Roman" w:hAnsi="Times New Roman" w:eastAsia="宋体" w:cs="Times New Roman"/>
                      <w:color w:val="auto"/>
                      <w:sz w:val="21"/>
                      <w:szCs w:val="21"/>
                      <w:highlight w:val="none"/>
                      <w:lang w:val="en-US" w:eastAsia="zh-CN"/>
                    </w:rPr>
                    <w:t>。</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对低浓度、小风量（浓度≤300mg/m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；风量≤20000m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/h）的废气，宜采用活性炭吸附+移动催化燃烧（CO）治理设施</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kern w:val="2"/>
                      <w:sz w:val="21"/>
                      <w:szCs w:val="21"/>
                      <w:lang w:val="en-US" w:eastAsia="zh-CN" w:bidi="ar-SA"/>
                    </w:rPr>
                    <w:t>固化</w:t>
                  </w:r>
                  <w:r>
                    <w:rPr>
                      <w:rFonts w:hint="default" w:ascii="Times New Roman" w:hAnsi="Times New Roman" w:eastAsia="宋体" w:cs="Times New Roman"/>
                      <w:color w:val="auto"/>
                      <w:kern w:val="2"/>
                      <w:sz w:val="21"/>
                      <w:szCs w:val="21"/>
                      <w:lang w:val="en-US" w:eastAsia="zh-CN" w:bidi="ar-SA"/>
                    </w:rPr>
                    <w:t>过程产生的废气通过</w:t>
                  </w:r>
                  <w:r>
                    <w:rPr>
                      <w:rFonts w:hint="eastAsia" w:cs="Times New Roman"/>
                      <w:color w:val="auto"/>
                      <w:kern w:val="2"/>
                      <w:sz w:val="21"/>
                      <w:szCs w:val="21"/>
                      <w:lang w:val="en-US" w:eastAsia="zh-CN" w:bidi="ar-SA"/>
                    </w:rPr>
                    <w:t>“</w:t>
                  </w:r>
                  <w:r>
                    <w:rPr>
                      <w:rFonts w:hint="eastAsia"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kern w:val="2"/>
                      <w:sz w:val="21"/>
                      <w:szCs w:val="21"/>
                      <w:highlight w:val="none"/>
                      <w:lang w:val="en-US" w:eastAsia="zh-CN" w:bidi="ar-SA"/>
                    </w:rPr>
                    <w:t>”进</w:t>
                  </w:r>
                  <w:r>
                    <w:rPr>
                      <w:rFonts w:hint="default"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处理后由30m高排气筒排放</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采用一次性活性炭吸附技术的，应定期更换活性炭，废旧活性炭应再生或做危废处置</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定期更换活性炭，废旧活性炭应做危废处置</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鼓励企业加快使用水性、无溶剂、粉末、辐射固化等低（无）VOCs含量的环保型涂料，限制使用溶剂型涂料。低VOCs含量涂料应符合《低挥发性有机化合物含量涂料产品技术要求》（GB/T 38597-2020）</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本项目使用的为粉末涂料</w:t>
                  </w:r>
                  <w:r>
                    <w:rPr>
                      <w:rFonts w:hint="eastAsia" w:ascii="Times New Roman" w:hAnsi="Times New Roman" w:eastAsia="宋体" w:cs="Times New Roman"/>
                      <w:color w:val="auto"/>
                      <w:sz w:val="21"/>
                      <w:szCs w:val="21"/>
                      <w:lang w:val="en-US" w:eastAsia="zh-CN"/>
                    </w:rPr>
                    <w:t>，属于低VOC含量的涂料</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鼓励企业采用高效环保涂装工艺推广采用静电喷涂、淋涂、辊涂、浸涂、高压无气喷涂、空气辅助无气喷涂、热喷涂等涂装效率较高的涂装工艺。鼓励采用自动化、智能化喷涂设备替代人工喷涂，减少使用空气喷涂技术</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采用静电喷涂的涂装工艺</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4" w:type="pct"/>
                  <w:vMerge w:val="continue"/>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p>
              </w:tc>
              <w:tc>
                <w:tcPr>
                  <w:tcW w:w="2121"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喷涂废气应设置高效漆雾处理装置。喷涂、晾（风）干废气宜采用吸附浓缩+燃烧处理方式，烘干废气宜采用燃烧法处理</w:t>
                  </w:r>
                </w:p>
              </w:tc>
              <w:tc>
                <w:tcPr>
                  <w:tcW w:w="1379"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1"/>
                      <w:lang w:val="en-US" w:eastAsia="zh-CN" w:bidi="ar-SA"/>
                    </w:rPr>
                    <w:t>固化</w:t>
                  </w:r>
                  <w:r>
                    <w:rPr>
                      <w:rFonts w:hint="default" w:ascii="Times New Roman" w:hAnsi="Times New Roman" w:eastAsia="宋体" w:cs="Times New Roman"/>
                      <w:color w:val="auto"/>
                      <w:kern w:val="2"/>
                      <w:sz w:val="21"/>
                      <w:szCs w:val="21"/>
                      <w:lang w:val="en-US" w:eastAsia="zh-CN" w:bidi="ar-SA"/>
                    </w:rPr>
                    <w:t>过程产生的废气通过</w:t>
                  </w:r>
                  <w:r>
                    <w:rPr>
                      <w:rFonts w:hint="default" w:ascii="Times New Roman" w:hAnsi="Times New Roman" w:cs="Times New Roman"/>
                      <w:color w:val="auto"/>
                      <w:kern w:val="2"/>
                      <w:sz w:val="21"/>
                      <w:szCs w:val="21"/>
                      <w:lang w:val="en-US" w:eastAsia="zh-CN" w:bidi="ar-SA"/>
                    </w:rPr>
                    <w:t>“</w:t>
                  </w:r>
                  <w:r>
                    <w:rPr>
                      <w:rFonts w:hint="default" w:ascii="Times New Roman" w:hAnsi="Times New Roman" w:cs="Times New Roman"/>
                      <w:color w:val="auto"/>
                      <w:kern w:val="2"/>
                      <w:sz w:val="21"/>
                      <w:szCs w:val="21"/>
                      <w:highlight w:val="none"/>
                      <w:lang w:val="en-US" w:eastAsia="zh-CN" w:bidi="ar-SA"/>
                    </w:rPr>
                    <w:t>喷淋塔+干式过滤箱+活性炭吸附/脱附+催化燃烧装置</w:t>
                  </w:r>
                  <w:r>
                    <w:rPr>
                      <w:rFonts w:hint="default" w:ascii="Times New Roman" w:hAnsi="Times New Roman" w:eastAsia="宋体" w:cs="Times New Roman"/>
                      <w:color w:val="auto"/>
                      <w:kern w:val="2"/>
                      <w:sz w:val="21"/>
                      <w:szCs w:val="21"/>
                      <w:highlight w:val="none"/>
                      <w:lang w:val="en-US" w:eastAsia="zh-CN" w:bidi="ar-SA"/>
                    </w:rPr>
                    <w:t>”进</w:t>
                  </w:r>
                  <w:r>
                    <w:rPr>
                      <w:rFonts w:hint="default" w:ascii="Times New Roman" w:hAnsi="Times New Roman" w:eastAsia="宋体" w:cs="Times New Roman"/>
                      <w:color w:val="auto"/>
                      <w:kern w:val="2"/>
                      <w:sz w:val="21"/>
                      <w:szCs w:val="21"/>
                      <w:lang w:val="en-US" w:eastAsia="zh-CN" w:bidi="ar-SA"/>
                    </w:rPr>
                    <w:t>行处理，</w:t>
                  </w:r>
                  <w:r>
                    <w:rPr>
                      <w:rFonts w:hint="default" w:ascii="Times New Roman" w:hAnsi="Times New Roman" w:cs="Times New Roman"/>
                      <w:color w:val="auto"/>
                      <w:kern w:val="2"/>
                      <w:sz w:val="21"/>
                      <w:szCs w:val="21"/>
                      <w:lang w:val="en-US" w:eastAsia="zh-CN" w:bidi="ar-SA"/>
                    </w:rPr>
                    <w:t>处理后由30m高排气筒排放</w:t>
                  </w:r>
                </w:p>
              </w:tc>
              <w:tc>
                <w:tcPr>
                  <w:tcW w:w="244" w:type="pct"/>
                  <w:tcBorders>
                    <w:tl2br w:val="nil"/>
                    <w:tr2bl w:val="nil"/>
                  </w:tcBorders>
                  <w:noWrap w:val="0"/>
                  <w:vAlign w:val="center"/>
                </w:tcPr>
                <w:p>
                  <w:pPr>
                    <w:pStyle w:val="6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综上所述，</w:t>
            </w:r>
            <w:r>
              <w:rPr>
                <w:rFonts w:hint="eastAsia"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w:t>
            </w:r>
            <w:r>
              <w:rPr>
                <w:rFonts w:hint="eastAsia" w:cs="Times New Roman"/>
                <w:color w:val="auto"/>
                <w:sz w:val="21"/>
                <w:szCs w:val="21"/>
                <w:highlight w:val="none"/>
                <w:lang w:val="en-US" w:eastAsia="zh-CN"/>
              </w:rPr>
              <w:t>建设内容</w:t>
            </w:r>
            <w:r>
              <w:rPr>
                <w:rFonts w:hint="default" w:ascii="Times New Roman" w:hAnsi="Times New Roman" w:eastAsia="宋体" w:cs="Times New Roman"/>
                <w:color w:val="auto"/>
                <w:sz w:val="21"/>
                <w:szCs w:val="21"/>
                <w:highlight w:val="none"/>
              </w:rPr>
              <w:t>符合</w:t>
            </w:r>
            <w:r>
              <w:rPr>
                <w:rFonts w:hint="eastAsia" w:cs="Times New Roman"/>
                <w:color w:val="auto"/>
                <w:sz w:val="21"/>
                <w:szCs w:val="21"/>
                <w:highlight w:val="none"/>
                <w:lang w:val="en-US" w:eastAsia="zh-CN"/>
              </w:rPr>
              <w:t>区域</w:t>
            </w:r>
            <w:r>
              <w:rPr>
                <w:rFonts w:hint="eastAsia" w:asciiTheme="minorEastAsia" w:hAnsiTheme="minorEastAsia" w:eastAsiaTheme="minorEastAsia" w:cstheme="minorEastAsia"/>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三线一单</w:t>
            </w:r>
            <w:r>
              <w:rPr>
                <w:rFonts w:hint="eastAsia" w:ascii="宋体" w:hAnsi="宋体" w:eastAsia="宋体" w:cs="宋体"/>
                <w:color w:val="auto"/>
                <w:sz w:val="21"/>
                <w:szCs w:val="21"/>
                <w:highlight w:val="none"/>
              </w:rPr>
              <w:t>”</w:t>
            </w:r>
            <w:r>
              <w:rPr>
                <w:rFonts w:hint="default" w:ascii="Times New Roman" w:hAnsi="Times New Roman" w:eastAsia="宋体" w:cs="Times New Roman"/>
                <w:color w:val="auto"/>
                <w:sz w:val="21"/>
                <w:szCs w:val="21"/>
                <w:highlight w:val="none"/>
              </w:rPr>
              <w:t>相关政策、标准要求。</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jc w:val="both"/>
              <w:textAlignment w:val="auto"/>
              <w:rPr>
                <w:rFonts w:hint="eastAsia"/>
                <w:lang w:val="en-US" w:eastAsia="zh-CN"/>
              </w:rPr>
            </w:pPr>
            <w:r>
              <w:rPr>
                <w:rFonts w:hint="eastAsia"/>
                <w:lang w:val="en-US" w:eastAsia="zh-CN"/>
              </w:rPr>
              <w:t>4、与《重污染天气重点行业应急减排措施制定技术指南》符合性分析</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jc w:val="center"/>
              <w:textAlignment w:val="auto"/>
            </w:pPr>
            <w:r>
              <w:t>表</w:t>
            </w:r>
            <w:r>
              <w:rPr>
                <w:rFonts w:hint="eastAsia"/>
                <w:lang w:val="en-US" w:eastAsia="zh-CN"/>
              </w:rPr>
              <w:t xml:space="preserve">5 </w:t>
            </w:r>
            <w:r>
              <w:t>与《重污染天气应急减排措施制定技术指南》符合性分析表</w:t>
            </w:r>
          </w:p>
          <w:tbl>
            <w:tblPr>
              <w:tblStyle w:val="36"/>
              <w:tblW w:w="49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3343"/>
              <w:gridCol w:w="1911"/>
              <w:gridCol w:w="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6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eastAsia"/>
                      <w:lang w:val="en-US" w:eastAsia="zh-CN"/>
                    </w:rPr>
                    <w:t>B级企业指标</w:t>
                  </w:r>
                </w:p>
              </w:tc>
              <w:tc>
                <w:tcPr>
                  <w:tcW w:w="2420"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eastAsia"/>
                      <w:lang w:val="en-US" w:eastAsia="zh-CN"/>
                    </w:rPr>
                    <w:t>《重污染天气应急减排措施制定技术指南》要求</w:t>
                  </w:r>
                </w:p>
              </w:tc>
              <w:tc>
                <w:tcPr>
                  <w:tcW w:w="1384" w:type="pct"/>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eastAsia"/>
                      <w:lang w:val="en-US" w:eastAsia="zh-CN"/>
                    </w:rPr>
                  </w:pPr>
                  <w:r>
                    <w:rPr>
                      <w:rFonts w:hint="default"/>
                    </w:rPr>
                    <w:t>本项目建设情况</w:t>
                  </w:r>
                </w:p>
              </w:tc>
              <w:tc>
                <w:tcPr>
                  <w:tcW w:w="527" w:type="pct"/>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3088" w:type="pct"/>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eastAsia"/>
                    </w:rPr>
                    <w:t>工业涂装</w:t>
                  </w:r>
                  <w:r>
                    <w:t>企业绩效引领性指标</w:t>
                  </w:r>
                </w:p>
              </w:tc>
              <w:tc>
                <w:tcPr>
                  <w:tcW w:w="1384" w:type="pct"/>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eastAsia"/>
                      <w:lang w:val="en-US" w:eastAsia="zh-CN"/>
                    </w:rPr>
                  </w:pPr>
                </w:p>
              </w:tc>
              <w:tc>
                <w:tcPr>
                  <w:tcW w:w="527" w:type="pct"/>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cs="宋体"/>
                    </w:rPr>
                    <w:t>原辅材料</w:t>
                  </w:r>
                </w:p>
              </w:tc>
              <w:tc>
                <w:tcPr>
                  <w:tcW w:w="2420"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hint="eastAsia"/>
                      <w:lang w:val="en-US" w:eastAsia="zh-CN"/>
                    </w:rPr>
                    <w:t>1、使用符合《船舶涂料中有害物质限量》（GB 38469-2019）、《木器涂料中有害物质限量》（GB18581-2020）、《车辆涂料中有害物质限量》（GB24409-2020）、《工业防护涂料中有害物质限量》（GB30981-2020）等标准规定的水性、无溶剂、辐射固化涂料产品；</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hint="eastAsia"/>
                      <w:lang w:val="en-US" w:eastAsia="zh-CN"/>
                    </w:rPr>
                    <w:t>2、使用符合《低挥发性有机化合物含量涂料产品技术要求》（GB/T 38597-2020）规定的溶剂型涂料产品</w:t>
                  </w:r>
                </w:p>
              </w:tc>
              <w:tc>
                <w:tcPr>
                  <w:tcW w:w="1384" w:type="pct"/>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jc w:val="both"/>
                    <w:textAlignment w:val="auto"/>
                    <w:rPr>
                      <w:rFonts w:hint="eastAsia"/>
                      <w:lang w:val="en-US" w:eastAsia="zh-CN"/>
                    </w:rPr>
                  </w:pPr>
                  <w:r>
                    <w:rPr>
                      <w:rFonts w:hint="eastAsia"/>
                      <w:lang w:val="en-US" w:eastAsia="zh-CN"/>
                    </w:rPr>
                    <w:t>本项目使用粉末涂料</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lang w:val="en-US" w:eastAsia="zh-CN"/>
                    </w:rPr>
                  </w:pPr>
                  <w:r>
                    <w:rPr>
                      <w:rFonts w:hint="eastAsia" w:ascii="Times New Roman" w:hAnsi="Times New Roman" w:cs="宋体"/>
                    </w:rPr>
                    <w:t>无组织排放</w:t>
                  </w:r>
                </w:p>
              </w:tc>
              <w:tc>
                <w:tcPr>
                  <w:tcW w:w="2420" w:type="pct"/>
                  <w:noWrap w:val="0"/>
                  <w:vAlign w:val="center"/>
                </w:tcPr>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1</w:t>
                  </w:r>
                  <w:r>
                    <w:rPr>
                      <w:rFonts w:hint="eastAsia" w:ascii="Times New Roman" w:hAnsi="Times New Roman" w:cs="宋体"/>
                    </w:rPr>
                    <w:t>、满足《挥发性有机物无组织排放控制标准》（</w:t>
                  </w:r>
                  <w:r>
                    <w:rPr>
                      <w:rFonts w:ascii="Times New Roman" w:hAnsi="Times New Roman" w:cs="Times New Roman"/>
                    </w:rPr>
                    <w:t>GB 37822-2019</w:t>
                  </w:r>
                  <w:r>
                    <w:rPr>
                      <w:rFonts w:hint="eastAsia" w:ascii="Times New Roman" w:hAnsi="Times New Roman" w:cs="宋体"/>
                    </w:rPr>
                    <w:t>）特别控制要求；</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2</w:t>
                  </w:r>
                  <w:r>
                    <w:rPr>
                      <w:rFonts w:hint="eastAsia" w:ascii="Times New Roman" w:hAnsi="Times New Roman" w:cs="宋体"/>
                    </w:rPr>
                    <w:t>、</w:t>
                  </w:r>
                  <w:r>
                    <w:rPr>
                      <w:rFonts w:ascii="Times New Roman" w:hAnsi="Times New Roman" w:cs="Times New Roman"/>
                    </w:rPr>
                    <w:t>VOCs</w:t>
                  </w:r>
                  <w:r>
                    <w:rPr>
                      <w:rFonts w:hint="eastAsia" w:ascii="Times New Roman" w:hAnsi="Times New Roman" w:cs="宋体"/>
                    </w:rPr>
                    <w:t>物料存储于密闭容器或包装袋中，盛装</w:t>
                  </w:r>
                  <w:r>
                    <w:rPr>
                      <w:rFonts w:ascii="Times New Roman" w:hAnsi="Times New Roman" w:cs="Times New Roman"/>
                    </w:rPr>
                    <w:t>VOCs</w:t>
                  </w:r>
                  <w:r>
                    <w:rPr>
                      <w:rFonts w:hint="eastAsia" w:ascii="Times New Roman" w:hAnsi="Times New Roman" w:cs="宋体"/>
                    </w:rPr>
                    <w:t>物料的容器或包装袋存放于密闭负压的储库、料仓内；</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3</w:t>
                  </w:r>
                  <w:r>
                    <w:rPr>
                      <w:rFonts w:hint="eastAsia" w:ascii="Times New Roman" w:hAnsi="Times New Roman" w:cs="宋体"/>
                    </w:rPr>
                    <w:t>、除大型工件特殊作业（例如，船舶制造行业的分段总组、船台、船坞、造船码头等涂装工序）外，调漆、喷漆、流平、烘干、清洗等工序在密闭设备或密闭负压空间内操作；</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4</w:t>
                  </w:r>
                  <w:r>
                    <w:rPr>
                      <w:rFonts w:hint="eastAsia" w:ascii="Times New Roman" w:hAnsi="Times New Roman" w:cs="宋体"/>
                    </w:rPr>
                    <w:t>、密闭回收废清洗剂；</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5</w:t>
                  </w:r>
                  <w:r>
                    <w:rPr>
                      <w:rFonts w:hint="eastAsia" w:ascii="Times New Roman" w:hAnsi="Times New Roman" w:cs="宋体"/>
                    </w:rPr>
                    <w:t>、建设干式喷漆房；使用湿式喷漆房时，循环水泵间和刮渣间应密闭，安装废气收集设施；</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ascii="Times New Roman" w:hAnsi="Times New Roman" w:cs="Times New Roman"/>
                    </w:rPr>
                    <w:t>6</w:t>
                  </w:r>
                  <w:r>
                    <w:rPr>
                      <w:rFonts w:hint="eastAsia" w:ascii="Times New Roman" w:hAnsi="Times New Roman" w:cs="宋体"/>
                    </w:rPr>
                    <w:t>、采用静电喷涂、自动喷涂、高压无气喷涂或高流低压（</w:t>
                  </w:r>
                  <w:r>
                    <w:rPr>
                      <w:rFonts w:ascii="Times New Roman" w:hAnsi="Times New Roman" w:cs="Times New Roman"/>
                    </w:rPr>
                    <w:t>HVLP</w:t>
                  </w:r>
                  <w:r>
                    <w:rPr>
                      <w:rFonts w:hint="eastAsia" w:ascii="Times New Roman" w:hAnsi="Times New Roman" w:cs="宋体"/>
                    </w:rPr>
                    <w:t>）喷枪等高效涂装技术，不可使用手动空气喷涂技术</w:t>
                  </w:r>
                </w:p>
              </w:tc>
              <w:tc>
                <w:tcPr>
                  <w:tcW w:w="1384" w:type="pct"/>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jc w:val="both"/>
                    <w:textAlignment w:val="auto"/>
                    <w:rPr>
                      <w:rFonts w:hint="default" w:eastAsia="宋体"/>
                      <w:lang w:val="en-US" w:eastAsia="zh-CN"/>
                    </w:rPr>
                  </w:pPr>
                  <w:r>
                    <w:rPr>
                      <w:rFonts w:hint="eastAsia"/>
                      <w:lang w:val="en-US" w:eastAsia="zh-CN"/>
                    </w:rPr>
                    <w:t>本项目使用粉末涂料，</w:t>
                  </w:r>
                  <w:r>
                    <w:rPr>
                      <w:rFonts w:hint="eastAsia" w:ascii="Times New Roman" w:hAnsi="Times New Roman" w:cs="宋体"/>
                    </w:rPr>
                    <w:t>满足《挥发性有机物无组织排放控制标准》（</w:t>
                  </w:r>
                  <w:r>
                    <w:rPr>
                      <w:rFonts w:ascii="Times New Roman" w:hAnsi="Times New Roman" w:cs="Times New Roman"/>
                    </w:rPr>
                    <w:t>GB 37822-2019</w:t>
                  </w:r>
                  <w:r>
                    <w:rPr>
                      <w:rFonts w:hint="eastAsia" w:ascii="Times New Roman" w:hAnsi="Times New Roman" w:cs="宋体"/>
                    </w:rPr>
                    <w:t>）特别控制要求；</w:t>
                  </w:r>
                  <w:r>
                    <w:rPr>
                      <w:rFonts w:hint="eastAsia" w:cs="宋体"/>
                      <w:lang w:val="en-US" w:eastAsia="zh-CN"/>
                    </w:rPr>
                    <w:t>不涉及喷漆等，</w:t>
                  </w:r>
                  <w:r>
                    <w:rPr>
                      <w:rFonts w:hint="eastAsia" w:ascii="Times New Roman" w:hAnsi="Times New Roman" w:cs="宋体"/>
                    </w:rPr>
                    <w:t>采用静电喷涂高效涂装技术</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宋体" w:cs="Times New Roman"/>
                      <w:kern w:val="2"/>
                      <w:sz w:val="21"/>
                      <w:szCs w:val="24"/>
                      <w:lang w:val="en-US" w:eastAsia="zh-CN" w:bidi="ar-SA"/>
                    </w:rPr>
                  </w:pPr>
                  <w:r>
                    <w:rPr>
                      <w:rFonts w:ascii="Times New Roman" w:hAnsi="Times New Roman" w:cs="Times New Roman"/>
                    </w:rPr>
                    <w:t>VOCs</w:t>
                  </w:r>
                  <w:r>
                    <w:rPr>
                      <w:rFonts w:hint="eastAsia" w:ascii="Times New Roman" w:hAnsi="Times New Roman" w:cs="宋体"/>
                    </w:rPr>
                    <w:t>治污设施</w:t>
                  </w:r>
                </w:p>
              </w:tc>
              <w:tc>
                <w:tcPr>
                  <w:tcW w:w="2420" w:type="pct"/>
                  <w:noWrap w:val="0"/>
                  <w:vAlign w:val="center"/>
                </w:tcPr>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1</w:t>
                  </w:r>
                  <w:r>
                    <w:rPr>
                      <w:rFonts w:hint="eastAsia" w:ascii="Times New Roman" w:hAnsi="Times New Roman" w:cs="宋体"/>
                    </w:rPr>
                    <w:t>、喷涂废气设置干式的石灰石、纸盒或湿式的文丘里等高效漆雾处理装置；</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2</w:t>
                  </w:r>
                  <w:r>
                    <w:rPr>
                      <w:rFonts w:hint="eastAsia" w:ascii="Times New Roman" w:hAnsi="Times New Roman" w:cs="宋体"/>
                    </w:rPr>
                    <w:t>、使用溶剂型涂料时，调漆、喷漆、流平、烘干、清洗等工序含</w:t>
                  </w:r>
                  <w:r>
                    <w:rPr>
                      <w:rFonts w:ascii="Times New Roman" w:hAnsi="Times New Roman" w:cs="Times New Roman"/>
                    </w:rPr>
                    <w:t>VOCs</w:t>
                  </w:r>
                  <w:r>
                    <w:rPr>
                      <w:rFonts w:hint="eastAsia" w:ascii="Times New Roman" w:hAnsi="Times New Roman" w:cs="宋体"/>
                    </w:rPr>
                    <w:t>废气采用吸附浓缩</w:t>
                  </w:r>
                  <w:r>
                    <w:rPr>
                      <w:rFonts w:ascii="Times New Roman" w:hAnsi="Times New Roman" w:cs="Times New Roman"/>
                    </w:rPr>
                    <w:t>+</w:t>
                  </w:r>
                  <w:r>
                    <w:rPr>
                      <w:rFonts w:hint="eastAsia" w:ascii="Times New Roman" w:hAnsi="Times New Roman" w:cs="宋体"/>
                    </w:rPr>
                    <w:t>燃烧、燃烧等治理技术，处理效率</w:t>
                  </w:r>
                  <w:r>
                    <w:rPr>
                      <w:rFonts w:ascii="Times New Roman" w:hAnsi="Times New Roman" w:cs="Times New Roman"/>
                    </w:rPr>
                    <w:t>≥85%</w:t>
                  </w:r>
                  <w:r>
                    <w:rPr>
                      <w:rFonts w:hint="eastAsia" w:ascii="Times New Roman" w:hAnsi="Times New Roman" w:cs="宋体"/>
                    </w:rPr>
                    <w:t>；</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ascii="Times New Roman" w:hAnsi="Times New Roman" w:cs="宋体"/>
                    </w:rPr>
                  </w:pPr>
                  <w:r>
                    <w:rPr>
                      <w:rFonts w:ascii="Times New Roman" w:hAnsi="Times New Roman" w:cs="Times New Roman"/>
                    </w:rPr>
                    <w:t>3</w:t>
                  </w:r>
                  <w:r>
                    <w:rPr>
                      <w:rFonts w:hint="eastAsia" w:ascii="Times New Roman" w:hAnsi="Times New Roman" w:cs="宋体"/>
                    </w:rPr>
                    <w:t>、使用水性涂料（含水性</w:t>
                  </w:r>
                  <w:r>
                    <w:rPr>
                      <w:rFonts w:ascii="Times New Roman" w:hAnsi="Times New Roman" w:cs="Times New Roman"/>
                    </w:rPr>
                    <w:t>UV</w:t>
                  </w:r>
                  <w:r>
                    <w:rPr>
                      <w:rFonts w:hint="eastAsia" w:ascii="Times New Roman" w:hAnsi="Times New Roman" w:cs="宋体"/>
                    </w:rPr>
                    <w:t>）时，当车间或生产设施排气中</w:t>
                  </w:r>
                  <w:r>
                    <w:rPr>
                      <w:rFonts w:ascii="Times New Roman" w:hAnsi="Times New Roman" w:cs="Times New Roman"/>
                    </w:rPr>
                    <w:t>NMHC</w:t>
                  </w:r>
                  <w:r>
                    <w:rPr>
                      <w:rFonts w:hint="eastAsia" w:ascii="Times New Roman" w:hAnsi="Times New Roman" w:cs="宋体"/>
                    </w:rPr>
                    <w:t>初始排放速率</w:t>
                  </w:r>
                  <w:r>
                    <w:rPr>
                      <w:rFonts w:ascii="Times New Roman" w:hAnsi="Times New Roman" w:cs="Times New Roman"/>
                    </w:rPr>
                    <w:t>≥2 kg/h</w:t>
                  </w:r>
                  <w:r>
                    <w:rPr>
                      <w:rFonts w:hint="eastAsia" w:ascii="Times New Roman" w:hAnsi="Times New Roman" w:cs="宋体"/>
                    </w:rPr>
                    <w:t>时，建设末端治污设施</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hint="eastAsia" w:ascii="Times New Roman" w:hAnsi="Times New Roman" w:cs="宋体"/>
                    </w:rPr>
                    <w:t>备注：采用粉末涂料或</w:t>
                  </w:r>
                  <w:r>
                    <w:rPr>
                      <w:rFonts w:ascii="Times New Roman" w:hAnsi="Times New Roman" w:cs="Times New Roman"/>
                    </w:rPr>
                    <w:t>VOCs</w:t>
                  </w:r>
                  <w:r>
                    <w:rPr>
                      <w:rFonts w:hint="eastAsia" w:ascii="Times New Roman" w:hAnsi="Times New Roman" w:cs="宋体"/>
                    </w:rPr>
                    <w:t>含量</w:t>
                  </w:r>
                  <w:r>
                    <w:rPr>
                      <w:rFonts w:ascii="Times New Roman" w:hAnsi="Times New Roman" w:cs="Times New Roman"/>
                    </w:rPr>
                    <w:t>≤60 g/L</w:t>
                  </w:r>
                  <w:r>
                    <w:rPr>
                      <w:rFonts w:hint="eastAsia" w:ascii="Times New Roman" w:hAnsi="Times New Roman" w:cs="宋体"/>
                    </w:rPr>
                    <w:t>的无溶剂涂料时，排放浓度稳定达标且排放速率、排放绩效等满足相关规定的，相应生产工序可不要求建设末端治理设施</w:t>
                  </w:r>
                </w:p>
              </w:tc>
              <w:tc>
                <w:tcPr>
                  <w:tcW w:w="1384"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default"/>
                      <w:lang w:val="en-US" w:eastAsia="zh-CN"/>
                    </w:rPr>
                  </w:pPr>
                  <w:r>
                    <w:rPr>
                      <w:rFonts w:hint="eastAsia"/>
                      <w:lang w:val="en-US" w:eastAsia="zh-CN"/>
                    </w:rPr>
                    <w:t>本项目使用粉末涂料，</w:t>
                  </w:r>
                  <w:r>
                    <w:rPr>
                      <w:rFonts w:ascii="Times New Roman" w:hAnsi="Times New Roman" w:cs="Times New Roman"/>
                    </w:rPr>
                    <w:t>VOCs</w:t>
                  </w:r>
                  <w:r>
                    <w:rPr>
                      <w:rFonts w:hint="eastAsia" w:ascii="Times New Roman" w:hAnsi="Times New Roman" w:cs="宋体"/>
                    </w:rPr>
                    <w:t>废气采用吸附浓缩</w:t>
                  </w:r>
                  <w:r>
                    <w:rPr>
                      <w:rFonts w:ascii="Times New Roman" w:hAnsi="Times New Roman" w:cs="Times New Roman"/>
                    </w:rPr>
                    <w:t>+</w:t>
                  </w:r>
                  <w:r>
                    <w:rPr>
                      <w:rFonts w:hint="eastAsia" w:ascii="Times New Roman" w:hAnsi="Times New Roman" w:cs="宋体"/>
                    </w:rPr>
                    <w:t>燃烧、燃烧等治理技术，处理效率</w:t>
                  </w:r>
                  <w:r>
                    <w:rPr>
                      <w:rFonts w:ascii="Times New Roman" w:hAnsi="Times New Roman" w:cs="Times New Roman"/>
                    </w:rPr>
                    <w:t>≥85%</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rPr>
                  </w:pPr>
                  <w:r>
                    <w:rPr>
                      <w:rFonts w:hint="eastAsia" w:ascii="Times New Roman" w:hAnsi="Times New Roman" w:cs="宋体"/>
                    </w:rPr>
                    <w:t>排放限值</w:t>
                  </w:r>
                </w:p>
              </w:tc>
              <w:tc>
                <w:tcPr>
                  <w:tcW w:w="2420" w:type="pct"/>
                  <w:noWrap w:val="0"/>
                  <w:vAlign w:val="center"/>
                </w:tcPr>
                <w:p>
                  <w:pPr>
                    <w:keepNext w:val="0"/>
                    <w:keepLines w:val="0"/>
                    <w:suppressLineNumbers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1</w:t>
                  </w:r>
                  <w:r>
                    <w:rPr>
                      <w:rFonts w:hint="eastAsia" w:ascii="Times New Roman" w:hAnsi="Times New Roman" w:cs="宋体"/>
                    </w:rPr>
                    <w:t>、在连续一年的监测数据中，车间或生产设施排气筒排放的</w:t>
                  </w:r>
                  <w:r>
                    <w:rPr>
                      <w:rFonts w:ascii="Times New Roman" w:hAnsi="Times New Roman" w:cs="Times New Roman"/>
                    </w:rPr>
                    <w:t>NMHC</w:t>
                  </w:r>
                  <w:r>
                    <w:rPr>
                      <w:rFonts w:hint="eastAsia" w:ascii="Times New Roman" w:hAnsi="Times New Roman" w:cs="宋体"/>
                    </w:rPr>
                    <w:t>为</w:t>
                  </w:r>
                  <w:r>
                    <w:rPr>
                      <w:rFonts w:ascii="Times New Roman" w:hAnsi="Times New Roman" w:cs="Times New Roman"/>
                    </w:rPr>
                    <w:t>30-40 mg/m</w:t>
                  </w:r>
                  <w:r>
                    <w:rPr>
                      <w:rFonts w:ascii="Times New Roman" w:hAnsi="Times New Roman" w:cs="Times New Roman"/>
                      <w:vertAlign w:val="superscript"/>
                    </w:rPr>
                    <w:t>3</w:t>
                  </w:r>
                  <w:r>
                    <w:rPr>
                      <w:rFonts w:hint="eastAsia" w:ascii="Times New Roman" w:hAnsi="Times New Roman" w:cs="宋体"/>
                    </w:rPr>
                    <w:t>、</w:t>
                  </w:r>
                  <w:r>
                    <w:rPr>
                      <w:rFonts w:ascii="Times New Roman" w:hAnsi="Times New Roman" w:cs="Times New Roman"/>
                    </w:rPr>
                    <w:t>TVOC</w:t>
                  </w:r>
                  <w:r>
                    <w:rPr>
                      <w:rFonts w:hint="eastAsia" w:ascii="Times New Roman" w:hAnsi="Times New Roman" w:cs="宋体"/>
                    </w:rPr>
                    <w:t>为</w:t>
                  </w:r>
                  <w:r>
                    <w:rPr>
                      <w:rFonts w:ascii="Times New Roman" w:hAnsi="Times New Roman" w:cs="Times New Roman"/>
                    </w:rPr>
                    <w:t>50-60 mg/m</w:t>
                  </w:r>
                  <w:r>
                    <w:rPr>
                      <w:rFonts w:ascii="Times New Roman" w:hAnsi="Times New Roman" w:cs="Times New Roman"/>
                      <w:vertAlign w:val="superscript"/>
                    </w:rPr>
                    <w:t>3</w:t>
                  </w:r>
                  <w:r>
                    <w:rPr>
                      <w:rFonts w:hint="eastAsia" w:ascii="Times New Roman" w:hAnsi="Times New Roman" w:cs="宋体"/>
                    </w:rPr>
                    <w:t>；</w:t>
                  </w:r>
                </w:p>
                <w:p>
                  <w:pPr>
                    <w:keepNext w:val="0"/>
                    <w:keepLines w:val="0"/>
                    <w:suppressLineNumbers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2</w:t>
                  </w:r>
                  <w:r>
                    <w:rPr>
                      <w:rFonts w:hint="eastAsia" w:ascii="Times New Roman" w:hAnsi="Times New Roman" w:cs="宋体"/>
                    </w:rPr>
                    <w:t>、厂区内无组织排放监控点</w:t>
                  </w:r>
                  <w:r>
                    <w:rPr>
                      <w:rFonts w:ascii="Times New Roman" w:hAnsi="Times New Roman" w:cs="Times New Roman"/>
                    </w:rPr>
                    <w:t>NMHC</w:t>
                  </w:r>
                  <w:r>
                    <w:rPr>
                      <w:rFonts w:hint="eastAsia" w:ascii="Times New Roman" w:hAnsi="Times New Roman" w:cs="宋体"/>
                    </w:rPr>
                    <w:t>的小时平均浓度值不超过</w:t>
                  </w:r>
                  <w:r>
                    <w:rPr>
                      <w:rFonts w:ascii="Times New Roman" w:hAnsi="Times New Roman" w:cs="Times New Roman"/>
                    </w:rPr>
                    <w:t>6mg/m</w:t>
                  </w:r>
                  <w:r>
                    <w:rPr>
                      <w:rFonts w:ascii="Times New Roman" w:hAnsi="Times New Roman" w:cs="Times New Roman"/>
                      <w:vertAlign w:val="superscript"/>
                    </w:rPr>
                    <w:t>3</w:t>
                  </w:r>
                  <w:r>
                    <w:rPr>
                      <w:rFonts w:hint="eastAsia" w:ascii="Times New Roman" w:hAnsi="Times New Roman" w:cs="宋体"/>
                    </w:rPr>
                    <w:t>、任意一次浓度值不超过</w:t>
                  </w:r>
                  <w:r>
                    <w:rPr>
                      <w:rFonts w:ascii="Times New Roman" w:hAnsi="Times New Roman" w:cs="Times New Roman"/>
                    </w:rPr>
                    <w:t>20 mg/m</w:t>
                  </w:r>
                  <w:r>
                    <w:rPr>
                      <w:rFonts w:ascii="Times New Roman" w:hAnsi="Times New Roman" w:cs="Times New Roman"/>
                      <w:vertAlign w:val="superscript"/>
                    </w:rPr>
                    <w:t>3</w:t>
                  </w:r>
                  <w:r>
                    <w:rPr>
                      <w:rFonts w:hint="eastAsia" w:ascii="Times New Roman" w:hAnsi="Times New Roman" w:cs="宋体"/>
                    </w:rPr>
                    <w:t>；</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ascii="Times New Roman" w:hAnsi="Times New Roman" w:cs="Times New Roman"/>
                    </w:rPr>
                    <w:t>3</w:t>
                  </w:r>
                  <w:r>
                    <w:rPr>
                      <w:rFonts w:hint="eastAsia" w:ascii="Times New Roman" w:hAnsi="Times New Roman" w:cs="宋体"/>
                    </w:rPr>
                    <w:t>、其他各项污染物稳定达到现行排放控制要求，并从严地方要求</w:t>
                  </w:r>
                </w:p>
              </w:tc>
              <w:tc>
                <w:tcPr>
                  <w:tcW w:w="1384"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default" w:eastAsia="宋体"/>
                      <w:lang w:val="en-US" w:eastAsia="zh-CN"/>
                    </w:rPr>
                  </w:pPr>
                  <w:r>
                    <w:rPr>
                      <w:rFonts w:hint="eastAsia"/>
                      <w:lang w:val="en-US" w:eastAsia="zh-CN"/>
                    </w:rPr>
                    <w:t>本项目使用粉末涂料，</w:t>
                  </w:r>
                  <w:r>
                    <w:rPr>
                      <w:rFonts w:ascii="Times New Roman" w:hAnsi="Times New Roman" w:cs="Times New Roman"/>
                    </w:rPr>
                    <w:t>VOCs</w:t>
                  </w:r>
                  <w:r>
                    <w:rPr>
                      <w:rFonts w:hint="eastAsia" w:ascii="Times New Roman" w:hAnsi="Times New Roman" w:cs="宋体"/>
                    </w:rPr>
                    <w:t>废气采用吸附浓缩</w:t>
                  </w:r>
                  <w:r>
                    <w:rPr>
                      <w:rFonts w:ascii="Times New Roman" w:hAnsi="Times New Roman" w:cs="Times New Roman"/>
                    </w:rPr>
                    <w:t>+</w:t>
                  </w:r>
                  <w:r>
                    <w:rPr>
                      <w:rFonts w:hint="eastAsia" w:ascii="Times New Roman" w:hAnsi="Times New Roman" w:cs="宋体"/>
                    </w:rPr>
                    <w:t>燃烧、燃烧等治理技术，处理效率</w:t>
                  </w:r>
                  <w:r>
                    <w:rPr>
                      <w:rFonts w:ascii="Times New Roman" w:hAnsi="Times New Roman" w:cs="Times New Roman"/>
                    </w:rPr>
                    <w:t>≥85%</w:t>
                  </w:r>
                  <w:r>
                    <w:rPr>
                      <w:rFonts w:hint="eastAsia" w:cs="Times New Roman"/>
                      <w:lang w:eastAsia="zh-CN"/>
                    </w:rPr>
                    <w:t>，</w:t>
                  </w:r>
                  <w:r>
                    <w:rPr>
                      <w:rFonts w:hint="eastAsia" w:cs="Times New Roman"/>
                      <w:lang w:val="en-US" w:eastAsia="zh-CN"/>
                    </w:rPr>
                    <w:t>能够保证</w:t>
                  </w:r>
                  <w:r>
                    <w:rPr>
                      <w:rFonts w:ascii="Times New Roman" w:hAnsi="Times New Roman" w:cs="Times New Roman"/>
                    </w:rPr>
                    <w:t>VOCs</w:t>
                  </w:r>
                  <w:r>
                    <w:rPr>
                      <w:rFonts w:hint="eastAsia" w:ascii="Times New Roman" w:hAnsi="Times New Roman" w:cs="宋体"/>
                    </w:rPr>
                    <w:t>污染物稳定达到现行排放控制要求，并从严地方要求</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default"/>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lang w:val="en-US" w:eastAsia="zh-CN"/>
                    </w:rPr>
                  </w:pPr>
                  <w:r>
                    <w:rPr>
                      <w:rFonts w:hint="eastAsia"/>
                    </w:rPr>
                    <w:t>监测监控水平</w:t>
                  </w:r>
                </w:p>
              </w:tc>
              <w:tc>
                <w:tcPr>
                  <w:tcW w:w="2420" w:type="pct"/>
                  <w:noWrap w:val="0"/>
                  <w:vAlign w:val="center"/>
                </w:tcPr>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1</w:t>
                  </w:r>
                  <w:r>
                    <w:rPr>
                      <w:rFonts w:hint="eastAsia" w:ascii="Times New Roman" w:hAnsi="Times New Roman" w:cs="宋体"/>
                    </w:rPr>
                    <w:t>、严格执行《排污许可证申请与核发技术规范</w:t>
                  </w:r>
                  <w:r>
                    <w:rPr>
                      <w:rFonts w:ascii="Times New Roman" w:hAnsi="Times New Roman" w:cs="Times New Roman"/>
                    </w:rPr>
                    <w:t xml:space="preserve"> </w:t>
                  </w:r>
                  <w:r>
                    <w:rPr>
                      <w:rFonts w:hint="eastAsia" w:ascii="Times New Roman" w:hAnsi="Times New Roman" w:cs="宋体"/>
                    </w:rPr>
                    <w:t>总则》（</w:t>
                  </w:r>
                  <w:r>
                    <w:rPr>
                      <w:rFonts w:ascii="Times New Roman" w:hAnsi="Times New Roman" w:cs="Times New Roman"/>
                    </w:rPr>
                    <w:t>HJ 942</w:t>
                  </w:r>
                  <w:r>
                    <w:rPr>
                      <w:rFonts w:hint="eastAsia" w:ascii="Times New Roman" w:hAnsi="Times New Roman" w:cs="宋体"/>
                    </w:rPr>
                    <w:t>－</w:t>
                  </w:r>
                  <w:r>
                    <w:rPr>
                      <w:rFonts w:ascii="Times New Roman" w:hAnsi="Times New Roman" w:cs="Times New Roman"/>
                    </w:rPr>
                    <w:t>2018</w:t>
                  </w:r>
                  <w:r>
                    <w:rPr>
                      <w:rFonts w:hint="eastAsia" w:ascii="Times New Roman" w:hAnsi="Times New Roman" w:cs="宋体"/>
                    </w:rPr>
                    <w:t>）以及相关行业排污许可证申请与核发技术规范规定的自行监测管理要求；</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2</w:t>
                  </w:r>
                  <w:r>
                    <w:rPr>
                      <w:rFonts w:hint="eastAsia" w:ascii="Times New Roman" w:hAnsi="Times New Roman" w:cs="宋体"/>
                    </w:rPr>
                    <w:t>、重点排污企业风量大于</w:t>
                  </w:r>
                  <w:r>
                    <w:rPr>
                      <w:rFonts w:ascii="Times New Roman" w:hAnsi="Times New Roman" w:cs="Times New Roman"/>
                    </w:rPr>
                    <w:t>10000 m</w:t>
                  </w:r>
                  <w:r>
                    <w:rPr>
                      <w:rFonts w:ascii="Times New Roman" w:hAnsi="Times New Roman" w:cs="Times New Roman"/>
                      <w:vertAlign w:val="superscript"/>
                    </w:rPr>
                    <w:t>3</w:t>
                  </w:r>
                  <w:r>
                    <w:rPr>
                      <w:rFonts w:ascii="Times New Roman" w:hAnsi="Times New Roman" w:cs="Times New Roman"/>
                    </w:rPr>
                    <w:t>/h</w:t>
                  </w:r>
                  <w:r>
                    <w:rPr>
                      <w:rFonts w:hint="eastAsia" w:ascii="Times New Roman" w:hAnsi="Times New Roman" w:cs="宋体"/>
                    </w:rPr>
                    <w:t>的主要排放口，有机废气排放口安装</w:t>
                  </w:r>
                  <w:r>
                    <w:rPr>
                      <w:rFonts w:ascii="Times New Roman" w:hAnsi="Times New Roman" w:cs="Times New Roman"/>
                    </w:rPr>
                    <w:t>NMHC</w:t>
                  </w:r>
                  <w:r>
                    <w:rPr>
                      <w:rFonts w:hint="eastAsia" w:ascii="Times New Roman" w:hAnsi="Times New Roman" w:cs="宋体"/>
                    </w:rPr>
                    <w:t>在线监测设施（</w:t>
                  </w:r>
                  <w:r>
                    <w:rPr>
                      <w:rFonts w:ascii="Times New Roman" w:hAnsi="Times New Roman" w:cs="Times New Roman"/>
                    </w:rPr>
                    <w:t>FID</w:t>
                  </w:r>
                  <w:r>
                    <w:rPr>
                      <w:rFonts w:hint="eastAsia" w:ascii="Times New Roman" w:hAnsi="Times New Roman" w:cs="宋体"/>
                    </w:rPr>
                    <w:t>检测器），自动监控数据保存一年以上；</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ascii="Times New Roman" w:hAnsi="Times New Roman" w:cs="Times New Roman"/>
                    </w:rPr>
                    <w:t>3</w:t>
                  </w:r>
                  <w:r>
                    <w:rPr>
                      <w:rFonts w:hint="eastAsia" w:ascii="Times New Roman" w:hAnsi="Times New Roman" w:cs="宋体"/>
                    </w:rPr>
                    <w:t>、安装</w:t>
                  </w:r>
                  <w:r>
                    <w:rPr>
                      <w:rFonts w:ascii="Times New Roman" w:hAnsi="Times New Roman" w:cs="Times New Roman"/>
                    </w:rPr>
                    <w:t>DCS</w:t>
                  </w:r>
                  <w:r>
                    <w:rPr>
                      <w:rFonts w:hint="eastAsia" w:ascii="Times New Roman" w:hAnsi="Times New Roman" w:cs="宋体"/>
                    </w:rPr>
                    <w:t>系统、</w:t>
                  </w:r>
                  <w:r>
                    <w:rPr>
                      <w:rFonts w:ascii="Times New Roman" w:hAnsi="Times New Roman" w:cs="Times New Roman"/>
                    </w:rPr>
                    <w:t>PLC</w:t>
                  </w:r>
                  <w:r>
                    <w:rPr>
                      <w:rFonts w:hint="eastAsia" w:ascii="Times New Roman" w:hAnsi="Times New Roman" w:cs="宋体"/>
                    </w:rPr>
                    <w:t>系统、仪器仪表等装置，记录治理设施主要参数，数据保存一年以上</w:t>
                  </w:r>
                </w:p>
              </w:tc>
              <w:tc>
                <w:tcPr>
                  <w:tcW w:w="1384"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eastAsia" w:eastAsia="宋体"/>
                      <w:lang w:val="en-US" w:eastAsia="zh-CN"/>
                    </w:rPr>
                  </w:pPr>
                  <w:r>
                    <w:rPr>
                      <w:rFonts w:hint="eastAsia" w:ascii="Times New Roman" w:hAnsi="Times New Roman" w:cs="宋体"/>
                    </w:rPr>
                    <w:t>严格执行《排污许可证申请与核发技术规范</w:t>
                  </w:r>
                  <w:r>
                    <w:rPr>
                      <w:rFonts w:ascii="Times New Roman" w:hAnsi="Times New Roman" w:cs="Times New Roman"/>
                    </w:rPr>
                    <w:t xml:space="preserve"> </w:t>
                  </w:r>
                  <w:r>
                    <w:rPr>
                      <w:rFonts w:hint="eastAsia" w:ascii="Times New Roman" w:hAnsi="Times New Roman" w:cs="宋体"/>
                    </w:rPr>
                    <w:t>总则》（</w:t>
                  </w:r>
                  <w:r>
                    <w:rPr>
                      <w:rFonts w:ascii="Times New Roman" w:hAnsi="Times New Roman" w:cs="Times New Roman"/>
                    </w:rPr>
                    <w:t>HJ 942</w:t>
                  </w:r>
                  <w:r>
                    <w:rPr>
                      <w:rFonts w:hint="eastAsia" w:ascii="Times New Roman" w:hAnsi="Times New Roman" w:cs="宋体"/>
                    </w:rPr>
                    <w:t>－</w:t>
                  </w:r>
                  <w:r>
                    <w:rPr>
                      <w:rFonts w:ascii="Times New Roman" w:hAnsi="Times New Roman" w:cs="Times New Roman"/>
                    </w:rPr>
                    <w:t>2018</w:t>
                  </w:r>
                  <w:r>
                    <w:rPr>
                      <w:rFonts w:hint="eastAsia" w:ascii="Times New Roman" w:hAnsi="Times New Roman" w:cs="宋体"/>
                    </w:rPr>
                    <w:t>）以及相关行业排污许可证申请与核发技术规范规定的自行监测管理要求</w:t>
                  </w:r>
                  <w:r>
                    <w:rPr>
                      <w:rFonts w:hint="eastAsia" w:cs="宋体"/>
                      <w:lang w:eastAsia="zh-CN"/>
                    </w:rPr>
                    <w:t>；</w:t>
                  </w:r>
                  <w:r>
                    <w:rPr>
                      <w:rFonts w:hint="eastAsia" w:cs="宋体"/>
                      <w:lang w:val="en-US" w:eastAsia="zh-CN"/>
                    </w:rPr>
                    <w:t>不属于</w:t>
                  </w:r>
                  <w:r>
                    <w:rPr>
                      <w:rFonts w:hint="eastAsia" w:ascii="Times New Roman" w:hAnsi="Times New Roman" w:cs="宋体"/>
                    </w:rPr>
                    <w:t>重点排污企业</w:t>
                  </w:r>
                  <w:r>
                    <w:rPr>
                      <w:rFonts w:hint="eastAsia" w:cs="宋体"/>
                      <w:lang w:eastAsia="zh-CN"/>
                    </w:rPr>
                    <w:t>；</w:t>
                  </w:r>
                  <w:r>
                    <w:rPr>
                      <w:rFonts w:hint="eastAsia" w:ascii="Times New Roman" w:hAnsi="Times New Roman" w:cs="宋体"/>
                    </w:rPr>
                    <w:t>安装</w:t>
                  </w:r>
                  <w:r>
                    <w:rPr>
                      <w:rFonts w:ascii="Times New Roman" w:hAnsi="Times New Roman" w:cs="Times New Roman"/>
                    </w:rPr>
                    <w:t>DCS</w:t>
                  </w:r>
                  <w:r>
                    <w:rPr>
                      <w:rFonts w:hint="eastAsia" w:ascii="Times New Roman" w:hAnsi="Times New Roman" w:cs="宋体"/>
                    </w:rPr>
                    <w:t>系统、</w:t>
                  </w:r>
                  <w:r>
                    <w:rPr>
                      <w:rFonts w:ascii="Times New Roman" w:hAnsi="Times New Roman" w:cs="Times New Roman"/>
                    </w:rPr>
                    <w:t>PLC</w:t>
                  </w:r>
                  <w:r>
                    <w:rPr>
                      <w:rFonts w:hint="eastAsia" w:ascii="Times New Roman" w:hAnsi="Times New Roman" w:cs="宋体"/>
                    </w:rPr>
                    <w:t>系统、仪器仪表等装置，记录治理设施主要参数，数据保存一年以上</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lang w:val="en-US" w:eastAsia="zh-CN"/>
                    </w:rPr>
                  </w:pPr>
                  <w:r>
                    <w:rPr>
                      <w:rFonts w:hint="eastAsia"/>
                    </w:rPr>
                    <w:t>环境管理水平</w:t>
                  </w:r>
                </w:p>
              </w:tc>
              <w:tc>
                <w:tcPr>
                  <w:tcW w:w="2420" w:type="pct"/>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pPr>
                  <w:r>
                    <w:rPr>
                      <w:rFonts w:hint="eastAsia"/>
                    </w:rPr>
                    <w:t>环保档案齐全：</w:t>
                  </w:r>
                  <w:r>
                    <w:t>1</w:t>
                  </w:r>
                  <w:r>
                    <w:rPr>
                      <w:rFonts w:hint="eastAsia"/>
                    </w:rPr>
                    <w:t>、环评批复文件；</w:t>
                  </w:r>
                  <w:r>
                    <w:t>2</w:t>
                  </w:r>
                  <w:r>
                    <w:rPr>
                      <w:rFonts w:hint="eastAsia"/>
                    </w:rPr>
                    <w:t>、排污许可证及季度、年度执行报告；</w:t>
                  </w:r>
                  <w:r>
                    <w:t>3</w:t>
                  </w:r>
                  <w:r>
                    <w:rPr>
                      <w:rFonts w:hint="eastAsia"/>
                    </w:rPr>
                    <w:t>、竣工验收文件；</w:t>
                  </w:r>
                  <w:r>
                    <w:t>4</w:t>
                  </w:r>
                  <w:r>
                    <w:rPr>
                      <w:rFonts w:hint="eastAsia"/>
                    </w:rPr>
                    <w:t>、一年内废气检测报告</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ascii="Times New Roman" w:hAnsi="Times New Roman" w:cs="宋体"/>
                    </w:rPr>
                  </w:pPr>
                  <w:r>
                    <w:rPr>
                      <w:rFonts w:hint="eastAsia" w:ascii="Times New Roman" w:hAnsi="Times New Roman" w:cs="宋体"/>
                    </w:rPr>
                    <w:t>台账记录：</w:t>
                  </w:r>
                  <w:r>
                    <w:rPr>
                      <w:rFonts w:ascii="Times New Roman" w:hAnsi="Times New Roman" w:cs="Times New Roman"/>
                    </w:rPr>
                    <w:t>1</w:t>
                  </w:r>
                  <w:r>
                    <w:rPr>
                      <w:rFonts w:hint="eastAsia" w:ascii="Times New Roman" w:hAnsi="Times New Roman" w:cs="宋体"/>
                    </w:rPr>
                    <w:t>、生产设施运行管理信息（生产时间、运行负荷、产品产量等，必须具备近一年及以上所用涂料的密度、扣水后</w:t>
                  </w:r>
                  <w:r>
                    <w:rPr>
                      <w:rFonts w:ascii="Times New Roman" w:hAnsi="Times New Roman" w:cs="Times New Roman"/>
                    </w:rPr>
                    <w:t>VOCs</w:t>
                  </w:r>
                  <w:r>
                    <w:rPr>
                      <w:rFonts w:hint="eastAsia" w:ascii="Times New Roman" w:hAnsi="Times New Roman" w:cs="宋体"/>
                    </w:rPr>
                    <w:t>含量、含水率（水性涂料）等信息的检测报告）；</w:t>
                  </w:r>
                  <w:r>
                    <w:rPr>
                      <w:rFonts w:ascii="Times New Roman" w:hAnsi="Times New Roman" w:cs="Times New Roman"/>
                    </w:rPr>
                    <w:t>2</w:t>
                  </w:r>
                  <w:r>
                    <w:rPr>
                      <w:rFonts w:hint="eastAsia" w:ascii="Times New Roman" w:hAnsi="Times New Roman" w:cs="宋体"/>
                    </w:rPr>
                    <w:t>、废气污染治理设施运行管理信息（燃烧室温度、冷凝温度、过滤材料更换频次、吸附剂更换频次、催化剂更换频次）；</w:t>
                  </w:r>
                  <w:r>
                    <w:rPr>
                      <w:rFonts w:ascii="Times New Roman" w:hAnsi="Times New Roman" w:cs="Times New Roman"/>
                    </w:rPr>
                    <w:t>3</w:t>
                  </w:r>
                  <w:r>
                    <w:rPr>
                      <w:rFonts w:hint="eastAsia" w:ascii="Times New Roman" w:hAnsi="Times New Roman" w:cs="宋体"/>
                    </w:rPr>
                    <w:t>、监测记录信息（主要污染排放口废气排放记录（手工监测或在线监测）等）；</w:t>
                  </w:r>
                  <w:r>
                    <w:rPr>
                      <w:rFonts w:ascii="Times New Roman" w:hAnsi="Times New Roman" w:cs="Times New Roman"/>
                    </w:rPr>
                    <w:t>4</w:t>
                  </w:r>
                  <w:r>
                    <w:rPr>
                      <w:rFonts w:hint="eastAsia" w:ascii="Times New Roman" w:hAnsi="Times New Roman" w:cs="宋体"/>
                    </w:rPr>
                    <w:t>、主要原辅材料消耗记录；</w:t>
                  </w:r>
                  <w:r>
                    <w:rPr>
                      <w:rFonts w:ascii="Times New Roman" w:hAnsi="Times New Roman" w:cs="Times New Roman"/>
                    </w:rPr>
                    <w:t>5</w:t>
                  </w:r>
                  <w:r>
                    <w:rPr>
                      <w:rFonts w:hint="eastAsia" w:ascii="Times New Roman" w:hAnsi="Times New Roman" w:cs="宋体"/>
                    </w:rPr>
                    <w:t>、燃料（天然气）消耗记录</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hint="eastAsia"/>
                    </w:rPr>
                    <w:t>人员配置：设置环保部门，配备专职环保人员，并具备相应的环境管理能力</w:t>
                  </w:r>
                </w:p>
              </w:tc>
              <w:tc>
                <w:tcPr>
                  <w:tcW w:w="1384"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firstLine="0"/>
                    <w:jc w:val="both"/>
                    <w:textAlignment w:val="auto"/>
                    <w:rPr>
                      <w:rFonts w:hint="eastAsia"/>
                      <w:lang w:val="en-US" w:eastAsia="zh-CN"/>
                    </w:rPr>
                  </w:pPr>
                  <w:r>
                    <w:t>项目建成后设置规范的环保档案、台账记录，并建立健全管理制度</w:t>
                  </w:r>
                  <w:r>
                    <w:rPr>
                      <w:rFonts w:hint="eastAsia"/>
                      <w:lang w:eastAsia="zh-CN"/>
                    </w:rPr>
                    <w:t>，</w:t>
                  </w:r>
                  <w:r>
                    <w:rPr>
                      <w:rFonts w:hint="eastAsia"/>
                    </w:rPr>
                    <w:t>设置环保部门，配备专职环保人员，并具备相应的环境管理能力</w:t>
                  </w:r>
                  <w:r>
                    <w:t>。</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lang w:val="en-US" w:eastAsia="zh-CN"/>
                    </w:rPr>
                  </w:pPr>
                  <w:r>
                    <w:rPr>
                      <w:rFonts w:hint="eastAsia"/>
                    </w:rPr>
                    <w:t>运输方式</w:t>
                  </w:r>
                </w:p>
              </w:tc>
              <w:tc>
                <w:tcPr>
                  <w:tcW w:w="2420" w:type="pct"/>
                  <w:noWrap w:val="0"/>
                  <w:vAlign w:val="center"/>
                </w:tcPr>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1</w:t>
                  </w:r>
                  <w:r>
                    <w:rPr>
                      <w:rFonts w:hint="eastAsia" w:ascii="Times New Roman" w:hAnsi="Times New Roman" w:cs="宋体"/>
                    </w:rPr>
                    <w:t>、物料公路运输使用达到国五及以上排放标准重型载货车辆（含燃气）或新能源车辆占比不低于</w:t>
                  </w:r>
                  <w:r>
                    <w:rPr>
                      <w:rFonts w:ascii="Times New Roman" w:hAnsi="Times New Roman" w:cs="Times New Roman"/>
                    </w:rPr>
                    <w:t>80%</w:t>
                  </w:r>
                  <w:r>
                    <w:rPr>
                      <w:rFonts w:hint="eastAsia" w:ascii="Times New Roman" w:hAnsi="Times New Roman" w:cs="宋体"/>
                    </w:rPr>
                    <w:t>，其他车辆达到国四排放标准；</w:t>
                  </w:r>
                </w:p>
                <w:p>
                  <w:pPr>
                    <w:keepNext w:val="0"/>
                    <w:keepLines w:val="0"/>
                    <w:suppressLineNumbers w:val="0"/>
                    <w:autoSpaceDE w:val="0"/>
                    <w:autoSpaceDN w:val="0"/>
                    <w:adjustRightInd w:val="0"/>
                    <w:snapToGrid w:val="0"/>
                    <w:spacing w:before="0" w:beforeAutospacing="0" w:after="0" w:afterAutospacing="0"/>
                    <w:ind w:left="0" w:right="0"/>
                    <w:rPr>
                      <w:rFonts w:ascii="Times New Roman" w:hAnsi="Times New Roman" w:cs="Times New Roman"/>
                    </w:rPr>
                  </w:pPr>
                  <w:r>
                    <w:rPr>
                      <w:rFonts w:ascii="Times New Roman" w:hAnsi="Times New Roman" w:cs="Times New Roman"/>
                    </w:rPr>
                    <w:t>2</w:t>
                  </w:r>
                  <w:r>
                    <w:rPr>
                      <w:rFonts w:hint="eastAsia" w:ascii="Times New Roman" w:hAnsi="Times New Roman" w:cs="宋体"/>
                    </w:rPr>
                    <w:t>、厂内运输使用达到国五及以上排放标准车辆（含燃气）或新能源车辆比例不低于</w:t>
                  </w:r>
                  <w:r>
                    <w:rPr>
                      <w:rFonts w:ascii="Times New Roman" w:hAnsi="Times New Roman" w:cs="Times New Roman"/>
                    </w:rPr>
                    <w:t>80%</w:t>
                  </w:r>
                  <w:r>
                    <w:rPr>
                      <w:rFonts w:hint="eastAsia" w:ascii="Times New Roman" w:hAnsi="Times New Roman" w:cs="宋体"/>
                    </w:rPr>
                    <w:t>，其他车辆达到国四排放标准；</w:t>
                  </w:r>
                </w:p>
                <w:p>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both"/>
                    <w:textAlignment w:val="auto"/>
                    <w:rPr>
                      <w:rFonts w:hint="eastAsia"/>
                      <w:lang w:val="en-US" w:eastAsia="zh-CN"/>
                    </w:rPr>
                  </w:pPr>
                  <w:r>
                    <w:rPr>
                      <w:rFonts w:ascii="Times New Roman" w:hAnsi="Times New Roman" w:cs="Times New Roman"/>
                    </w:rPr>
                    <w:t>3</w:t>
                  </w:r>
                  <w:r>
                    <w:rPr>
                      <w:rFonts w:hint="eastAsia" w:ascii="Times New Roman" w:hAnsi="Times New Roman" w:cs="宋体"/>
                    </w:rPr>
                    <w:t>、厂内非道路移动机械使用达到国三及以上排放标准或新能源机械比例不低于</w:t>
                  </w:r>
                  <w:r>
                    <w:rPr>
                      <w:rFonts w:ascii="Times New Roman" w:hAnsi="Times New Roman" w:cs="Times New Roman"/>
                    </w:rPr>
                    <w:t>80%</w:t>
                  </w:r>
                </w:p>
              </w:tc>
              <w:tc>
                <w:tcPr>
                  <w:tcW w:w="1384" w:type="pc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pPr>
                  <w:r>
                    <w:t>1</w:t>
                  </w:r>
                  <w:r>
                    <w:rPr>
                      <w:rFonts w:hint="eastAsia"/>
                    </w:rPr>
                    <w:t>、物料公路运输全部使用达到国五及以上排放标准重型载货车辆（含燃气）或新能源车辆；</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both"/>
                    <w:textAlignment w:val="auto"/>
                  </w:pPr>
                  <w:r>
                    <w:t>2</w:t>
                  </w:r>
                  <w:r>
                    <w:rPr>
                      <w:rFonts w:hint="eastAsia"/>
                    </w:rPr>
                    <w:t>、厂内运输车辆全部达到国五及以上排放标准（含燃气）或使用新能源车辆；</w:t>
                  </w:r>
                </w:p>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eastAsia" w:eastAsia="宋体"/>
                      <w:lang w:val="en-US" w:eastAsia="zh-CN"/>
                    </w:rPr>
                  </w:pPr>
                  <w:r>
                    <w:t>3</w:t>
                  </w:r>
                  <w:r>
                    <w:rPr>
                      <w:rFonts w:hint="eastAsia"/>
                    </w:rPr>
                    <w:t>、</w:t>
                  </w:r>
                  <w:r>
                    <w:rPr>
                      <w:rFonts w:hint="eastAsia"/>
                      <w:lang w:eastAsia="zh-CN"/>
                    </w:rPr>
                    <w:t>厂内非道路移动机械全部达到国四排放标准</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0"/>
                    <w:jc w:val="center"/>
                    <w:textAlignment w:val="auto"/>
                    <w:rPr>
                      <w:rFonts w:hint="eastAsia"/>
                      <w:lang w:val="en-US" w:eastAsia="zh-CN"/>
                    </w:rPr>
                  </w:pPr>
                  <w:r>
                    <w:rPr>
                      <w:rFonts w:hint="eastAsia"/>
                    </w:rPr>
                    <w:t>运输监管</w:t>
                  </w:r>
                </w:p>
              </w:tc>
              <w:tc>
                <w:tcPr>
                  <w:tcW w:w="2420" w:type="pct"/>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both"/>
                    <w:textAlignment w:val="auto"/>
                    <w:rPr>
                      <w:rFonts w:hint="eastAsia"/>
                      <w:lang w:val="en-US" w:eastAsia="zh-CN"/>
                    </w:rPr>
                  </w:pPr>
                  <w:r>
                    <w:rPr>
                      <w:rFonts w:hint="eastAsia"/>
                    </w:rPr>
                    <w:t>配备门禁和视频监控系统，监控运输车辆进出厂区情况，记录运输车辆电子台账；视频监控、台账数据保存三个月以上</w:t>
                  </w:r>
                </w:p>
              </w:tc>
              <w:tc>
                <w:tcPr>
                  <w:tcW w:w="1384"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both"/>
                    <w:textAlignment w:val="auto"/>
                    <w:rPr>
                      <w:rFonts w:hint="eastAsia"/>
                      <w:lang w:val="en-US" w:eastAsia="zh-CN"/>
                    </w:rPr>
                  </w:pPr>
                  <w:r>
                    <w:rPr>
                      <w:rFonts w:hint="eastAsia"/>
                      <w:lang w:val="en-US" w:eastAsia="zh-CN"/>
                    </w:rPr>
                    <w:t>企业</w:t>
                  </w:r>
                  <w:r>
                    <w:rPr>
                      <w:rFonts w:hint="eastAsia"/>
                    </w:rPr>
                    <w:t>配备门禁和视频监控系统，监控运输车辆进出厂区情况，记录运输车辆电子台账；视频监控、台账数据保存三个月以上</w:t>
                  </w:r>
                </w:p>
              </w:tc>
              <w:tc>
                <w:tcPr>
                  <w:tcW w:w="527" w:type="pc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jc w:val="center"/>
                    <w:textAlignment w:val="auto"/>
                    <w:rPr>
                      <w:rFonts w:hint="eastAsia"/>
                      <w:lang w:val="en-US" w:eastAsia="zh-CN"/>
                    </w:rPr>
                  </w:pPr>
                  <w:r>
                    <w:rPr>
                      <w:rFonts w:hint="default"/>
                    </w:rPr>
                    <w:t>符合</w:t>
                  </w:r>
                </w:p>
              </w:tc>
            </w:tr>
          </w:tbl>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420" w:firstLineChars="200"/>
              <w:jc w:val="both"/>
              <w:textAlignment w:val="auto"/>
              <w:rPr>
                <w:rFonts w:hint="eastAsia"/>
                <w:lang w:val="en-US" w:eastAsia="zh-CN"/>
              </w:rPr>
            </w:pPr>
            <w:r>
              <w:rPr>
                <w:rFonts w:hint="eastAsia"/>
                <w:lang w:val="en-US" w:eastAsia="zh-CN"/>
              </w:rPr>
              <w:t>综上，本项目符合文件要求。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textAlignment w:val="auto"/>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rPr>
              <w:t>、选址合理性</w:t>
            </w: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本项目位于</w:t>
            </w:r>
            <w:r>
              <w:rPr>
                <w:rFonts w:hint="eastAsia" w:ascii="Times New Roman" w:hAnsi="Times New Roman" w:eastAsia="宋体" w:cs="Times New Roman"/>
                <w:b w:val="0"/>
                <w:bCs w:val="0"/>
                <w:color w:val="auto"/>
                <w:kern w:val="2"/>
                <w:sz w:val="21"/>
                <w:szCs w:val="21"/>
                <w:lang w:val="en-US" w:eastAsia="zh-CN" w:bidi="ar-SA"/>
              </w:rPr>
              <w:t>唐山市高新区学院北路1700号，中冶重工（唐山）有限公司</w:t>
            </w:r>
            <w:r>
              <w:rPr>
                <w:rFonts w:hint="default" w:ascii="Times New Roman" w:hAnsi="Times New Roman" w:eastAsia="宋体" w:cs="Times New Roman"/>
                <w:b w:val="0"/>
                <w:bCs w:val="0"/>
                <w:color w:val="auto"/>
                <w:kern w:val="2"/>
                <w:sz w:val="21"/>
                <w:szCs w:val="21"/>
                <w:lang w:val="en-US" w:eastAsia="zh-CN" w:bidi="ar-SA"/>
              </w:rPr>
              <w:t>院内，项目所在地中心坐标为：经度118°</w:t>
            </w:r>
            <w:r>
              <w:rPr>
                <w:rFonts w:hint="eastAsia" w:ascii="Times New Roman" w:hAnsi="Times New Roman" w:eastAsia="宋体" w:cs="Times New Roman"/>
                <w:b w:val="0"/>
                <w:bCs w:val="0"/>
                <w:color w:val="auto"/>
                <w:kern w:val="2"/>
                <w:sz w:val="21"/>
                <w:szCs w:val="21"/>
                <w:lang w:val="en-US" w:eastAsia="zh-CN" w:bidi="ar-SA"/>
              </w:rPr>
              <w:t>8</w:t>
            </w:r>
            <w:r>
              <w:rPr>
                <w:rFonts w:hint="default" w:ascii="Times New Roman" w:hAnsi="Times New Roman" w:eastAsia="宋体" w:cs="Times New Roman"/>
                <w:b w:val="0"/>
                <w:bCs w:val="0"/>
                <w:color w:val="auto"/>
                <w:kern w:val="2"/>
                <w:sz w:val="21"/>
                <w:szCs w:val="21"/>
                <w:lang w:val="en-US" w:eastAsia="zh-CN" w:bidi="ar-SA"/>
              </w:rPr>
              <w:t>′</w:t>
            </w:r>
            <w:r>
              <w:rPr>
                <w:rFonts w:hint="eastAsia" w:cs="Times New Roman"/>
                <w:b w:val="0"/>
                <w:bCs w:val="0"/>
                <w:color w:val="auto"/>
                <w:kern w:val="2"/>
                <w:sz w:val="21"/>
                <w:szCs w:val="21"/>
                <w:lang w:val="en-US" w:eastAsia="zh-CN" w:bidi="ar-SA"/>
              </w:rPr>
              <w:t>57</w:t>
            </w:r>
            <w:r>
              <w:rPr>
                <w:rFonts w:hint="eastAsia" w:ascii="Times New Roman" w:hAnsi="Times New Roman" w:eastAsia="宋体" w:cs="Times New Roman"/>
                <w:b w:val="0"/>
                <w:bCs w:val="0"/>
                <w:color w:val="auto"/>
                <w:kern w:val="2"/>
                <w:sz w:val="21"/>
                <w:szCs w:val="21"/>
                <w:lang w:val="en-US" w:eastAsia="zh-CN" w:bidi="ar-SA"/>
              </w:rPr>
              <w:t>.088</w:t>
            </w:r>
            <w:r>
              <w:rPr>
                <w:rFonts w:hint="default" w:ascii="Times New Roman" w:hAnsi="Times New Roman" w:eastAsia="宋体" w:cs="Times New Roman"/>
                <w:b w:val="0"/>
                <w:bCs w:val="0"/>
                <w:color w:val="auto"/>
                <w:kern w:val="2"/>
                <w:sz w:val="21"/>
                <w:szCs w:val="21"/>
                <w:lang w:val="en-US" w:eastAsia="zh-CN" w:bidi="ar-SA"/>
              </w:rPr>
              <w:t>″、纬度39°</w:t>
            </w:r>
            <w:r>
              <w:rPr>
                <w:rFonts w:hint="eastAsia" w:ascii="Times New Roman" w:hAnsi="Times New Roman" w:eastAsia="宋体" w:cs="Times New Roman"/>
                <w:b w:val="0"/>
                <w:bCs w:val="0"/>
                <w:color w:val="auto"/>
                <w:kern w:val="2"/>
                <w:sz w:val="21"/>
                <w:szCs w:val="21"/>
                <w:lang w:val="en-US" w:eastAsia="zh-CN" w:bidi="ar-SA"/>
              </w:rPr>
              <w:t>41</w:t>
            </w:r>
            <w:r>
              <w:rPr>
                <w:rFonts w:hint="default" w:ascii="Times New Roman" w:hAnsi="Times New Roman" w:eastAsia="宋体" w:cs="Times New Roman"/>
                <w:b w:val="0"/>
                <w:bCs w:val="0"/>
                <w:color w:val="auto"/>
                <w:kern w:val="2"/>
                <w:sz w:val="21"/>
                <w:szCs w:val="21"/>
                <w:lang w:val="en-US" w:eastAsia="zh-CN" w:bidi="ar-SA"/>
              </w:rPr>
              <w:t>′</w:t>
            </w:r>
            <w:r>
              <w:rPr>
                <w:rFonts w:hint="eastAsia" w:ascii="Times New Roman" w:hAnsi="Times New Roman" w:eastAsia="宋体" w:cs="Times New Roman"/>
                <w:b w:val="0"/>
                <w:bCs w:val="0"/>
                <w:color w:val="auto"/>
                <w:kern w:val="2"/>
                <w:sz w:val="21"/>
                <w:szCs w:val="21"/>
                <w:lang w:val="en-US" w:eastAsia="zh-CN" w:bidi="ar-SA"/>
              </w:rPr>
              <w:t>33.192</w:t>
            </w:r>
            <w:r>
              <w:rPr>
                <w:rFonts w:hint="default" w:ascii="Times New Roman" w:hAnsi="Times New Roman" w:eastAsia="宋体" w:cs="Times New Roman"/>
                <w:b w:val="0"/>
                <w:bCs w:val="0"/>
                <w:color w:val="auto"/>
                <w:kern w:val="2"/>
                <w:sz w:val="21"/>
                <w:szCs w:val="21"/>
                <w:lang w:val="en-US" w:eastAsia="zh-CN" w:bidi="ar-SA"/>
              </w:rPr>
              <w:t>″，技改项目不新增占地</w:t>
            </w:r>
            <w:r>
              <w:rPr>
                <w:rFonts w:hint="eastAsia" w:ascii="Times New Roman" w:hAnsi="Times New Roman" w:eastAsia="宋体" w:cs="Times New Roman"/>
                <w:b w:val="0"/>
                <w:bCs w:val="0"/>
                <w:color w:val="auto"/>
                <w:kern w:val="2"/>
                <w:sz w:val="21"/>
                <w:szCs w:val="21"/>
                <w:lang w:val="en-US" w:eastAsia="zh-CN" w:bidi="ar-SA"/>
              </w:rPr>
              <w:t>。项目厂界外500米范围内无饮用水水源地保护区、自然保护区、风景名胜区、生态功能保护区、文物保护地等法律、法规规定的环境敏感区</w:t>
            </w:r>
            <w:r>
              <w:rPr>
                <w:rFonts w:hint="eastAsia" w:cs="Times New Roman"/>
                <w:b w:val="0"/>
                <w:bCs w:val="0"/>
                <w:color w:val="auto"/>
                <w:kern w:val="2"/>
                <w:sz w:val="21"/>
                <w:szCs w:val="21"/>
                <w:lang w:val="en-US" w:eastAsia="zh-CN" w:bidi="ar-SA"/>
              </w:rPr>
              <w:t>，本项目距离陡河水源保护区距离为4300m</w:t>
            </w:r>
            <w:r>
              <w:rPr>
                <w:rFonts w:hint="eastAsia" w:ascii="Times New Roman" w:hAnsi="Times New Roman" w:eastAsia="宋体" w:cs="Times New Roman"/>
                <w:b w:val="0"/>
                <w:bCs w:val="0"/>
                <w:color w:val="auto"/>
                <w:kern w:val="2"/>
                <w:sz w:val="21"/>
                <w:szCs w:val="21"/>
                <w:lang w:val="en-US" w:eastAsia="zh-CN" w:bidi="ar-SA"/>
              </w:rPr>
              <w:t>。因此，本项目选址合理</w:t>
            </w:r>
            <w:r>
              <w:rPr>
                <w:rFonts w:hint="default" w:ascii="Times New Roman" w:hAnsi="Times New Roman" w:eastAsia="宋体" w:cs="Times New Roman"/>
                <w:b w:val="0"/>
                <w:bCs w:val="0"/>
                <w:color w:val="auto"/>
                <w:kern w:val="2"/>
                <w:sz w:val="21"/>
                <w:szCs w:val="21"/>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textAlignment w:val="auto"/>
              <w:rPr>
                <w:rFonts w:hint="default" w:ascii="Times New Roman" w:hAnsi="Times New Roman" w:eastAsia="宋体" w:cs="Times New Roman"/>
                <w:b/>
                <w:bCs/>
                <w:color w:val="auto"/>
                <w:kern w:val="24"/>
                <w:sz w:val="21"/>
                <w:szCs w:val="21"/>
                <w:highlight w:val="none"/>
                <w:lang w:val="en-US" w:eastAsia="zh-CN"/>
              </w:rPr>
            </w:pPr>
            <w:r>
              <w:rPr>
                <w:rFonts w:hint="eastAsia" w:cs="Times New Roman"/>
                <w:b/>
                <w:bCs/>
                <w:color w:val="auto"/>
                <w:kern w:val="24"/>
                <w:sz w:val="21"/>
                <w:szCs w:val="21"/>
                <w:highlight w:val="none"/>
                <w:lang w:val="en-US" w:eastAsia="zh-CN"/>
              </w:rPr>
              <w:t>6</w:t>
            </w:r>
            <w:r>
              <w:rPr>
                <w:rFonts w:hint="eastAsia" w:ascii="Times New Roman" w:hAnsi="Times New Roman" w:eastAsia="宋体" w:cs="Times New Roman"/>
                <w:b/>
                <w:bCs/>
                <w:color w:val="auto"/>
                <w:kern w:val="24"/>
                <w:sz w:val="21"/>
                <w:szCs w:val="21"/>
                <w:highlight w:val="none"/>
                <w:lang w:val="en-US" w:eastAsia="zh-CN"/>
              </w:rPr>
              <w:t>、</w:t>
            </w:r>
            <w:r>
              <w:rPr>
                <w:rFonts w:hint="default" w:ascii="Times New Roman" w:hAnsi="Times New Roman" w:eastAsia="宋体" w:cs="Times New Roman"/>
                <w:b/>
                <w:bCs/>
                <w:color w:val="auto"/>
                <w:kern w:val="24"/>
                <w:sz w:val="21"/>
                <w:szCs w:val="21"/>
                <w:highlight w:val="none"/>
              </w:rPr>
              <w:t>产业政策</w:t>
            </w:r>
            <w:r>
              <w:rPr>
                <w:rFonts w:hint="eastAsia" w:ascii="Times New Roman" w:hAnsi="Times New Roman" w:eastAsia="宋体" w:cs="Times New Roman"/>
                <w:b/>
                <w:bCs/>
                <w:color w:val="auto"/>
                <w:kern w:val="24"/>
                <w:sz w:val="21"/>
                <w:szCs w:val="21"/>
                <w:highlight w:val="none"/>
                <w:lang w:val="en-US" w:eastAsia="zh-CN"/>
              </w:rPr>
              <w:t>符合性分析</w:t>
            </w: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本项目产品和所使用设备均不属于</w:t>
            </w:r>
            <w:r>
              <w:rPr>
                <w:rFonts w:hint="eastAsia" w:ascii="Times New Roman" w:hAnsi="Times New Roman" w:eastAsia="宋体" w:cs="Times New Roman"/>
                <w:b w:val="0"/>
                <w:bCs w:val="0"/>
                <w:color w:val="auto"/>
                <w:kern w:val="2"/>
                <w:sz w:val="21"/>
                <w:szCs w:val="21"/>
                <w:lang w:val="en-US" w:eastAsia="zh-CN" w:bidi="ar-SA"/>
              </w:rPr>
              <w:t>《产业结构调整指导目录（2019年本）》（2021年修订）</w:t>
            </w:r>
            <w:r>
              <w:rPr>
                <w:rFonts w:hint="default" w:ascii="Times New Roman" w:hAnsi="Times New Roman" w:eastAsia="宋体" w:cs="Times New Roman"/>
                <w:b w:val="0"/>
                <w:bCs w:val="0"/>
                <w:color w:val="auto"/>
                <w:kern w:val="2"/>
                <w:sz w:val="21"/>
                <w:szCs w:val="21"/>
                <w:lang w:val="en-US" w:eastAsia="zh-CN" w:bidi="ar-SA"/>
              </w:rPr>
              <w:t>中鼓励类、限制类或淘汰类项目</w:t>
            </w:r>
            <w:r>
              <w:rPr>
                <w:rFonts w:hint="eastAsia" w:ascii="Times New Roman" w:hAnsi="Times New Roman" w:eastAsia="宋体"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属于允许类产业，符合国家产业政策。</w:t>
            </w:r>
            <w:r>
              <w:rPr>
                <w:rFonts w:hint="eastAsia" w:ascii="Times New Roman" w:hAnsi="Times New Roman" w:eastAsia="宋体" w:cs="Times New Roman"/>
                <w:b w:val="0"/>
                <w:bCs w:val="0"/>
                <w:color w:val="auto"/>
                <w:kern w:val="2"/>
                <w:sz w:val="21"/>
                <w:szCs w:val="21"/>
                <w:lang w:val="en-US" w:eastAsia="zh-CN" w:bidi="ar-SA"/>
              </w:rPr>
              <w:t>本项目不属于《河北省新增限制和淘汰类产业目录(2015年版)》（冀政办发[2015]7号）中规定的限制和淘汰类项目</w:t>
            </w:r>
            <w:r>
              <w:rPr>
                <w:rFonts w:hint="default" w:ascii="Times New Roman" w:hAnsi="Times New Roman" w:eastAsia="宋体" w:cs="Times New Roman"/>
                <w:b w:val="0"/>
                <w:bCs w:val="0"/>
                <w:color w:val="auto"/>
                <w:kern w:val="2"/>
                <w:sz w:val="21"/>
                <w:szCs w:val="21"/>
                <w:lang w:val="en-US" w:eastAsia="zh-CN" w:bidi="ar-SA"/>
              </w:rPr>
              <w:t>，属于允许建设项目。不属于《市场准入负面清单(2022年版)》中的禁限制类项目</w:t>
            </w:r>
            <w:r>
              <w:rPr>
                <w:rFonts w:hint="eastAsia"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同时项目</w:t>
            </w:r>
            <w:r>
              <w:rPr>
                <w:rFonts w:hint="eastAsia" w:ascii="Times New Roman" w:hAnsi="Times New Roman" w:eastAsia="宋体" w:cs="Times New Roman"/>
                <w:b w:val="0"/>
                <w:bCs w:val="0"/>
                <w:color w:val="auto"/>
                <w:kern w:val="2"/>
                <w:sz w:val="21"/>
                <w:szCs w:val="21"/>
                <w:lang w:val="en-US" w:eastAsia="zh-CN" w:bidi="ar-SA"/>
              </w:rPr>
              <w:t>已</w:t>
            </w:r>
            <w:r>
              <w:rPr>
                <w:rFonts w:hint="default" w:ascii="Times New Roman" w:hAnsi="Times New Roman" w:eastAsia="宋体" w:cs="Times New Roman"/>
                <w:b w:val="0"/>
                <w:bCs w:val="0"/>
                <w:color w:val="auto"/>
                <w:kern w:val="2"/>
                <w:sz w:val="21"/>
                <w:szCs w:val="21"/>
                <w:lang w:val="en-US" w:eastAsia="zh-CN" w:bidi="ar-SA"/>
              </w:rPr>
              <w:t>在</w:t>
            </w:r>
            <w:r>
              <w:rPr>
                <w:rFonts w:hint="eastAsia" w:ascii="Times New Roman" w:hAnsi="Times New Roman" w:eastAsia="宋体" w:cs="Times New Roman"/>
                <w:b w:val="0"/>
                <w:bCs w:val="0"/>
                <w:color w:val="auto"/>
                <w:kern w:val="2"/>
                <w:sz w:val="21"/>
                <w:szCs w:val="21"/>
                <w:lang w:val="en-US" w:eastAsia="zh-CN" w:bidi="ar-SA"/>
              </w:rPr>
              <w:t>唐山高新技术产业开发区行政审批局</w:t>
            </w:r>
            <w:r>
              <w:rPr>
                <w:rFonts w:hint="default" w:ascii="Times New Roman" w:hAnsi="Times New Roman" w:eastAsia="宋体" w:cs="Times New Roman"/>
                <w:b w:val="0"/>
                <w:bCs w:val="0"/>
                <w:color w:val="auto"/>
                <w:kern w:val="2"/>
                <w:sz w:val="21"/>
                <w:szCs w:val="21"/>
                <w:lang w:val="en-US" w:eastAsia="zh-CN" w:bidi="ar-SA"/>
              </w:rPr>
              <w:t>备案，备案文号为：</w:t>
            </w:r>
            <w:r>
              <w:rPr>
                <w:rFonts w:hint="eastAsia" w:ascii="Times New Roman" w:hAnsi="Times New Roman" w:eastAsia="宋体" w:cs="Times New Roman"/>
                <w:b w:val="0"/>
                <w:bCs w:val="0"/>
                <w:color w:val="auto"/>
                <w:kern w:val="2"/>
                <w:sz w:val="21"/>
                <w:szCs w:val="21"/>
                <w:lang w:val="en-US" w:eastAsia="zh-CN" w:bidi="ar-SA"/>
              </w:rPr>
              <w:t>唐高备字[2022]70号</w:t>
            </w:r>
            <w:r>
              <w:rPr>
                <w:rFonts w:hint="default" w:ascii="Times New Roman" w:hAnsi="Times New Roman" w:eastAsia="宋体" w:cs="Times New Roman"/>
                <w:b w:val="0"/>
                <w:bCs w:val="0"/>
                <w:color w:val="auto"/>
                <w:kern w:val="2"/>
                <w:sz w:val="21"/>
                <w:szCs w:val="21"/>
                <w:lang w:val="en-US" w:eastAsia="zh-CN" w:bidi="ar-SA"/>
              </w:rPr>
              <w:t>。</w:t>
            </w: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综上，本</w:t>
            </w:r>
            <w:r>
              <w:rPr>
                <w:rFonts w:hint="eastAsia" w:ascii="Times New Roman" w:hAnsi="Times New Roman" w:eastAsia="宋体" w:cs="Times New Roman"/>
                <w:b w:val="0"/>
                <w:bCs w:val="0"/>
                <w:color w:val="auto"/>
                <w:kern w:val="2"/>
                <w:sz w:val="21"/>
                <w:szCs w:val="21"/>
                <w:lang w:val="zh-CN" w:eastAsia="zh-CN" w:bidi="ar-SA"/>
              </w:rPr>
              <w:t>项目符合国家</w:t>
            </w:r>
            <w:r>
              <w:rPr>
                <w:rFonts w:hint="eastAsia" w:ascii="Times New Roman" w:hAnsi="Times New Roman" w:eastAsia="宋体" w:cs="Times New Roman"/>
                <w:b w:val="0"/>
                <w:bCs w:val="0"/>
                <w:color w:val="auto"/>
                <w:kern w:val="2"/>
                <w:sz w:val="21"/>
                <w:szCs w:val="21"/>
                <w:lang w:val="en-US" w:eastAsia="zh-CN" w:bidi="ar-SA"/>
              </w:rPr>
              <w:t>及地方</w:t>
            </w:r>
            <w:r>
              <w:rPr>
                <w:rFonts w:hint="eastAsia" w:ascii="Times New Roman" w:hAnsi="Times New Roman" w:eastAsia="宋体" w:cs="Times New Roman"/>
                <w:b w:val="0"/>
                <w:bCs w:val="0"/>
                <w:color w:val="auto"/>
                <w:kern w:val="2"/>
                <w:sz w:val="21"/>
                <w:szCs w:val="21"/>
                <w:lang w:val="zh-CN" w:eastAsia="zh-CN" w:bidi="ar-SA"/>
              </w:rPr>
              <w:t>产业政策</w:t>
            </w:r>
            <w:r>
              <w:rPr>
                <w:rFonts w:hint="default" w:ascii="Times New Roman" w:hAnsi="Times New Roman" w:eastAsia="宋体" w:cs="Times New Roman"/>
                <w:b w:val="0"/>
                <w:bCs w:val="0"/>
                <w:color w:val="auto"/>
                <w:kern w:val="2"/>
                <w:sz w:val="21"/>
                <w:szCs w:val="21"/>
                <w:lang w:val="en-US" w:eastAsia="zh-CN" w:bidi="ar-SA"/>
              </w:rPr>
              <w:t>。</w:t>
            </w: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pStyle w:val="103"/>
              <w:keepNext w:val="0"/>
              <w:keepLines w:val="0"/>
              <w:widowControl/>
              <w:suppressLineNumbers w:val="0"/>
              <w:bidi w:val="0"/>
              <w:spacing w:before="0" w:beforeAutospacing="0" w:after="0" w:afterAutospacing="0"/>
              <w:ind w:left="0" w:right="0"/>
              <w:rPr>
                <w:rFonts w:hint="default" w:ascii="Times New Roman" w:hAnsi="Times New Roman" w:eastAsia="宋体" w:cs="Times New Roman"/>
                <w:b w:val="0"/>
                <w:bCs w:val="0"/>
                <w:color w:val="auto"/>
                <w:kern w:val="2"/>
                <w:sz w:val="21"/>
                <w:szCs w:val="21"/>
                <w:lang w:val="en-US" w:eastAsia="zh-CN" w:bidi="ar-SA"/>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textAlignment w:val="auto"/>
              <w:rPr>
                <w:rFonts w:hint="default" w:ascii="Times New Roman" w:hAnsi="Times New Roman" w:eastAsia="宋体" w:cs="Times New Roman"/>
                <w:color w:val="auto"/>
                <w:sz w:val="21"/>
                <w:szCs w:val="21"/>
                <w:highlight w:val="none"/>
              </w:rPr>
            </w:pPr>
          </w:p>
        </w:tc>
      </w:tr>
    </w:tbl>
    <w:p>
      <w:pPr>
        <w:spacing w:line="360" w:lineRule="auto"/>
        <w:outlineLvl w:val="9"/>
        <w:rPr>
          <w:rFonts w:hint="default" w:ascii="Times New Roman" w:hAnsi="Times New Roman" w:eastAsia="黑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3" w:name="_Toc26626"/>
      <w:r>
        <w:rPr>
          <w:rFonts w:hint="default" w:ascii="Times New Roman" w:hAnsi="Times New Roman" w:eastAsia="黑体" w:cs="Times New Roman"/>
          <w:snapToGrid w:val="0"/>
          <w:color w:val="auto"/>
          <w:sz w:val="30"/>
          <w:szCs w:val="30"/>
        </w:rPr>
        <w:t>二、建设项目工程分析</w:t>
      </w:r>
      <w:bookmarkEnd w:id="3"/>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9"/>
        <w:gridCol w:w="85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68" w:hRule="atLeast"/>
          <w:jc w:val="center"/>
        </w:trPr>
        <w:tc>
          <w:tcPr>
            <w:tcW w:w="649" w:type="dxa"/>
            <w:shd w:val="clear" w:color="auto" w:fill="auto"/>
            <w:noWrap w:val="0"/>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8525" w:type="dxa"/>
            <w:shd w:val="clear" w:color="auto" w:fill="auto"/>
            <w:noWrap w:val="0"/>
            <w:vAlign w:val="top"/>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项目由来</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为适应经济发展和市场需求，中冶重工（唐山）有限公司拟投资</w:t>
            </w:r>
            <w:r>
              <w:rPr>
                <w:rFonts w:hint="eastAsia" w:cs="Times New Roman"/>
                <w:color w:val="auto"/>
                <w:sz w:val="21"/>
                <w:szCs w:val="21"/>
                <w:highlight w:val="none"/>
                <w:lang w:val="en-US" w:eastAsia="zh-CN"/>
              </w:rPr>
              <w:t>2000</w:t>
            </w:r>
            <w:r>
              <w:rPr>
                <w:rFonts w:hint="default" w:ascii="Times New Roman" w:hAnsi="Times New Roman" w:cs="Times New Roman"/>
                <w:color w:val="auto"/>
                <w:sz w:val="21"/>
                <w:szCs w:val="21"/>
                <w:highlight w:val="none"/>
                <w:lang w:val="en-US" w:eastAsia="zh-CN"/>
              </w:rPr>
              <w:t>万元建设大型多向模锻件及重型装备自主化产业基地建设项目技改升级项目（以下简称“本项目”）。本项目位于</w:t>
            </w:r>
            <w:r>
              <w:rPr>
                <w:rFonts w:hint="eastAsia"/>
                <w:color w:val="auto"/>
                <w:sz w:val="21"/>
                <w:szCs w:val="21"/>
                <w:highlight w:val="none"/>
              </w:rPr>
              <w:t>唐山市高新区学院北路1700号</w:t>
            </w:r>
            <w:r>
              <w:rPr>
                <w:rFonts w:hint="eastAsia"/>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中冶重工（唐山）有限公司</w:t>
            </w:r>
            <w:r>
              <w:rPr>
                <w:rFonts w:hint="eastAsia" w:cs="Times New Roman"/>
                <w:color w:val="auto"/>
                <w:sz w:val="21"/>
                <w:szCs w:val="21"/>
                <w:highlight w:val="none"/>
                <w:lang w:val="en-US" w:eastAsia="zh-CN"/>
              </w:rPr>
              <w:t>厂内</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现有精锻车间（含热处理车间）和重型车间，生产能力年产大型锻件和重型装备63000t，其中大型锻件55000t、液化机等重型装备8000t。本项目利用现有厂房，对原有生产线进行技术改造，购置数控机床，电阻炉、雕刻机等先进设备，将现有工程生产的产品大型模锻件和重型装备其中的10000t/a进行喷涂、固化等表面处理，不增加全厂总生产能力。</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依据《建设项目环境影响评价分类管理名录》（2021版），本项目属于“三十一、通用设备制造业69其他通用设备制造业 其他（仅分割、焊接、组装的除外；年用非溶剂型低VOCs含量涂料10吨以下的除外）”，应编制环境影响报告表，</w:t>
            </w:r>
            <w:r>
              <w:rPr>
                <w:rFonts w:hint="eastAsia" w:cs="Times New Roman"/>
                <w:color w:val="auto"/>
                <w:sz w:val="21"/>
                <w:szCs w:val="21"/>
                <w:highlight w:val="none"/>
                <w:lang w:val="en-US" w:eastAsia="zh-CN"/>
              </w:rPr>
              <w:t>中冶重工（唐山）有限公司</w:t>
            </w:r>
            <w:r>
              <w:rPr>
                <w:rFonts w:hint="default" w:ascii="Times New Roman" w:hAnsi="Times New Roman" w:cs="Times New Roman"/>
                <w:color w:val="auto"/>
                <w:sz w:val="21"/>
                <w:szCs w:val="21"/>
                <w:highlight w:val="none"/>
                <w:lang w:val="en-US" w:eastAsia="zh-CN"/>
              </w:rPr>
              <w:t>委托我单位承担本项目报告表的编制工作，我单位接受委托后，立即开展了现场踏勘、资料收集等工作，并按照《关于印发《建设项目环境影响报告表》内容、格式及编制技术指南的通知（环办环评〔2020］33号）》附件：《建设项目环境影响报告表编制技术指南（污染影响类）》编制完成了</w:t>
            </w:r>
            <w:r>
              <w:rPr>
                <w:rFonts w:hint="eastAsia"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环境影响报告表。</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1、建设内容</w:t>
            </w:r>
          </w:p>
          <w:p>
            <w:pPr>
              <w:keepNext w:val="0"/>
              <w:keepLines w:val="0"/>
              <w:suppressLineNumbers w:val="0"/>
              <w:snapToGrid w:val="0"/>
              <w:spacing w:before="0" w:beforeAutospacing="0" w:after="0" w:afterAutospacing="0" w:line="360" w:lineRule="auto"/>
              <w:ind w:left="0" w:right="0" w:firstLine="420" w:firstLineChars="200"/>
              <w:rPr>
                <w:rFonts w:hint="eastAsia"/>
                <w:color w:val="auto"/>
                <w:szCs w:val="21"/>
                <w:highlight w:val="none"/>
              </w:rPr>
            </w:pPr>
            <w:r>
              <w:rPr>
                <w:rFonts w:hint="eastAsia" w:cs="Times New Roman"/>
                <w:color w:val="auto"/>
                <w:sz w:val="21"/>
                <w:szCs w:val="21"/>
                <w:highlight w:val="none"/>
                <w:lang w:val="en-US" w:eastAsia="zh-CN"/>
              </w:rPr>
              <w:t>本项目利用现有厂房，对原有生产线进行技术改造，购置数控机床，电阻炉、雕刻机等先进设备，将现有工程生产的产品大型模锻件和重型装备其中的10000t/a进行喷涂、固化等表面处理，不增加全厂总生产能力</w:t>
            </w:r>
            <w:r>
              <w:rPr>
                <w:rFonts w:hint="eastAsia"/>
                <w:color w:val="auto"/>
                <w:szCs w:val="21"/>
                <w:highlight w:val="none"/>
              </w:rPr>
              <w:t>。</w:t>
            </w:r>
          </w:p>
          <w:p>
            <w:pPr>
              <w:keepNext w:val="0"/>
              <w:keepLines w:val="0"/>
              <w:suppressLineNumbers w:val="0"/>
              <w:snapToGrid w:val="0"/>
              <w:spacing w:before="0" w:beforeAutospacing="0" w:after="0" w:afterAutospacing="0" w:line="360" w:lineRule="auto"/>
              <w:ind w:left="0" w:right="0" w:firstLine="420" w:firstLineChars="200"/>
              <w:rPr>
                <w:color w:val="auto"/>
                <w:kern w:val="0"/>
                <w:szCs w:val="21"/>
                <w:highlight w:val="none"/>
              </w:rPr>
            </w:pPr>
            <w:r>
              <w:rPr>
                <w:color w:val="auto"/>
                <w:kern w:val="0"/>
                <w:szCs w:val="21"/>
                <w:highlight w:val="none"/>
              </w:rPr>
              <w:t>本项目</w:t>
            </w:r>
            <w:r>
              <w:rPr>
                <w:color w:val="auto"/>
                <w:szCs w:val="21"/>
                <w:highlight w:val="none"/>
              </w:rPr>
              <w:t>建设内容详见表</w:t>
            </w:r>
            <w:r>
              <w:rPr>
                <w:rFonts w:hint="eastAsia"/>
                <w:color w:val="auto"/>
                <w:szCs w:val="21"/>
                <w:highlight w:val="none"/>
                <w:lang w:val="en-US" w:eastAsia="zh-CN"/>
              </w:rPr>
              <w:t>6</w:t>
            </w:r>
            <w:r>
              <w:rPr>
                <w:color w:val="auto"/>
                <w:szCs w:val="21"/>
                <w:highlight w:val="none"/>
              </w:rPr>
              <w:t>。</w:t>
            </w:r>
          </w:p>
          <w:p>
            <w:pPr>
              <w:pStyle w:val="16"/>
              <w:keepNext w:val="0"/>
              <w:keepLines w:val="0"/>
              <w:suppressLineNumbers w:val="0"/>
              <w:snapToGrid w:val="0"/>
              <w:spacing w:before="0" w:beforeAutospacing="0" w:after="0" w:afterAutospacing="0" w:line="360" w:lineRule="auto"/>
              <w:ind w:left="0" w:leftChars="0" w:right="0" w:firstLine="420" w:firstLineChars="200"/>
              <w:jc w:val="center"/>
              <w:rPr>
                <w:color w:val="auto"/>
                <w:sz w:val="21"/>
                <w:szCs w:val="21"/>
                <w:highlight w:val="none"/>
                <w:lang w:val="en-US" w:eastAsia="zh-CN"/>
              </w:rPr>
            </w:pPr>
            <w:r>
              <w:rPr>
                <w:color w:val="auto"/>
                <w:sz w:val="21"/>
                <w:szCs w:val="21"/>
                <w:highlight w:val="none"/>
                <w:lang w:val="en-US" w:eastAsia="zh-CN"/>
              </w:rPr>
              <w:t>表</w:t>
            </w:r>
            <w:r>
              <w:rPr>
                <w:rFonts w:hint="eastAsia"/>
                <w:color w:val="auto"/>
                <w:sz w:val="21"/>
                <w:szCs w:val="21"/>
                <w:highlight w:val="none"/>
                <w:lang w:val="en-US" w:eastAsia="zh-CN"/>
              </w:rPr>
              <w:t>6</w:t>
            </w:r>
            <w:r>
              <w:rPr>
                <w:color w:val="auto"/>
                <w:sz w:val="21"/>
                <w:szCs w:val="21"/>
                <w:highlight w:val="none"/>
                <w:lang w:val="en-US" w:eastAsia="zh-CN"/>
              </w:rPr>
              <w:t xml:space="preserve"> </w:t>
            </w:r>
            <w:r>
              <w:rPr>
                <w:rFonts w:hint="eastAsia"/>
                <w:color w:val="auto"/>
                <w:sz w:val="21"/>
                <w:szCs w:val="21"/>
                <w:highlight w:val="none"/>
                <w:lang w:val="en-US" w:eastAsia="zh-CN"/>
              </w:rPr>
              <w:t xml:space="preserve"> </w:t>
            </w:r>
            <w:r>
              <w:rPr>
                <w:color w:val="auto"/>
                <w:sz w:val="21"/>
                <w:szCs w:val="21"/>
                <w:highlight w:val="none"/>
                <w:lang w:val="en-US" w:eastAsia="zh-CN"/>
              </w:rPr>
              <w:t>项目主要建设内容一览表</w:t>
            </w:r>
          </w:p>
          <w:tbl>
            <w:tblPr>
              <w:tblStyle w:val="35"/>
              <w:tblW w:w="4953"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85"/>
              <w:gridCol w:w="4267"/>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42"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工程分类</w:t>
                  </w: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建设详情</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342" w:type="pct"/>
                  <w:vMerge w:val="restar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主体工程</w:t>
                  </w:r>
                </w:p>
              </w:tc>
              <w:tc>
                <w:tcPr>
                  <w:tcW w:w="781" w:type="pct"/>
                  <w:tcBorders>
                    <w:tl2br w:val="nil"/>
                    <w:tr2bl w:val="nil"/>
                  </w:tcBorders>
                  <w:noWrap w:val="0"/>
                  <w:tcMar>
                    <w:left w:w="0" w:type="dxa"/>
                    <w:right w:w="0" w:type="dxa"/>
                  </w:tcMar>
                  <w:vAlign w:val="center"/>
                </w:tcPr>
                <w:p>
                  <w:pPr>
                    <w:keepNext w:val="0"/>
                    <w:keepLines w:val="0"/>
                    <w:suppressLineNumbers w:val="0"/>
                    <w:adjustRightInd w:val="0"/>
                    <w:spacing w:before="0" w:beforeLines="0" w:beforeAutospacing="0" w:after="0" w:afterLines="0" w:afterAutospacing="0" w:line="320" w:lineRule="exact"/>
                    <w:ind w:left="0" w:right="0"/>
                    <w:jc w:val="center"/>
                    <w:textAlignment w:val="baseline"/>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精锻</w:t>
                  </w:r>
                  <w:r>
                    <w:rPr>
                      <w:rFonts w:hint="default" w:ascii="Times New Roman" w:hAnsi="Times New Roman" w:eastAsia="宋体" w:cs="Times New Roman"/>
                      <w:color w:val="auto"/>
                      <w:sz w:val="21"/>
                      <w:szCs w:val="21"/>
                      <w:highlight w:val="none"/>
                    </w:rPr>
                    <w:t>车间</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利用现有</w:t>
                  </w:r>
                  <w:r>
                    <w:rPr>
                      <w:rFonts w:hint="eastAsia" w:cs="Times New Roman"/>
                      <w:color w:val="auto"/>
                      <w:sz w:val="21"/>
                      <w:szCs w:val="21"/>
                      <w:highlight w:val="none"/>
                      <w:lang w:val="en-US" w:eastAsia="zh-CN"/>
                    </w:rPr>
                    <w:t>精锻</w:t>
                  </w:r>
                  <w:r>
                    <w:rPr>
                      <w:rFonts w:hint="default" w:ascii="Times New Roman" w:hAnsi="Times New Roman" w:cs="Times New Roman"/>
                      <w:color w:val="auto"/>
                      <w:sz w:val="21"/>
                      <w:szCs w:val="21"/>
                      <w:highlight w:val="none"/>
                      <w:lang w:val="en-US" w:eastAsia="zh-CN"/>
                    </w:rPr>
                    <w:t>车间，</w:t>
                  </w:r>
                  <w:r>
                    <w:rPr>
                      <w:rFonts w:hint="eastAsia" w:cs="Times New Roman"/>
                      <w:color w:val="auto"/>
                      <w:sz w:val="21"/>
                      <w:szCs w:val="21"/>
                      <w:highlight w:val="none"/>
                      <w:lang w:val="en-US" w:eastAsia="zh-CN"/>
                    </w:rPr>
                    <w:t>增设带锯床、电阻炉、电加热炉等</w:t>
                  </w:r>
                  <w:r>
                    <w:rPr>
                      <w:rFonts w:hint="default" w:ascii="Times New Roman" w:hAnsi="Times New Roman" w:cs="Times New Roman"/>
                      <w:color w:val="auto"/>
                      <w:sz w:val="21"/>
                      <w:szCs w:val="21"/>
                      <w:highlight w:val="none"/>
                      <w:lang w:val="en-US" w:eastAsia="zh-CN"/>
                    </w:rPr>
                    <w:t>。</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现有工程车间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新增</w:t>
                  </w:r>
                  <w:r>
                    <w:rPr>
                      <w:rFonts w:hint="eastAsia" w:cs="Times New Roman"/>
                      <w:color w:val="auto"/>
                      <w:sz w:val="21"/>
                      <w:szCs w:val="21"/>
                      <w:highlight w:val="none"/>
                      <w:lang w:val="en-US" w:eastAsia="zh-CN"/>
                    </w:rPr>
                    <w:t>下料、加热、锻造等</w:t>
                  </w:r>
                  <w:r>
                    <w:rPr>
                      <w:rFonts w:hint="default" w:ascii="Times New Roman" w:hAnsi="Times New Roman" w:cs="Times New Roman"/>
                      <w:color w:val="auto"/>
                      <w:sz w:val="21"/>
                      <w:szCs w:val="21"/>
                      <w:highlight w:val="none"/>
                      <w:lang w:val="en-US" w:eastAsia="zh-CN"/>
                    </w:rPr>
                    <w:t>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color w:val="auto"/>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重型</w:t>
                  </w:r>
                  <w:r>
                    <w:rPr>
                      <w:rFonts w:hint="default" w:ascii="Times New Roman" w:hAnsi="Times New Roman" w:cs="Times New Roman"/>
                      <w:color w:val="auto"/>
                      <w:sz w:val="21"/>
                      <w:szCs w:val="21"/>
                      <w:highlight w:val="none"/>
                      <w:lang w:val="en-US" w:eastAsia="zh-CN"/>
                    </w:rPr>
                    <w:t>车间</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利用现有</w:t>
                  </w:r>
                  <w:r>
                    <w:rPr>
                      <w:rFonts w:hint="eastAsia" w:cs="Times New Roman"/>
                      <w:color w:val="auto"/>
                      <w:sz w:val="21"/>
                      <w:szCs w:val="21"/>
                      <w:highlight w:val="none"/>
                      <w:lang w:val="en-US" w:eastAsia="zh-CN"/>
                    </w:rPr>
                    <w:t>重型</w:t>
                  </w:r>
                  <w:r>
                    <w:rPr>
                      <w:rFonts w:hint="default" w:ascii="Times New Roman" w:hAnsi="Times New Roman" w:cs="Times New Roman"/>
                      <w:color w:val="auto"/>
                      <w:sz w:val="21"/>
                      <w:szCs w:val="21"/>
                      <w:highlight w:val="none"/>
                      <w:lang w:val="en-US" w:eastAsia="zh-CN"/>
                    </w:rPr>
                    <w:t>车间，</w:t>
                  </w:r>
                  <w:r>
                    <w:rPr>
                      <w:rFonts w:hint="eastAsia" w:cs="Times New Roman"/>
                      <w:color w:val="auto"/>
                      <w:sz w:val="21"/>
                      <w:szCs w:val="21"/>
                      <w:highlight w:val="none"/>
                      <w:lang w:val="en-US" w:eastAsia="zh-CN"/>
                    </w:rPr>
                    <w:t>增设布料机、车床、加工中心、静电喷涂设备、切割机、龙门吊等</w:t>
                  </w:r>
                  <w:r>
                    <w:rPr>
                      <w:rFonts w:hint="default" w:ascii="Times New Roman" w:hAnsi="Times New Roman" w:cs="Times New Roman"/>
                      <w:color w:val="auto"/>
                      <w:sz w:val="21"/>
                      <w:szCs w:val="21"/>
                      <w:highlight w:val="none"/>
                      <w:lang w:val="en-US" w:eastAsia="zh-CN"/>
                    </w:rPr>
                    <w:t>。</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FF0000"/>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现有工程车间</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新增</w:t>
                  </w:r>
                  <w:r>
                    <w:rPr>
                      <w:rFonts w:hint="eastAsia" w:cs="Times New Roman"/>
                      <w:color w:val="auto"/>
                      <w:sz w:val="21"/>
                      <w:szCs w:val="21"/>
                      <w:highlight w:val="none"/>
                      <w:lang w:val="en-US" w:eastAsia="zh-CN"/>
                    </w:rPr>
                    <w:t>机加工、静电喷涂等</w:t>
                  </w:r>
                  <w:r>
                    <w:rPr>
                      <w:rFonts w:hint="default" w:ascii="Times New Roman" w:hAnsi="Times New Roman" w:cs="Times New Roman"/>
                      <w:color w:val="auto"/>
                      <w:sz w:val="21"/>
                      <w:szCs w:val="21"/>
                      <w:highlight w:val="none"/>
                      <w:lang w:val="en-US" w:eastAsia="zh-CN"/>
                    </w:rPr>
                    <w:t>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color w:val="auto"/>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管汇车间</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left"/>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利用现有库房，增加钻床、普通车床、数控车床、加工中心、注脂机、电葫芦等设备</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eastAsia" w:cs="Times New Roman"/>
                      <w:color w:val="FF0000"/>
                      <w:sz w:val="21"/>
                      <w:szCs w:val="21"/>
                      <w:highlight w:val="none"/>
                      <w:lang w:val="en-US"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现有工程</w:t>
                  </w:r>
                  <w:r>
                    <w:rPr>
                      <w:rFonts w:hint="eastAsia" w:cs="Times New Roman"/>
                      <w:color w:val="auto"/>
                      <w:sz w:val="21"/>
                      <w:szCs w:val="21"/>
                      <w:highlight w:val="none"/>
                      <w:lang w:val="en-US" w:eastAsia="zh-CN"/>
                    </w:rPr>
                    <w:t>库房，</w:t>
                  </w:r>
                  <w:r>
                    <w:rPr>
                      <w:rFonts w:hint="default" w:ascii="Times New Roman" w:hAnsi="Times New Roman" w:cs="Times New Roman"/>
                      <w:color w:val="auto"/>
                      <w:sz w:val="21"/>
                      <w:szCs w:val="21"/>
                      <w:highlight w:val="none"/>
                      <w:lang w:val="en-US" w:eastAsia="zh-CN"/>
                    </w:rPr>
                    <w:t>新增</w:t>
                  </w:r>
                  <w:r>
                    <w:rPr>
                      <w:rFonts w:hint="eastAsia" w:cs="Times New Roman"/>
                      <w:color w:val="auto"/>
                      <w:sz w:val="21"/>
                      <w:szCs w:val="21"/>
                      <w:highlight w:val="none"/>
                      <w:lang w:val="en-US" w:eastAsia="zh-CN"/>
                    </w:rPr>
                    <w:t>机加工等</w:t>
                  </w:r>
                  <w:r>
                    <w:rPr>
                      <w:rFonts w:hint="default" w:ascii="Times New Roman" w:hAnsi="Times New Roman" w:cs="Times New Roman"/>
                      <w:color w:val="auto"/>
                      <w:sz w:val="21"/>
                      <w:szCs w:val="21"/>
                      <w:highlight w:val="none"/>
                      <w:lang w:val="en-US" w:eastAsia="zh-CN"/>
                    </w:rPr>
                    <w:t>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2" w:type="pct"/>
                  <w:vMerge w:val="restar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辅助工程</w:t>
                  </w:r>
                </w:p>
              </w:tc>
              <w:tc>
                <w:tcPr>
                  <w:tcW w:w="781" w:type="pct"/>
                  <w:tcBorders>
                    <w:tl2br w:val="nil"/>
                    <w:tr2bl w:val="nil"/>
                  </w:tcBorders>
                  <w:noWrap w:val="0"/>
                  <w:tcMar>
                    <w:left w:w="0" w:type="dxa"/>
                    <w:right w:w="0" w:type="dxa"/>
                  </w:tcMar>
                  <w:vAlign w:val="center"/>
                </w:tcPr>
                <w:p>
                  <w:pPr>
                    <w:keepNext w:val="0"/>
                    <w:keepLines w:val="0"/>
                    <w:suppressLineNumbers w:val="0"/>
                    <w:adjustRightInd w:val="0"/>
                    <w:spacing w:before="0" w:beforeLines="0" w:beforeAutospacing="0" w:after="0" w:afterLines="0" w:afterAutospacing="0" w:line="320" w:lineRule="exac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综合楼</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5层，占地面积2225m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，建筑面积11124m</w:t>
                  </w:r>
                  <w:r>
                    <w:rPr>
                      <w:rFonts w:hint="eastAsia" w:cs="Times New Roman"/>
                      <w:color w:val="auto"/>
                      <w:sz w:val="21"/>
                      <w:szCs w:val="21"/>
                      <w:highlight w:val="none"/>
                      <w:vertAlign w:val="superscript"/>
                      <w:lang w:val="en-US" w:eastAsia="zh-CN"/>
                    </w:rPr>
                    <w:t>2</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宿舍</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5层，占地面积1483m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，建筑面积7416m</w:t>
                  </w:r>
                  <w:r>
                    <w:rPr>
                      <w:rFonts w:hint="eastAsia" w:cs="Times New Roman"/>
                      <w:color w:val="auto"/>
                      <w:sz w:val="21"/>
                      <w:szCs w:val="21"/>
                      <w:highlight w:val="none"/>
                      <w:vertAlign w:val="superscript"/>
                      <w:lang w:val="en-US" w:eastAsia="zh-CN"/>
                    </w:rPr>
                    <w:t>2</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食堂</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3层，占地面积742m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，建筑面积2225m</w:t>
                  </w:r>
                  <w:r>
                    <w:rPr>
                      <w:rFonts w:hint="eastAsia" w:cs="Times New Roman"/>
                      <w:color w:val="auto"/>
                      <w:sz w:val="21"/>
                      <w:szCs w:val="21"/>
                      <w:highlight w:val="none"/>
                      <w:vertAlign w:val="superscript"/>
                      <w:lang w:val="en-US" w:eastAsia="zh-CN"/>
                    </w:rPr>
                    <w:t>2</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门卫室</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1层，占地面积120m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，建筑面积120m</w:t>
                  </w:r>
                  <w:r>
                    <w:rPr>
                      <w:rFonts w:hint="eastAsia" w:cs="Times New Roman"/>
                      <w:color w:val="auto"/>
                      <w:sz w:val="21"/>
                      <w:szCs w:val="21"/>
                      <w:highlight w:val="none"/>
                      <w:vertAlign w:val="superscript"/>
                      <w:lang w:val="en-US" w:eastAsia="zh-CN"/>
                    </w:rPr>
                    <w:t>2</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default" w:ascii="Times New Roman" w:hAnsi="Times New Roman"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危废间</w:t>
                  </w:r>
                </w:p>
              </w:tc>
              <w:tc>
                <w:tcPr>
                  <w:tcW w:w="2594" w:type="pct"/>
                  <w:tcBorders>
                    <w:tl2br w:val="nil"/>
                    <w:tr2bl w:val="nil"/>
                  </w:tcBorders>
                  <w:noWrap w:val="0"/>
                  <w:tcMar>
                    <w:left w:w="0" w:type="dxa"/>
                    <w:right w:w="0" w:type="dxa"/>
                  </w:tcMar>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2"/>
                      <w:sz w:val="21"/>
                      <w:szCs w:val="21"/>
                      <w:highlight w:val="none"/>
                      <w:lang w:val="en-US" w:eastAsia="zh-CN"/>
                    </w:rPr>
                    <w:t>1层，占地面积108m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，建筑面积108m</w:t>
                  </w:r>
                  <w:r>
                    <w:rPr>
                      <w:rFonts w:hint="eastAsia" w:cs="Times New Roman"/>
                      <w:color w:val="auto"/>
                      <w:kern w:val="2"/>
                      <w:sz w:val="21"/>
                      <w:szCs w:val="21"/>
                      <w:highlight w:val="none"/>
                      <w:vertAlign w:val="superscript"/>
                      <w:lang w:val="en-US" w:eastAsia="zh-CN"/>
                    </w:rPr>
                    <w:t>2</w:t>
                  </w:r>
                </w:p>
              </w:tc>
              <w:tc>
                <w:tcPr>
                  <w:tcW w:w="12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line="320" w:lineRule="exact"/>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42" w:type="pct"/>
                  <w:vMerge w:val="restar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781" w:type="pct"/>
                  <w:tcBorders>
                    <w:tl2br w:val="nil"/>
                    <w:tr2bl w:val="nil"/>
                  </w:tcBorders>
                  <w:noWrap w:val="0"/>
                  <w:tcMar>
                    <w:left w:w="0" w:type="dxa"/>
                    <w:right w:w="0" w:type="dxa"/>
                  </w:tcMar>
                  <w:vAlign w:val="center"/>
                </w:tcPr>
                <w:p>
                  <w:pPr>
                    <w:keepNext w:val="0"/>
                    <w:keepLines w:val="0"/>
                    <w:suppressLineNumbers w:val="0"/>
                    <w:adjustRightInd w:val="0"/>
                    <w:spacing w:before="0" w:beforeLines="0" w:beforeAutospacing="0" w:after="0" w:afterLines="0" w:afterAutospacing="0" w:line="240" w:lineRule="exact"/>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w:t>
                  </w:r>
                </w:p>
              </w:tc>
              <w:tc>
                <w:tcPr>
                  <w:tcW w:w="2594"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新鲜水</w:t>
                  </w:r>
                  <w:r>
                    <w:rPr>
                      <w:rFonts w:hint="eastAsia" w:cs="Times New Roman"/>
                      <w:color w:val="auto"/>
                      <w:sz w:val="21"/>
                      <w:szCs w:val="21"/>
                      <w:highlight w:val="none"/>
                      <w:lang w:val="en-US" w:eastAsia="zh-CN"/>
                    </w:rPr>
                    <w:t>依托现有工程</w:t>
                  </w:r>
                  <w:r>
                    <w:rPr>
                      <w:rStyle w:val="97"/>
                      <w:rFonts w:hint="eastAsia" w:cs="Times New Roman"/>
                      <w:color w:val="auto"/>
                      <w:sz w:val="21"/>
                      <w:szCs w:val="21"/>
                      <w:highlight w:val="none"/>
                      <w:lang w:val="en-US"/>
                    </w:rPr>
                    <w:t>市政管网供水</w:t>
                  </w: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本项目新增水压试验用水</w:t>
                  </w:r>
                  <w:r>
                    <w:rPr>
                      <w:rFonts w:hint="default" w:ascii="Times New Roman" w:hAnsi="Times New Roman" w:cs="Times New Roman"/>
                      <w:color w:val="auto"/>
                      <w:sz w:val="21"/>
                      <w:szCs w:val="21"/>
                      <w:highlight w:val="none"/>
                      <w:lang w:val="en-US" w:eastAsia="zh-CN"/>
                    </w:rPr>
                    <w:t>。劳动定员不变，生活用水量不变。</w:t>
                  </w:r>
                </w:p>
              </w:tc>
              <w:tc>
                <w:tcPr>
                  <w:tcW w:w="1281" w:type="pct"/>
                  <w:vMerge w:val="restar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FF0000"/>
                      <w:sz w:val="21"/>
                      <w:szCs w:val="21"/>
                      <w:highlight w:val="none"/>
                      <w:lang w:eastAsia="zh-CN"/>
                    </w:rPr>
                  </w:pPr>
                  <w:r>
                    <w:rPr>
                      <w:rFonts w:hint="default" w:ascii="Times New Roman" w:hAnsi="Times New Roman" w:eastAsia="宋体" w:cs="Times New Roman"/>
                      <w:color w:val="auto"/>
                      <w:sz w:val="21"/>
                      <w:szCs w:val="21"/>
                      <w:highlight w:val="none"/>
                    </w:rPr>
                    <w:t>依托</w:t>
                  </w:r>
                  <w:r>
                    <w:rPr>
                      <w:rFonts w:hint="default" w:ascii="Times New Roman" w:hAnsi="Times New Roman" w:cs="Times New Roman"/>
                      <w:color w:val="auto"/>
                      <w:sz w:val="21"/>
                      <w:szCs w:val="21"/>
                      <w:highlight w:val="no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pacing w:before="0" w:beforeLines="0" w:beforeAutospacing="0" w:after="0" w:afterLines="0" w:afterAutospacing="0" w:line="240" w:lineRule="exact"/>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w:t>
                  </w:r>
                </w:p>
              </w:tc>
              <w:tc>
                <w:tcPr>
                  <w:tcW w:w="2594" w:type="pct"/>
                  <w:tcBorders>
                    <w:tl2br w:val="nil"/>
                    <w:tr2bl w:val="nil"/>
                  </w:tcBorders>
                  <w:noWrap w:val="0"/>
                  <w:tcMar>
                    <w:left w:w="0" w:type="dxa"/>
                    <w:right w:w="0" w:type="dxa"/>
                  </w:tcMar>
                  <w:vAlign w:val="center"/>
                </w:tcPr>
                <w:p>
                  <w:pPr>
                    <w:keepNext w:val="0"/>
                    <w:keepLines w:val="0"/>
                    <w:suppressLineNumbers w:val="0"/>
                    <w:tabs>
                      <w:tab w:val="left" w:pos="5792"/>
                    </w:tabs>
                    <w:autoSpaceDE w:val="0"/>
                    <w:autoSpaceDN w:val="0"/>
                    <w:spacing w:before="0" w:beforeAutospacing="0" w:after="0" w:afterAutospacing="0"/>
                    <w:ind w:left="0" w:right="130" w:rightChars="62"/>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依托现有</w:t>
                  </w:r>
                  <w:r>
                    <w:rPr>
                      <w:rFonts w:hint="default" w:ascii="Times New Roman" w:hAnsi="Times New Roman" w:cs="Times New Roman"/>
                      <w:color w:val="auto"/>
                      <w:sz w:val="21"/>
                      <w:szCs w:val="21"/>
                      <w:highlight w:val="none"/>
                    </w:rPr>
                    <w:t>电网供给</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本项目新增设备后用电量有所增加，技改后用电量</w:t>
                  </w:r>
                  <w:r>
                    <w:rPr>
                      <w:rFonts w:hint="eastAsia" w:cs="Times New Roman"/>
                      <w:color w:val="auto"/>
                      <w:sz w:val="21"/>
                      <w:szCs w:val="21"/>
                      <w:highlight w:val="none"/>
                      <w:lang w:val="en-US" w:eastAsia="zh-CN"/>
                    </w:rPr>
                    <w:t>400</w:t>
                  </w:r>
                  <w:r>
                    <w:rPr>
                      <w:rFonts w:hint="default" w:ascii="Times New Roman" w:hAnsi="Times New Roman" w:cs="Times New Roman"/>
                      <w:color w:val="auto"/>
                      <w:sz w:val="21"/>
                      <w:szCs w:val="21"/>
                      <w:highlight w:val="none"/>
                    </w:rPr>
                    <w:t>万</w:t>
                  </w:r>
                  <w:r>
                    <w:rPr>
                      <w:rFonts w:hint="eastAsia" w:cs="Times New Roman"/>
                      <w:color w:val="auto"/>
                      <w:sz w:val="21"/>
                      <w:szCs w:val="21"/>
                      <w:highlight w:val="none"/>
                      <w:lang w:eastAsia="zh-CN"/>
                    </w:rPr>
                    <w:t>kW.h</w:t>
                  </w:r>
                  <w:r>
                    <w:rPr>
                      <w:rFonts w:hint="default" w:ascii="Times New Roman" w:hAnsi="Times New Roman" w:cs="Times New Roman"/>
                      <w:color w:val="auto"/>
                      <w:sz w:val="21"/>
                      <w:szCs w:val="21"/>
                      <w:highlight w:val="none"/>
                    </w:rPr>
                    <w:t>/年</w:t>
                  </w:r>
                </w:p>
              </w:tc>
              <w:tc>
                <w:tcPr>
                  <w:tcW w:w="1281"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FF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pacing w:before="0" w:beforeLines="0" w:beforeAutospacing="0" w:after="0" w:afterLines="0" w:afterAutospacing="0" w:line="240" w:lineRule="exact"/>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供热</w:t>
                  </w:r>
                </w:p>
              </w:tc>
              <w:tc>
                <w:tcPr>
                  <w:tcW w:w="2594" w:type="pct"/>
                  <w:tcBorders>
                    <w:tl2br w:val="nil"/>
                    <w:tr2bl w:val="nil"/>
                  </w:tcBorders>
                  <w:noWrap w:val="0"/>
                  <w:tcMar>
                    <w:left w:w="0" w:type="dxa"/>
                    <w:right w:w="0" w:type="dxa"/>
                  </w:tcMar>
                  <w:vAlign w:val="center"/>
                </w:tcPr>
                <w:p>
                  <w:pPr>
                    <w:keepNext w:val="0"/>
                    <w:keepLines w:val="0"/>
                    <w:suppressLineNumbers w:val="0"/>
                    <w:tabs>
                      <w:tab w:val="left" w:pos="5792"/>
                    </w:tabs>
                    <w:autoSpaceDE w:val="0"/>
                    <w:autoSpaceDN w:val="0"/>
                    <w:spacing w:before="0" w:beforeAutospacing="0" w:after="0" w:afterAutospacing="0"/>
                    <w:ind w:left="0" w:right="130" w:rightChars="62"/>
                    <w:rPr>
                      <w:rFonts w:hint="default" w:ascii="Times New Roman" w:hAnsi="Times New Roman" w:eastAsia="宋体" w:cs="Times New Roman"/>
                      <w:color w:val="auto"/>
                      <w:sz w:val="21"/>
                      <w:szCs w:val="21"/>
                      <w:highlight w:val="none"/>
                      <w:lang w:eastAsia="zh-CN"/>
                    </w:rPr>
                  </w:pPr>
                  <w:r>
                    <w:rPr>
                      <w:rFonts w:hint="eastAsia"/>
                      <w:color w:val="auto"/>
                      <w:spacing w:val="5"/>
                      <w:kern w:val="2"/>
                      <w:sz w:val="21"/>
                      <w:szCs w:val="21"/>
                      <w:highlight w:val="none"/>
                    </w:rPr>
                    <w:t>厂区内各厂房建筑内</w:t>
                  </w:r>
                  <w:r>
                    <w:rPr>
                      <w:rFonts w:hint="eastAsia"/>
                      <w:color w:val="auto"/>
                      <w:spacing w:val="5"/>
                      <w:kern w:val="2"/>
                      <w:sz w:val="21"/>
                      <w:szCs w:val="21"/>
                      <w:highlight w:val="none"/>
                      <w:lang w:val="en-US" w:eastAsia="zh-CN"/>
                    </w:rPr>
                    <w:t>依托现有</w:t>
                  </w:r>
                  <w:r>
                    <w:rPr>
                      <w:rFonts w:hint="eastAsia"/>
                      <w:color w:val="auto"/>
                      <w:spacing w:val="5"/>
                      <w:kern w:val="2"/>
                      <w:sz w:val="21"/>
                      <w:szCs w:val="21"/>
                      <w:highlight w:val="none"/>
                    </w:rPr>
                    <w:t>热源</w:t>
                  </w:r>
                </w:p>
              </w:tc>
              <w:tc>
                <w:tcPr>
                  <w:tcW w:w="1281"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FF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342" w:type="pct"/>
                  <w:vMerge w:val="restar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废气处理</w:t>
                  </w:r>
                </w:p>
              </w:tc>
              <w:tc>
                <w:tcPr>
                  <w:tcW w:w="2594"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leftChars="0" w:right="0" w:right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喷塑工序废气经滤筒除尘器+布袋除尘器处理后经1根30m的排气筒（DA002）</w:t>
                  </w:r>
                  <w:r>
                    <w:rPr>
                      <w:rFonts w:hint="eastAsia" w:ascii="Times New Roman" w:hAnsi="Times New Roman" w:eastAsia="宋体" w:cs="Times New Roman"/>
                      <w:color w:val="auto"/>
                      <w:kern w:val="2"/>
                      <w:sz w:val="21"/>
                      <w:szCs w:val="21"/>
                      <w:highlight w:val="none"/>
                      <w:lang w:val="en-US" w:eastAsia="zh-CN" w:bidi="ar-SA"/>
                    </w:rPr>
                    <w:t>排放</w:t>
                  </w:r>
                  <w:r>
                    <w:rPr>
                      <w:rFonts w:hint="eastAsia" w:cs="Times New Roman"/>
                      <w:color w:val="auto"/>
                      <w:kern w:val="2"/>
                      <w:sz w:val="21"/>
                      <w:szCs w:val="21"/>
                      <w:highlight w:val="none"/>
                      <w:lang w:val="en-US" w:eastAsia="zh-CN" w:bidi="ar-SA"/>
                    </w:rPr>
                    <w:t>，固化工序废气经喷淋塔+干式过滤箱+活性炭吸附/脱附+催化燃烧装置处理后经1根30m的排气筒（DA003）</w:t>
                  </w:r>
                  <w:r>
                    <w:rPr>
                      <w:rFonts w:hint="eastAsia" w:ascii="Times New Roman" w:hAnsi="Times New Roman" w:eastAsia="宋体" w:cs="Times New Roman"/>
                      <w:color w:val="auto"/>
                      <w:kern w:val="2"/>
                      <w:sz w:val="21"/>
                      <w:szCs w:val="21"/>
                      <w:highlight w:val="none"/>
                      <w:lang w:val="en-US" w:eastAsia="zh-CN" w:bidi="ar-SA"/>
                    </w:rPr>
                    <w:t>排放</w:t>
                  </w:r>
                </w:p>
              </w:tc>
              <w:tc>
                <w:tcPr>
                  <w:tcW w:w="1281"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废水处理</w:t>
                  </w:r>
                </w:p>
              </w:tc>
              <w:tc>
                <w:tcPr>
                  <w:tcW w:w="2594" w:type="pct"/>
                  <w:tcBorders>
                    <w:tl2br w:val="nil"/>
                    <w:tr2bl w:val="nil"/>
                  </w:tcBorders>
                  <w:noWrap w:val="0"/>
                  <w:tcMar>
                    <w:left w:w="0" w:type="dxa"/>
                    <w:right w:w="0" w:type="dxa"/>
                  </w:tcMar>
                  <w:vAlign w:val="center"/>
                </w:tcPr>
                <w:p>
                  <w:pPr>
                    <w:pStyle w:val="80"/>
                    <w:keepNext w:val="0"/>
                    <w:keepLines w:val="0"/>
                    <w:numPr>
                      <w:ilvl w:val="0"/>
                      <w:numId w:val="0"/>
                    </w:numPr>
                    <w:suppressLineNumbers w:val="0"/>
                    <w:snapToGrid w:val="0"/>
                    <w:spacing w:before="0" w:beforeLines="0" w:beforeAutospacing="0" w:after="0" w:afterLines="0" w:afterAutospacing="0" w:line="240" w:lineRule="auto"/>
                    <w:ind w:left="0" w:right="0" w:rightChars="0"/>
                    <w:jc w:val="both"/>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水压试验用水和喷淋塔用水循环使用，定期补充，不外排</w:t>
                  </w:r>
                </w:p>
              </w:tc>
              <w:tc>
                <w:tcPr>
                  <w:tcW w:w="1281"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right="0"/>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噪声防治</w:t>
                  </w:r>
                </w:p>
              </w:tc>
              <w:tc>
                <w:tcPr>
                  <w:tcW w:w="2594"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right="0"/>
                    <w:jc w:val="left"/>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新增设备均位于车间内，</w:t>
                  </w:r>
                  <w:r>
                    <w:rPr>
                      <w:rFonts w:hint="default" w:ascii="Times New Roman" w:hAnsi="Times New Roman" w:cs="Times New Roman"/>
                      <w:color w:val="auto"/>
                      <w:sz w:val="21"/>
                      <w:szCs w:val="21"/>
                      <w:highlight w:val="none"/>
                    </w:rPr>
                    <w:t>采取低噪声设备，设备基础减震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建筑</w:t>
                  </w:r>
                  <w:r>
                    <w:rPr>
                      <w:rFonts w:hint="default" w:ascii="Times New Roman" w:hAnsi="Times New Roman" w:cs="Times New Roman"/>
                      <w:color w:val="auto"/>
                      <w:sz w:val="21"/>
                      <w:szCs w:val="21"/>
                      <w:highlight w:val="none"/>
                    </w:rPr>
                    <w:t>隔声等措施</w:t>
                  </w:r>
                  <w:r>
                    <w:rPr>
                      <w:rFonts w:hint="default" w:ascii="Times New Roman" w:hAnsi="Times New Roman" w:cs="Times New Roman"/>
                      <w:color w:val="auto"/>
                      <w:sz w:val="21"/>
                      <w:szCs w:val="21"/>
                      <w:highlight w:val="none"/>
                      <w:lang w:eastAsia="zh-CN"/>
                    </w:rPr>
                    <w:t>。</w:t>
                  </w:r>
                </w:p>
              </w:tc>
              <w:tc>
                <w:tcPr>
                  <w:tcW w:w="1281"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right="0"/>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42" w:type="pct"/>
                  <w:vMerge w:val="continue"/>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rPr>
                  </w:pPr>
                </w:p>
              </w:tc>
              <w:tc>
                <w:tcPr>
                  <w:tcW w:w="781" w:type="pct"/>
                  <w:tcBorders>
                    <w:tl2br w:val="nil"/>
                    <w:tr2bl w:val="nil"/>
                  </w:tcBorders>
                  <w:noWrap w:val="0"/>
                  <w:tcMar>
                    <w:left w:w="0" w:type="dxa"/>
                    <w:right w:w="0" w:type="dxa"/>
                  </w:tcMar>
                  <w:vAlign w:val="center"/>
                </w:tcPr>
                <w:p>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w:t>
                  </w:r>
                </w:p>
              </w:tc>
              <w:tc>
                <w:tcPr>
                  <w:tcW w:w="2594"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right="0"/>
                    <w:jc w:val="left"/>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本项目产生的废金属屑（含油）经压榨、压滤、过滤除油达到静置无滴漏后打包压块用于金属冶炼；</w:t>
                  </w:r>
                  <w:r>
                    <w:rPr>
                      <w:rFonts w:hint="default" w:ascii="Times New Roman" w:hAnsi="Times New Roman" w:eastAsia="宋体" w:cs="Times New Roman"/>
                      <w:color w:val="auto"/>
                      <w:kern w:val="2"/>
                      <w:sz w:val="21"/>
                      <w:szCs w:val="21"/>
                      <w:highlight w:val="none"/>
                    </w:rPr>
                    <w:t>除尘灰集中收集后</w:t>
                  </w:r>
                  <w:r>
                    <w:rPr>
                      <w:rFonts w:hint="eastAsia" w:cs="Times New Roman"/>
                      <w:color w:val="auto"/>
                      <w:kern w:val="2"/>
                      <w:sz w:val="21"/>
                      <w:szCs w:val="21"/>
                      <w:highlight w:val="none"/>
                      <w:lang w:val="en-US" w:eastAsia="zh-CN"/>
                    </w:rPr>
                    <w:t>回用于生产</w:t>
                  </w:r>
                  <w:r>
                    <w:rPr>
                      <w:rFonts w:hint="eastAsia" w:ascii="Times New Roman" w:hAnsi="Times New Roman" w:cs="Times New Roman"/>
                      <w:color w:val="auto"/>
                      <w:kern w:val="2"/>
                      <w:sz w:val="21"/>
                      <w:szCs w:val="21"/>
                      <w:highlight w:val="none"/>
                      <w:lang w:eastAsia="zh-CN"/>
                    </w:rPr>
                    <w:t>；</w:t>
                  </w:r>
                  <w:r>
                    <w:rPr>
                      <w:rFonts w:hint="default" w:ascii="Times New Roman" w:hAnsi="Times New Roman" w:cs="Times New Roman"/>
                      <w:color w:val="auto"/>
                      <w:kern w:val="2"/>
                      <w:sz w:val="21"/>
                      <w:szCs w:val="21"/>
                      <w:highlight w:val="none"/>
                      <w:lang w:val="en-US" w:eastAsia="zh-CN"/>
                    </w:rPr>
                    <w:t>危险废物</w:t>
                  </w:r>
                  <w:r>
                    <w:rPr>
                      <w:rFonts w:hint="eastAsia" w:cs="Times New Roman"/>
                      <w:color w:val="auto"/>
                      <w:kern w:val="2"/>
                      <w:sz w:val="21"/>
                      <w:szCs w:val="21"/>
                      <w:highlight w:val="none"/>
                      <w:lang w:val="en-US" w:eastAsia="zh-CN"/>
                    </w:rPr>
                    <w:t>废润滑油、废液压油、废油桶、废活性炭</w:t>
                  </w:r>
                  <w:r>
                    <w:rPr>
                      <w:rFonts w:hint="eastAsia" w:cs="Times New Roman"/>
                      <w:color w:val="auto"/>
                      <w:kern w:val="2"/>
                      <w:sz w:val="21"/>
                      <w:szCs w:val="21"/>
                      <w:highlight w:val="none"/>
                      <w:lang w:val="en-US" w:eastAsia="zh-CN" w:bidi="ar-SA"/>
                    </w:rPr>
                    <w:t>、废催化剂</w:t>
                  </w:r>
                  <w:r>
                    <w:rPr>
                      <w:rFonts w:hint="default" w:ascii="Times New Roman" w:hAnsi="Times New Roman" w:cs="Times New Roman"/>
                      <w:color w:val="auto"/>
                      <w:kern w:val="2"/>
                      <w:sz w:val="21"/>
                      <w:szCs w:val="21"/>
                      <w:highlight w:val="none"/>
                      <w:lang w:val="en-US" w:eastAsia="zh-CN"/>
                    </w:rPr>
                    <w:t>，暂存危废间，由有资质单位集中处理</w:t>
                  </w:r>
                </w:p>
              </w:tc>
              <w:tc>
                <w:tcPr>
                  <w:tcW w:w="1281" w:type="pct"/>
                  <w:tcBorders>
                    <w:tl2br w:val="nil"/>
                    <w:tr2bl w:val="nil"/>
                  </w:tcBorders>
                  <w:noWrap w:val="0"/>
                  <w:tcMar>
                    <w:left w:w="0" w:type="dxa"/>
                    <w:right w:w="0" w:type="dxa"/>
                  </w:tcMar>
                  <w:vAlign w:val="center"/>
                </w:tcPr>
                <w:p>
                  <w:pPr>
                    <w:pStyle w:val="80"/>
                    <w:keepNext w:val="0"/>
                    <w:keepLines w:val="0"/>
                    <w:suppressLineNumbers w:val="0"/>
                    <w:snapToGrid w:val="0"/>
                    <w:spacing w:before="0" w:beforeLines="0" w:beforeAutospacing="0" w:after="0" w:afterLines="0" w:afterAutospacing="0" w:line="240" w:lineRule="auto"/>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本项目建筑物指标情况见下表</w:t>
            </w:r>
            <w:r>
              <w:rPr>
                <w:rFonts w:hint="eastAsia" w:cs="Times New Roman"/>
                <w:b w:val="0"/>
                <w:bCs w:val="0"/>
                <w:color w:val="auto"/>
                <w:sz w:val="21"/>
                <w:szCs w:val="21"/>
                <w:highlight w:val="none"/>
                <w:lang w:val="en-US" w:eastAsia="zh-CN"/>
              </w:rPr>
              <w:t>7</w:t>
            </w:r>
            <w:r>
              <w:rPr>
                <w:rFonts w:hint="default" w:ascii="Times New Roman" w:hAnsi="Times New Roman" w:eastAsia="宋体" w:cs="Times New Roman"/>
                <w:b w:val="0"/>
                <w:bCs w:val="0"/>
                <w:color w:val="auto"/>
                <w:sz w:val="21"/>
                <w:szCs w:val="21"/>
                <w:highlight w:val="none"/>
                <w:lang w:val="en-US" w:eastAsia="zh-CN"/>
              </w:rPr>
              <w:t>。</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7</w:t>
            </w:r>
            <w:r>
              <w:rPr>
                <w:rFonts w:hint="default" w:ascii="Times New Roman" w:hAnsi="Times New Roman" w:eastAsia="宋体" w:cs="Times New Roman"/>
                <w:b w:val="0"/>
                <w:bCs w:val="0"/>
                <w:color w:val="auto"/>
                <w:sz w:val="21"/>
                <w:szCs w:val="21"/>
                <w:highlight w:val="none"/>
                <w:lang w:val="en-US" w:eastAsia="zh-CN"/>
              </w:rPr>
              <w:t xml:space="preserve">   厂区内建构筑物一览表</w:t>
            </w:r>
          </w:p>
          <w:tbl>
            <w:tblPr>
              <w:tblStyle w:val="35"/>
              <w:tblW w:w="495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4"/>
              <w:gridCol w:w="1399"/>
              <w:gridCol w:w="1805"/>
              <w:gridCol w:w="1621"/>
              <w:gridCol w:w="1090"/>
              <w:gridCol w:w="1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3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50"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建筑物名称</w:t>
                  </w:r>
                </w:p>
              </w:tc>
              <w:tc>
                <w:tcPr>
                  <w:tcW w:w="1097"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占地</w:t>
                  </w:r>
                  <w:r>
                    <w:rPr>
                      <w:rFonts w:hint="default" w:ascii="Times New Roman" w:hAnsi="Times New Roman" w:cs="Times New Roman"/>
                      <w:color w:val="auto"/>
                      <w:sz w:val="21"/>
                      <w:szCs w:val="21"/>
                      <w:highlight w:val="none"/>
                      <w:lang w:val="en-US" w:eastAsia="zh-CN"/>
                    </w:rPr>
                    <w:t>面积</w:t>
                  </w: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w:t>
                  </w:r>
                </w:p>
              </w:tc>
              <w:tc>
                <w:tcPr>
                  <w:tcW w:w="985"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围护结构形式</w:t>
                  </w:r>
                </w:p>
              </w:tc>
              <w:tc>
                <w:tcPr>
                  <w:tcW w:w="66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层数</w:t>
                  </w:r>
                </w:p>
              </w:tc>
              <w:tc>
                <w:tcPr>
                  <w:tcW w:w="970"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50" w:type="pct"/>
                  <w:noWrap w:val="0"/>
                  <w:vAlign w:val="center"/>
                </w:tcPr>
                <w:p>
                  <w:pPr>
                    <w:keepNext w:val="0"/>
                    <w:keepLines w:val="0"/>
                    <w:suppressLineNumbers w:val="0"/>
                    <w:adjustRightInd w:val="0"/>
                    <w:spacing w:before="0" w:beforeLines="0" w:beforeAutospacing="0" w:after="0" w:afterLines="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精锻</w:t>
                  </w:r>
                  <w:r>
                    <w:rPr>
                      <w:rFonts w:hint="default" w:ascii="Times New Roman" w:hAnsi="Times New Roman" w:eastAsia="宋体" w:cs="Times New Roman"/>
                      <w:color w:val="auto"/>
                      <w:sz w:val="21"/>
                      <w:szCs w:val="21"/>
                      <w:highlight w:val="none"/>
                    </w:rPr>
                    <w:t>车间</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11569</w:t>
                  </w:r>
                </w:p>
              </w:tc>
              <w:tc>
                <w:tcPr>
                  <w:tcW w:w="985" w:type="pct"/>
                  <w:vMerge w:val="restar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单层钢结构厂房，柱、梁采用H型钢</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内部含热处理工序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850"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重型</w:t>
                  </w:r>
                  <w:r>
                    <w:rPr>
                      <w:rFonts w:hint="default" w:ascii="Times New Roman" w:hAnsi="Times New Roman" w:cs="Times New Roman"/>
                      <w:color w:val="auto"/>
                      <w:sz w:val="21"/>
                      <w:szCs w:val="21"/>
                      <w:highlight w:val="none"/>
                      <w:lang w:val="en-US" w:eastAsia="zh-CN"/>
                    </w:rPr>
                    <w:t>车间</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15907</w:t>
                  </w:r>
                </w:p>
              </w:tc>
              <w:tc>
                <w:tcPr>
                  <w:tcW w:w="985" w:type="pct"/>
                  <w:vMerge w:val="continue"/>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w:t>
                  </w:r>
                </w:p>
              </w:tc>
              <w:tc>
                <w:tcPr>
                  <w:tcW w:w="850"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管汇车间</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10800</w:t>
                  </w:r>
                </w:p>
              </w:tc>
              <w:tc>
                <w:tcPr>
                  <w:tcW w:w="985" w:type="pct"/>
                  <w:vMerge w:val="continue"/>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原成品库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w:t>
                  </w:r>
                </w:p>
              </w:tc>
              <w:tc>
                <w:tcPr>
                  <w:tcW w:w="850" w:type="pct"/>
                  <w:noWrap w:val="0"/>
                  <w:vAlign w:val="center"/>
                </w:tcPr>
                <w:p>
                  <w:pPr>
                    <w:keepNext w:val="0"/>
                    <w:keepLines w:val="0"/>
                    <w:suppressLineNumbers w:val="0"/>
                    <w:adjustRightInd w:val="0"/>
                    <w:spacing w:before="0" w:beforeLines="0" w:beforeAutospacing="0" w:after="0" w:afterLines="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综合楼</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2225</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钢结构厂房</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w:t>
                  </w:r>
                </w:p>
              </w:tc>
              <w:tc>
                <w:tcPr>
                  <w:tcW w:w="850"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宿舍</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1483</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850"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食堂</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742</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w:t>
                  </w:r>
                </w:p>
              </w:tc>
              <w:tc>
                <w:tcPr>
                  <w:tcW w:w="850"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门卫室</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120</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850"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仓库</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原危废间停用，用于仓库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34"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w:t>
                  </w:r>
                </w:p>
              </w:tc>
              <w:tc>
                <w:tcPr>
                  <w:tcW w:w="850"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危废间</w:t>
                  </w:r>
                </w:p>
              </w:tc>
              <w:tc>
                <w:tcPr>
                  <w:tcW w:w="1097"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108</w:t>
                  </w:r>
                </w:p>
              </w:tc>
              <w:tc>
                <w:tcPr>
                  <w:tcW w:w="985"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662"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970" w:type="pct"/>
                  <w:noWrap w:val="0"/>
                  <w:vAlign w:val="center"/>
                </w:tcPr>
                <w:p>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新建</w:t>
                  </w:r>
                </w:p>
              </w:tc>
            </w:tr>
          </w:tbl>
          <w:p>
            <w:pPr>
              <w:keepNext w:val="0"/>
              <w:keepLines w:val="0"/>
              <w:pageBreakBefore w:val="0"/>
              <w:widowControl w:val="0"/>
              <w:numPr>
                <w:ilvl w:val="0"/>
                <w:numId w:val="0"/>
              </w:numPr>
              <w:suppressLineNumbers w:val="0"/>
              <w:kinsoku/>
              <w:wordWrap/>
              <w:overflowPunct/>
              <w:topLinePunct w:val="0"/>
              <w:autoSpaceDE w:val="0"/>
              <w:autoSpaceDN w:val="0"/>
              <w:bidi w:val="0"/>
              <w:adjustRightInd w:val="0"/>
              <w:spacing w:before="0" w:beforeLines="0" w:beforeAutospacing="0" w:after="0" w:afterLines="0" w:afterAutospacing="0" w:line="480" w:lineRule="exact"/>
              <w:ind w:left="420" w:leftChars="0" w:right="0" w:rightChars="0"/>
              <w:jc w:val="left"/>
              <w:textAlignment w:val="auto"/>
              <w:rPr>
                <w:rFonts w:hint="default" w:ascii="Times New Roman" w:hAnsi="Times New Roman" w:eastAsia="宋体" w:cs="Times New Roman"/>
                <w:b w:val="0"/>
                <w:bCs w:val="0"/>
                <w:color w:val="auto"/>
                <w:sz w:val="21"/>
                <w:szCs w:val="21"/>
                <w:highlight w:val="none"/>
              </w:rPr>
            </w:pPr>
            <w:r>
              <w:rPr>
                <w:rFonts w:hint="eastAsia"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rPr>
              <w:t>主要生产设备、设施</w:t>
            </w:r>
          </w:p>
          <w:p>
            <w:pPr>
              <w:keepNext w:val="0"/>
              <w:keepLines w:val="0"/>
              <w:pageBreakBefore w:val="0"/>
              <w:widowControl w:val="0"/>
              <w:numPr>
                <w:ilvl w:val="0"/>
                <w:numId w:val="0"/>
              </w:numPr>
              <w:suppressLineNumbers w:val="0"/>
              <w:kinsoku/>
              <w:wordWrap/>
              <w:overflowPunct/>
              <w:topLinePunct w:val="0"/>
              <w:autoSpaceDE w:val="0"/>
              <w:autoSpaceDN w:val="0"/>
              <w:bidi w:val="0"/>
              <w:adjustRightInd w:val="0"/>
              <w:spacing w:before="0" w:beforeLines="0" w:beforeAutospacing="0" w:after="0" w:afterLines="0" w:afterAutospacing="0" w:line="480" w:lineRule="exact"/>
              <w:ind w:left="0" w:right="0" w:firstLine="420" w:firstLineChars="200"/>
              <w:jc w:val="left"/>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本项目</w:t>
            </w:r>
            <w:r>
              <w:rPr>
                <w:rFonts w:hint="eastAsia" w:cs="Times New Roman"/>
                <w:color w:val="auto"/>
                <w:sz w:val="21"/>
                <w:szCs w:val="21"/>
                <w:highlight w:val="none"/>
                <w:lang w:val="en-US" w:eastAsia="zh-CN"/>
              </w:rPr>
              <w:t>全厂</w:t>
            </w:r>
            <w:r>
              <w:rPr>
                <w:rFonts w:hint="default" w:ascii="Times New Roman" w:hAnsi="Times New Roman" w:eastAsia="宋体" w:cs="Times New Roman"/>
                <w:color w:val="auto"/>
                <w:sz w:val="21"/>
                <w:szCs w:val="21"/>
                <w:highlight w:val="none"/>
              </w:rPr>
              <w:t>主要生产设备、设施见下表</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8</w:t>
            </w:r>
            <w:r>
              <w:rPr>
                <w:rFonts w:hint="default" w:ascii="Times New Roman" w:hAnsi="Times New Roman" w:eastAsia="宋体" w:cs="Times New Roman"/>
                <w:b w:val="0"/>
                <w:bCs w:val="0"/>
                <w:color w:val="auto"/>
                <w:sz w:val="21"/>
                <w:szCs w:val="21"/>
                <w:highlight w:val="none"/>
                <w:lang w:val="en-US" w:eastAsia="zh-CN"/>
              </w:rPr>
              <w:t xml:space="preserve">  项目</w:t>
            </w:r>
            <w:r>
              <w:rPr>
                <w:rFonts w:hint="eastAsia" w:cs="Times New Roman"/>
                <w:b w:val="0"/>
                <w:bCs w:val="0"/>
                <w:color w:val="auto"/>
                <w:sz w:val="21"/>
                <w:szCs w:val="21"/>
                <w:highlight w:val="none"/>
                <w:lang w:val="en-US" w:eastAsia="zh-CN"/>
              </w:rPr>
              <w:t>全厂</w:t>
            </w:r>
            <w:r>
              <w:rPr>
                <w:rFonts w:hint="default" w:ascii="Times New Roman" w:hAnsi="Times New Roman" w:eastAsia="宋体" w:cs="Times New Roman"/>
                <w:b w:val="0"/>
                <w:bCs w:val="0"/>
                <w:color w:val="auto"/>
                <w:sz w:val="21"/>
                <w:szCs w:val="21"/>
                <w:highlight w:val="none"/>
                <w:lang w:val="en-US" w:eastAsia="zh-CN"/>
              </w:rPr>
              <w:t>主要生产设备设施一览表</w:t>
            </w:r>
          </w:p>
          <w:tbl>
            <w:tblPr>
              <w:tblStyle w:val="35"/>
              <w:tblW w:w="8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0"/>
              <w:gridCol w:w="769"/>
              <w:gridCol w:w="1197"/>
              <w:gridCol w:w="2553"/>
              <w:gridCol w:w="1642"/>
              <w:gridCol w:w="988"/>
              <w:gridCol w:w="7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463"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车间名称</w:t>
                  </w:r>
                </w:p>
              </w:tc>
              <w:tc>
                <w:tcPr>
                  <w:tcW w:w="721"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工序</w:t>
                  </w:r>
                </w:p>
              </w:tc>
              <w:tc>
                <w:tcPr>
                  <w:tcW w:w="1538"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设备</w:t>
                  </w:r>
                </w:p>
              </w:tc>
              <w:tc>
                <w:tcPr>
                  <w:tcW w:w="989"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规格型号</w:t>
                  </w:r>
                </w:p>
              </w:tc>
              <w:tc>
                <w:tcPr>
                  <w:tcW w:w="595"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数量(台)</w:t>
                  </w:r>
                </w:p>
              </w:tc>
              <w:tc>
                <w:tcPr>
                  <w:tcW w:w="426"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leftChars="0" w:right="0" w:rightChars="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63"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精锻车间</w:t>
                  </w: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下料</w:t>
                  </w: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全自动数控双立柱卧式带锯床</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晨龙G330</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rPr>
                  </w:pPr>
                </w:p>
              </w:tc>
              <w:tc>
                <w:tcPr>
                  <w:tcW w:w="463"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color w:val="auto"/>
                      <w:sz w:val="21"/>
                      <w:szCs w:val="21"/>
                      <w:highlight w:val="none"/>
                    </w:rPr>
                  </w:pPr>
                </w:p>
              </w:tc>
              <w:tc>
                <w:tcPr>
                  <w:tcW w:w="153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color w:val="auto"/>
                      <w:sz w:val="21"/>
                      <w:szCs w:val="21"/>
                      <w:highlight w:val="none"/>
                    </w:rPr>
                  </w:pP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晨龙530B</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下料锯床</w:t>
                  </w:r>
                </w:p>
              </w:tc>
              <w:tc>
                <w:tcPr>
                  <w:tcW w:w="989" w:type="pct"/>
                  <w:vMerge w:val="restar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989"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cs="Times New Roman"/>
                      <w:i w:val="0"/>
                      <w:iCs w:val="0"/>
                      <w:color w:val="auto"/>
                      <w:kern w:val="0"/>
                      <w:sz w:val="21"/>
                      <w:szCs w:val="21"/>
                      <w:highlight w:val="none"/>
                      <w:u w:val="none"/>
                      <w:lang w:val="en-US" w:eastAsia="zh-CN" w:bidi="ar"/>
                    </w:rPr>
                  </w:pPr>
                  <w:r>
                    <w:rPr>
                      <w:rFonts w:hint="eastAsia" w:cs="Times New Roman"/>
                      <w:i w:val="0"/>
                      <w:iCs w:val="0"/>
                      <w:color w:val="auto"/>
                      <w:kern w:val="2"/>
                      <w:sz w:val="21"/>
                      <w:szCs w:val="21"/>
                      <w:highlight w:val="none"/>
                      <w:u w:val="none"/>
                      <w:lang w:val="en-US" w:eastAsia="zh-CN" w:bidi="ar-SA"/>
                    </w:rPr>
                    <w:t>3</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cs="Times New Roman"/>
                      <w:i w:val="0"/>
                      <w:iCs w:val="0"/>
                      <w:color w:val="auto"/>
                      <w:kern w:val="0"/>
                      <w:sz w:val="21"/>
                      <w:szCs w:val="21"/>
                      <w:highlight w:val="none"/>
                      <w:u w:val="none"/>
                      <w:lang w:val="en-US" w:eastAsia="zh-CN" w:bidi="ar"/>
                    </w:rPr>
                  </w:pPr>
                  <w:r>
                    <w:rPr>
                      <w:rFonts w:hint="eastAsia" w:cs="Times New Roman"/>
                      <w:i w:val="0"/>
                      <w:iCs w:val="0"/>
                      <w:color w:val="auto"/>
                      <w:kern w:val="2"/>
                      <w:sz w:val="21"/>
                      <w:szCs w:val="21"/>
                      <w:highlight w:val="none"/>
                      <w:u w:val="none"/>
                      <w:lang w:val="en-US" w:eastAsia="zh-CN" w:bidi="ar-SA"/>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加热</w:t>
                  </w: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试验箱式电阻炉</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cs="Times New Roman"/>
                      <w:b/>
                      <w:bCs/>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电阻式全纤维锻造加热炉</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1250摄氏度</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1200摄氏度</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bidi="ar"/>
                    </w:rPr>
                    <w:t>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中频感应加热炉（含风冷式冷却塔）</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试验箱式电阻炉</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台车式电阻炉</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除磷</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高温电阻炉</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除磷机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265"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锻造</w:t>
                  </w:r>
                </w:p>
              </w:tc>
              <w:tc>
                <w:tcPr>
                  <w:tcW w:w="1538"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电动无轨装取料机</w:t>
                  </w:r>
                </w:p>
              </w:tc>
              <w:tc>
                <w:tcPr>
                  <w:tcW w:w="989"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最大夹持重量1000KG</w:t>
                  </w:r>
                </w:p>
              </w:tc>
              <w:tc>
                <w:tcPr>
                  <w:tcW w:w="595"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265"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tcBorders>
                    <w:top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机械人（含上、下料以及喷涂</w:t>
                  </w:r>
                  <w:r>
                    <w:rPr>
                      <w:rFonts w:hint="eastAsia" w:cs="Times New Roman"/>
                      <w:i w:val="0"/>
                      <w:iCs w:val="0"/>
                      <w:color w:val="auto"/>
                      <w:kern w:val="0"/>
                      <w:sz w:val="21"/>
                      <w:szCs w:val="21"/>
                      <w:highlight w:val="none"/>
                      <w:u w:val="none"/>
                      <w:lang w:val="en-US" w:eastAsia="zh-CN" w:bidi="ar"/>
                    </w:rPr>
                    <w:t>石墨</w:t>
                  </w: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9" w:type="pct"/>
                  <w:tcBorders>
                    <w:top w:val="single" w:color="auto" w:sz="4" w:space="0"/>
                    <w:bottom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26"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265" w:type="pct"/>
                  <w:vMerge w:val="restart"/>
                  <w:tcBorders>
                    <w:top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11</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vMerge w:val="restart"/>
                  <w:tcBorders>
                    <w:top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多向模锻液压机（含压机本体、风冷式冷却塔、钢制输送链以及液压系统）</w:t>
                  </w:r>
                </w:p>
              </w:tc>
              <w:tc>
                <w:tcPr>
                  <w:tcW w:w="989" w:type="pct"/>
                  <w:tcBorders>
                    <w:top w:val="single" w:color="auto" w:sz="4" w:space="0"/>
                    <w:bottom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40MN</w:t>
                  </w:r>
                </w:p>
              </w:tc>
              <w:tc>
                <w:tcPr>
                  <w:tcW w:w="595"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bidi="ar"/>
                    </w:rPr>
                    <w:t>2</w:t>
                  </w:r>
                </w:p>
              </w:tc>
              <w:tc>
                <w:tcPr>
                  <w:tcW w:w="426"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120MN</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无轨装取料机</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最大夹持重量1000KG</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重载机械手</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热处理</w:t>
                  </w: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台车式电阻热处理炉（含高温1炉个、中温炉1个）</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热处理试验箱式电阻炉</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淬火水冷却系统</w:t>
                  </w:r>
                </w:p>
              </w:tc>
              <w:tc>
                <w:tcPr>
                  <w:tcW w:w="989"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闭市、室外</w:t>
                  </w: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淬火水槽</w:t>
                  </w:r>
                </w:p>
              </w:tc>
              <w:tc>
                <w:tcPr>
                  <w:tcW w:w="989"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12*7*4.5m</w:t>
                  </w: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备用</w:t>
                  </w:r>
                  <w:r>
                    <w:rPr>
                      <w:rFonts w:hint="eastAsia" w:cs="Times New Roman"/>
                      <w:i w:val="0"/>
                      <w:iCs w:val="0"/>
                      <w:color w:val="auto"/>
                      <w:kern w:val="0"/>
                      <w:sz w:val="21"/>
                      <w:szCs w:val="21"/>
                      <w:highlight w:val="none"/>
                      <w:u w:val="none"/>
                      <w:lang w:val="en-US" w:eastAsia="zh-CN" w:bidi="ar"/>
                    </w:rPr>
                    <w:t>水</w:t>
                  </w:r>
                  <w:r>
                    <w:rPr>
                      <w:rFonts w:hint="default" w:ascii="Times New Roman" w:hAnsi="Times New Roman" w:eastAsia="宋体" w:cs="Times New Roman"/>
                      <w:i w:val="0"/>
                      <w:iCs w:val="0"/>
                      <w:color w:val="auto"/>
                      <w:kern w:val="0"/>
                      <w:sz w:val="21"/>
                      <w:szCs w:val="21"/>
                      <w:highlight w:val="none"/>
                      <w:u w:val="none"/>
                      <w:lang w:val="en-US" w:eastAsia="zh-CN" w:bidi="ar"/>
                    </w:rPr>
                    <w:t>槽</w:t>
                  </w:r>
                </w:p>
              </w:tc>
              <w:tc>
                <w:tcPr>
                  <w:tcW w:w="989"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13*8*6m室外</w:t>
                  </w: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19</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打磨抛丸</w:t>
                  </w: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雕刻机</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叉车</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合力</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合力</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21</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抛丸机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其他</w:t>
                  </w:r>
                </w:p>
              </w:tc>
              <w:tc>
                <w:tcPr>
                  <w:tcW w:w="1538"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桥式起重机</w:t>
                  </w:r>
                </w:p>
              </w:tc>
              <w:tc>
                <w:tcPr>
                  <w:tcW w:w="989"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10到75吨</w:t>
                  </w: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989"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电动单梁起重机</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悬臂吊</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4</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63"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重型车间</w:t>
                  </w: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机加工</w:t>
                  </w: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布料机</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数控车床</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80型</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vMerge w:val="continue"/>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50型</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立式加工中心</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VMC1600H</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vMerge w:val="continue"/>
                  <w:noWrap w:val="0"/>
                  <w:vAlign w:val="bottom"/>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XH718A 800×800×800</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加工中心</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850型</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磨床</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989"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CW6163E/3000</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989"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6</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2"/>
                      <w:sz w:val="21"/>
                      <w:szCs w:val="21"/>
                      <w:highlight w:val="none"/>
                      <w:u w:val="none"/>
                      <w:lang w:val="en-US" w:eastAsia="zh-CN" w:bidi="ar-SA"/>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车床</w:t>
                  </w:r>
                </w:p>
              </w:tc>
              <w:tc>
                <w:tcPr>
                  <w:tcW w:w="989"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Ca6140</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989"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2"/>
                      <w:sz w:val="21"/>
                      <w:szCs w:val="21"/>
                      <w:highlight w:val="none"/>
                      <w:u w:val="none"/>
                      <w:lang w:val="en-US" w:eastAsia="zh-CN" w:bidi="ar-SA"/>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攻丝机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摇臂钻</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50型</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数控小铣床</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摇臂钻</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80型</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龙门铣</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4*12米</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镗铣床</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T130</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数显龙门铣</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1.5*5米</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立车</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305米</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缠绕</w:t>
                  </w: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缠绕设备</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3（套）</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静电喷涂</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静电喷涂设备</w:t>
                  </w:r>
                  <w:r>
                    <w:rPr>
                      <w:rFonts w:hint="eastAsia" w:cs="Times New Roman"/>
                      <w:b/>
                      <w:bCs/>
                      <w:i w:val="0"/>
                      <w:iCs w:val="0"/>
                      <w:color w:val="auto"/>
                      <w:kern w:val="0"/>
                      <w:sz w:val="21"/>
                      <w:szCs w:val="21"/>
                      <w:highlight w:val="none"/>
                      <w:u w:val="none"/>
                      <w:lang w:val="en-US" w:eastAsia="zh-CN" w:bidi="ar"/>
                    </w:rPr>
                    <w:t>（喷粉室）</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eastAsia" w:cs="Times New Roman"/>
                      <w:b/>
                      <w:bCs/>
                      <w:i w:val="0"/>
                      <w:iCs w:val="0"/>
                      <w:color w:val="auto"/>
                      <w:kern w:val="2"/>
                      <w:sz w:val="21"/>
                      <w:szCs w:val="21"/>
                      <w:highlight w:val="none"/>
                      <w:u w:val="none"/>
                      <w:lang w:val="en-US" w:eastAsia="zh-CN" w:bidi="ar-SA"/>
                    </w:rPr>
                    <w:t>11m*6.2m*5m</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1（套）</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463"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color w:val="auto"/>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固化室</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2"/>
                      <w:sz w:val="21"/>
                      <w:szCs w:val="21"/>
                      <w:highlight w:val="none"/>
                      <w:u w:val="none"/>
                      <w:lang w:val="en-US" w:eastAsia="zh-CN" w:bidi="ar-SA"/>
                    </w:rPr>
                    <w:t>10m*5m*4m</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1（套）</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铆焊区</w:t>
                  </w: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新型材料切割机</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5*20</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19</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激光切割机</w:t>
                  </w:r>
                </w:p>
              </w:tc>
              <w:tc>
                <w:tcPr>
                  <w:tcW w:w="989"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5*20</w:t>
                  </w: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数控折弯机</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21</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管道焊接机器人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莱斯厚板焊接机器人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窄缝焊接机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卷板机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带锯床</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26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火焰切割机</w:t>
                  </w:r>
                </w:p>
              </w:tc>
              <w:tc>
                <w:tcPr>
                  <w:tcW w:w="989"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5*24</w:t>
                  </w: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27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剪板机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28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焊机</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29</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移动焊烟净化器</w:t>
                  </w:r>
                </w:p>
              </w:tc>
              <w:tc>
                <w:tcPr>
                  <w:tcW w:w="989"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30</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龙门吊</w:t>
                  </w:r>
                </w:p>
              </w:tc>
              <w:tc>
                <w:tcPr>
                  <w:tcW w:w="1538"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32T</w:t>
                  </w:r>
                </w:p>
              </w:tc>
              <w:tc>
                <w:tcPr>
                  <w:tcW w:w="989" w:type="pct"/>
                  <w:noWrap w:val="0"/>
                  <w:vAlign w:val="bottom"/>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bottom"/>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cs="Times New Roman"/>
                      <w:i w:val="0"/>
                      <w:iCs w:val="0"/>
                      <w:color w:val="auto"/>
                      <w:kern w:val="2"/>
                      <w:sz w:val="21"/>
                      <w:szCs w:val="21"/>
                      <w:highlight w:val="none"/>
                      <w:u w:val="none"/>
                      <w:lang w:val="en-US" w:eastAsia="zh-CN" w:bidi="ar-SA"/>
                    </w:rPr>
                    <w:t>31</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桥式起重机</w:t>
                  </w: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75T</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50T</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25T</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53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10T</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07" w:type="dxa"/>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利旧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63"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管汇车间</w:t>
                  </w:r>
                </w:p>
              </w:tc>
              <w:tc>
                <w:tcPr>
                  <w:tcW w:w="721"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加工</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钻床</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普通车床</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数控车床</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加工中心</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注脂</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注脂机</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起重机</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电葫芦</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6</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检验</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水压试验台</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2</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65"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8</w:t>
                  </w:r>
                </w:p>
              </w:tc>
              <w:tc>
                <w:tcPr>
                  <w:tcW w:w="46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721"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1538"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轻便封闭式动力单元</w:t>
                  </w:r>
                </w:p>
              </w:tc>
              <w:tc>
                <w:tcPr>
                  <w:tcW w:w="989"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kern w:val="2"/>
                      <w:sz w:val="21"/>
                      <w:szCs w:val="21"/>
                      <w:highlight w:val="none"/>
                      <w:u w:val="none"/>
                      <w:lang w:val="en-US" w:eastAsia="zh-CN" w:bidi="ar-SA"/>
                    </w:rPr>
                  </w:pPr>
                </w:p>
              </w:tc>
              <w:tc>
                <w:tcPr>
                  <w:tcW w:w="595"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1</w:t>
                  </w:r>
                </w:p>
              </w:tc>
              <w:tc>
                <w:tcPr>
                  <w:tcW w:w="426"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新增</w:t>
                  </w:r>
                </w:p>
              </w:tc>
            </w:tr>
          </w:tbl>
          <w:p>
            <w:pPr>
              <w:pStyle w:val="81"/>
              <w:keepNext w:val="0"/>
              <w:keepLines/>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本项目</w:t>
            </w:r>
            <w:r>
              <w:rPr>
                <w:rFonts w:hint="eastAsia" w:cs="Times New Roman"/>
                <w:color w:val="000000"/>
                <w:spacing w:val="0"/>
                <w:w w:val="100"/>
                <w:kern w:val="2"/>
                <w:position w:val="0"/>
                <w:sz w:val="21"/>
                <w:szCs w:val="21"/>
                <w:highlight w:val="none"/>
                <w:u w:val="none"/>
                <w:shd w:val="clear" w:color="auto" w:fill="auto"/>
                <w:lang w:val="en-US" w:eastAsia="zh-CN" w:bidi="zh-TW"/>
              </w:rPr>
              <w:t>涉及</w:t>
            </w:r>
            <w:r>
              <w:rPr>
                <w:rFonts w:hint="eastAsia" w:ascii="Times New Roman" w:hAnsi="Times New Roman" w:eastAsia="宋体" w:cs="Times New Roman"/>
                <w:color w:val="000000"/>
                <w:spacing w:val="0"/>
                <w:w w:val="100"/>
                <w:kern w:val="2"/>
                <w:position w:val="0"/>
                <w:sz w:val="21"/>
                <w:szCs w:val="21"/>
                <w:highlight w:val="none"/>
                <w:u w:val="none"/>
                <w:shd w:val="clear" w:color="auto" w:fill="auto"/>
                <w:lang w:val="en-US" w:eastAsia="zh-CN" w:bidi="zh-TW"/>
              </w:rPr>
              <w:t>淘汰</w:t>
            </w:r>
            <w:r>
              <w:rPr>
                <w:rFonts w:hint="eastAsia" w:cs="Times New Roman"/>
                <w:color w:val="000000"/>
                <w:spacing w:val="0"/>
                <w:w w:val="100"/>
                <w:kern w:val="2"/>
                <w:position w:val="0"/>
                <w:sz w:val="21"/>
                <w:szCs w:val="21"/>
                <w:highlight w:val="none"/>
                <w:u w:val="none"/>
                <w:shd w:val="clear" w:color="auto" w:fill="auto"/>
                <w:lang w:val="en-US" w:eastAsia="zh-CN" w:bidi="zh-TW"/>
              </w:rPr>
              <w:t>、</w:t>
            </w:r>
            <w:r>
              <w:rPr>
                <w:rFonts w:hint="eastAsia" w:ascii="Times New Roman" w:hAnsi="Times New Roman" w:eastAsia="宋体" w:cs="Times New Roman"/>
                <w:color w:val="000000"/>
                <w:spacing w:val="0"/>
                <w:w w:val="100"/>
                <w:kern w:val="2"/>
                <w:position w:val="0"/>
                <w:sz w:val="21"/>
                <w:szCs w:val="21"/>
                <w:highlight w:val="none"/>
                <w:u w:val="none"/>
                <w:shd w:val="clear" w:color="auto" w:fill="auto"/>
                <w:lang w:val="en-US" w:eastAsia="zh-CN" w:bidi="zh-TW"/>
              </w:rPr>
              <w:t>新增设备。</w:t>
            </w:r>
          </w:p>
          <w:p>
            <w:pPr>
              <w:pStyle w:val="81"/>
              <w:keepNext w:val="0"/>
              <w:keepLines/>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480" w:lineRule="exact"/>
              <w:ind w:left="0" w:leftChars="0" w:right="0" w:firstLine="0" w:firstLineChars="0"/>
              <w:jc w:val="both"/>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主要原辅材料及能源消耗。</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产品种类及产能不变，本项目</w:t>
            </w:r>
            <w:r>
              <w:rPr>
                <w:rFonts w:hint="default" w:ascii="Times New Roman" w:hAnsi="Times New Roman" w:eastAsia="宋体" w:cs="Times New Roman"/>
                <w:color w:val="auto"/>
                <w:sz w:val="21"/>
                <w:szCs w:val="21"/>
                <w:highlight w:val="none"/>
              </w:rPr>
              <w:t>主要原辅材料及能源消耗见下表。</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9</w:t>
            </w:r>
            <w:r>
              <w:rPr>
                <w:rFonts w:hint="default" w:ascii="Times New Roman" w:hAnsi="Times New Roman" w:eastAsia="宋体" w:cs="Times New Roman"/>
                <w:b w:val="0"/>
                <w:bCs w:val="0"/>
                <w:color w:val="auto"/>
                <w:sz w:val="21"/>
                <w:szCs w:val="21"/>
                <w:highlight w:val="none"/>
                <w:lang w:val="en-US" w:eastAsia="zh-CN"/>
              </w:rPr>
              <w:t xml:space="preserve">  厂区内原辅材料及能源消耗一览表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448"/>
              <w:gridCol w:w="949"/>
              <w:gridCol w:w="1120"/>
              <w:gridCol w:w="1042"/>
              <w:gridCol w:w="1183"/>
              <w:gridCol w:w="922"/>
              <w:gridCol w:w="263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270" w:type="pct"/>
                  <w:vMerge w:val="restart"/>
                  <w:tcBorders>
                    <w:top w:val="single" w:color="auto" w:sz="4" w:space="0"/>
                    <w:left w:val="single" w:color="auto" w:sz="4"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序号</w:t>
                  </w:r>
                </w:p>
              </w:tc>
              <w:tc>
                <w:tcPr>
                  <w:tcW w:w="572" w:type="pct"/>
                  <w:vMerge w:val="restart"/>
                  <w:tcBorders>
                    <w:top w:val="single" w:color="auto" w:sz="4" w:space="0"/>
                    <w:left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名称</w:t>
                  </w:r>
                </w:p>
              </w:tc>
              <w:tc>
                <w:tcPr>
                  <w:tcW w:w="675" w:type="pct"/>
                  <w:vMerge w:val="restart"/>
                  <w:tcBorders>
                    <w:top w:val="single" w:color="auto" w:sz="4" w:space="0"/>
                    <w:left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单位</w:t>
                  </w:r>
                </w:p>
              </w:tc>
              <w:tc>
                <w:tcPr>
                  <w:tcW w:w="1896" w:type="pct"/>
                  <w:gridSpan w:val="3"/>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用量</w:t>
                  </w:r>
                </w:p>
              </w:tc>
              <w:tc>
                <w:tcPr>
                  <w:tcW w:w="1585" w:type="pct"/>
                  <w:vMerge w:val="restart"/>
                  <w:tcBorders>
                    <w:top w:val="single" w:color="auto" w:sz="4" w:space="0"/>
                    <w:left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89" w:hRule="atLeast"/>
                <w:jc w:val="center"/>
              </w:trPr>
              <w:tc>
                <w:tcPr>
                  <w:tcW w:w="270" w:type="pct"/>
                  <w:vMerge w:val="continue"/>
                  <w:tcBorders>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sz w:val="21"/>
                      <w:szCs w:val="21"/>
                      <w:highlight w:val="none"/>
                    </w:rPr>
                  </w:pPr>
                </w:p>
              </w:tc>
              <w:tc>
                <w:tcPr>
                  <w:tcW w:w="572" w:type="pct"/>
                  <w:vMerge w:val="continue"/>
                  <w:tcBorders>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sz w:val="21"/>
                      <w:szCs w:val="21"/>
                      <w:highlight w:val="none"/>
                    </w:rPr>
                  </w:pPr>
                </w:p>
              </w:tc>
              <w:tc>
                <w:tcPr>
                  <w:tcW w:w="675" w:type="pct"/>
                  <w:vMerge w:val="continue"/>
                  <w:tcBorders>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sz w:val="21"/>
                      <w:szCs w:val="21"/>
                      <w:highlight w:val="none"/>
                    </w:rPr>
                  </w:pPr>
                </w:p>
              </w:tc>
              <w:tc>
                <w:tcPr>
                  <w:tcW w:w="628" w:type="pct"/>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技改前</w:t>
                  </w:r>
                </w:p>
              </w:tc>
              <w:tc>
                <w:tcPr>
                  <w:tcW w:w="713" w:type="pct"/>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技改后</w:t>
                  </w:r>
                </w:p>
              </w:tc>
              <w:tc>
                <w:tcPr>
                  <w:tcW w:w="555" w:type="pct"/>
                  <w:tcBorders>
                    <w:top w:val="single" w:color="auto" w:sz="4"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变化量</w:t>
                  </w:r>
                </w:p>
              </w:tc>
              <w:tc>
                <w:tcPr>
                  <w:tcW w:w="1585" w:type="pct"/>
                  <w:vMerge w:val="continue"/>
                  <w:tcBorders>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42"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塑粉</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color w:val="auto"/>
                      <w:spacing w:val="5"/>
                      <w:sz w:val="21"/>
                      <w:szCs w:val="21"/>
                      <w:highlight w:val="none"/>
                      <w:lang w:val="zh-CN"/>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100</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+100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增加，成分：耐候树脂60%，耐候填料30%，颜料及助剂10%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64"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2</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不锈钢</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zh-CN" w:eastAsia="zh-CN" w:bidi="ar-SA"/>
                    </w:rPr>
                  </w:pPr>
                  <w:r>
                    <w:rPr>
                      <w:color w:val="auto"/>
                      <w:spacing w:val="5"/>
                      <w:sz w:val="21"/>
                      <w:szCs w:val="21"/>
                      <w:highlight w:val="none"/>
                      <w:lang w:val="zh-CN"/>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31000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31000</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76"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3</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模具钢</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lang w:val="zh-CN"/>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10000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10000</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76"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4</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碳钢</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lang w:val="zh-CN"/>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30000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30000</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76"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5</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CO</w:t>
                  </w:r>
                  <w:r>
                    <w:rPr>
                      <w:rFonts w:hint="eastAsia" w:cs="Times New Roman"/>
                      <w:color w:val="auto"/>
                      <w:kern w:val="2"/>
                      <w:sz w:val="21"/>
                      <w:szCs w:val="21"/>
                      <w:highlight w:val="none"/>
                      <w:vertAlign w:val="subscript"/>
                      <w:lang w:val="en-US" w:eastAsia="zh-CN" w:bidi="ar-SA"/>
                    </w:rPr>
                    <w:t>2</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lang w:val="zh-CN"/>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76"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6</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焊丝</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110</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76"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7</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乳化液</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rPr>
                    <w:t>不变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19"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
                    </w:rPr>
                    <w:t>8</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润滑油</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color w:val="auto"/>
                      <w:spacing w:val="5"/>
                      <w:sz w:val="21"/>
                      <w:szCs w:val="21"/>
                      <w:highlight w:val="none"/>
                    </w:rPr>
                  </w:pPr>
                  <w:r>
                    <w:rPr>
                      <w:color w:val="auto"/>
                      <w:spacing w:val="5"/>
                      <w:sz w:val="21"/>
                      <w:szCs w:val="21"/>
                      <w:highlight w:val="none"/>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3</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pacing w:val="5"/>
                      <w:kern w:val="2"/>
                      <w:sz w:val="21"/>
                      <w:szCs w:val="21"/>
                      <w:highlight w:val="none"/>
                      <w:lang w:val="en-US" w:eastAsia="zh-CN" w:bidi="ar-SA"/>
                    </w:rPr>
                  </w:pPr>
                  <w:r>
                    <w:rPr>
                      <w:rFonts w:hint="eastAsia" w:cs="Times New Roman"/>
                      <w:color w:val="auto"/>
                      <w:sz w:val="21"/>
                      <w:szCs w:val="21"/>
                      <w:highlight w:val="none"/>
                      <w:lang w:val="en-US" w:eastAsia="zh-CN"/>
                    </w:rPr>
                    <w:t>5</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+2</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增加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19"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9</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液压油</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color w:val="auto"/>
                      <w:spacing w:val="5"/>
                      <w:sz w:val="21"/>
                      <w:szCs w:val="21"/>
                      <w:highlight w:val="none"/>
                    </w:rPr>
                  </w:pPr>
                  <w:r>
                    <w:rPr>
                      <w:color w:val="auto"/>
                      <w:spacing w:val="5"/>
                      <w:sz w:val="21"/>
                      <w:szCs w:val="21"/>
                      <w:highlight w:val="none"/>
                    </w:rPr>
                    <w:t>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0</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pacing w:val="5"/>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+8</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增加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19" w:hRule="atLeast"/>
                <w:jc w:val="center"/>
              </w:trPr>
              <w:tc>
                <w:tcPr>
                  <w:tcW w:w="270" w:type="pct"/>
                  <w:tcBorders>
                    <w:top w:val="single" w:color="auto" w:sz="6" w:space="0"/>
                    <w:left w:val="single" w:color="auto" w:sz="4" w:space="0"/>
                    <w:bottom w:val="single" w:color="auto" w:sz="6"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10</w:t>
                  </w:r>
                </w:p>
              </w:tc>
              <w:tc>
                <w:tcPr>
                  <w:tcW w:w="572"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
                    </w:rPr>
                    <w:t>水</w:t>
                  </w:r>
                </w:p>
              </w:tc>
              <w:tc>
                <w:tcPr>
                  <w:tcW w:w="67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m</w:t>
                  </w:r>
                  <w:r>
                    <w:rPr>
                      <w:color w:val="auto"/>
                      <w:spacing w:val="5"/>
                      <w:sz w:val="21"/>
                      <w:szCs w:val="21"/>
                      <w:highlight w:val="none"/>
                      <w:vertAlign w:val="superscript"/>
                    </w:rPr>
                    <w:t>3</w:t>
                  </w:r>
                  <w:r>
                    <w:rPr>
                      <w:color w:val="auto"/>
                      <w:spacing w:val="5"/>
                      <w:sz w:val="21"/>
                      <w:szCs w:val="21"/>
                      <w:highlight w:val="none"/>
                    </w:rPr>
                    <w:t>/a</w:t>
                  </w:r>
                </w:p>
              </w:tc>
              <w:tc>
                <w:tcPr>
                  <w:tcW w:w="628"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lang w:val="en-US" w:eastAsia="zh-CN"/>
                    </w:rPr>
                    <w:t>25027.5</w:t>
                  </w:r>
                </w:p>
              </w:tc>
              <w:tc>
                <w:tcPr>
                  <w:tcW w:w="713"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olor w:val="auto"/>
                      <w:spacing w:val="5"/>
                      <w:sz w:val="21"/>
                      <w:szCs w:val="21"/>
                      <w:highlight w:val="none"/>
                      <w:lang w:val="en-US" w:eastAsia="zh-CN"/>
                    </w:rPr>
                    <w:t>25066.55</w:t>
                  </w:r>
                </w:p>
              </w:tc>
              <w:tc>
                <w:tcPr>
                  <w:tcW w:w="55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color w:val="auto"/>
                      <w:spacing w:val="5"/>
                      <w:sz w:val="21"/>
                      <w:szCs w:val="21"/>
                      <w:highlight w:val="none"/>
                      <w:lang w:val="en-US" w:eastAsia="zh-CN"/>
                    </w:rPr>
                  </w:pPr>
                  <w:r>
                    <w:rPr>
                      <w:rFonts w:hint="eastAsia"/>
                      <w:color w:val="auto"/>
                      <w:spacing w:val="5"/>
                      <w:sz w:val="21"/>
                      <w:szCs w:val="21"/>
                      <w:highlight w:val="none"/>
                      <w:lang w:val="en-US" w:eastAsia="zh-CN"/>
                    </w:rPr>
                    <w:t>+39.05</w:t>
                  </w:r>
                </w:p>
              </w:tc>
              <w:tc>
                <w:tcPr>
                  <w:tcW w:w="1585" w:type="pc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增加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0" w:type="pct"/>
                  <w:tcBorders>
                    <w:top w:val="single" w:color="auto" w:sz="6" w:space="0"/>
                    <w:left w:val="single" w:color="auto" w:sz="4" w:space="0"/>
                    <w:bottom w:val="single" w:color="auto" w:sz="4" w:space="0"/>
                    <w:right w:val="single" w:color="auto" w:sz="6" w:space="0"/>
                  </w:tcBorders>
                  <w:shd w:val="clear" w:color="auto" w:fill="auto"/>
                  <w:vAlign w:val="center"/>
                </w:tcPr>
                <w:p>
                  <w:pPr>
                    <w:keepNext w:val="0"/>
                    <w:keepLines w:val="0"/>
                    <w:pageBreakBefore w:val="0"/>
                    <w:widowControl/>
                    <w:suppressLineNumbers w:val="0"/>
                    <w:kinsoku/>
                    <w:wordWrap/>
                    <w:overflowPunct/>
                    <w:topLinePunct w:val="0"/>
                    <w:bidi w:val="0"/>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11</w:t>
                  </w:r>
                </w:p>
              </w:tc>
              <w:tc>
                <w:tcPr>
                  <w:tcW w:w="572"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电</w:t>
                  </w:r>
                </w:p>
              </w:tc>
              <w:tc>
                <w:tcPr>
                  <w:tcW w:w="675"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lang w:val="zh-CN"/>
                    </w:rPr>
                    <w:t>万</w:t>
                  </w:r>
                  <w:r>
                    <w:rPr>
                      <w:color w:val="auto"/>
                      <w:spacing w:val="5"/>
                      <w:sz w:val="21"/>
                      <w:szCs w:val="21"/>
                      <w:highlight w:val="none"/>
                    </w:rPr>
                    <w:t>kWh/a</w:t>
                  </w:r>
                </w:p>
              </w:tc>
              <w:tc>
                <w:tcPr>
                  <w:tcW w:w="628"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textAlignment w:val="auto"/>
                    <w:outlineLvl w:val="9"/>
                    <w:rPr>
                      <w:rFonts w:hint="default" w:ascii="Times New Roman" w:hAnsi="Times New Roman" w:eastAsia="宋体" w:cs="Times New Roman"/>
                      <w:color w:val="auto"/>
                      <w:spacing w:val="5"/>
                      <w:kern w:val="2"/>
                      <w:sz w:val="21"/>
                      <w:szCs w:val="21"/>
                      <w:highlight w:val="none"/>
                      <w:lang w:val="en-US" w:eastAsia="zh-CN" w:bidi="ar-SA"/>
                    </w:rPr>
                  </w:pPr>
                  <w:r>
                    <w:rPr>
                      <w:rFonts w:hint="eastAsia" w:cs="Times New Roman"/>
                      <w:color w:val="auto"/>
                      <w:spacing w:val="5"/>
                      <w:kern w:val="2"/>
                      <w:sz w:val="21"/>
                      <w:szCs w:val="21"/>
                      <w:highlight w:val="none"/>
                      <w:lang w:val="en-US" w:eastAsia="zh-CN" w:bidi="ar-SA"/>
                    </w:rPr>
                    <w:t>300</w:t>
                  </w:r>
                </w:p>
              </w:tc>
              <w:tc>
                <w:tcPr>
                  <w:tcW w:w="713"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400</w:t>
                  </w:r>
                </w:p>
              </w:tc>
              <w:tc>
                <w:tcPr>
                  <w:tcW w:w="555"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+100</w:t>
                  </w:r>
                </w:p>
              </w:tc>
              <w:tc>
                <w:tcPr>
                  <w:tcW w:w="1585" w:type="pct"/>
                  <w:tcBorders>
                    <w:top w:val="single" w:color="auto" w:sz="6" w:space="0"/>
                    <w:left w:val="single" w:color="auto" w:sz="6" w:space="0"/>
                    <w:bottom w:val="single" w:color="auto" w:sz="4" w:space="0"/>
                    <w:right w:val="single" w:color="auto" w:sz="6" w:space="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ind w:left="0" w:right="0"/>
                    <w:jc w:val="center"/>
                    <w:textAlignment w:val="auto"/>
                    <w:rPr>
                      <w:rFonts w:hint="default" w:ascii="Times New Roman" w:hAnsi="Times New Roman" w:eastAsia="宋体" w:cs="Times New Roman"/>
                      <w:color w:val="FF0000"/>
                      <w:kern w:val="2"/>
                      <w:sz w:val="21"/>
                      <w:szCs w:val="21"/>
                      <w:highlight w:val="none"/>
                    </w:rPr>
                  </w:pPr>
                  <w:r>
                    <w:rPr>
                      <w:rFonts w:hint="eastAsia" w:cs="Times New Roman"/>
                      <w:color w:val="auto"/>
                      <w:kern w:val="2"/>
                      <w:sz w:val="21"/>
                      <w:szCs w:val="21"/>
                      <w:highlight w:val="none"/>
                      <w:lang w:val="en-US" w:eastAsia="zh-CN"/>
                    </w:rPr>
                    <w:t>增加</w:t>
                  </w:r>
                </w:p>
              </w:tc>
            </w:tr>
          </w:tbl>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生产规模及产品方案</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利用现有厂房，对原有生产线进行技术改造，购置数控机床，电阻炉、雕刻机等先进设备，将现有工程生产的产品大型模锻件和重型装备其中的10000t/a进行喷涂、固化等表面处理，其中喷涂的大型模锻件8000t/a、重型装备2000t/a，不增加全厂总生产能力</w:t>
            </w:r>
            <w:r>
              <w:rPr>
                <w:rFonts w:hint="default" w:ascii="Times New Roman" w:hAnsi="Times New Roman" w:eastAsia="宋体" w:cs="Times New Roman"/>
                <w:color w:val="auto"/>
                <w:sz w:val="21"/>
                <w:szCs w:val="21"/>
                <w:highlight w:val="none"/>
              </w:rPr>
              <w:t>。技改后全厂产品方案见下表。</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lang w:val="en-US" w:eastAsia="zh-CN"/>
              </w:rPr>
              <w:t xml:space="preserve">  产品方案一览表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4"/>
              <w:gridCol w:w="1438"/>
              <w:gridCol w:w="802"/>
              <w:gridCol w:w="1255"/>
              <w:gridCol w:w="1792"/>
              <w:gridCol w:w="1169"/>
              <w:gridCol w:w="115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12"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序号</w:t>
                  </w:r>
                </w:p>
              </w:tc>
              <w:tc>
                <w:tcPr>
                  <w:tcW w:w="86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产品名称</w:t>
                  </w:r>
                </w:p>
              </w:tc>
              <w:tc>
                <w:tcPr>
                  <w:tcW w:w="483"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单位</w:t>
                  </w:r>
                </w:p>
              </w:tc>
              <w:tc>
                <w:tcPr>
                  <w:tcW w:w="75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现有工程</w:t>
                  </w:r>
                  <w:r>
                    <w:rPr>
                      <w:rFonts w:hint="default" w:ascii="Times New Roman" w:hAnsi="Times New Roman" w:cs="Times New Roman"/>
                      <w:color w:val="auto"/>
                      <w:sz w:val="21"/>
                      <w:szCs w:val="21"/>
                      <w:highlight w:val="none"/>
                      <w:lang w:val="en-US" w:eastAsia="zh-CN"/>
                    </w:rPr>
                    <w:t>产量</w:t>
                  </w:r>
                </w:p>
              </w:tc>
              <w:tc>
                <w:tcPr>
                  <w:tcW w:w="1079"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本项目技改喷塑产量</w:t>
                  </w:r>
                </w:p>
              </w:tc>
              <w:tc>
                <w:tcPr>
                  <w:tcW w:w="704"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包装存储</w:t>
                  </w:r>
                </w:p>
              </w:tc>
              <w:tc>
                <w:tcPr>
                  <w:tcW w:w="69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2"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86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大型锻件</w:t>
                  </w:r>
                </w:p>
              </w:tc>
              <w:tc>
                <w:tcPr>
                  <w:tcW w:w="483"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color w:val="auto"/>
                      <w:spacing w:val="5"/>
                      <w:sz w:val="21"/>
                      <w:szCs w:val="21"/>
                      <w:highlight w:val="none"/>
                    </w:rPr>
                    <w:t>t/a</w:t>
                  </w:r>
                </w:p>
              </w:tc>
              <w:tc>
                <w:tcPr>
                  <w:tcW w:w="75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55000</w:t>
                  </w:r>
                </w:p>
              </w:tc>
              <w:tc>
                <w:tcPr>
                  <w:tcW w:w="1079"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8000</w:t>
                  </w:r>
                </w:p>
              </w:tc>
              <w:tc>
                <w:tcPr>
                  <w:tcW w:w="704"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产品库</w:t>
                  </w:r>
                </w:p>
              </w:tc>
              <w:tc>
                <w:tcPr>
                  <w:tcW w:w="69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2"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86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重型装备</w:t>
                  </w:r>
                </w:p>
              </w:tc>
              <w:tc>
                <w:tcPr>
                  <w:tcW w:w="483"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color w:val="auto"/>
                      <w:spacing w:val="5"/>
                      <w:sz w:val="21"/>
                      <w:szCs w:val="21"/>
                      <w:highlight w:val="none"/>
                    </w:rPr>
                    <w:t>t/a</w:t>
                  </w:r>
                </w:p>
              </w:tc>
              <w:tc>
                <w:tcPr>
                  <w:tcW w:w="75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8000</w:t>
                  </w:r>
                </w:p>
              </w:tc>
              <w:tc>
                <w:tcPr>
                  <w:tcW w:w="1079"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2000</w:t>
                  </w:r>
                </w:p>
              </w:tc>
              <w:tc>
                <w:tcPr>
                  <w:tcW w:w="704"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产品库</w:t>
                  </w:r>
                </w:p>
              </w:tc>
              <w:tc>
                <w:tcPr>
                  <w:tcW w:w="69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8" w:type="pct"/>
                  <w:gridSpan w:val="2"/>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483"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color w:val="auto"/>
                      <w:spacing w:val="5"/>
                      <w:sz w:val="21"/>
                      <w:szCs w:val="21"/>
                      <w:highlight w:val="none"/>
                    </w:rPr>
                    <w:t>t/a</w:t>
                  </w:r>
                </w:p>
              </w:tc>
              <w:tc>
                <w:tcPr>
                  <w:tcW w:w="756"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63000</w:t>
                  </w:r>
                </w:p>
              </w:tc>
              <w:tc>
                <w:tcPr>
                  <w:tcW w:w="1079" w:type="pct"/>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10000</w:t>
                  </w:r>
                </w:p>
              </w:tc>
              <w:tc>
                <w:tcPr>
                  <w:tcW w:w="1400" w:type="pct"/>
                  <w:gridSpan w:val="2"/>
                  <w:noWrap w:val="0"/>
                  <w:vAlign w:val="center"/>
                </w:tcPr>
                <w:p>
                  <w:pPr>
                    <w:keepNext w:val="0"/>
                    <w:keepLines w:val="0"/>
                    <w:pageBreakBefore w:val="0"/>
                    <w:widowControl w:val="0"/>
                    <w:suppressLineNumbers w:val="0"/>
                    <w:tabs>
                      <w:tab w:val="left" w:pos="7920"/>
                    </w:tabs>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总产能</w:t>
                  </w:r>
                </w:p>
              </w:tc>
            </w:tr>
          </w:tbl>
          <w:p>
            <w:pPr>
              <w:keepNext w:val="0"/>
              <w:keepLines w:val="0"/>
              <w:pageBreakBefore w:val="0"/>
              <w:widowControl w:val="0"/>
              <w:suppressLineNumber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420" w:firstLineChars="200"/>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注：</w:t>
            </w:r>
            <w:r>
              <w:rPr>
                <w:rFonts w:hint="default" w:ascii="Times New Roman" w:hAnsi="Times New Roman" w:eastAsia="宋体" w:cs="Times New Roman"/>
                <w:color w:val="auto"/>
                <w:sz w:val="21"/>
                <w:szCs w:val="21"/>
                <w:highlight w:val="none"/>
                <w:lang w:eastAsia="zh-CN"/>
              </w:rPr>
              <w:t>设备规格要求</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①</w:t>
            </w:r>
            <w:r>
              <w:rPr>
                <w:rFonts w:hint="default" w:ascii="Times New Roman" w:hAnsi="Times New Roman" w:eastAsia="宋体" w:cs="Times New Roman"/>
                <w:color w:val="auto"/>
                <w:sz w:val="21"/>
                <w:szCs w:val="21"/>
                <w:highlight w:val="none"/>
                <w:lang w:eastAsia="zh-CN"/>
              </w:rPr>
              <w:t>整套设备满足最大工件</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8500mm</w:t>
            </w:r>
            <w:r>
              <w:rPr>
                <w:rFonts w:hint="default" w:ascii="Arial" w:hAnsi="Arial" w:eastAsia="宋体" w:cs="Arial"/>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3500mm</w:t>
            </w:r>
            <w:r>
              <w:rPr>
                <w:rFonts w:hint="default" w:ascii="Arial" w:hAnsi="Arial" w:eastAsia="宋体" w:cs="Arial"/>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2000mm</w:t>
            </w:r>
            <w:r>
              <w:rPr>
                <w:rFonts w:hint="default" w:ascii="Arial" w:hAnsi="Arial" w:eastAsia="宋体" w:cs="Arial"/>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15t使用</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②</w:t>
            </w:r>
            <w:r>
              <w:rPr>
                <w:rFonts w:hint="default" w:ascii="Times New Roman" w:hAnsi="Times New Roman" w:eastAsia="宋体" w:cs="Times New Roman"/>
                <w:color w:val="auto"/>
                <w:sz w:val="21"/>
                <w:szCs w:val="21"/>
                <w:highlight w:val="none"/>
                <w:lang w:eastAsia="zh-CN"/>
              </w:rPr>
              <w:t>常规工件</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2500mm</w:t>
            </w:r>
            <w:r>
              <w:rPr>
                <w:rFonts w:hint="default" w:ascii="Arial" w:hAnsi="Arial" w:eastAsia="宋体" w:cs="Arial"/>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2t，喷涂综合效率</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3h/件</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③</w:t>
            </w:r>
            <w:r>
              <w:rPr>
                <w:rFonts w:hint="default" w:ascii="Times New Roman" w:hAnsi="Times New Roman" w:eastAsia="宋体" w:cs="Times New Roman"/>
                <w:color w:val="auto"/>
                <w:sz w:val="21"/>
                <w:szCs w:val="21"/>
                <w:highlight w:val="none"/>
                <w:lang w:eastAsia="zh-CN"/>
              </w:rPr>
              <w:t>工件在冷喷粉后经过1次固化，漆膜总厚度达到140</w:t>
            </w:r>
            <w:r>
              <w:rPr>
                <w:rFonts w:hint="default" w:ascii="Times New Roman" w:hAnsi="Times New Roman" w:cs="Times New Roman"/>
                <w:color w:val="auto"/>
                <w:sz w:val="21"/>
                <w:szCs w:val="21"/>
                <w:highlight w:val="none"/>
                <w:lang w:val="en-US" w:eastAsia="zh-CN"/>
              </w:rPr>
              <w:t>μm</w:t>
            </w:r>
            <w:r>
              <w:rPr>
                <w:rFonts w:hint="default" w:ascii="Times New Roman" w:hAnsi="Times New Roman" w:eastAsia="宋体" w:cs="Times New Roman"/>
                <w:color w:val="auto"/>
                <w:sz w:val="21"/>
                <w:szCs w:val="21"/>
                <w:highlight w:val="none"/>
                <w:lang w:eastAsia="zh-CN"/>
              </w:rPr>
              <w:t>以上</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表面涂装面积约40万平方米</w:t>
            </w:r>
            <w:r>
              <w:rPr>
                <w:rFonts w:hint="eastAsia" w:cs="Times New Roman"/>
                <w:color w:val="auto"/>
                <w:sz w:val="21"/>
                <w:szCs w:val="21"/>
                <w:highlight w:val="none"/>
                <w:lang w:eastAsia="zh-CN"/>
              </w:rPr>
              <w:t>。</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Lines="0" w:beforeAutospacing="0" w:after="0" w:afterLines="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劳动定员与工作制度：本项目</w:t>
            </w:r>
            <w:r>
              <w:rPr>
                <w:rFonts w:hint="default" w:ascii="Times New Roman" w:hAnsi="Times New Roman" w:eastAsia="宋体" w:cs="Times New Roman"/>
                <w:color w:val="auto"/>
                <w:sz w:val="21"/>
                <w:szCs w:val="21"/>
                <w:highlight w:val="none"/>
                <w:lang w:val="en-US" w:eastAsia="zh-CN"/>
              </w:rPr>
              <w:t>不新增劳动定员</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现有员工</w:t>
            </w:r>
            <w:r>
              <w:rPr>
                <w:rFonts w:hint="eastAsia" w:cs="Times New Roman"/>
                <w:color w:val="auto"/>
                <w:sz w:val="21"/>
                <w:szCs w:val="21"/>
                <w:highlight w:val="none"/>
                <w:lang w:val="en-US" w:eastAsia="zh-CN"/>
              </w:rPr>
              <w:t>550</w:t>
            </w:r>
            <w:r>
              <w:rPr>
                <w:rFonts w:hint="default" w:ascii="Times New Roman" w:hAnsi="Times New Roman" w:cs="Times New Roman"/>
                <w:color w:val="auto"/>
                <w:sz w:val="21"/>
                <w:szCs w:val="21"/>
                <w:highlight w:val="none"/>
                <w:lang w:val="en-US" w:eastAsia="zh-CN"/>
              </w:rPr>
              <w:t>人，</w:t>
            </w:r>
            <w:r>
              <w:rPr>
                <w:rFonts w:hint="default" w:ascii="Times New Roman" w:hAnsi="Times New Roman" w:eastAsia="宋体" w:cs="Times New Roman"/>
                <w:color w:val="auto"/>
                <w:sz w:val="21"/>
                <w:szCs w:val="21"/>
                <w:highlight w:val="none"/>
              </w:rPr>
              <w:t>年工作</w:t>
            </w:r>
            <w:r>
              <w:rPr>
                <w:rFonts w:hint="default" w:ascii="Times New Roman" w:hAnsi="Times New Roman" w:cs="Times New Roman"/>
                <w:color w:val="auto"/>
                <w:sz w:val="21"/>
                <w:szCs w:val="21"/>
                <w:highlight w:val="none"/>
                <w:lang w:val="en-US" w:eastAsia="zh-CN"/>
              </w:rPr>
              <w:t>3</w:t>
            </w:r>
            <w:r>
              <w:rPr>
                <w:rFonts w:hint="eastAsia"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rPr>
              <w:t>天，每天</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班，每班工作8小时</w:t>
            </w:r>
            <w:r>
              <w:rPr>
                <w:rFonts w:hint="default" w:ascii="Times New Roman" w:hAnsi="Times New Roman" w:eastAsia="宋体" w:cs="Times New Roman"/>
                <w:color w:val="auto"/>
                <w:sz w:val="21"/>
                <w:szCs w:val="21"/>
                <w:highlight w:val="none"/>
                <w:lang w:eastAsia="zh-CN"/>
              </w:rPr>
              <w:t>。</w:t>
            </w:r>
          </w:p>
          <w:p>
            <w:pPr>
              <w:keepNext w:val="0"/>
              <w:keepLines w:val="0"/>
              <w:pageBreakBefore w:val="0"/>
              <w:widowControl w:val="0"/>
              <w:suppressLineNumbers w:val="0"/>
              <w:kinsoku/>
              <w:wordWrap/>
              <w:overflowPunct/>
              <w:topLinePunct w:val="0"/>
              <w:autoSpaceDE w:val="0"/>
              <w:autoSpaceDN w:val="0"/>
              <w:bidi w:val="0"/>
              <w:adjustRightInd w:val="0"/>
              <w:spacing w:before="0" w:beforeLines="0" w:beforeAutospacing="0" w:after="0" w:afterLines="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平面布置：本项目厂房内按照生产流程合理布置生产线。厂址地理位置见附图1；厂区平面布置图见附图</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车间设备位置图</w:t>
            </w:r>
            <w:r>
              <w:rPr>
                <w:rFonts w:hint="default" w:ascii="Times New Roman" w:hAnsi="Times New Roman" w:eastAsia="宋体" w:cs="Times New Roman"/>
                <w:color w:val="auto"/>
                <w:sz w:val="21"/>
                <w:szCs w:val="21"/>
                <w:highlight w:val="none"/>
              </w:rPr>
              <w:t>见附图</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left"/>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、公用工程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contextualSpacing/>
              <w:textAlignment w:val="auto"/>
              <w:rPr>
                <w:rFonts w:hint="eastAsia" w:cs="Times New Roman"/>
                <w:snapToGrid w:val="0"/>
                <w:color w:val="auto"/>
                <w:kern w:val="0"/>
                <w:sz w:val="21"/>
                <w:szCs w:val="21"/>
                <w:highlight w:val="none"/>
                <w:lang w:eastAsia="zh-CN"/>
              </w:rPr>
            </w:pPr>
            <w:r>
              <w:rPr>
                <w:rFonts w:hint="default" w:ascii="Times New Roman" w:hAnsi="Times New Roman" w:eastAsia="宋体"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给排水</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新鲜水依托现有工程市政管网供水，本项目新增</w:t>
            </w:r>
            <w:r>
              <w:rPr>
                <w:rFonts w:hint="eastAsia" w:cs="Times New Roman"/>
                <w:color w:val="auto"/>
                <w:sz w:val="21"/>
                <w:szCs w:val="21"/>
                <w:highlight w:val="none"/>
                <w:lang w:val="en-US" w:eastAsia="zh-CN"/>
              </w:rPr>
              <w:t>水压试验</w:t>
            </w:r>
            <w:r>
              <w:rPr>
                <w:rFonts w:hint="default" w:ascii="Times New Roman" w:hAnsi="Times New Roman" w:cs="Times New Roman"/>
                <w:color w:val="auto"/>
                <w:sz w:val="21"/>
                <w:szCs w:val="21"/>
                <w:highlight w:val="none"/>
                <w:lang w:val="en-US" w:eastAsia="zh-CN"/>
              </w:rPr>
              <w:t>用水</w:t>
            </w:r>
            <w:r>
              <w:rPr>
                <w:rFonts w:hint="eastAsia" w:cs="Times New Roman"/>
                <w:color w:val="auto"/>
                <w:sz w:val="21"/>
                <w:szCs w:val="21"/>
                <w:highlight w:val="none"/>
                <w:lang w:val="en-US" w:eastAsia="zh-CN"/>
              </w:rPr>
              <w:t>和喷淋塔用水，水压试验新鲜用水量为0.01m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/d，循环水量为1m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/d；喷淋塔新鲜用水量为0.1m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/d，循环水量为4m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/d</w:t>
            </w:r>
            <w:r>
              <w:rPr>
                <w:rFonts w:hint="default" w:ascii="Times New Roman" w:hAnsi="Times New Roman" w:cs="Times New Roman"/>
                <w:color w:val="auto"/>
                <w:sz w:val="21"/>
                <w:szCs w:val="21"/>
                <w:highlight w:val="none"/>
                <w:lang w:val="en-US" w:eastAsia="zh-CN"/>
              </w:rPr>
              <w:t>。</w:t>
            </w:r>
            <w:r>
              <w:rPr>
                <w:rFonts w:hint="eastAsia" w:ascii="Times New Roman" w:hAnsi="Times New Roman" w:eastAsia="宋体" w:cs="Times New Roman"/>
                <w:snapToGrid w:val="0"/>
                <w:color w:val="auto"/>
                <w:kern w:val="0"/>
                <w:sz w:val="21"/>
                <w:szCs w:val="21"/>
                <w:highlight w:val="none"/>
              </w:rPr>
              <w:t>本</w:t>
            </w:r>
            <w:r>
              <w:rPr>
                <w:rFonts w:hint="eastAsia" w:cs="Times New Roman"/>
                <w:snapToGrid w:val="0"/>
                <w:color w:val="auto"/>
                <w:kern w:val="0"/>
                <w:sz w:val="21"/>
                <w:szCs w:val="21"/>
                <w:highlight w:val="none"/>
                <w:lang w:val="en-US" w:eastAsia="zh-CN"/>
              </w:rPr>
              <w:t>项目水压试验</w:t>
            </w:r>
            <w:r>
              <w:rPr>
                <w:rFonts w:hint="eastAsia" w:ascii="Times New Roman" w:hAnsi="Times New Roman" w:eastAsia="宋体" w:cs="Times New Roman"/>
                <w:snapToGrid w:val="0"/>
                <w:color w:val="auto"/>
                <w:kern w:val="0"/>
                <w:sz w:val="21"/>
                <w:szCs w:val="21"/>
                <w:highlight w:val="none"/>
              </w:rPr>
              <w:t>水</w:t>
            </w:r>
            <w:r>
              <w:rPr>
                <w:rFonts w:hint="eastAsia" w:cs="Times New Roman"/>
                <w:snapToGrid w:val="0"/>
                <w:color w:val="auto"/>
                <w:kern w:val="0"/>
                <w:sz w:val="21"/>
                <w:szCs w:val="21"/>
                <w:highlight w:val="none"/>
                <w:lang w:val="en-US" w:eastAsia="zh-CN"/>
              </w:rPr>
              <w:t>和喷淋塔水</w:t>
            </w:r>
            <w:r>
              <w:rPr>
                <w:rFonts w:hint="eastAsia" w:ascii="Times New Roman" w:hAnsi="Times New Roman" w:eastAsia="宋体" w:cs="Times New Roman"/>
                <w:snapToGrid w:val="0"/>
                <w:color w:val="auto"/>
                <w:kern w:val="0"/>
                <w:sz w:val="21"/>
                <w:szCs w:val="21"/>
                <w:highlight w:val="none"/>
              </w:rPr>
              <w:t>循环使用，定期补充，</w:t>
            </w:r>
            <w:r>
              <w:rPr>
                <w:rFonts w:hint="eastAsia" w:cs="Times New Roman"/>
                <w:snapToGrid w:val="0"/>
                <w:color w:val="auto"/>
                <w:kern w:val="0"/>
                <w:sz w:val="21"/>
                <w:szCs w:val="21"/>
                <w:highlight w:val="none"/>
                <w:lang w:val="en-US" w:eastAsia="zh-CN"/>
              </w:rPr>
              <w:t>不外排</w:t>
            </w:r>
            <w:r>
              <w:rPr>
                <w:rFonts w:hint="eastAsia" w:ascii="Times New Roman" w:hAnsi="Times New Roman" w:eastAsia="宋体" w:cs="Times New Roman"/>
                <w:snapToGrid w:val="0"/>
                <w:color w:val="auto"/>
                <w:kern w:val="0"/>
                <w:sz w:val="21"/>
                <w:szCs w:val="21"/>
                <w:highlight w:val="none"/>
              </w:rPr>
              <w:t>；项目不新增劳动定员，无生活污水产生，因此项目无废水外排</w:t>
            </w:r>
            <w:r>
              <w:rPr>
                <w:rFonts w:hint="eastAsia" w:cs="Times New Roman"/>
                <w:snapToGrid w:val="0"/>
                <w:color w:val="auto"/>
                <w:kern w:val="0"/>
                <w:sz w:val="21"/>
                <w:szCs w:val="21"/>
                <w:highlight w:val="none"/>
                <w:lang w:eastAsia="zh-CN"/>
              </w:rPr>
              <w:t>。</w:t>
            </w:r>
          </w:p>
          <w:p>
            <w:pPr>
              <w:pStyle w:val="11"/>
              <w:keepNext w:val="0"/>
              <w:keepLines w:val="0"/>
              <w:pageBreakBefore w:val="0"/>
              <w:suppressLineNumbers w:val="0"/>
              <w:wordWrap/>
              <w:topLinePunct w:val="0"/>
              <w:bidi w:val="0"/>
              <w:spacing w:before="0" w:beforeAutospacing="0" w:after="0" w:afterAutospacing="0"/>
              <w:ind w:left="0" w:right="0" w:firstLine="0" w:firstLineChars="0"/>
              <w:jc w:val="center"/>
              <w:outlineLvl w:val="9"/>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object>
                <v:shape id="_x0000_i1025" o:spt="75" type="#_x0000_t75" style="height:142.5pt;width:239.25pt;" o:ole="t" filled="f" o:preferrelative="t" stroked="f" coordsize="21600,21600">
                  <v:path/>
                  <v:fill on="f" focussize="0,0"/>
                  <v:stroke on="f"/>
                  <v:imagedata r:id="rId9" o:title=""/>
                  <o:lock v:ext="edit" aspectratio="f"/>
                  <w10:wrap type="none"/>
                  <w10:anchorlock/>
                </v:shape>
                <o:OLEObject Type="Embed" ProgID="Visio.Drawing.11" ShapeID="_x0000_i1025" DrawAspect="Content" ObjectID="_1468075725" r:id="rId8">
                  <o:LockedField>false</o:LockedField>
                </o:OLEObject>
              </w:object>
            </w:r>
          </w:p>
          <w:p>
            <w:pPr>
              <w:pStyle w:val="11"/>
              <w:keepNext w:val="0"/>
              <w:keepLines w:val="0"/>
              <w:pageBreakBefore w:val="0"/>
              <w:suppressLineNumbers w:val="0"/>
              <w:wordWrap/>
              <w:topLinePunct w:val="0"/>
              <w:bidi w:val="0"/>
              <w:spacing w:before="0" w:beforeAutospacing="0" w:after="0" w:afterAutospacing="0"/>
              <w:ind w:left="0" w:right="0" w:firstLine="0" w:firstLineChars="0"/>
              <w:jc w:val="center"/>
              <w:outlineLvl w:val="9"/>
              <w:rPr>
                <w:rFonts w:hint="default" w:ascii="Times New Roman" w:hAnsi="Times New Roman" w:eastAsia="黑体" w:cs="Times New Roman"/>
                <w:bCs/>
                <w:color w:val="auto"/>
                <w:kern w:val="0"/>
                <w:sz w:val="21"/>
                <w:szCs w:val="21"/>
                <w:highlight w:val="none"/>
              </w:rPr>
            </w:pP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b/>
                <w:bCs/>
                <w:color w:val="auto"/>
                <w:spacing w:val="5"/>
                <w:kern w:val="2"/>
                <w:sz w:val="21"/>
                <w:szCs w:val="21"/>
                <w:highlight w:val="none"/>
                <w:lang w:val="en-US" w:eastAsia="zh-CN" w:bidi="ar-SA"/>
              </w:rPr>
              <w:t>图</w:t>
            </w:r>
            <w:r>
              <w:rPr>
                <w:rFonts w:hint="eastAsia" w:cs="Times New Roman"/>
                <w:b/>
                <w:bCs/>
                <w:color w:val="auto"/>
                <w:spacing w:val="5"/>
                <w:kern w:val="2"/>
                <w:sz w:val="21"/>
                <w:szCs w:val="21"/>
                <w:highlight w:val="none"/>
                <w:lang w:val="en-US" w:eastAsia="zh-CN" w:bidi="ar-SA"/>
              </w:rPr>
              <w:t>1  本项目</w:t>
            </w:r>
            <w:r>
              <w:rPr>
                <w:rFonts w:hint="default" w:ascii="Times New Roman" w:hAnsi="Times New Roman" w:eastAsia="宋体" w:cs="Times New Roman"/>
                <w:b/>
                <w:bCs/>
                <w:color w:val="auto"/>
                <w:spacing w:val="5"/>
                <w:kern w:val="2"/>
                <w:sz w:val="21"/>
                <w:szCs w:val="21"/>
                <w:highlight w:val="none"/>
                <w:lang w:val="en-US" w:eastAsia="zh-CN" w:bidi="ar-SA"/>
              </w:rPr>
              <w:t>水平衡图</w:t>
            </w:r>
            <w:r>
              <w:rPr>
                <w:rFonts w:hint="eastAsia" w:ascii="Times New Roman" w:hAnsi="Times New Roman" w:eastAsia="宋体" w:cs="Times New Roman"/>
                <w:b/>
                <w:bCs/>
                <w:color w:val="auto"/>
                <w:spacing w:val="5"/>
                <w:kern w:val="2"/>
                <w:sz w:val="21"/>
                <w:szCs w:val="21"/>
                <w:highlight w:val="none"/>
                <w:lang w:val="en-US" w:eastAsia="zh-CN" w:bidi="ar-SA"/>
              </w:rPr>
              <w:t xml:space="preserve">          </w:t>
            </w:r>
            <w:r>
              <w:rPr>
                <w:rFonts w:hint="default" w:ascii="Times New Roman" w:hAnsi="Times New Roman" w:eastAsia="黑体" w:cs="Times New Roman"/>
                <w:bCs/>
                <w:color w:val="auto"/>
                <w:kern w:val="0"/>
                <w:sz w:val="21"/>
                <w:szCs w:val="21"/>
                <w:highlight w:val="none"/>
              </w:rPr>
              <w:t>单位m</w:t>
            </w:r>
            <w:r>
              <w:rPr>
                <w:rFonts w:hint="default" w:ascii="Times New Roman" w:hAnsi="Times New Roman" w:eastAsia="黑体" w:cs="Times New Roman"/>
                <w:bCs/>
                <w:color w:val="auto"/>
                <w:kern w:val="0"/>
                <w:sz w:val="21"/>
                <w:szCs w:val="21"/>
                <w:highlight w:val="none"/>
                <w:vertAlign w:val="superscript"/>
              </w:rPr>
              <w:t>3</w:t>
            </w:r>
            <w:r>
              <w:rPr>
                <w:rFonts w:hint="default" w:ascii="Times New Roman" w:hAnsi="Times New Roman" w:eastAsia="黑体" w:cs="Times New Roman"/>
                <w:bCs/>
                <w:color w:val="auto"/>
                <w:kern w:val="0"/>
                <w:sz w:val="21"/>
                <w:szCs w:val="21"/>
                <w:highlight w:val="none"/>
              </w:rPr>
              <w:t>/d</w:t>
            </w:r>
          </w:p>
          <w:p>
            <w:pPr>
              <w:pStyle w:val="2"/>
              <w:keepNext w:val="0"/>
              <w:keepLines w:val="0"/>
              <w:suppressLineNumbers w:val="0"/>
              <w:spacing w:before="0" w:beforeAutospacing="0" w:after="0" w:afterAutospacing="0" w:line="240" w:lineRule="auto"/>
              <w:ind w:left="0" w:leftChars="0" w:right="0" w:firstLine="0" w:firstLineChars="0"/>
              <w:jc w:val="center"/>
              <w:rPr>
                <w:rFonts w:hint="default"/>
                <w:highlight w:val="none"/>
                <w:lang w:val="en-US" w:eastAsia="zh-CN"/>
              </w:rPr>
            </w:pPr>
            <w:r>
              <w:rPr>
                <w:rFonts w:hint="default"/>
                <w:highlight w:val="none"/>
                <w:lang w:val="en-US" w:eastAsia="zh-CN"/>
              </w:rPr>
              <w:object>
                <v:shape id="_x0000_i1026" o:spt="75" type="#_x0000_t75" style="height:504.75pt;width:379.5pt;" o:ole="t" filled="f" o:preferrelative="t" stroked="f" coordsize="21600,21600">
                  <v:path/>
                  <v:fill on="f" focussize="0,0"/>
                  <v:stroke on="f"/>
                  <v:imagedata r:id="rId11" o:title=""/>
                  <o:lock v:ext="edit" aspectratio="f"/>
                  <w10:wrap type="none"/>
                  <w10:anchorlock/>
                </v:shape>
                <o:OLEObject Type="Embed" ProgID="Visio.Drawing.11" ShapeID="_x0000_i1026" DrawAspect="Content" ObjectID="_1468075726" r:id="rId10">
                  <o:LockedField>false</o:LockedField>
                </o:OLEObject>
              </w:object>
            </w:r>
          </w:p>
          <w:p>
            <w:pPr>
              <w:pStyle w:val="11"/>
              <w:keepNext w:val="0"/>
              <w:keepLines w:val="0"/>
              <w:pageBreakBefore w:val="0"/>
              <w:suppressLineNumbers w:val="0"/>
              <w:wordWrap/>
              <w:topLinePunct w:val="0"/>
              <w:bidi w:val="0"/>
              <w:spacing w:before="0" w:beforeAutospacing="0" w:after="0" w:afterAutospacing="0"/>
              <w:ind w:left="0" w:right="0" w:firstLine="0" w:firstLineChars="0"/>
              <w:jc w:val="center"/>
              <w:outlineLvl w:val="9"/>
              <w:rPr>
                <w:rFonts w:hint="default" w:ascii="Times New Roman" w:hAnsi="Times New Roman" w:eastAsia="黑体" w:cs="Times New Roman"/>
                <w:bCs/>
                <w:color w:val="auto"/>
                <w:kern w:val="0"/>
                <w:sz w:val="21"/>
                <w:szCs w:val="21"/>
                <w:highlight w:val="none"/>
              </w:rPr>
            </w:pP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b/>
                <w:bCs/>
                <w:color w:val="auto"/>
                <w:spacing w:val="5"/>
                <w:kern w:val="2"/>
                <w:sz w:val="21"/>
                <w:szCs w:val="21"/>
                <w:highlight w:val="none"/>
                <w:lang w:val="en-US" w:eastAsia="zh-CN" w:bidi="ar-SA"/>
              </w:rPr>
              <w:t>图</w:t>
            </w:r>
            <w:r>
              <w:rPr>
                <w:rFonts w:hint="eastAsia" w:cs="Times New Roman"/>
                <w:b/>
                <w:bCs/>
                <w:color w:val="auto"/>
                <w:spacing w:val="5"/>
                <w:kern w:val="2"/>
                <w:sz w:val="21"/>
                <w:szCs w:val="21"/>
                <w:highlight w:val="none"/>
                <w:lang w:val="en-US" w:eastAsia="zh-CN" w:bidi="ar-SA"/>
              </w:rPr>
              <w:t xml:space="preserve">2  </w:t>
            </w:r>
            <w:r>
              <w:rPr>
                <w:rFonts w:hint="default" w:ascii="Times New Roman" w:hAnsi="Times New Roman" w:eastAsia="宋体" w:cs="Times New Roman"/>
                <w:b/>
                <w:bCs/>
                <w:color w:val="auto"/>
                <w:spacing w:val="5"/>
                <w:kern w:val="2"/>
                <w:sz w:val="21"/>
                <w:szCs w:val="21"/>
                <w:highlight w:val="none"/>
                <w:lang w:val="en-US" w:eastAsia="zh-CN" w:bidi="ar-SA"/>
              </w:rPr>
              <w:t>全厂水平衡图</w:t>
            </w:r>
            <w:r>
              <w:rPr>
                <w:rFonts w:hint="eastAsia" w:ascii="Times New Roman" w:hAnsi="Times New Roman" w:eastAsia="宋体" w:cs="Times New Roman"/>
                <w:b/>
                <w:bCs/>
                <w:color w:val="auto"/>
                <w:spacing w:val="5"/>
                <w:kern w:val="2"/>
                <w:sz w:val="21"/>
                <w:szCs w:val="21"/>
                <w:highlight w:val="none"/>
                <w:lang w:val="en-US" w:eastAsia="zh-CN" w:bidi="ar-SA"/>
              </w:rPr>
              <w:t xml:space="preserve">          </w:t>
            </w:r>
            <w:r>
              <w:rPr>
                <w:rFonts w:hint="default" w:ascii="Times New Roman" w:hAnsi="Times New Roman" w:eastAsia="黑体" w:cs="Times New Roman"/>
                <w:bCs/>
                <w:color w:val="auto"/>
                <w:kern w:val="0"/>
                <w:sz w:val="21"/>
                <w:szCs w:val="21"/>
                <w:highlight w:val="none"/>
              </w:rPr>
              <w:t>单位m</w:t>
            </w:r>
            <w:r>
              <w:rPr>
                <w:rFonts w:hint="default" w:ascii="Times New Roman" w:hAnsi="Times New Roman" w:eastAsia="黑体" w:cs="Times New Roman"/>
                <w:bCs/>
                <w:color w:val="auto"/>
                <w:kern w:val="0"/>
                <w:sz w:val="21"/>
                <w:szCs w:val="21"/>
                <w:highlight w:val="none"/>
                <w:vertAlign w:val="superscript"/>
              </w:rPr>
              <w:t>3</w:t>
            </w:r>
            <w:r>
              <w:rPr>
                <w:rFonts w:hint="default" w:ascii="Times New Roman" w:hAnsi="Times New Roman" w:eastAsia="黑体" w:cs="Times New Roman"/>
                <w:bCs/>
                <w:color w:val="auto"/>
                <w:kern w:val="0"/>
                <w:sz w:val="21"/>
                <w:szCs w:val="21"/>
                <w:highlight w:val="none"/>
              </w:rPr>
              <w:t>/d</w:t>
            </w:r>
          </w:p>
          <w:p>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cs="Times New Roman"/>
                <w:color w:val="FF0000"/>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供</w:t>
            </w:r>
            <w:r>
              <w:rPr>
                <w:rFonts w:hint="default" w:ascii="Times New Roman" w:hAnsi="Times New Roman" w:cs="Times New Roman"/>
                <w:color w:val="auto"/>
                <w:sz w:val="21"/>
                <w:szCs w:val="21"/>
                <w:highlight w:val="none"/>
                <w:lang w:val="en-US" w:eastAsia="zh-CN"/>
              </w:rPr>
              <w:t>电</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pacing w:val="5"/>
                <w:sz w:val="21"/>
                <w:szCs w:val="21"/>
                <w:highlight w:val="none"/>
              </w:rPr>
              <w:t>唐山高新技术产业园内现有两座110千伏变电站，为入驻企业提供电力。</w:t>
            </w:r>
            <w:r>
              <w:rPr>
                <w:rFonts w:hint="default" w:ascii="Times New Roman" w:hAnsi="Times New Roman" w:cs="Times New Roman"/>
                <w:color w:val="auto"/>
                <w:spacing w:val="5"/>
                <w:sz w:val="21"/>
                <w:szCs w:val="21"/>
                <w:highlight w:val="none"/>
                <w:lang w:val="en-US" w:eastAsia="zh-CN"/>
              </w:rPr>
              <w:t>现有工程</w:t>
            </w:r>
            <w:r>
              <w:rPr>
                <w:rFonts w:hint="default" w:ascii="Times New Roman" w:hAnsi="Times New Roman" w:cs="Times New Roman"/>
                <w:color w:val="auto"/>
                <w:spacing w:val="5"/>
                <w:sz w:val="21"/>
                <w:szCs w:val="21"/>
                <w:highlight w:val="none"/>
              </w:rPr>
              <w:t>电源由产业园区变电站提供</w:t>
            </w:r>
            <w:r>
              <w:rPr>
                <w:rFonts w:hint="default" w:ascii="Times New Roman" w:hAnsi="Times New Roman" w:cs="Times New Roman"/>
                <w:color w:val="auto"/>
                <w:spacing w:val="5"/>
                <w:sz w:val="21"/>
                <w:szCs w:val="21"/>
                <w:highlight w:val="none"/>
                <w:lang w:val="en-US" w:eastAsia="zh-CN"/>
              </w:rPr>
              <w:t>10</w:t>
            </w:r>
            <w:r>
              <w:rPr>
                <w:rFonts w:hint="default" w:ascii="Times New Roman" w:hAnsi="Times New Roman" w:cs="Times New Roman"/>
                <w:color w:val="auto"/>
                <w:spacing w:val="5"/>
                <w:sz w:val="21"/>
                <w:szCs w:val="21"/>
                <w:highlight w:val="none"/>
              </w:rPr>
              <w:t>kV电源，由该厂区东北角进线，埋地敷设至厂区开闭所，再配送至各用电车间及部门内的变配电室</w:t>
            </w:r>
            <w:r>
              <w:rPr>
                <w:rFonts w:hint="default" w:ascii="Times New Roman" w:hAnsi="Times New Roman" w:cs="Times New Roman"/>
                <w:color w:val="auto"/>
                <w:sz w:val="21"/>
                <w:szCs w:val="21"/>
                <w:highlight w:val="none"/>
              </w:rPr>
              <w:t>。</w:t>
            </w:r>
          </w:p>
          <w:p>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供热</w:t>
            </w:r>
          </w:p>
          <w:p>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4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5"/>
                <w:sz w:val="21"/>
                <w:szCs w:val="21"/>
                <w:highlight w:val="none"/>
              </w:rPr>
              <w:t>厂区内各厂房建筑内釆暖由唐山高新技术产业园集中供热系统提供热源，热媒为95/70</w:t>
            </w:r>
            <w:r>
              <w:rPr>
                <w:rFonts w:hint="default" w:ascii="Times New Roman" w:hAnsi="Times New Roman" w:cs="Times New Roman"/>
                <w:color w:val="auto"/>
                <w:spacing w:val="5"/>
                <w:sz w:val="21"/>
                <w:szCs w:val="21"/>
                <w:highlight w:val="none"/>
                <w:lang w:val="en-US" w:eastAsia="zh-CN"/>
              </w:rPr>
              <w:t>℃</w:t>
            </w:r>
            <w:r>
              <w:rPr>
                <w:rFonts w:hint="default" w:ascii="Times New Roman" w:hAnsi="Times New Roman" w:cs="Times New Roman"/>
                <w:color w:val="auto"/>
                <w:spacing w:val="5"/>
                <w:sz w:val="21"/>
                <w:szCs w:val="21"/>
                <w:highlight w:val="none"/>
              </w:rPr>
              <w:t>热水</w:t>
            </w:r>
            <w:r>
              <w:rPr>
                <w:rFonts w:hint="default" w:ascii="Times New Roman" w:hAnsi="Times New Roman" w:cs="Times New Roman"/>
                <w:color w:val="auto"/>
                <w:sz w:val="21"/>
                <w:szCs w:val="21"/>
                <w:highlight w:val="none"/>
                <w:lang w:val="en-US" w:eastAsia="zh-CN"/>
              </w:rPr>
              <w:t>。</w:t>
            </w:r>
          </w:p>
          <w:p>
            <w:pPr>
              <w:pStyle w:val="18"/>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3" w:hRule="atLeast"/>
          <w:jc w:val="center"/>
        </w:trPr>
        <w:tc>
          <w:tcPr>
            <w:tcW w:w="649" w:type="dxa"/>
            <w:shd w:val="clear" w:color="auto" w:fill="auto"/>
            <w:noWrap w:val="0"/>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kern w:val="2"/>
                <w:sz w:val="21"/>
                <w:szCs w:val="21"/>
                <w:highlight w:val="none"/>
              </w:rPr>
              <w:t>工艺流程和产排污环节</w:t>
            </w:r>
          </w:p>
        </w:tc>
        <w:tc>
          <w:tcPr>
            <w:tcW w:w="8525" w:type="dxa"/>
            <w:shd w:val="clear" w:color="auto" w:fill="auto"/>
            <w:noWrap w:val="0"/>
            <w:vAlign w:val="top"/>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22" w:firstLineChars="200"/>
              <w:contextualSpacing/>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一、</w:t>
            </w:r>
            <w:r>
              <w:rPr>
                <w:rFonts w:hint="default" w:ascii="Times New Roman" w:hAnsi="Times New Roman" w:eastAsia="宋体" w:cs="Times New Roman"/>
                <w:b/>
                <w:bCs/>
                <w:color w:val="auto"/>
                <w:sz w:val="21"/>
                <w:szCs w:val="21"/>
                <w:highlight w:val="none"/>
                <w:lang w:val="en-US" w:eastAsia="zh-CN"/>
              </w:rPr>
              <w:t>施工期工艺流程简述</w:t>
            </w: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20" w:firstLineChars="200"/>
              <w:contextualSpacing/>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本项目不新开发土地及新建构筑物，依托现有</w:t>
            </w:r>
            <w:r>
              <w:rPr>
                <w:rFonts w:hint="default" w:ascii="Times New Roman" w:hAnsi="Times New Roman" w:cs="Times New Roman"/>
                <w:color w:val="auto"/>
                <w:sz w:val="21"/>
                <w:szCs w:val="21"/>
                <w:highlight w:val="none"/>
                <w:lang w:val="en-US" w:eastAsia="zh-CN"/>
              </w:rPr>
              <w:t>厂房及生产设备进行建设生产，施工期仅为新增设备的购进安装调试过程</w:t>
            </w:r>
            <w:r>
              <w:rPr>
                <w:rFonts w:hint="eastAsia" w:cs="Times New Roman"/>
                <w:color w:val="auto"/>
                <w:sz w:val="21"/>
                <w:szCs w:val="21"/>
                <w:highlight w:val="none"/>
                <w:lang w:val="en-US" w:eastAsia="zh-CN"/>
              </w:rPr>
              <w:t>产生的噪声</w:t>
            </w:r>
            <w:r>
              <w:rPr>
                <w:rFonts w:hint="default" w:ascii="Times New Roman" w:hAnsi="Times New Roman" w:cs="Times New Roman"/>
                <w:color w:val="auto"/>
                <w:sz w:val="21"/>
                <w:szCs w:val="21"/>
                <w:highlight w:val="none"/>
                <w:lang w:val="en-US" w:eastAsia="zh-CN"/>
              </w:rPr>
              <w:t>，持续时间较短，不会对周边环境产生明显的不良影响。</w:t>
            </w: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80" w:lineRule="exact"/>
              <w:ind w:left="0" w:right="0" w:firstLine="422" w:firstLineChars="200"/>
              <w:contextualSpacing/>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val="en-US" w:eastAsia="zh-CN"/>
              </w:rPr>
              <w:t>二、运营期</w:t>
            </w:r>
            <w:r>
              <w:rPr>
                <w:rFonts w:hint="default" w:ascii="Times New Roman" w:hAnsi="Times New Roman" w:eastAsia="宋体" w:cs="Times New Roman"/>
                <w:b/>
                <w:bCs/>
                <w:color w:val="auto"/>
                <w:sz w:val="21"/>
                <w:szCs w:val="21"/>
                <w:highlight w:val="none"/>
                <w:lang w:eastAsia="zh-CN"/>
              </w:rPr>
              <w:t>工艺流程简述：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利用现有厂房，对原有生产线进行技术改造，购置数控机床，电阻炉、雕刻机等先进设备，，将现有工程生产的产品大型模锻件和重型装备其中的10000t/a进行喷涂、固化等表面处理，其中喷涂的大型模锻件8000t/a、重型装备2000t/a，不增加全厂总生产能力，现有工程工艺流程及产排污不变，本项目生产大型模锻件主要涉及的的新增工艺主要是将加工后的毛坯件进行精加工、喷塑、固化等处理后生产产品，生产重型装备主要涉及的新增工艺主要是将加工后的工件进行喷塑、固化等处理，工艺流程及排污节点如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大型模锻件生产重型装备工艺流程简述：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生产大型模锻件主要涉及的的新增工艺主要是将加工后的毛坯件进行精加工、喷塑、固化等处理后生产产品。</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（1）精加工：将现有工程加工后大型模锻件毛坯件经的经新增的钻床、普通车床、数控车床、加工中心等行精加工。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（2）注脂：将精加工后的工件进行注脂作润滑、防腐处理。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（3）水压试验：将注脂后的工件经水压试验台进行试压实验。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（4）喷塑</w:t>
            </w:r>
            <w:r>
              <w:rPr>
                <w:rFonts w:hint="default" w:cs="Times New Roman"/>
                <w:color w:val="auto"/>
                <w:sz w:val="21"/>
                <w:szCs w:val="21"/>
                <w:highlight w:val="none"/>
                <w:lang w:val="en-US" w:eastAsia="zh-CN"/>
              </w:rPr>
              <w:t>：</w:t>
            </w:r>
            <w:r>
              <w:rPr>
                <w:rFonts w:hint="eastAsia" w:cs="Times New Roman"/>
                <w:color w:val="auto"/>
                <w:sz w:val="21"/>
                <w:szCs w:val="21"/>
                <w:highlight w:val="none"/>
                <w:lang w:val="en-US" w:eastAsia="zh-CN"/>
              </w:rPr>
              <w:t>经试压后的</w:t>
            </w:r>
            <w:r>
              <w:rPr>
                <w:rFonts w:hint="default" w:cs="Times New Roman"/>
                <w:color w:val="auto"/>
                <w:sz w:val="21"/>
                <w:szCs w:val="21"/>
                <w:highlight w:val="none"/>
                <w:lang w:val="en-US" w:eastAsia="zh-CN"/>
              </w:rPr>
              <w:t>工件随生产线进入喷粉房内进行静电喷粉，</w:t>
            </w:r>
            <w:r>
              <w:rPr>
                <w:rFonts w:hint="eastAsia" w:cs="Times New Roman"/>
                <w:color w:val="auto"/>
                <w:sz w:val="21"/>
                <w:szCs w:val="21"/>
                <w:highlight w:val="none"/>
                <w:lang w:val="en-US" w:eastAsia="zh-CN"/>
              </w:rPr>
              <w:t>采用人工喷涂方式，最多两支枪同时工作。</w:t>
            </w:r>
            <w:r>
              <w:rPr>
                <w:rFonts w:hint="default" w:cs="Times New Roman"/>
                <w:color w:val="auto"/>
                <w:sz w:val="21"/>
                <w:szCs w:val="21"/>
                <w:highlight w:val="none"/>
                <w:lang w:val="en-US" w:eastAsia="zh-CN"/>
              </w:rPr>
              <w:t>静电喷粉即在喷枪与工件之间形成一个高压电晕放电电场，当粉末粒子由喷枪口喷出经过放电区时，便补集了大量的电子，成为带负电的微粒，在静电吸引的作用下，被吸附到带正电荷的工件上去。当粉末附着到一定厚度时，则会发生“同性相斥”的作用，不能再吸附粉末，从而使各部分的粉层厚度均匀。</w:t>
            </w:r>
            <w:r>
              <w:rPr>
                <w:rFonts w:hint="eastAsia"/>
                <w:color w:val="auto"/>
                <w:szCs w:val="21"/>
                <w:highlight w:val="none"/>
                <w:lang w:val="en-US" w:eastAsia="zh-CN"/>
              </w:rPr>
              <w:t>根据企业提供的资料，</w:t>
            </w:r>
            <w:r>
              <w:rPr>
                <w:rFonts w:hint="eastAsia"/>
                <w:color w:val="auto"/>
                <w:szCs w:val="21"/>
              </w:rPr>
              <w:t>静电喷粉工序</w:t>
            </w:r>
            <w:r>
              <w:rPr>
                <w:rFonts w:hint="eastAsia"/>
                <w:color w:val="auto"/>
                <w:szCs w:val="21"/>
                <w:highlight w:val="none"/>
              </w:rPr>
              <w:t>年运行时间为2400h</w:t>
            </w:r>
            <w:r>
              <w:rPr>
                <w:rFonts w:hint="eastAsia"/>
                <w:color w:val="auto"/>
                <w:szCs w:val="21"/>
                <w:highlight w:val="none"/>
                <w:lang w:eastAsia="zh-CN"/>
              </w:rPr>
              <w:t>（</w:t>
            </w:r>
            <w:r>
              <w:rPr>
                <w:rFonts w:hint="eastAsia"/>
                <w:color w:val="auto"/>
                <w:szCs w:val="21"/>
                <w:highlight w:val="none"/>
                <w:lang w:val="en-US" w:eastAsia="zh-CN"/>
              </w:rPr>
              <w:t>企业喷塑工序时间为8h/d，生产时间为300d/a</w:t>
            </w:r>
            <w:r>
              <w:rPr>
                <w:rFonts w:hint="eastAsia"/>
                <w:color w:val="auto"/>
                <w:szCs w:val="21"/>
                <w:highlight w:val="no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default" w:cs="Times New Roman"/>
                <w:color w:val="auto"/>
                <w:sz w:val="21"/>
                <w:szCs w:val="21"/>
                <w:highlight w:val="none"/>
                <w:lang w:val="en-US" w:eastAsia="zh-CN"/>
              </w:rPr>
              <w:t>喷粉设备技术要求：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①</w:t>
            </w:r>
            <w:r>
              <w:rPr>
                <w:rFonts w:hint="default" w:cs="Times New Roman"/>
                <w:color w:val="auto"/>
                <w:sz w:val="21"/>
                <w:szCs w:val="21"/>
                <w:highlight w:val="none"/>
                <w:lang w:val="en-US" w:eastAsia="zh-CN"/>
              </w:rPr>
              <w:t>一套大件喷粉房，不含地下及突出部分的外形尺</w:t>
            </w:r>
            <w:r>
              <w:rPr>
                <w:rFonts w:hint="default" w:ascii="Times New Roman" w:hAnsi="Times New Roman" w:cs="Times New Roman"/>
                <w:color w:val="auto"/>
                <w:sz w:val="21"/>
                <w:szCs w:val="21"/>
                <w:highlight w:val="none"/>
                <w:lang w:val="en-US" w:eastAsia="zh-CN"/>
              </w:rPr>
              <w:t>寸≥L1</w:t>
            </w:r>
            <w:r>
              <w:rPr>
                <w:rFonts w:hint="default" w:cs="Times New Roman"/>
                <w:color w:val="auto"/>
                <w:sz w:val="21"/>
                <w:szCs w:val="21"/>
                <w:highlight w:val="none"/>
                <w:lang w:val="en-US" w:eastAsia="zh-CN"/>
              </w:rPr>
              <w:t>1000*W6200</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满足最大工件闭门喷粉的需求。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②</w:t>
            </w:r>
            <w:r>
              <w:rPr>
                <w:rFonts w:hint="default" w:cs="Times New Roman"/>
                <w:color w:val="auto"/>
                <w:sz w:val="21"/>
                <w:szCs w:val="21"/>
                <w:highlight w:val="none"/>
                <w:lang w:val="en-US" w:eastAsia="zh-CN"/>
              </w:rPr>
              <w:t>喷粉房室体三明治结构全部由哑光白色防静电PP板制作。内板8mm厚，外板6mm厚，内有型钢框架。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③</w:t>
            </w:r>
            <w:r>
              <w:rPr>
                <w:rFonts w:hint="default" w:cs="Times New Roman"/>
                <w:color w:val="auto"/>
                <w:sz w:val="21"/>
                <w:szCs w:val="21"/>
                <w:highlight w:val="none"/>
                <w:lang w:val="en-US" w:eastAsia="zh-CN"/>
              </w:rPr>
              <w:t>粉房底部镜面不锈钢厚度</w:t>
            </w:r>
            <w:r>
              <w:rPr>
                <w:rFonts w:hint="default" w:ascii="Arial" w:hAnsi="Arial" w:cs="Arial"/>
                <w:color w:val="auto"/>
                <w:sz w:val="21"/>
                <w:szCs w:val="21"/>
                <w:highlight w:val="none"/>
                <w:lang w:val="en-US" w:eastAsia="zh-CN"/>
              </w:rPr>
              <w:t>≥</w:t>
            </w:r>
            <w:r>
              <w:rPr>
                <w:rFonts w:hint="default" w:cs="Times New Roman"/>
                <w:color w:val="auto"/>
                <w:sz w:val="21"/>
                <w:szCs w:val="21"/>
                <w:highlight w:val="none"/>
                <w:lang w:val="en-US" w:eastAsia="zh-CN"/>
              </w:rPr>
              <w:t>3mm</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粉房底部应具有良好的粉末自回收能力、承载力及稳定性。保证单人换色时间在40分钟内完成。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④</w:t>
            </w:r>
            <w:r>
              <w:rPr>
                <w:rFonts w:hint="default" w:cs="Times New Roman"/>
                <w:color w:val="auto"/>
                <w:sz w:val="21"/>
                <w:szCs w:val="21"/>
                <w:highlight w:val="none"/>
                <w:lang w:val="en-US" w:eastAsia="zh-CN"/>
              </w:rPr>
              <w:t>粉房可分成两段、也可合并使用，中间设有密封良好的门。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⑤</w:t>
            </w:r>
            <w:r>
              <w:rPr>
                <w:rFonts w:hint="default" w:cs="Times New Roman"/>
                <w:color w:val="auto"/>
                <w:sz w:val="21"/>
                <w:szCs w:val="21"/>
                <w:highlight w:val="none"/>
                <w:lang w:val="en-US" w:eastAsia="zh-CN"/>
              </w:rPr>
              <w:t>配备2套大旋风及配套的带滤芯及抽气风机的后过滤器，单套风机功率</w:t>
            </w:r>
            <w:r>
              <w:rPr>
                <w:rFonts w:hint="default" w:ascii="Arial" w:hAnsi="Arial" w:cs="Arial"/>
                <w:color w:val="auto"/>
                <w:sz w:val="21"/>
                <w:szCs w:val="21"/>
                <w:highlight w:val="none"/>
                <w:lang w:val="en-US" w:eastAsia="zh-CN"/>
              </w:rPr>
              <w:t>≥</w:t>
            </w:r>
            <w:r>
              <w:rPr>
                <w:rFonts w:hint="default" w:cs="Times New Roman"/>
                <w:color w:val="auto"/>
                <w:sz w:val="21"/>
                <w:szCs w:val="21"/>
                <w:highlight w:val="none"/>
                <w:lang w:val="en-US" w:eastAsia="zh-CN"/>
              </w:rPr>
              <w:t>22KW</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过滤器配有压差及反吹装置，过滤器安装有气动的锁气卸灰阀。</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⑥</w:t>
            </w:r>
            <w:r>
              <w:rPr>
                <w:rFonts w:hint="default" w:cs="Times New Roman"/>
                <w:color w:val="auto"/>
                <w:sz w:val="21"/>
                <w:szCs w:val="21"/>
                <w:highlight w:val="none"/>
                <w:lang w:val="en-US" w:eastAsia="zh-CN"/>
              </w:rPr>
              <w:t>风量满足相关标准要求，粉末不外泄。粉末回收效率</w:t>
            </w:r>
            <w:r>
              <w:rPr>
                <w:rFonts w:hint="default" w:ascii="Arial" w:hAnsi="Arial" w:cs="Arial"/>
                <w:color w:val="auto"/>
                <w:sz w:val="21"/>
                <w:szCs w:val="21"/>
                <w:highlight w:val="none"/>
                <w:lang w:val="en-US" w:eastAsia="zh-CN"/>
              </w:rPr>
              <w:t>≥</w:t>
            </w:r>
            <w:r>
              <w:rPr>
                <w:rFonts w:hint="default" w:cs="Times New Roman"/>
                <w:color w:val="auto"/>
                <w:sz w:val="21"/>
                <w:szCs w:val="21"/>
                <w:highlight w:val="none"/>
                <w:lang w:val="en-US" w:eastAsia="zh-CN"/>
              </w:rPr>
              <w:t>96%</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工作噪音低于85dB。</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⑦</w:t>
            </w:r>
            <w:r>
              <w:rPr>
                <w:rFonts w:hint="default" w:cs="Times New Roman"/>
                <w:color w:val="auto"/>
                <w:sz w:val="21"/>
                <w:szCs w:val="21"/>
                <w:highlight w:val="none"/>
                <w:lang w:val="en-US" w:eastAsia="zh-CN"/>
              </w:rPr>
              <w:t>配备供粉中心2套，各配置插孔4个，供粉桶带流化，震动粉末过滤器。喷枪粉泵以及回收粉管可实现自动清理。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⑧</w:t>
            </w:r>
            <w:r>
              <w:rPr>
                <w:rFonts w:hint="default" w:cs="Times New Roman"/>
                <w:color w:val="auto"/>
                <w:sz w:val="21"/>
                <w:szCs w:val="21"/>
                <w:highlight w:val="none"/>
                <w:lang w:val="en-US" w:eastAsia="zh-CN"/>
              </w:rPr>
              <w:t>喷粉房上端铺设电动葫芦轨道，布置两台起重量为1吨的防爆电动葫芦。电动葫芦可单独、同步控制，配有工业防爆遥控器。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⑨</w:t>
            </w:r>
            <w:r>
              <w:rPr>
                <w:rFonts w:hint="default" w:cs="Times New Roman"/>
                <w:color w:val="auto"/>
                <w:sz w:val="21"/>
                <w:szCs w:val="21"/>
                <w:highlight w:val="none"/>
                <w:lang w:val="en-US" w:eastAsia="zh-CN"/>
              </w:rPr>
              <w:t>粉房上端布置自然补风孔，配备除尘滤网，滤网上端有遮盖，减少杂物直接落到滤网上。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⑩</w:t>
            </w:r>
            <w:r>
              <w:rPr>
                <w:rFonts w:hint="default" w:cs="Times New Roman"/>
                <w:color w:val="auto"/>
                <w:sz w:val="21"/>
                <w:szCs w:val="21"/>
                <w:highlight w:val="none"/>
                <w:lang w:val="en-US" w:eastAsia="zh-CN"/>
              </w:rPr>
              <w:t>设置爬梯方便维护粉房上部设施。带有两台带踏步带平台的移动小车，方便喷涂大工件上部。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（5）</w:t>
            </w:r>
            <w:r>
              <w:rPr>
                <w:rFonts w:hint="default" w:cs="Times New Roman"/>
                <w:color w:val="auto"/>
                <w:sz w:val="21"/>
                <w:szCs w:val="21"/>
                <w:highlight w:val="none"/>
                <w:lang w:val="en-US" w:eastAsia="zh-CN"/>
              </w:rPr>
              <w:t>固化：喷粉工件需进行烘干固化处理，喷粉工件随生产线进入固化炉内进行烘干固化，固化炉采用交流380V 电加热，固化炉温度：170-210℃可调，到达预设温度后15分钟内，工件上、中、下温差±5℃</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需提供测温曲线。空炉升温时间：≤60min(室温至200℃)</w:t>
            </w:r>
            <w:r>
              <w:rPr>
                <w:rFonts w:hint="eastAsia" w:cs="Times New Roman"/>
                <w:color w:val="auto"/>
                <w:sz w:val="21"/>
                <w:szCs w:val="21"/>
                <w:highlight w:val="none"/>
                <w:lang w:val="en-US" w:eastAsia="zh-CN"/>
              </w:rPr>
              <w:t>。有机废气的分解温度为760℃，在</w:t>
            </w:r>
            <w:r>
              <w:rPr>
                <w:rFonts w:hint="default" w:cs="Times New Roman"/>
                <w:color w:val="auto"/>
                <w:sz w:val="21"/>
                <w:szCs w:val="21"/>
                <w:highlight w:val="none"/>
                <w:lang w:val="en-US" w:eastAsia="zh-CN"/>
              </w:rPr>
              <w:t>170-210℃</w:t>
            </w:r>
            <w:r>
              <w:rPr>
                <w:rFonts w:hint="eastAsia" w:cs="Times New Roman"/>
                <w:color w:val="auto"/>
                <w:sz w:val="21"/>
                <w:szCs w:val="21"/>
                <w:highlight w:val="none"/>
                <w:lang w:val="en-US" w:eastAsia="zh-CN"/>
              </w:rPr>
              <w:t>温度下，有机废气是不存在化学分解的情况。</w:t>
            </w:r>
            <w:r>
              <w:rPr>
                <w:rFonts w:hint="eastAsia"/>
                <w:color w:val="auto"/>
                <w:szCs w:val="21"/>
                <w:highlight w:val="none"/>
                <w:lang w:val="en-US" w:eastAsia="zh-CN"/>
              </w:rPr>
              <w:t>根据企业提供的资料，固化工序</w:t>
            </w:r>
            <w:r>
              <w:rPr>
                <w:rFonts w:hint="eastAsia"/>
                <w:color w:val="auto"/>
                <w:szCs w:val="21"/>
                <w:highlight w:val="none"/>
              </w:rPr>
              <w:t>年运行时间为</w:t>
            </w:r>
            <w:r>
              <w:rPr>
                <w:rFonts w:hint="eastAsia"/>
                <w:color w:val="auto"/>
                <w:szCs w:val="21"/>
                <w:highlight w:val="none"/>
                <w:lang w:val="en-US" w:eastAsia="zh-CN"/>
              </w:rPr>
              <w:t>1950</w:t>
            </w:r>
            <w:r>
              <w:rPr>
                <w:rFonts w:hint="eastAsia"/>
                <w:color w:val="auto"/>
                <w:szCs w:val="21"/>
                <w:highlight w:val="none"/>
              </w:rPr>
              <w:t>h</w:t>
            </w:r>
            <w:r>
              <w:rPr>
                <w:rFonts w:hint="eastAsia"/>
                <w:color w:val="auto"/>
                <w:szCs w:val="21"/>
                <w:highlight w:val="none"/>
                <w:lang w:eastAsia="zh-CN"/>
              </w:rPr>
              <w:t>（</w:t>
            </w:r>
            <w:r>
              <w:rPr>
                <w:rFonts w:hint="eastAsia"/>
                <w:color w:val="auto"/>
                <w:szCs w:val="21"/>
                <w:highlight w:val="none"/>
                <w:lang w:val="en-US" w:eastAsia="zh-CN"/>
              </w:rPr>
              <w:t>根据企业提供的资料，工件需要送进固化室，结束后取出，每次合计需0.5h，13次/d，合计6.5h/d，生产时间为300d/a</w:t>
            </w:r>
            <w:r>
              <w:rPr>
                <w:rFonts w:hint="eastAsia"/>
                <w:color w:val="auto"/>
                <w:szCs w:val="21"/>
                <w:highlight w:val="no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固化炉设备技术要求：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①固化炉采用交流380V电加热，固化炉温度：170-210%：可调，到达预设温度后15分钟内，工件上、中、下温差±5</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，需提供测温曲线。空炉升温时间：</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60min（室温至200</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②固化炉分成两室，长度分别为4.1米和5.6米，两室可单独控制。炉体外形的长、宽尺寸</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10000*5000mm（不含突出部分及地下部分）。两室功率</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243+324KW。</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③热风循环系统：循环热风经过循环风机送入固化炉的送风管道后再经过出风口送入炉体内，出风口布置在炉体的下部；回风釆用炉体上部回风形式。送风均匀，不吹落粉末。</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④炉内金属板与炉外金属板间有隔热，减少热传导。固化炉设有爬梯，并在固化炉顶端四周安装护栏。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⑤壁板厚度</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150mm，岩棉板容重</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100kg/m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运行时炉壁温度不高于环境温度10</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。炉内釆用镀锌板，内壁1.2mm厚镀锌板，镀锌量</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80g/m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，外层釆用彩钢板。</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⑥粉末固化炉设有温控仪和温度传感器，温控器釆用数字式比例调节仪控制，通过控制电加热管的功率大小来调节炉温，温度传感器连线采用屏蔽补偿导线。触摸屏可显示历史温度曲线，在触摸屏上可设置加热时长、保温时常、加热温度等基本参数及操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⑦设备具备安全联锁控制功能，循环风机不运行时，加温系统不能开启。温度异常时能自动切断加热电源，并发出声光报警。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⑧固化炉用密封良好的门隔开，结构形式为带门框对开门，打开后不能影响台车进出，也不影响热风循环。保温效果类似固化炉外门。两炉之间框架有隔热措施，减少热传导。</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⑨固化炉废气釆用集成式催化燃烧和活性炭吸附两种处理方式，装碳量N95%，碘值</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800，所用元器件釆用防爆型。室外设备需要做遮蔽装置，催化炉模块间使用钢板风管。废气主排风管道直出房顶，排放总高约25m（厂房约22米高），设置避雷针，含检测平台（平台符合GB4053）。固化炉的顶部设置自然排气系统+强排系统及时排出废气，门口设置集气罩，换气量</w:t>
            </w:r>
            <w:r>
              <w:rPr>
                <w:rFonts w:hint="default" w:ascii="Arial" w:hAnsi="Arial" w:cs="Arial"/>
                <w:color w:val="auto"/>
                <w:sz w:val="21"/>
                <w:szCs w:val="21"/>
                <w:highlight w:val="none"/>
                <w:lang w:val="en-US" w:eastAsia="zh-CN"/>
              </w:rPr>
              <w:t>≥</w:t>
            </w:r>
            <w:r>
              <w:rPr>
                <w:rFonts w:hint="eastAsia" w:cs="Times New Roman"/>
                <w:color w:val="auto"/>
                <w:sz w:val="21"/>
                <w:szCs w:val="21"/>
                <w:highlight w:val="none"/>
                <w:lang w:val="en-US" w:eastAsia="zh-CN"/>
              </w:rPr>
              <w:t>3000m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/h，确保正常使用烟气不外溢。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（6）检验、出厂：将喷塑、固化处理好的产品进行检验，即为最终产品。</w: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object>
                <v:shape id="_x0000_i1027" o:spt="75" type="#_x0000_t75" style="height:500.75pt;width:415.2pt;" o:ole="t" filled="f" o:preferrelative="t" stroked="f" coordsize="21600,21600">
                  <v:path/>
                  <v:fill on="f" focussize="0,0"/>
                  <v:stroke on="f"/>
                  <v:imagedata r:id="rId13" o:title=""/>
                  <o:lock v:ext="edit" aspectratio="f"/>
                  <w10:wrap type="none"/>
                  <w10:anchorlock/>
                </v:shape>
                <o:OLEObject Type="Embed" ProgID="Visio.Drawing.11" ShapeID="_x0000_i1027" DrawAspect="Content" ObjectID="_1468075727" r:id="rId12">
                  <o:LockedField>false</o:LockedField>
                </o:OLEObject>
              </w:objec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图</w:t>
            </w:r>
            <w:r>
              <w:rPr>
                <w:rFonts w:hint="eastAsia"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 xml:space="preserve"> </w:t>
            </w:r>
            <w:r>
              <w:rPr>
                <w:rFonts w:hint="eastAsia" w:cs="Times New Roman"/>
                <w:color w:val="auto"/>
                <w:sz w:val="21"/>
                <w:szCs w:val="21"/>
                <w:highlight w:val="none"/>
                <w:lang w:val="en-US" w:eastAsia="zh-CN"/>
              </w:rPr>
              <w:t>大型模锻件</w:t>
            </w:r>
            <w:r>
              <w:rPr>
                <w:rFonts w:hint="default" w:ascii="Times New Roman" w:hAnsi="Times New Roman" w:eastAsia="宋体" w:cs="Times New Roman"/>
                <w:color w:val="auto"/>
                <w:kern w:val="2"/>
                <w:sz w:val="21"/>
                <w:szCs w:val="21"/>
                <w:highlight w:val="none"/>
                <w:lang w:val="en-US" w:eastAsia="zh-CN" w:bidi="ar-SA"/>
              </w:rPr>
              <w:t>生产工艺流程及排污节点图</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left"/>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生产重型装备工艺流程简述：</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left"/>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生产重型装备主要涉及的新增工艺主要是将加工后的工件进行喷塑、固化等处理。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（1）喷塑</w:t>
            </w:r>
            <w:r>
              <w:rPr>
                <w:rFonts w:hint="default" w:cs="Times New Roman"/>
                <w:color w:val="auto"/>
                <w:sz w:val="21"/>
                <w:szCs w:val="21"/>
                <w:highlight w:val="none"/>
                <w:lang w:val="en-US" w:eastAsia="zh-CN"/>
              </w:rPr>
              <w:t>：</w:t>
            </w:r>
            <w:r>
              <w:rPr>
                <w:rFonts w:hint="eastAsia" w:cs="Times New Roman"/>
                <w:color w:val="auto"/>
                <w:sz w:val="21"/>
                <w:szCs w:val="21"/>
                <w:highlight w:val="none"/>
                <w:lang w:val="en-US" w:eastAsia="zh-CN"/>
              </w:rPr>
              <w:t>将现有工程加工后的</w:t>
            </w:r>
            <w:r>
              <w:rPr>
                <w:rFonts w:hint="default" w:cs="Times New Roman"/>
                <w:color w:val="auto"/>
                <w:sz w:val="21"/>
                <w:szCs w:val="21"/>
                <w:highlight w:val="none"/>
                <w:lang w:val="en-US" w:eastAsia="zh-CN"/>
              </w:rPr>
              <w:t>工件随生产线进入喷粉房内进行静电喷粉，</w:t>
            </w:r>
            <w:r>
              <w:rPr>
                <w:rFonts w:hint="eastAsia" w:cs="Times New Roman"/>
                <w:color w:val="auto"/>
                <w:sz w:val="21"/>
                <w:szCs w:val="21"/>
                <w:highlight w:val="none"/>
                <w:lang w:val="en-US" w:eastAsia="zh-CN"/>
              </w:rPr>
              <w:t>采用人工喷涂方式，最多两支枪同时工作。</w:t>
            </w:r>
            <w:r>
              <w:rPr>
                <w:rFonts w:hint="default" w:cs="Times New Roman"/>
                <w:color w:val="auto"/>
                <w:sz w:val="21"/>
                <w:szCs w:val="21"/>
                <w:highlight w:val="none"/>
                <w:lang w:val="en-US" w:eastAsia="zh-CN"/>
              </w:rPr>
              <w:t>静电喷粉即在喷枪与工件之间形成一个高压电晕放电电场，当粉末粒子由喷枪口喷出经过放电区时，便补集了大量的电子，成为带负电的微粒，在静电吸引的作用下，被吸附到带正电荷的工件上去。当粉末附着到一定厚度时，则会发生“同性相斥”的作用，不能再吸附粉末，从而使各部分的粉层厚度均匀。</w:t>
            </w:r>
            <w:r>
              <w:rPr>
                <w:rFonts w:hint="eastAsia"/>
                <w:color w:val="auto"/>
                <w:szCs w:val="21"/>
                <w:highlight w:val="none"/>
                <w:lang w:val="en-US" w:eastAsia="zh-CN"/>
              </w:rPr>
              <w:t>根据企业提供的资料，</w:t>
            </w:r>
            <w:r>
              <w:rPr>
                <w:rFonts w:hint="eastAsia"/>
                <w:color w:val="auto"/>
                <w:szCs w:val="21"/>
              </w:rPr>
              <w:t>静电喷粉工序</w:t>
            </w:r>
            <w:r>
              <w:rPr>
                <w:rFonts w:hint="eastAsia"/>
                <w:color w:val="auto"/>
                <w:szCs w:val="21"/>
                <w:highlight w:val="none"/>
              </w:rPr>
              <w:t>年运行时间为2400h</w:t>
            </w:r>
            <w:r>
              <w:rPr>
                <w:rFonts w:hint="eastAsia"/>
                <w:color w:val="auto"/>
                <w:szCs w:val="21"/>
                <w:highlight w:val="none"/>
                <w:lang w:eastAsia="zh-CN"/>
              </w:rPr>
              <w:t>（</w:t>
            </w:r>
            <w:r>
              <w:rPr>
                <w:rFonts w:hint="eastAsia"/>
                <w:color w:val="auto"/>
                <w:szCs w:val="21"/>
                <w:highlight w:val="none"/>
                <w:lang w:val="en-US" w:eastAsia="zh-CN"/>
              </w:rPr>
              <w:t>企业喷塑工序时间为8h/d，生产时间为300d/a</w:t>
            </w:r>
            <w:r>
              <w:rPr>
                <w:rFonts w:hint="eastAsia"/>
                <w:color w:val="auto"/>
                <w:szCs w:val="21"/>
                <w:highlight w:val="no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w:t>
            </w:r>
            <w:r>
              <w:rPr>
                <w:rFonts w:hint="default" w:cs="Times New Roman"/>
                <w:color w:val="auto"/>
                <w:sz w:val="21"/>
                <w:szCs w:val="21"/>
                <w:highlight w:val="none"/>
                <w:lang w:val="en-US" w:eastAsia="zh-CN"/>
              </w:rPr>
              <w:t>固化：喷粉工件需进行烘干固化处理，喷粉工件随生产线进入固化炉内进行烘干固化，固化炉采用交流380V 电加热，固化炉温度：170-210℃可调，到达预设温度后15分钟内，工件上、中、下温差±5℃</w:t>
            </w:r>
            <w:r>
              <w:rPr>
                <w:rFonts w:hint="eastAsia" w:cs="Times New Roman"/>
                <w:color w:val="auto"/>
                <w:sz w:val="21"/>
                <w:szCs w:val="21"/>
                <w:highlight w:val="none"/>
                <w:lang w:val="en-US" w:eastAsia="zh-CN"/>
              </w:rPr>
              <w:t>，</w:t>
            </w:r>
            <w:r>
              <w:rPr>
                <w:rFonts w:hint="default" w:cs="Times New Roman"/>
                <w:color w:val="auto"/>
                <w:sz w:val="21"/>
                <w:szCs w:val="21"/>
                <w:highlight w:val="none"/>
                <w:lang w:val="en-US" w:eastAsia="zh-CN"/>
              </w:rPr>
              <w:t>需提供测温曲线。空炉升温时间：≤60min(室温至200℃)</w:t>
            </w:r>
            <w:r>
              <w:rPr>
                <w:rFonts w:hint="eastAsia" w:cs="Times New Roman"/>
                <w:color w:val="auto"/>
                <w:sz w:val="21"/>
                <w:szCs w:val="21"/>
                <w:highlight w:val="none"/>
                <w:lang w:val="en-US" w:eastAsia="zh-CN"/>
              </w:rPr>
              <w:t>。有机废气的分解温度为760℃，在</w:t>
            </w:r>
            <w:r>
              <w:rPr>
                <w:rFonts w:hint="default" w:cs="Times New Roman"/>
                <w:color w:val="auto"/>
                <w:sz w:val="21"/>
                <w:szCs w:val="21"/>
                <w:highlight w:val="none"/>
                <w:lang w:val="en-US" w:eastAsia="zh-CN"/>
              </w:rPr>
              <w:t>170-210℃</w:t>
            </w:r>
            <w:r>
              <w:rPr>
                <w:rFonts w:hint="eastAsia" w:cs="Times New Roman"/>
                <w:color w:val="auto"/>
                <w:sz w:val="21"/>
                <w:szCs w:val="21"/>
                <w:highlight w:val="none"/>
                <w:lang w:val="en-US" w:eastAsia="zh-CN"/>
              </w:rPr>
              <w:t>温度下，有机废气是不存在化学分解的情况。</w:t>
            </w:r>
            <w:r>
              <w:rPr>
                <w:rFonts w:hint="eastAsia"/>
                <w:color w:val="auto"/>
                <w:szCs w:val="21"/>
                <w:highlight w:val="none"/>
                <w:lang w:val="en-US" w:eastAsia="zh-CN"/>
              </w:rPr>
              <w:t>根据企业提供的资料，固化工序</w:t>
            </w:r>
            <w:r>
              <w:rPr>
                <w:rFonts w:hint="eastAsia"/>
                <w:color w:val="auto"/>
                <w:szCs w:val="21"/>
                <w:highlight w:val="none"/>
              </w:rPr>
              <w:t>年运行时间为</w:t>
            </w:r>
            <w:r>
              <w:rPr>
                <w:rFonts w:hint="eastAsia"/>
                <w:color w:val="auto"/>
                <w:szCs w:val="21"/>
                <w:highlight w:val="none"/>
                <w:lang w:val="en-US" w:eastAsia="zh-CN"/>
              </w:rPr>
              <w:t>1950h</w:t>
            </w:r>
            <w:r>
              <w:rPr>
                <w:rFonts w:hint="eastAsia"/>
                <w:color w:val="auto"/>
                <w:szCs w:val="21"/>
                <w:highlight w:val="none"/>
                <w:lang w:eastAsia="zh-CN"/>
              </w:rPr>
              <w:t>（</w:t>
            </w:r>
            <w:r>
              <w:rPr>
                <w:rFonts w:hint="eastAsia"/>
                <w:color w:val="auto"/>
                <w:szCs w:val="21"/>
                <w:highlight w:val="none"/>
                <w:lang w:val="en-US" w:eastAsia="zh-CN"/>
              </w:rPr>
              <w:t>根据企业提供的资料，工件需要送进固化室，结束后取出，每次合计需0.5h，13次/d，合计6.5h/d，生产时间为300d/a</w:t>
            </w:r>
            <w:r>
              <w:rPr>
                <w:rFonts w:hint="eastAsia"/>
                <w:color w:val="auto"/>
                <w:szCs w:val="21"/>
                <w:highlight w:val="no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（3）检验、出厂：将喷塑、固化处理好的产品进行检验，即为最终产品。</w:t>
            </w: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eastAsia" w:cs="Times New Roman"/>
                <w:color w:val="auto"/>
                <w:sz w:val="21"/>
                <w:szCs w:val="21"/>
                <w:highlight w:val="none"/>
                <w:lang w:val="en-US" w:eastAsia="zh-CN"/>
              </w:rPr>
            </w:pP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object>
                <v:shape id="_x0000_i1028" o:spt="75" type="#_x0000_t75" style="height:616.45pt;width:218.65pt;" o:ole="t" filled="f" o:preferrelative="t" stroked="f" coordsize="21600,21600">
                  <v:path/>
                  <v:fill on="f" focussize="0,0"/>
                  <v:stroke on="f"/>
                  <v:imagedata r:id="rId15" o:title=""/>
                  <o:lock v:ext="edit" aspectratio="f"/>
                  <w10:wrap type="none"/>
                  <w10:anchorlock/>
                </v:shape>
                <o:OLEObject Type="Embed" ProgID="Visio.Drawing.11" ShapeID="_x0000_i1028" DrawAspect="Content" ObjectID="_1468075728" r:id="rId14">
                  <o:LockedField>false</o:LockedField>
                </o:OLEObject>
              </w:objec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图</w:t>
            </w:r>
            <w:r>
              <w:rPr>
                <w:rFonts w:hint="eastAsia"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 xml:space="preserve"> </w:t>
            </w:r>
            <w:r>
              <w:rPr>
                <w:rFonts w:hint="eastAsia" w:cs="Times New Roman"/>
                <w:color w:val="auto"/>
                <w:sz w:val="21"/>
                <w:szCs w:val="21"/>
                <w:highlight w:val="none"/>
                <w:lang w:val="en-US" w:eastAsia="zh-CN"/>
              </w:rPr>
              <w:t>重型装备</w:t>
            </w:r>
            <w:r>
              <w:rPr>
                <w:rFonts w:hint="default" w:ascii="Times New Roman" w:hAnsi="Times New Roman" w:eastAsia="宋体" w:cs="Times New Roman"/>
                <w:color w:val="auto"/>
                <w:kern w:val="2"/>
                <w:sz w:val="21"/>
                <w:szCs w:val="21"/>
                <w:highlight w:val="none"/>
                <w:lang w:val="en-US" w:eastAsia="zh-CN" w:bidi="ar-SA"/>
              </w:rPr>
              <w:t>生产工艺流程及排污节点图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生</w:t>
            </w:r>
            <w:r>
              <w:rPr>
                <w:rFonts w:hint="default" w:ascii="Times New Roman" w:hAnsi="Times New Roman" w:eastAsia="宋体" w:cs="Times New Roman"/>
                <w:color w:val="auto"/>
                <w:sz w:val="21"/>
                <w:szCs w:val="21"/>
                <w:highlight w:val="none"/>
              </w:rPr>
              <w:t>产排污情况及治理设施一览表见下表。</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11</w:t>
            </w:r>
            <w:r>
              <w:rPr>
                <w:rFonts w:hint="default" w:ascii="Times New Roman" w:hAnsi="Times New Roman" w:eastAsia="宋体" w:cs="Times New Roman"/>
                <w:b w:val="0"/>
                <w:bCs w:val="0"/>
                <w:color w:val="auto"/>
                <w:sz w:val="21"/>
                <w:szCs w:val="21"/>
                <w:highlight w:val="none"/>
                <w:lang w:val="en-US" w:eastAsia="zh-CN"/>
              </w:rPr>
              <w:t xml:space="preserve"> </w:t>
            </w:r>
            <w:r>
              <w:rPr>
                <w:rFonts w:hint="eastAsia" w:cs="Times New Roman"/>
                <w:b w:val="0"/>
                <w:bCs w:val="0"/>
                <w:color w:val="auto"/>
                <w:sz w:val="21"/>
                <w:szCs w:val="21"/>
                <w:highlight w:val="none"/>
                <w:lang w:val="en-US" w:eastAsia="zh-CN"/>
              </w:rPr>
              <w:t>本项目</w:t>
            </w:r>
            <w:r>
              <w:rPr>
                <w:rFonts w:hint="default" w:ascii="Times New Roman" w:hAnsi="Times New Roman" w:eastAsia="宋体" w:cs="Times New Roman"/>
                <w:b w:val="0"/>
                <w:bCs w:val="0"/>
                <w:color w:val="auto"/>
                <w:sz w:val="21"/>
                <w:szCs w:val="21"/>
                <w:highlight w:val="none"/>
                <w:lang w:val="en-US" w:eastAsia="zh-CN"/>
              </w:rPr>
              <w:t>产排污情况及治理设施一览表</w:t>
            </w:r>
          </w:p>
          <w:tbl>
            <w:tblPr>
              <w:tblStyle w:val="35"/>
              <w:tblW w:w="4965" w:type="pct"/>
              <w:jc w:val="center"/>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0"/>
              <w:gridCol w:w="1885"/>
              <w:gridCol w:w="1478"/>
              <w:gridCol w:w="3236"/>
              <w:gridCol w:w="757"/>
            </w:tblGrid>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34"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污染源分类</w:t>
                  </w:r>
                </w:p>
              </w:tc>
              <w:tc>
                <w:tcPr>
                  <w:tcW w:w="1144"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污染来源</w:t>
                  </w:r>
                </w:p>
              </w:tc>
              <w:tc>
                <w:tcPr>
                  <w:tcW w:w="897"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主要污染因子</w:t>
                  </w:r>
                </w:p>
              </w:tc>
              <w:tc>
                <w:tcPr>
                  <w:tcW w:w="1964" w:type="pct"/>
                  <w:noWrap w:val="0"/>
                  <w:vAlign w:val="center"/>
                </w:tcPr>
                <w:p>
                  <w:pPr>
                    <w:keepNext w:val="0"/>
                    <w:keepLines w:val="0"/>
                    <w:suppressLineNumbers w:val="0"/>
                    <w:wordWrap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治理措施</w:t>
                  </w:r>
                </w:p>
              </w:tc>
              <w:tc>
                <w:tcPr>
                  <w:tcW w:w="459"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排放特征</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534" w:type="pct"/>
                  <w:vMerge w:val="restar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114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喷塑工序</w:t>
                  </w:r>
                </w:p>
              </w:tc>
              <w:tc>
                <w:tcPr>
                  <w:tcW w:w="897"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196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经滤筒除尘器+布袋除尘器处理后经1根30m的排气筒（DA002）</w:t>
                  </w:r>
                  <w:r>
                    <w:rPr>
                      <w:rFonts w:hint="eastAsia" w:ascii="Times New Roman" w:hAnsi="Times New Roman" w:eastAsia="宋体" w:cs="Times New Roman"/>
                      <w:color w:val="auto"/>
                      <w:kern w:val="2"/>
                      <w:sz w:val="21"/>
                      <w:szCs w:val="21"/>
                      <w:highlight w:val="none"/>
                      <w:lang w:val="en-US" w:eastAsia="zh-CN" w:bidi="ar-SA"/>
                    </w:rPr>
                    <w:t>排放</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连续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534" w:type="pct"/>
                  <w:vMerge w:val="continue"/>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1144" w:type="pct"/>
                  <w:noWrap w:val="0"/>
                  <w:vAlign w:val="center"/>
                </w:tcPr>
                <w:p>
                  <w:pPr>
                    <w:keepNext w:val="0"/>
                    <w:keepLines w:val="0"/>
                    <w:suppressLineNumbers w:val="0"/>
                    <w:wordWrap w:val="0"/>
                    <w:spacing w:before="0" w:beforeAutospacing="0" w:after="0" w:afterAutospacing="0"/>
                    <w:ind w:left="0" w:leftChars="0" w:right="0" w:rightChars="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固化工序</w:t>
                  </w:r>
                </w:p>
              </w:tc>
              <w:tc>
                <w:tcPr>
                  <w:tcW w:w="897"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非甲烷总烃</w:t>
                  </w:r>
                </w:p>
              </w:tc>
              <w:tc>
                <w:tcPr>
                  <w:tcW w:w="196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经喷淋塔+干式过滤箱+活性炭吸附/脱附+催化燃烧装置处理后经1根30m的排气筒（DA003）</w:t>
                  </w:r>
                  <w:r>
                    <w:rPr>
                      <w:rFonts w:hint="eastAsia" w:ascii="Times New Roman" w:hAnsi="Times New Roman" w:eastAsia="宋体" w:cs="Times New Roman"/>
                      <w:color w:val="auto"/>
                      <w:kern w:val="2"/>
                      <w:sz w:val="21"/>
                      <w:szCs w:val="21"/>
                      <w:highlight w:val="none"/>
                      <w:lang w:val="en-US" w:eastAsia="zh-CN" w:bidi="ar-SA"/>
                    </w:rPr>
                    <w:t>排放</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连续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1" w:hRule="atLeast"/>
                <w:jc w:val="center"/>
              </w:trPr>
              <w:tc>
                <w:tcPr>
                  <w:tcW w:w="534" w:type="pct"/>
                  <w:vMerge w:val="restar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1144"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水压试验</w:t>
                  </w:r>
                  <w:r>
                    <w:rPr>
                      <w:rFonts w:hint="eastAsia"/>
                      <w:color w:val="auto"/>
                      <w:szCs w:val="21"/>
                      <w:highlight w:val="none"/>
                    </w:rPr>
                    <w:t>用水</w:t>
                  </w:r>
                </w:p>
              </w:tc>
              <w:tc>
                <w:tcPr>
                  <w:tcW w:w="897"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color w:val="auto"/>
                      <w:szCs w:val="21"/>
                      <w:highlight w:val="none"/>
                    </w:rPr>
                    <w:t>/</w:t>
                  </w:r>
                </w:p>
              </w:tc>
              <w:tc>
                <w:tcPr>
                  <w:tcW w:w="1964"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循环使用，定期补充，不外排</w:t>
                  </w:r>
                </w:p>
              </w:tc>
              <w:tc>
                <w:tcPr>
                  <w:tcW w:w="459" w:type="pct"/>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textAlignment w:val="auto"/>
                    <w:rPr>
                      <w:rFonts w:hint="default" w:ascii="Times New Roman" w:hAnsi="Times New Roman" w:eastAsia="font404"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534" w:type="pct"/>
                  <w:vMerge w:val="continue"/>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textAlignment w:val="auto"/>
                  </w:pPr>
                </w:p>
              </w:tc>
              <w:tc>
                <w:tcPr>
                  <w:tcW w:w="1144" w:type="pct"/>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喷淋塔用水</w:t>
                  </w:r>
                </w:p>
              </w:tc>
              <w:tc>
                <w:tcPr>
                  <w:tcW w:w="897" w:type="pc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w:t>
                  </w:r>
                </w:p>
              </w:tc>
              <w:tc>
                <w:tcPr>
                  <w:tcW w:w="1964" w:type="pc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循环使用，定期补充，不外排</w:t>
                  </w:r>
                </w:p>
              </w:tc>
              <w:tc>
                <w:tcPr>
                  <w:tcW w:w="459" w:type="pct"/>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textAlignment w:val="auto"/>
                    <w:rPr>
                      <w:rFonts w:hint="eastAsia" w:ascii="Times New Roman" w:hAnsi="Times New Roman" w:eastAsia="font404"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34"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144" w:type="pct"/>
                  <w:noWrap w:val="0"/>
                  <w:vAlign w:val="center"/>
                </w:tcPr>
                <w:p>
                  <w:pPr>
                    <w:keepNext w:val="0"/>
                    <w:keepLines w:val="0"/>
                    <w:suppressLineNumbers w:val="0"/>
                    <w:wordWrap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生产设备</w:t>
                  </w:r>
                </w:p>
              </w:tc>
              <w:tc>
                <w:tcPr>
                  <w:tcW w:w="897"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Style w:val="55"/>
                      <w:rFonts w:hint="default" w:ascii="Times New Roman" w:hAnsi="Times New Roman" w:cs="Times New Roman"/>
                      <w:color w:val="auto"/>
                      <w:sz w:val="21"/>
                      <w:szCs w:val="21"/>
                      <w:highlight w:val="none"/>
                    </w:rPr>
                    <w:t>等效连续A声级</w:t>
                  </w:r>
                </w:p>
              </w:tc>
              <w:tc>
                <w:tcPr>
                  <w:tcW w:w="1964" w:type="pc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设备</w:t>
                  </w:r>
                  <w:r>
                    <w:rPr>
                      <w:rFonts w:hint="eastAsia" w:cs="Times New Roman"/>
                      <w:snapToGrid w:val="0"/>
                      <w:color w:val="auto"/>
                      <w:sz w:val="21"/>
                      <w:szCs w:val="21"/>
                      <w:highlight w:val="none"/>
                      <w:lang w:val="en-US" w:eastAsia="zh-CN"/>
                    </w:rPr>
                    <w:t>置于</w:t>
                  </w:r>
                  <w:r>
                    <w:rPr>
                      <w:rFonts w:hint="default" w:ascii="Times New Roman" w:hAnsi="Times New Roman" w:eastAsia="宋体" w:cs="Times New Roman"/>
                      <w:snapToGrid w:val="0"/>
                      <w:color w:val="auto"/>
                      <w:sz w:val="21"/>
                      <w:szCs w:val="21"/>
                      <w:highlight w:val="none"/>
                      <w:lang w:val="en-US" w:eastAsia="zh-CN"/>
                    </w:rPr>
                    <w:t>全封闭车间内</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采取低噪声设备，设备基础减震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建筑</w:t>
                  </w:r>
                  <w:r>
                    <w:rPr>
                      <w:rFonts w:hint="default" w:ascii="Times New Roman" w:hAnsi="Times New Roman" w:cs="Times New Roman"/>
                      <w:color w:val="auto"/>
                      <w:sz w:val="21"/>
                      <w:szCs w:val="21"/>
                      <w:highlight w:val="none"/>
                    </w:rPr>
                    <w:t>隔声等措施</w:t>
                  </w:r>
                </w:p>
              </w:tc>
              <w:tc>
                <w:tcPr>
                  <w:tcW w:w="459" w:type="pct"/>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textAlignment w:val="auto"/>
                    <w:rPr>
                      <w:rFonts w:hint="default" w:ascii="Times New Roman" w:hAnsi="Times New Roman" w:eastAsia="font404"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534" w:type="pct"/>
                  <w:vMerge w:val="restart"/>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w:t>
                  </w:r>
                </w:p>
              </w:tc>
              <w:tc>
                <w:tcPr>
                  <w:tcW w:w="1144"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Style w:val="55"/>
                      <w:rFonts w:hint="default" w:ascii="Times New Roman" w:hAnsi="Times New Roman" w:cs="Times New Roman"/>
                      <w:color w:val="auto"/>
                      <w:sz w:val="21"/>
                      <w:szCs w:val="21"/>
                      <w:highlight w:val="none"/>
                      <w:lang w:val="en-US" w:eastAsia="zh-CN"/>
                    </w:rPr>
                  </w:pPr>
                  <w:r>
                    <w:rPr>
                      <w:rStyle w:val="55"/>
                      <w:rFonts w:hint="eastAsia" w:cs="Times New Roman"/>
                      <w:color w:val="auto"/>
                      <w:sz w:val="21"/>
                      <w:szCs w:val="21"/>
                      <w:highlight w:val="none"/>
                      <w:lang w:val="en-US" w:eastAsia="zh-CN"/>
                    </w:rPr>
                    <w:t>精加工</w:t>
                  </w:r>
                </w:p>
              </w:tc>
              <w:tc>
                <w:tcPr>
                  <w:tcW w:w="897"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Style w:val="55"/>
                      <w:rFonts w:hint="default" w:ascii="Times New Roman" w:hAnsi="Times New Roman" w:cs="Times New Roman"/>
                      <w:color w:val="auto"/>
                      <w:sz w:val="21"/>
                      <w:szCs w:val="21"/>
                      <w:highlight w:val="none"/>
                      <w:lang w:val="en-US" w:eastAsia="zh-CN"/>
                    </w:rPr>
                  </w:pPr>
                  <w:r>
                    <w:rPr>
                      <w:rStyle w:val="55"/>
                      <w:rFonts w:hint="eastAsia" w:cs="Times New Roman"/>
                      <w:color w:val="auto"/>
                      <w:sz w:val="21"/>
                      <w:szCs w:val="21"/>
                      <w:highlight w:val="none"/>
                      <w:lang w:val="en-US" w:eastAsia="zh-CN"/>
                    </w:rPr>
                    <w:t>废金属屑（含油）</w:t>
                  </w:r>
                </w:p>
              </w:tc>
              <w:tc>
                <w:tcPr>
                  <w:tcW w:w="1964"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Style w:val="55"/>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经压榨、压滤、过滤除油达到静置无滴漏后打包压块用于金属冶炼</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534" w:type="pct"/>
                  <w:vMerge w:val="continue"/>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1144"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Style w:val="55"/>
                      <w:rFonts w:hint="eastAsia" w:cs="Times New Roman"/>
                      <w:color w:val="auto"/>
                      <w:sz w:val="21"/>
                      <w:szCs w:val="21"/>
                      <w:highlight w:val="none"/>
                      <w:lang w:val="en-US" w:eastAsia="zh-CN"/>
                    </w:rPr>
                    <w:t>滤筒除尘器+布袋除尘器</w:t>
                  </w:r>
                </w:p>
              </w:tc>
              <w:tc>
                <w:tcPr>
                  <w:tcW w:w="897"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Style w:val="55"/>
                      <w:rFonts w:hint="eastAsia" w:ascii="Times New Roman" w:hAnsi="Times New Roman" w:cs="Times New Roman"/>
                      <w:color w:val="auto"/>
                      <w:sz w:val="21"/>
                      <w:szCs w:val="21"/>
                      <w:highlight w:val="none"/>
                    </w:rPr>
                    <w:t>除尘灰</w:t>
                  </w:r>
                </w:p>
              </w:tc>
              <w:tc>
                <w:tcPr>
                  <w:tcW w:w="1964" w:type="pct"/>
                  <w:noWrap w:val="0"/>
                  <w:vAlign w:val="center"/>
                </w:tcPr>
                <w:p>
                  <w:pPr>
                    <w:pStyle w:val="109"/>
                    <w:keepNext w:val="0"/>
                    <w:keepLines w:val="0"/>
                    <w:suppressLineNumbers w:val="0"/>
                    <w:spacing w:before="0" w:beforeAutospacing="0" w:after="0" w:afterAutospacing="0" w:line="240" w:lineRule="auto"/>
                    <w:ind w:left="-105" w:leftChars="-50" w:right="-105" w:rightChars="-5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Style w:val="55"/>
                      <w:rFonts w:hint="eastAsia" w:ascii="Times New Roman" w:hAnsi="Times New Roman" w:cs="Times New Roman"/>
                      <w:color w:val="auto"/>
                      <w:sz w:val="21"/>
                      <w:szCs w:val="21"/>
                      <w:highlight w:val="none"/>
                    </w:rPr>
                    <w:t>集中收集后回用于生产</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34" w:type="pct"/>
                  <w:vMerge w:val="continue"/>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114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生产过程</w:t>
                  </w:r>
                </w:p>
              </w:tc>
              <w:tc>
                <w:tcPr>
                  <w:tcW w:w="897"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废润滑油、废液压油、废油桶</w:t>
                  </w:r>
                </w:p>
              </w:tc>
              <w:tc>
                <w:tcPr>
                  <w:tcW w:w="196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rPr>
                    <w:t>暂存危废间，由有资质单位集中处理</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间断</w:t>
                  </w:r>
                </w:p>
              </w:tc>
            </w:tr>
            <w:tr>
              <w:tblPrEx>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34" w:type="pct"/>
                  <w:vMerge w:val="continue"/>
                  <w:noWrap w:val="0"/>
                  <w:vAlign w:val="center"/>
                </w:tcPr>
                <w:p>
                  <w:pPr>
                    <w:keepNext w:val="0"/>
                    <w:keepLines w:val="0"/>
                    <w:suppressLineNumbers w:val="0"/>
                    <w:wordWrap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114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喷淋塔+干式过滤箱+活性炭吸附/脱附+催化燃烧装置</w:t>
                  </w:r>
                </w:p>
              </w:tc>
              <w:tc>
                <w:tcPr>
                  <w:tcW w:w="897"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废活性炭、废催化剂</w:t>
                  </w:r>
                </w:p>
              </w:tc>
              <w:tc>
                <w:tcPr>
                  <w:tcW w:w="1964"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rPr>
                    <w:t>暂存危废间，由有资质单位集中处理</w:t>
                  </w:r>
                </w:p>
              </w:tc>
              <w:tc>
                <w:tcPr>
                  <w:tcW w:w="459" w:type="pct"/>
                  <w:noWrap w:val="0"/>
                  <w:vAlign w:val="center"/>
                </w:tcPr>
                <w:p>
                  <w:pPr>
                    <w:keepNext w:val="0"/>
                    <w:keepLines w:val="0"/>
                    <w:suppressLineNumbers w:val="0"/>
                    <w:wordWrap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间断</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运营期污染工序</w:t>
            </w: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b w:val="0"/>
                <w:bCs/>
                <w:color w:val="auto"/>
                <w:sz w:val="21"/>
                <w:szCs w:val="21"/>
                <w:highlight w:val="none"/>
                <w:lang w:val="en-US"/>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废气：</w:t>
            </w:r>
            <w:r>
              <w:rPr>
                <w:rFonts w:hint="eastAsia" w:cs="Times New Roman"/>
                <w:color w:val="auto"/>
                <w:sz w:val="21"/>
                <w:szCs w:val="21"/>
                <w:highlight w:val="none"/>
                <w:lang w:val="en-US" w:eastAsia="zh-CN"/>
              </w:rPr>
              <w:t>本项目涉及的废气主要为</w:t>
            </w:r>
            <w:r>
              <w:rPr>
                <w:rFonts w:hint="eastAsia" w:cs="Times New Roman"/>
                <w:b w:val="0"/>
                <w:bCs/>
                <w:color w:val="auto"/>
                <w:spacing w:val="2"/>
                <w:sz w:val="21"/>
                <w:szCs w:val="21"/>
                <w:highlight w:val="none"/>
                <w:lang w:val="en-US" w:eastAsia="zh-CN"/>
              </w:rPr>
              <w:t>喷塑工序产生的颗粒物、固化工序产生的非甲烷总烃</w:t>
            </w:r>
            <w:r>
              <w:rPr>
                <w:rFonts w:hint="default" w:ascii="Times New Roman" w:hAnsi="Times New Roman" w:cs="Times New Roman"/>
                <w:b w:val="0"/>
                <w:bCs/>
                <w:color w:val="auto"/>
                <w:spacing w:val="2"/>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废水：</w:t>
            </w:r>
            <w:r>
              <w:rPr>
                <w:rFonts w:hint="eastAsia" w:cs="Times New Roman"/>
                <w:color w:val="auto"/>
                <w:sz w:val="21"/>
                <w:szCs w:val="21"/>
                <w:highlight w:val="none"/>
                <w:lang w:val="en-US" w:eastAsia="zh-CN"/>
              </w:rPr>
              <w:t>本项目</w:t>
            </w:r>
            <w:r>
              <w:rPr>
                <w:rFonts w:hint="eastAsia"/>
                <w:color w:val="auto"/>
                <w:szCs w:val="21"/>
                <w:highlight w:val="none"/>
                <w:lang w:val="en-US" w:eastAsia="zh-CN"/>
              </w:rPr>
              <w:t>水压试验</w:t>
            </w:r>
            <w:r>
              <w:rPr>
                <w:rFonts w:hint="eastAsia"/>
                <w:color w:val="auto"/>
                <w:szCs w:val="21"/>
                <w:highlight w:val="none"/>
              </w:rPr>
              <w:t>用水</w:t>
            </w:r>
            <w:r>
              <w:rPr>
                <w:rFonts w:hint="eastAsia"/>
                <w:color w:val="auto"/>
                <w:szCs w:val="21"/>
                <w:highlight w:val="none"/>
                <w:lang w:eastAsia="zh-CN"/>
              </w:rPr>
              <w:t>、</w:t>
            </w:r>
            <w:r>
              <w:rPr>
                <w:rFonts w:hint="eastAsia"/>
                <w:color w:val="auto"/>
                <w:szCs w:val="21"/>
                <w:highlight w:val="none"/>
                <w:lang w:val="en-US" w:eastAsia="zh-CN"/>
              </w:rPr>
              <w:t>喷淋塔用水</w:t>
            </w:r>
            <w:r>
              <w:rPr>
                <w:rFonts w:hint="eastAsia"/>
                <w:color w:val="auto"/>
                <w:szCs w:val="21"/>
                <w:highlight w:val="none"/>
              </w:rPr>
              <w:t>循环使用，定期补充，不外排</w:t>
            </w:r>
            <w:r>
              <w:rPr>
                <w:rFonts w:hint="default" w:ascii="Times New Roman" w:hAnsi="Times New Roman" w:eastAsia="宋体" w:cs="Times New Roman"/>
                <w:color w:val="auto"/>
                <w:sz w:val="21"/>
                <w:szCs w:val="21"/>
                <w:highlight w:val="none"/>
              </w:rPr>
              <w:t>。</w:t>
            </w: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噪声：主要为</w:t>
            </w:r>
            <w:r>
              <w:rPr>
                <w:rFonts w:hint="default" w:ascii="Times New Roman" w:hAnsi="Times New Roman" w:cs="Times New Roman"/>
                <w:color w:val="auto"/>
                <w:sz w:val="21"/>
                <w:szCs w:val="21"/>
                <w:highlight w:val="none"/>
                <w:lang w:val="en-US" w:eastAsia="zh-CN"/>
              </w:rPr>
              <w:t>生产设备</w:t>
            </w:r>
            <w:r>
              <w:rPr>
                <w:rFonts w:hint="default" w:ascii="Times New Roman" w:hAnsi="Times New Roman" w:eastAsia="宋体" w:cs="Times New Roman"/>
                <w:color w:val="auto"/>
                <w:sz w:val="21"/>
                <w:szCs w:val="21"/>
                <w:highlight w:val="none"/>
              </w:rPr>
              <w:t>运行产生的噪声。</w:t>
            </w: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固</w:t>
            </w:r>
            <w:r>
              <w:rPr>
                <w:rFonts w:hint="default" w:ascii="Times New Roman" w:hAnsi="Times New Roman" w:cs="Times New Roman"/>
                <w:color w:val="auto"/>
                <w:sz w:val="21"/>
                <w:szCs w:val="21"/>
                <w:highlight w:val="none"/>
                <w:lang w:val="en-US" w:eastAsia="zh-CN"/>
              </w:rPr>
              <w:t>体</w:t>
            </w:r>
            <w:r>
              <w:rPr>
                <w:rFonts w:hint="default" w:ascii="Times New Roman" w:hAnsi="Times New Roman" w:eastAsia="宋体" w:cs="Times New Roman"/>
                <w:color w:val="auto"/>
                <w:sz w:val="21"/>
                <w:szCs w:val="21"/>
                <w:highlight w:val="none"/>
              </w:rPr>
              <w:t>废物：</w:t>
            </w:r>
            <w:r>
              <w:rPr>
                <w:rFonts w:hint="default" w:ascii="Times New Roman" w:hAnsi="Times New Roman" w:cs="Times New Roman"/>
                <w:color w:val="auto"/>
                <w:sz w:val="21"/>
                <w:szCs w:val="21"/>
                <w:highlight w:val="none"/>
                <w:lang w:val="en-US" w:eastAsia="zh-CN"/>
              </w:rPr>
              <w:t>根据工程分析可知，</w:t>
            </w:r>
            <w:r>
              <w:rPr>
                <w:rFonts w:hint="eastAsia" w:cs="Times New Roman"/>
                <w:color w:val="auto"/>
                <w:sz w:val="21"/>
                <w:szCs w:val="21"/>
                <w:highlight w:val="none"/>
                <w:lang w:val="en-US" w:eastAsia="zh-CN"/>
              </w:rPr>
              <w:t>本项目</w:t>
            </w:r>
            <w:r>
              <w:rPr>
                <w:rFonts w:hint="default" w:ascii="Times New Roman" w:hAnsi="Times New Roman" w:cs="Times New Roman"/>
                <w:color w:val="auto"/>
                <w:sz w:val="21"/>
                <w:szCs w:val="21"/>
                <w:highlight w:val="none"/>
                <w:lang w:val="en-US" w:eastAsia="zh-CN"/>
              </w:rPr>
              <w:t>产生固废</w:t>
            </w:r>
            <w:r>
              <w:rPr>
                <w:rFonts w:hint="eastAsia" w:cs="Times New Roman"/>
                <w:color w:val="auto"/>
                <w:sz w:val="21"/>
                <w:szCs w:val="21"/>
                <w:highlight w:val="none"/>
                <w:lang w:val="en-US" w:eastAsia="zh-CN"/>
              </w:rPr>
              <w:t>主要为精加工产生的废金属屑；滤筒除尘器+布袋除尘器产生的除尘灰；生产过程产生的废润滑油、废液压油、废油桶；喷淋塔+干式过滤箱+活性炭吸附/脱附+催化燃烧装置产生的</w:t>
            </w:r>
            <w:r>
              <w:rPr>
                <w:rFonts w:hint="eastAsia" w:cs="Times New Roman"/>
                <w:color w:val="auto"/>
                <w:kern w:val="2"/>
                <w:sz w:val="21"/>
                <w:szCs w:val="21"/>
                <w:highlight w:val="none"/>
                <w:lang w:val="en-US" w:eastAsia="zh-CN" w:bidi="ar-SA"/>
              </w:rPr>
              <w:t>废活性炭、废催化剂</w:t>
            </w:r>
            <w:r>
              <w:rPr>
                <w:rFonts w:hint="default" w:ascii="Times New Roman" w:hAnsi="Times New Roman" w:cs="Times New Roman"/>
                <w:color w:val="auto"/>
                <w:sz w:val="21"/>
                <w:szCs w:val="21"/>
                <w:highlight w:val="none"/>
                <w:lang w:val="en-US" w:eastAsia="zh-CN"/>
              </w:rPr>
              <w:t>。</w:t>
            </w: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lang w:eastAsia="zh-CN"/>
              </w:rPr>
            </w:pP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19" w:hRule="atLeast"/>
          <w:jc w:val="center"/>
        </w:trPr>
        <w:tc>
          <w:tcPr>
            <w:tcW w:w="649" w:type="dxa"/>
            <w:shd w:val="clear" w:color="auto" w:fill="auto"/>
            <w:noWrap w:val="0"/>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kern w:val="2"/>
                <w:sz w:val="21"/>
                <w:szCs w:val="21"/>
                <w:highlight w:val="none"/>
              </w:rPr>
              <w:t>与项目有关的原有环境污染问题</w:t>
            </w:r>
          </w:p>
        </w:tc>
        <w:tc>
          <w:tcPr>
            <w:tcW w:w="8525" w:type="dxa"/>
            <w:shd w:val="clear" w:color="auto" w:fill="auto"/>
            <w:noWrap w:val="0"/>
            <w:vAlign w:val="top"/>
          </w:tcPr>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80" w:lineRule="exact"/>
              <w:ind w:left="0" w:right="6" w:firstLine="422" w:firstLineChars="200"/>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一、原有污染问题</w:t>
            </w:r>
          </w:p>
          <w:p>
            <w:pPr>
              <w:pStyle w:val="18"/>
              <w:keepNext w:val="0"/>
              <w:keepLines w:val="0"/>
              <w:pageBreakBefore w:val="0"/>
              <w:suppressLineNumbers w:val="0"/>
              <w:kinsoku/>
              <w:wordWrap/>
              <w:overflowPunct/>
              <w:topLinePunct w:val="0"/>
              <w:bidi w:val="0"/>
              <w:snapToGrid/>
              <w:spacing w:before="0" w:beforeAutospacing="0" w:after="0" w:afterAutospacing="0" w:line="480" w:lineRule="exact"/>
              <w:ind w:left="0" w:right="0" w:firstLine="422"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1</w:t>
            </w:r>
            <w:r>
              <w:rPr>
                <w:rFonts w:hint="default" w:ascii="Times New Roman" w:hAnsi="Times New Roman"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rPr>
              <w:t>企业环保手续履行情况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中冶京唐（唐山）精密锻造有限公司成立于2009年9月4日，于2012年5月14日更名为二十二冶集团精密锻造有限公司，于2018年6月更名为中冶重工（唐山）有限公司，隶属于世界500强中国冶金科工集团旗下的中国二十二冶集团，是一个以大型多向模锻件产品的设计、生产、销售为一体的综合生产型企业，也是一个具有重型装备研发设计、总成制造、安装调试、技术服务综合能力的高新技术企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2009年12月14日由河北省环境科学研究院编制完成了《中冶京店（唐山）精密锻造有限公司大型多向模锻件及重型装备自主化产业基地建设项目》环境影响报告表，并于2010年2月6日得到河北省环境保护厅批复，批准文号为冀环表【2010】8号；在建设过程中，根据市场需求，取消了退火、油淬火冷却工序，仅保留了水淬火冷却工序，将天然气加热炉和天然气热处理炉变更为电加热炉和电热处理炉，增加了抛丸工序，并于2016年8月编制完成《二十二冶集团精密锻造有限公司（原中冶京店（唐山）精密锻造有限公司）大型多向模锻件及重型装备自主化产业基地建设项目》环境影响补充评价，并于2017年1月9日取得唐山高新技术产业开发区环境保护局的验收意见，文号为唐高环验[2017]1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2015年，二十二冶集团精密锻造有限公司新增1台X射线室内探伤，由河北辐和环境科技有限公司编制了《核技术应用项目环境影响报告表X射线探伤室内无损检测应用项目》，并于2015年7月27日得到唐山市环境保护局批复，批准文号为唐环辐审【2015】64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于2020年8月12日申领排污许可证，证书编号：9113029369465696XU001X，有效期限：自2020年08月12日至2023年08月11日止。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现有工程环保手续及“三同时”执行情况具体见表</w:t>
            </w:r>
            <w:r>
              <w:rPr>
                <w:rFonts w:hint="eastAsia" w:cs="Times New Roman"/>
                <w:b w:val="0"/>
                <w:bCs w:val="0"/>
                <w:color w:val="auto"/>
                <w:sz w:val="21"/>
                <w:szCs w:val="21"/>
                <w:highlight w:val="none"/>
                <w:lang w:val="en-US" w:eastAsia="zh-CN"/>
              </w:rPr>
              <w:t>12</w:t>
            </w:r>
            <w:r>
              <w:rPr>
                <w:rFonts w:hint="default" w:ascii="Times New Roman" w:hAnsi="Times New Roman" w:eastAsia="宋体" w:cs="Times New Roman"/>
                <w:b w:val="0"/>
                <w:bCs w:val="0"/>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cs="Times New Roman"/>
                <w:b w:val="0"/>
                <w:bCs w:val="0"/>
                <w:color w:val="auto"/>
                <w:spacing w:val="2"/>
                <w:sz w:val="21"/>
                <w:szCs w:val="21"/>
                <w:highlight w:val="none"/>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12</w:t>
            </w:r>
            <w:r>
              <w:rPr>
                <w:rFonts w:hint="default" w:ascii="Times New Roman" w:hAnsi="Times New Roman" w:eastAsia="宋体" w:cs="Times New Roman"/>
                <w:b w:val="0"/>
                <w:bCs w:val="0"/>
                <w:color w:val="auto"/>
                <w:sz w:val="21"/>
                <w:szCs w:val="21"/>
                <w:highlight w:val="none"/>
                <w:lang w:val="en-US" w:eastAsia="zh-CN"/>
              </w:rPr>
              <w:t xml:space="preserve">  现有工程</w:t>
            </w:r>
            <w:r>
              <w:rPr>
                <w:rFonts w:hint="default" w:ascii="Times New Roman" w:hAnsi="Times New Roman" w:cs="Times New Roman"/>
                <w:b w:val="0"/>
                <w:bCs w:val="0"/>
                <w:color w:val="auto"/>
                <w:sz w:val="21"/>
                <w:szCs w:val="21"/>
                <w:highlight w:val="none"/>
                <w:lang w:val="en-US" w:eastAsia="zh-CN"/>
              </w:rPr>
              <w:t>环保手续及</w:t>
            </w:r>
            <w:r>
              <w:rPr>
                <w:rFonts w:hint="default" w:ascii="Times New Roman" w:hAnsi="Times New Roman" w:eastAsia="宋体" w:cs="Times New Roman"/>
                <w:b w:val="0"/>
                <w:bCs w:val="0"/>
                <w:color w:val="auto"/>
                <w:sz w:val="21"/>
                <w:szCs w:val="21"/>
                <w:highlight w:val="none"/>
                <w:lang w:val="en-US" w:eastAsia="zh-CN"/>
              </w:rPr>
              <w:t>“三同时”执行表</w:t>
            </w:r>
          </w:p>
          <w:tbl>
            <w:tblPr>
              <w:tblStyle w:val="3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0"/>
              <w:gridCol w:w="903"/>
              <w:gridCol w:w="903"/>
              <w:gridCol w:w="1788"/>
              <w:gridCol w:w="26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47"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项目名称</w:t>
                  </w:r>
                </w:p>
              </w:tc>
              <w:tc>
                <w:tcPr>
                  <w:tcW w:w="544"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环评类别</w:t>
                  </w:r>
                </w:p>
              </w:tc>
              <w:tc>
                <w:tcPr>
                  <w:tcW w:w="544"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批复部门</w:t>
                  </w:r>
                </w:p>
              </w:tc>
              <w:tc>
                <w:tcPr>
                  <w:tcW w:w="1077"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批复时间及文号</w:t>
                  </w:r>
                </w:p>
              </w:tc>
              <w:tc>
                <w:tcPr>
                  <w:tcW w:w="1585"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验收时间及文号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47"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eastAsia" w:cs="Times New Roman"/>
                      <w:b w:val="0"/>
                      <w:bCs w:val="0"/>
                      <w:color w:val="auto"/>
                      <w:sz w:val="21"/>
                      <w:szCs w:val="21"/>
                      <w:highlight w:val="none"/>
                      <w:lang w:val="en-US" w:eastAsia="zh-CN"/>
                    </w:rPr>
                    <w:t>大型多向模锻件及重型装备自主化产业基地建设项目</w:t>
                  </w:r>
                </w:p>
              </w:tc>
              <w:tc>
                <w:tcPr>
                  <w:tcW w:w="5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val="en-US" w:eastAsia="zh-CN"/>
                    </w:rPr>
                    <w:t>环境影响评价</w:t>
                  </w:r>
                  <w:r>
                    <w:rPr>
                      <w:rFonts w:hint="default" w:ascii="Times New Roman" w:hAnsi="Times New Roman" w:cs="Times New Roman"/>
                      <w:bCs/>
                      <w:color w:val="auto"/>
                      <w:sz w:val="21"/>
                      <w:szCs w:val="21"/>
                      <w:highlight w:val="none"/>
                    </w:rPr>
                    <w:t>报告</w:t>
                  </w:r>
                  <w:r>
                    <w:rPr>
                      <w:rFonts w:hint="eastAsia" w:cs="Times New Roman"/>
                      <w:bCs/>
                      <w:color w:val="auto"/>
                      <w:sz w:val="21"/>
                      <w:szCs w:val="21"/>
                      <w:highlight w:val="none"/>
                      <w:lang w:val="en-US" w:eastAsia="zh-CN"/>
                    </w:rPr>
                    <w:t>表</w:t>
                  </w:r>
                </w:p>
              </w:tc>
              <w:tc>
                <w:tcPr>
                  <w:tcW w:w="5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原</w:t>
                  </w:r>
                  <w:r>
                    <w:rPr>
                      <w:rFonts w:hint="eastAsia" w:cs="Times New Roman"/>
                      <w:b w:val="0"/>
                      <w:bCs w:val="0"/>
                      <w:color w:val="auto"/>
                      <w:sz w:val="21"/>
                      <w:szCs w:val="21"/>
                      <w:highlight w:val="none"/>
                      <w:lang w:val="en-US" w:eastAsia="zh-CN"/>
                    </w:rPr>
                    <w:t>河北省环境保护厅</w:t>
                  </w:r>
                </w:p>
              </w:tc>
              <w:tc>
                <w:tcPr>
                  <w:tcW w:w="1077"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201</w:t>
                  </w:r>
                  <w:r>
                    <w:rPr>
                      <w:rFonts w:hint="eastAsia" w:cs="Times New Roman"/>
                      <w:bCs/>
                      <w:color w:val="auto"/>
                      <w:sz w:val="21"/>
                      <w:szCs w:val="21"/>
                      <w:highlight w:val="none"/>
                      <w:lang w:val="en-US" w:eastAsia="zh-CN"/>
                    </w:rPr>
                    <w:t>0</w:t>
                  </w:r>
                  <w:r>
                    <w:rPr>
                      <w:rFonts w:hint="default" w:ascii="Times New Roman" w:hAnsi="Times New Roman" w:cs="Times New Roman"/>
                      <w:bCs/>
                      <w:color w:val="auto"/>
                      <w:sz w:val="21"/>
                      <w:szCs w:val="21"/>
                      <w:highlight w:val="none"/>
                    </w:rPr>
                    <w:t>年</w:t>
                  </w:r>
                  <w:r>
                    <w:rPr>
                      <w:rFonts w:hint="eastAsia" w:cs="Times New Roman"/>
                      <w:bCs/>
                      <w:color w:val="auto"/>
                      <w:sz w:val="21"/>
                      <w:szCs w:val="21"/>
                      <w:highlight w:val="none"/>
                      <w:lang w:val="en-US" w:eastAsia="zh-CN"/>
                    </w:rPr>
                    <w:t>2</w:t>
                  </w:r>
                  <w:r>
                    <w:rPr>
                      <w:rFonts w:hint="default" w:ascii="Times New Roman" w:hAnsi="Times New Roman" w:cs="Times New Roman"/>
                      <w:bCs/>
                      <w:color w:val="auto"/>
                      <w:sz w:val="21"/>
                      <w:szCs w:val="21"/>
                      <w:highlight w:val="none"/>
                    </w:rPr>
                    <w:t>月</w:t>
                  </w:r>
                  <w:r>
                    <w:rPr>
                      <w:rFonts w:hint="eastAsia" w:cs="Times New Roman"/>
                      <w:bCs/>
                      <w:color w:val="auto"/>
                      <w:sz w:val="21"/>
                      <w:szCs w:val="21"/>
                      <w:highlight w:val="none"/>
                      <w:lang w:val="en-US" w:eastAsia="zh-CN"/>
                    </w:rPr>
                    <w:t>6</w:t>
                  </w:r>
                  <w:r>
                    <w:rPr>
                      <w:rFonts w:hint="default" w:ascii="Times New Roman" w:hAnsi="Times New Roman" w:cs="Times New Roman"/>
                      <w:bCs/>
                      <w:color w:val="auto"/>
                      <w:sz w:val="21"/>
                      <w:szCs w:val="21"/>
                      <w:highlight w:val="none"/>
                    </w:rPr>
                    <w:t>日</w:t>
                  </w:r>
                  <w:r>
                    <w:rPr>
                      <w:rFonts w:hint="eastAsia" w:cs="Times New Roman"/>
                      <w:b w:val="0"/>
                      <w:bCs w:val="0"/>
                      <w:color w:val="auto"/>
                      <w:sz w:val="21"/>
                      <w:szCs w:val="21"/>
                      <w:highlight w:val="none"/>
                      <w:lang w:val="en-US" w:eastAsia="zh-CN"/>
                    </w:rPr>
                    <w:t>冀环表【2010】8号</w:t>
                  </w:r>
                </w:p>
              </w:tc>
              <w:tc>
                <w:tcPr>
                  <w:tcW w:w="1585" w:type="pct"/>
                  <w:vMerge w:val="restar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lang w:val="en-US" w:eastAsia="zh-CN"/>
                    </w:rPr>
                    <w:t>原</w:t>
                  </w:r>
                  <w:r>
                    <w:rPr>
                      <w:rFonts w:hint="eastAsia" w:cs="Times New Roman"/>
                      <w:b w:val="0"/>
                      <w:bCs w:val="0"/>
                      <w:color w:val="auto"/>
                      <w:sz w:val="21"/>
                      <w:szCs w:val="21"/>
                      <w:highlight w:val="none"/>
                      <w:lang w:val="en-US" w:eastAsia="zh-CN"/>
                    </w:rPr>
                    <w:t>唐山高新技术产业开发区环境保护局</w:t>
                  </w:r>
                  <w:r>
                    <w:rPr>
                      <w:rFonts w:hint="default" w:ascii="Times New Roman" w:hAnsi="Times New Roman" w:cs="Times New Roman"/>
                      <w:color w:val="auto"/>
                      <w:sz w:val="21"/>
                      <w:szCs w:val="21"/>
                      <w:highlight w:val="none"/>
                      <w:lang w:val="en-US" w:eastAsia="zh-CN"/>
                    </w:rPr>
                    <w:t>201</w:t>
                  </w: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lang w:val="en-US" w:eastAsia="zh-CN"/>
                    </w:rPr>
                    <w:t>年1月9日</w:t>
                  </w:r>
                  <w:r>
                    <w:rPr>
                      <w:rFonts w:hint="eastAsia" w:cs="Times New Roman"/>
                      <w:b w:val="0"/>
                      <w:bCs w:val="0"/>
                      <w:color w:val="auto"/>
                      <w:sz w:val="21"/>
                      <w:szCs w:val="21"/>
                      <w:highlight w:val="none"/>
                      <w:lang w:val="en-US" w:eastAsia="zh-CN"/>
                    </w:rPr>
                    <w:t>唐高环验[2017]1号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47" w:type="pct"/>
                  <w:noWrap w:val="0"/>
                  <w:vAlign w:val="center"/>
                </w:tcPr>
                <w:p>
                  <w:pPr>
                    <w:keepNext w:val="0"/>
                    <w:keepLines w:val="0"/>
                    <w:suppressLineNumbers w:val="0"/>
                    <w:spacing w:before="0" w:beforeAutospacing="0" w:after="0" w:afterAutospacing="0"/>
                    <w:ind w:left="0" w:right="0"/>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大型多向模锻件及重型装备自主化产业基地建设项目</w:t>
                  </w:r>
                </w:p>
              </w:tc>
              <w:tc>
                <w:tcPr>
                  <w:tcW w:w="5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环境影响</w:t>
                  </w:r>
                  <w:r>
                    <w:rPr>
                      <w:rFonts w:hint="eastAsia" w:cs="Times New Roman"/>
                      <w:bCs/>
                      <w:color w:val="auto"/>
                      <w:sz w:val="21"/>
                      <w:szCs w:val="21"/>
                      <w:highlight w:val="none"/>
                      <w:lang w:val="en-US" w:eastAsia="zh-CN"/>
                    </w:rPr>
                    <w:t>补充评价</w:t>
                  </w:r>
                </w:p>
              </w:tc>
              <w:tc>
                <w:tcPr>
                  <w:tcW w:w="544" w:type="pct"/>
                  <w:noWrap w:val="0"/>
                  <w:vAlign w:val="center"/>
                </w:tcPr>
                <w:p>
                  <w:pPr>
                    <w:keepNext w:val="0"/>
                    <w:keepLines w:val="0"/>
                    <w:suppressLineNumbers w:val="0"/>
                    <w:spacing w:before="0" w:beforeAutospacing="0" w:after="0" w:afterAutospacing="0"/>
                    <w:ind w:left="0" w:right="0"/>
                    <w:jc w:val="center"/>
                    <w:rPr>
                      <w:rFonts w:hint="eastAsia" w:cs="Times New Roman"/>
                      <w:b w:val="0"/>
                      <w:bCs w:val="0"/>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w:t>
                  </w:r>
                </w:p>
              </w:tc>
              <w:tc>
                <w:tcPr>
                  <w:tcW w:w="1077" w:type="pct"/>
                  <w:noWrap w:val="0"/>
                  <w:vAlign w:val="center"/>
                </w:tcPr>
                <w:p>
                  <w:pPr>
                    <w:keepNext w:val="0"/>
                    <w:keepLines w:val="0"/>
                    <w:suppressLineNumbers w:val="0"/>
                    <w:spacing w:before="0" w:beforeAutospacing="0" w:after="0" w:afterAutospacing="0"/>
                    <w:ind w:left="0" w:right="0"/>
                    <w:jc w:val="center"/>
                    <w:rPr>
                      <w:rFonts w:hint="eastAsia" w:cs="Times New Roman"/>
                      <w:b w:val="0"/>
                      <w:bCs w:val="0"/>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w:t>
                  </w:r>
                </w:p>
              </w:tc>
              <w:tc>
                <w:tcPr>
                  <w:tcW w:w="1585" w:type="pct"/>
                  <w:vMerge w:val="continue"/>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47"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b w:val="0"/>
                      <w:bCs w:val="0"/>
                      <w:color w:val="auto"/>
                      <w:sz w:val="21"/>
                      <w:szCs w:val="21"/>
                      <w:highlight w:val="none"/>
                      <w:lang w:val="en-US" w:eastAsia="zh-CN"/>
                    </w:rPr>
                    <w:t>核技术应用项目环境影响报告表X射线探伤室内无损检测应用项目</w:t>
                  </w:r>
                </w:p>
              </w:tc>
              <w:tc>
                <w:tcPr>
                  <w:tcW w:w="5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环境影响登记表</w:t>
                  </w:r>
                </w:p>
              </w:tc>
              <w:tc>
                <w:tcPr>
                  <w:tcW w:w="5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cs="Times New Roman"/>
                      <w:b w:val="0"/>
                      <w:bCs w:val="0"/>
                      <w:color w:val="auto"/>
                      <w:sz w:val="21"/>
                      <w:szCs w:val="21"/>
                      <w:highlight w:val="none"/>
                      <w:lang w:val="en-US" w:eastAsia="zh-CN"/>
                    </w:rPr>
                    <w:t>唐山市环境保护局</w:t>
                  </w:r>
                </w:p>
              </w:tc>
              <w:tc>
                <w:tcPr>
                  <w:tcW w:w="1077"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cs="Times New Roman"/>
                      <w:b w:val="0"/>
                      <w:bCs w:val="0"/>
                      <w:color w:val="auto"/>
                      <w:sz w:val="21"/>
                      <w:szCs w:val="21"/>
                      <w:highlight w:val="none"/>
                      <w:lang w:val="en-US" w:eastAsia="zh-CN"/>
                    </w:rPr>
                    <w:t>唐环辐审【2015】64号</w:t>
                  </w:r>
                </w:p>
              </w:tc>
              <w:tc>
                <w:tcPr>
                  <w:tcW w:w="1585"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lang w:val="en-US"/>
                    </w:rPr>
                  </w:pPr>
                  <w:r>
                    <w:rPr>
                      <w:rFonts w:hint="default" w:ascii="Times New Roman" w:hAnsi="Times New Roman" w:cs="Times New Roman"/>
                      <w:bCs/>
                      <w:color w:val="auto"/>
                      <w:sz w:val="21"/>
                      <w:szCs w:val="21"/>
                      <w:highlight w:val="none"/>
                      <w:lang w:val="en-US" w:eastAsia="zh-CN"/>
                    </w:rPr>
                    <w:t>--</w:t>
                  </w:r>
                </w:p>
              </w:tc>
            </w:tr>
          </w:tbl>
          <w:p>
            <w:pPr>
              <w:keepNext/>
              <w:keepLines/>
              <w:pageBreakBefore w:val="0"/>
              <w:suppressLineNumbers w:val="0"/>
              <w:wordWrap/>
              <w:topLinePunct w:val="0"/>
              <w:bidi w:val="0"/>
              <w:adjustRightInd w:val="0"/>
              <w:snapToGrid w:val="0"/>
              <w:spacing w:before="120" w:beforeLines="50" w:beforeAutospacing="0" w:after="120" w:afterLines="50" w:afterAutospacing="0"/>
              <w:ind w:left="0" w:right="0"/>
              <w:jc w:val="left"/>
              <w:outlineLvl w:val="9"/>
              <w:rPr>
                <w:rFonts w:eastAsia="黑体"/>
                <w:color w:val="auto"/>
                <w:sz w:val="21"/>
                <w:szCs w:val="21"/>
                <w:highlight w:val="none"/>
              </w:rPr>
            </w:pPr>
            <w:bookmarkStart w:id="4" w:name="_Toc4943"/>
            <w:bookmarkStart w:id="5" w:name="_Toc3879"/>
            <w:r>
              <w:rPr>
                <w:rFonts w:eastAsia="黑体"/>
                <w:color w:val="auto"/>
                <w:sz w:val="21"/>
                <w:szCs w:val="21"/>
                <w:highlight w:val="none"/>
              </w:rPr>
              <w:t>2现有工程基本情况</w:t>
            </w:r>
            <w:bookmarkEnd w:id="4"/>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r>
              <w:rPr>
                <w:rFonts w:eastAsia="黑体"/>
                <w:bCs/>
                <w:color w:val="auto"/>
                <w:spacing w:val="5"/>
                <w:sz w:val="21"/>
                <w:szCs w:val="21"/>
                <w:highlight w:val="none"/>
              </w:rPr>
              <w:t>2.1产品方案及规模</w:t>
            </w:r>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20" w:firstLineChars="200"/>
              <w:outlineLvl w:val="9"/>
              <w:rPr>
                <w:color w:val="auto"/>
                <w:spacing w:val="5"/>
                <w:sz w:val="21"/>
                <w:szCs w:val="21"/>
                <w:highlight w:val="none"/>
                <w:lang w:bidi="en-US"/>
              </w:rPr>
            </w:pPr>
            <w:r>
              <w:rPr>
                <w:rFonts w:hint="eastAsia" w:cs="Times New Roman"/>
                <w:b w:val="0"/>
                <w:bCs w:val="0"/>
                <w:color w:val="auto"/>
                <w:sz w:val="21"/>
                <w:szCs w:val="21"/>
                <w:highlight w:val="none"/>
                <w:lang w:val="en-US" w:eastAsia="zh-CN"/>
              </w:rPr>
              <w:t>年产大型锻件和重型装备63000t，其中大型锻件55000t、液化机等重型装备8000t</w:t>
            </w:r>
            <w:r>
              <w:rPr>
                <w:rFonts w:hint="eastAsia"/>
                <w:color w:val="auto"/>
                <w:spacing w:val="5"/>
                <w:sz w:val="21"/>
                <w:szCs w:val="21"/>
                <w:highlight w:val="none"/>
                <w:lang w:eastAsia="zh-CN"/>
              </w:rPr>
              <w:t>。</w:t>
            </w:r>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r>
              <w:rPr>
                <w:rFonts w:eastAsia="黑体"/>
                <w:bCs/>
                <w:color w:val="auto"/>
                <w:spacing w:val="5"/>
                <w:sz w:val="21"/>
                <w:szCs w:val="21"/>
                <w:highlight w:val="none"/>
              </w:rPr>
              <w:t>2.2工程基本组成</w:t>
            </w:r>
          </w:p>
          <w:p>
            <w:pPr>
              <w:keepNext w:val="0"/>
              <w:keepLines w:val="0"/>
              <w:pageBreakBefore w:val="0"/>
              <w:suppressLineNumbers w:val="0"/>
              <w:wordWrap/>
              <w:topLinePunct w:val="0"/>
              <w:autoSpaceDE w:val="0"/>
              <w:autoSpaceDN w:val="0"/>
              <w:bidi w:val="0"/>
              <w:adjustRightInd w:val="0"/>
              <w:snapToGrid w:val="0"/>
              <w:spacing w:before="0" w:beforeAutospacing="0" w:after="0" w:afterAutospacing="0" w:line="360" w:lineRule="auto"/>
              <w:ind w:left="0" w:right="0" w:firstLine="440" w:firstLineChars="200"/>
              <w:outlineLvl w:val="9"/>
              <w:rPr>
                <w:color w:val="auto"/>
                <w:spacing w:val="5"/>
                <w:sz w:val="21"/>
                <w:szCs w:val="21"/>
                <w:highlight w:val="none"/>
              </w:rPr>
            </w:pPr>
            <w:r>
              <w:rPr>
                <w:color w:val="auto"/>
                <w:spacing w:val="5"/>
                <w:sz w:val="21"/>
                <w:szCs w:val="21"/>
                <w:highlight w:val="none"/>
              </w:rPr>
              <w:t>基本组成见表</w:t>
            </w:r>
            <w:r>
              <w:rPr>
                <w:rFonts w:hint="eastAsia"/>
                <w:color w:val="auto"/>
                <w:spacing w:val="5"/>
                <w:sz w:val="21"/>
                <w:szCs w:val="21"/>
                <w:highlight w:val="none"/>
                <w:lang w:val="en-US" w:eastAsia="zh-CN"/>
              </w:rPr>
              <w:t>13</w:t>
            </w:r>
            <w:r>
              <w:rPr>
                <w:color w:val="auto"/>
                <w:spacing w:val="5"/>
                <w:sz w:val="21"/>
                <w:szCs w:val="21"/>
                <w:highlight w:val="none"/>
              </w:rPr>
              <w:t>。</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 w:val="0"/>
                <w:bCs w:val="0"/>
                <w:color w:val="auto"/>
                <w:spacing w:val="5"/>
                <w:sz w:val="21"/>
                <w:szCs w:val="21"/>
                <w:highlight w:val="none"/>
              </w:rPr>
            </w:pPr>
            <w:r>
              <w:rPr>
                <w:b w:val="0"/>
                <w:bCs w:val="0"/>
                <w:color w:val="auto"/>
                <w:spacing w:val="5"/>
                <w:sz w:val="21"/>
                <w:szCs w:val="21"/>
                <w:highlight w:val="none"/>
              </w:rPr>
              <w:t>表</w:t>
            </w:r>
            <w:r>
              <w:rPr>
                <w:rFonts w:hint="eastAsia"/>
                <w:b w:val="0"/>
                <w:bCs w:val="0"/>
                <w:color w:val="auto"/>
                <w:spacing w:val="5"/>
                <w:sz w:val="21"/>
                <w:szCs w:val="21"/>
                <w:highlight w:val="none"/>
                <w:lang w:val="en-US" w:eastAsia="zh-CN"/>
              </w:rPr>
              <w:t xml:space="preserve">13  </w:t>
            </w:r>
            <w:r>
              <w:rPr>
                <w:b w:val="0"/>
                <w:bCs w:val="0"/>
                <w:color w:val="auto"/>
                <w:spacing w:val="5"/>
                <w:sz w:val="21"/>
                <w:szCs w:val="21"/>
                <w:highlight w:val="none"/>
              </w:rPr>
              <w:t>工程基本组成一览表</w:t>
            </w:r>
          </w:p>
          <w:bookmarkEnd w:id="5"/>
          <w:tbl>
            <w:tblPr>
              <w:tblStyle w:val="35"/>
              <w:tblW w:w="4993"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388"/>
              <w:gridCol w:w="1343"/>
              <w:gridCol w:w="4763"/>
              <w:gridCol w:w="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bookmarkStart w:id="6" w:name="_Toc28013"/>
                  <w:r>
                    <w:rPr>
                      <w:rStyle w:val="97"/>
                      <w:rFonts w:hint="default" w:ascii="Times New Roman" w:hAnsi="Times New Roman" w:cs="Times New Roman"/>
                      <w:color w:val="auto"/>
                      <w:sz w:val="21"/>
                      <w:szCs w:val="21"/>
                      <w:highlight w:val="none"/>
                    </w:rPr>
                    <w:t>工程分类</w:t>
                  </w: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项目名称</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建设内容</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91" w:hRule="atLeast"/>
              </w:trPr>
              <w:tc>
                <w:tcPr>
                  <w:tcW w:w="481" w:type="pct"/>
                  <w:vMerge w:val="restart"/>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主体工程</w:t>
                  </w:r>
                </w:p>
              </w:tc>
              <w:tc>
                <w:tcPr>
                  <w:tcW w:w="836" w:type="pct"/>
                  <w:noWrap w:val="0"/>
                  <w:vAlign w:val="center"/>
                </w:tcPr>
                <w:p>
                  <w:pPr>
                    <w:keepNext w:val="0"/>
                    <w:keepLines w:val="0"/>
                    <w:suppressLineNumbers w:val="0"/>
                    <w:adjustRightInd w:val="0"/>
                    <w:spacing w:before="0" w:beforeLines="0" w:beforeAutospacing="0" w:after="0" w:afterLines="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精锻</w:t>
                  </w:r>
                  <w:r>
                    <w:rPr>
                      <w:rFonts w:hint="default" w:ascii="Times New Roman" w:hAnsi="Times New Roman" w:eastAsia="宋体" w:cs="Times New Roman"/>
                      <w:color w:val="auto"/>
                      <w:sz w:val="21"/>
                      <w:szCs w:val="21"/>
                      <w:highlight w:val="none"/>
                    </w:rPr>
                    <w:t>车间</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both"/>
                    <w:textAlignment w:val="auto"/>
                    <w:outlineLvl w:val="9"/>
                    <w:rPr>
                      <w:rStyle w:val="97"/>
                      <w:rFonts w:hint="default" w:ascii="Times New Roman" w:hAnsi="Times New Roman" w:cs="Times New Roman"/>
                      <w:color w:val="auto"/>
                      <w:sz w:val="21"/>
                      <w:szCs w:val="21"/>
                      <w:highlight w:val="none"/>
                      <w:lang w:val="en-US"/>
                    </w:rPr>
                  </w:pPr>
                  <w:r>
                    <w:rPr>
                      <w:rFonts w:hint="eastAsia" w:cs="Times New Roman"/>
                      <w:color w:val="auto"/>
                      <w:kern w:val="2"/>
                      <w:sz w:val="21"/>
                      <w:szCs w:val="21"/>
                      <w:highlight w:val="none"/>
                      <w:lang w:val="en-US" w:eastAsia="zh-CN"/>
                    </w:rPr>
                    <w:t>1层，占地面积11569m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，建筑面积11569m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，单层钢结构厂房</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重型</w:t>
                  </w:r>
                  <w:r>
                    <w:rPr>
                      <w:rFonts w:hint="default" w:ascii="Times New Roman" w:hAnsi="Times New Roman" w:cs="Times New Roman"/>
                      <w:color w:val="auto"/>
                      <w:sz w:val="21"/>
                      <w:szCs w:val="21"/>
                      <w:highlight w:val="none"/>
                      <w:lang w:val="en-US" w:eastAsia="zh-CN"/>
                    </w:rPr>
                    <w:t>车间</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both"/>
                    <w:textAlignment w:val="auto"/>
                    <w:outlineLvl w:val="9"/>
                    <w:rPr>
                      <w:rStyle w:val="97"/>
                      <w:rFonts w:hint="default" w:ascii="Times New Roman" w:hAnsi="Times New Roman" w:cs="Times New Roman"/>
                      <w:color w:val="auto"/>
                      <w:sz w:val="21"/>
                      <w:szCs w:val="21"/>
                      <w:highlight w:val="none"/>
                      <w:lang w:val="en-US"/>
                    </w:rPr>
                  </w:pPr>
                  <w:r>
                    <w:rPr>
                      <w:rFonts w:hint="eastAsia" w:cs="Times New Roman"/>
                      <w:color w:val="auto"/>
                      <w:kern w:val="2"/>
                      <w:sz w:val="21"/>
                      <w:szCs w:val="21"/>
                      <w:highlight w:val="none"/>
                      <w:lang w:val="en-US" w:eastAsia="zh-CN"/>
                    </w:rPr>
                    <w:t>1层，占地面积15907m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，建筑面积15907m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，单层钢结构厂房</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热处理车间</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both"/>
                    <w:textAlignment w:val="auto"/>
                    <w:outlineLvl w:val="9"/>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2"/>
                      <w:sz w:val="21"/>
                      <w:szCs w:val="21"/>
                      <w:highlight w:val="none"/>
                      <w:lang w:val="en-US" w:eastAsia="zh-CN"/>
                    </w:rPr>
                    <w:t>1层，占地面积4005m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，建筑面积4005m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，单层钢结构厂房</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restart"/>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辅助工程</w:t>
                  </w:r>
                </w:p>
              </w:tc>
              <w:tc>
                <w:tcPr>
                  <w:tcW w:w="836" w:type="pct"/>
                  <w:noWrap w:val="0"/>
                  <w:vAlign w:val="center"/>
                </w:tcPr>
                <w:p>
                  <w:pPr>
                    <w:keepNext w:val="0"/>
                    <w:keepLines w:val="0"/>
                    <w:suppressLineNumbers w:val="0"/>
                    <w:adjustRightInd w:val="0"/>
                    <w:spacing w:before="0" w:beforeLines="0" w:beforeAutospacing="0" w:after="0" w:afterLines="0" w:afterAutospacing="0" w:line="320" w:lineRule="exact"/>
                    <w:ind w:left="0" w:leftChars="0" w:right="0" w:right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综合楼</w:t>
                  </w:r>
                </w:p>
              </w:tc>
              <w:tc>
                <w:tcPr>
                  <w:tcW w:w="3678" w:type="pct"/>
                  <w:gridSpan w:val="2"/>
                  <w:tcBorders>
                    <w:right w:val="single" w:color="auto" w:sz="4" w:space="0"/>
                  </w:tcBorders>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5层，占地面积2225m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，建筑面积11124m</w:t>
                  </w:r>
                  <w:r>
                    <w:rPr>
                      <w:rFonts w:hint="eastAsia" w:cs="Times New Roman"/>
                      <w:color w:val="auto"/>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宿舍</w:t>
                  </w:r>
                </w:p>
              </w:tc>
              <w:tc>
                <w:tcPr>
                  <w:tcW w:w="3678" w:type="pct"/>
                  <w:gridSpan w:val="2"/>
                  <w:tcBorders>
                    <w:right w:val="single" w:color="auto" w:sz="4" w:space="0"/>
                  </w:tcBorders>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5层，占地面积1483m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，建筑面积7416m</w:t>
                  </w:r>
                  <w:r>
                    <w:rPr>
                      <w:rFonts w:hint="eastAsia" w:cs="Times New Roman"/>
                      <w:color w:val="auto"/>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食堂</w:t>
                  </w:r>
                </w:p>
              </w:tc>
              <w:tc>
                <w:tcPr>
                  <w:tcW w:w="3678" w:type="pct"/>
                  <w:gridSpan w:val="2"/>
                  <w:tcBorders>
                    <w:right w:val="single" w:color="auto" w:sz="4" w:space="0"/>
                  </w:tcBorders>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3层，占地面积742m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，建筑面积2225m</w:t>
                  </w:r>
                  <w:r>
                    <w:rPr>
                      <w:rFonts w:hint="eastAsia" w:cs="Times New Roman"/>
                      <w:color w:val="auto"/>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门卫室</w:t>
                  </w:r>
                </w:p>
              </w:tc>
              <w:tc>
                <w:tcPr>
                  <w:tcW w:w="3678" w:type="pct"/>
                  <w:gridSpan w:val="2"/>
                  <w:tcBorders>
                    <w:right w:val="single" w:color="auto" w:sz="4" w:space="0"/>
                  </w:tcBorders>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left"/>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1层，占地面积120m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，建筑面积120m</w:t>
                  </w:r>
                  <w:r>
                    <w:rPr>
                      <w:rFonts w:hint="eastAsia" w:cs="Times New Roman"/>
                      <w:color w:val="auto"/>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66"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cs="Times New Roman"/>
                      <w:color w:val="auto"/>
                      <w:kern w:val="2"/>
                      <w:sz w:val="21"/>
                      <w:szCs w:val="21"/>
                      <w:highlight w:val="none"/>
                      <w:lang w:val="en-US" w:eastAsia="zh-CN" w:bidi="ar-SA"/>
                    </w:rPr>
                  </w:pPr>
                  <w:r>
                    <w:rPr>
                      <w:rFonts w:hint="default" w:cs="Times New Roman"/>
                      <w:color w:val="auto"/>
                      <w:kern w:val="2"/>
                      <w:sz w:val="21"/>
                      <w:szCs w:val="21"/>
                      <w:highlight w:val="none"/>
                      <w:lang w:val="en-US" w:eastAsia="zh-CN" w:bidi="ar-SA"/>
                    </w:rPr>
                    <w:t>危废间</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both"/>
                    <w:textAlignment w:val="auto"/>
                    <w:outlineLvl w:val="9"/>
                    <w:rPr>
                      <w:rStyle w:val="97"/>
                      <w:rFonts w:hint="default" w:ascii="Times New Roman" w:hAnsi="Times New Roman" w:cs="Times New Roman"/>
                      <w:color w:val="auto"/>
                      <w:sz w:val="21"/>
                      <w:szCs w:val="21"/>
                      <w:highlight w:val="none"/>
                      <w:lang w:val="en-US"/>
                    </w:rPr>
                  </w:pPr>
                  <w:r>
                    <w:rPr>
                      <w:rFonts w:hint="eastAsia" w:cs="Times New Roman"/>
                      <w:color w:val="auto"/>
                      <w:kern w:val="2"/>
                      <w:sz w:val="21"/>
                      <w:szCs w:val="21"/>
                      <w:highlight w:val="none"/>
                      <w:lang w:val="en-US" w:eastAsia="zh-CN"/>
                    </w:rPr>
                    <w:t>1层，占地面积25m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，建筑面积25m</w:t>
                  </w:r>
                  <w:r>
                    <w:rPr>
                      <w:rFonts w:hint="eastAsia" w:cs="Times New Roman"/>
                      <w:color w:val="auto"/>
                      <w:kern w:val="2"/>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61"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keepNext w:val="0"/>
                    <w:keepLines w:val="0"/>
                    <w:suppressLineNumbers w:val="0"/>
                    <w:adjustRightInd w:val="0"/>
                    <w:snapToGrid w:val="0"/>
                    <w:spacing w:before="0" w:beforeLines="0" w:beforeAutospacing="0" w:after="0" w:afterLines="0" w:afterAutospacing="0" w:line="320" w:lineRule="exact"/>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成品库</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both"/>
                    <w:textAlignment w:val="auto"/>
                    <w:outlineLvl w:val="9"/>
                    <w:rPr>
                      <w:rStyle w:val="97"/>
                      <w:rFonts w:hint="default" w:ascii="Times New Roman" w:hAnsi="Times New Roman" w:cs="Times New Roman"/>
                      <w:color w:val="auto"/>
                      <w:sz w:val="21"/>
                      <w:szCs w:val="21"/>
                      <w:highlight w:val="none"/>
                    </w:rPr>
                  </w:pPr>
                  <w:r>
                    <w:rPr>
                      <w:rFonts w:hint="eastAsia" w:cs="Times New Roman"/>
                      <w:color w:val="auto"/>
                      <w:kern w:val="2"/>
                      <w:sz w:val="21"/>
                      <w:szCs w:val="21"/>
                      <w:highlight w:val="none"/>
                      <w:lang w:val="en-US" w:eastAsia="zh-CN"/>
                    </w:rPr>
                    <w:t>1层，占地面积10800m</w:t>
                  </w:r>
                  <w:r>
                    <w:rPr>
                      <w:rFonts w:hint="eastAsia" w:cs="Times New Roman"/>
                      <w:color w:val="auto"/>
                      <w:kern w:val="2"/>
                      <w:sz w:val="21"/>
                      <w:szCs w:val="21"/>
                      <w:highlight w:val="none"/>
                      <w:vertAlign w:val="superscript"/>
                      <w:lang w:val="en-US" w:eastAsia="zh-CN"/>
                    </w:rPr>
                    <w:t>2</w:t>
                  </w:r>
                  <w:r>
                    <w:rPr>
                      <w:rFonts w:hint="eastAsia" w:cs="Times New Roman"/>
                      <w:color w:val="auto"/>
                      <w:kern w:val="2"/>
                      <w:sz w:val="21"/>
                      <w:szCs w:val="21"/>
                      <w:highlight w:val="none"/>
                      <w:lang w:val="en-US" w:eastAsia="zh-CN"/>
                    </w:rPr>
                    <w:t>，建筑面积10800m</w:t>
                  </w:r>
                  <w:r>
                    <w:rPr>
                      <w:rFonts w:hint="eastAsia" w:cs="Times New Roman"/>
                      <w:color w:val="auto"/>
                      <w:kern w:val="2"/>
                      <w:sz w:val="21"/>
                      <w:szCs w:val="21"/>
                      <w:highlight w:val="none"/>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61" w:hRule="atLeast"/>
              </w:trPr>
              <w:tc>
                <w:tcPr>
                  <w:tcW w:w="481" w:type="pct"/>
                  <w:vMerge w:val="restart"/>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公用工程</w:t>
                  </w: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供水</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lang w:val="en-US"/>
                    </w:rPr>
                  </w:pPr>
                  <w:r>
                    <w:rPr>
                      <w:rStyle w:val="97"/>
                      <w:rFonts w:hint="eastAsia" w:cs="Times New Roman"/>
                      <w:color w:val="auto"/>
                      <w:sz w:val="21"/>
                      <w:szCs w:val="21"/>
                      <w:highlight w:val="none"/>
                      <w:lang w:val="en-US"/>
                    </w:rPr>
                    <w:t>市政管网供水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供电</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lang w:val="en-US"/>
                    </w:rPr>
                  </w:pPr>
                  <w:r>
                    <w:rPr>
                      <w:rStyle w:val="97"/>
                      <w:rFonts w:hint="eastAsia" w:cs="Times New Roman"/>
                      <w:color w:val="auto"/>
                      <w:sz w:val="21"/>
                      <w:szCs w:val="21"/>
                      <w:highlight w:val="none"/>
                      <w:lang w:val="en-US"/>
                    </w:rPr>
                    <w:t>唐山高新技术产业园现有两座110千伏变电站，企业电源由产业园区变电站提供10kV电源，由该厂区东北角进线，埋地敷设至厂区开闭所，再配送至各用电车间及部门内的变配电室</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供热</w:t>
                  </w:r>
                </w:p>
              </w:tc>
              <w:tc>
                <w:tcPr>
                  <w:tcW w:w="3678"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Fonts w:hint="eastAsia"/>
                      <w:color w:val="auto"/>
                      <w:spacing w:val="5"/>
                      <w:kern w:val="2"/>
                      <w:sz w:val="21"/>
                      <w:szCs w:val="21"/>
                      <w:highlight w:val="none"/>
                    </w:rPr>
                    <w:t>厂区内各厂房建筑内釆暖由唐山高新技术产业园集中供热系统提供热源，热媒为</w:t>
                  </w:r>
                  <w:r>
                    <w:rPr>
                      <w:rFonts w:hint="default" w:ascii="Times New Roman" w:hAnsi="Times New Roman" w:cs="Times New Roman"/>
                      <w:color w:val="auto"/>
                      <w:spacing w:val="5"/>
                      <w:kern w:val="2"/>
                      <w:sz w:val="21"/>
                      <w:szCs w:val="21"/>
                      <w:highlight w:val="none"/>
                    </w:rPr>
                    <w:t>95/70</w:t>
                  </w:r>
                  <w:r>
                    <w:rPr>
                      <w:rFonts w:hint="default" w:ascii="Times New Roman" w:hAnsi="Times New Roman" w:cs="Times New Roman"/>
                      <w:color w:val="auto"/>
                      <w:spacing w:val="5"/>
                      <w:kern w:val="2"/>
                      <w:sz w:val="21"/>
                      <w:szCs w:val="21"/>
                      <w:highlight w:val="none"/>
                      <w:lang w:val="en-US" w:eastAsia="zh-CN"/>
                    </w:rPr>
                    <w:t>℃</w:t>
                  </w:r>
                  <w:r>
                    <w:rPr>
                      <w:rFonts w:hint="eastAsia"/>
                      <w:color w:val="auto"/>
                      <w:spacing w:val="5"/>
                      <w:kern w:val="2"/>
                      <w:sz w:val="21"/>
                      <w:szCs w:val="21"/>
                      <w:highlight w:val="none"/>
                    </w:rPr>
                    <w:t>热水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481" w:type="pct"/>
                  <w:vMerge w:val="restart"/>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环保工程</w:t>
                  </w:r>
                </w:p>
              </w:tc>
              <w:tc>
                <w:tcPr>
                  <w:tcW w:w="836" w:type="pct"/>
                  <w:vMerge w:val="restar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废气</w:t>
                  </w:r>
                </w:p>
              </w:tc>
              <w:tc>
                <w:tcPr>
                  <w:tcW w:w="809"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lang w:val="en-US"/>
                    </w:rPr>
                  </w:pPr>
                  <w:r>
                    <w:rPr>
                      <w:rStyle w:val="97"/>
                      <w:rFonts w:hint="eastAsia" w:cs="Times New Roman"/>
                      <w:color w:val="auto"/>
                      <w:sz w:val="21"/>
                      <w:szCs w:val="21"/>
                      <w:highlight w:val="none"/>
                      <w:lang w:val="en-US"/>
                    </w:rPr>
                    <w:t>抛丸工序</w:t>
                  </w:r>
                </w:p>
              </w:tc>
              <w:tc>
                <w:tcPr>
                  <w:tcW w:w="2872"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Fonts w:hint="default" w:ascii="Times New Roman" w:hAnsi="Times New Roman" w:cs="Times New Roman"/>
                      <w:color w:val="auto"/>
                      <w:kern w:val="2"/>
                      <w:sz w:val="21"/>
                      <w:szCs w:val="21"/>
                      <w:highlight w:val="none"/>
                      <w:lang w:val="en-US" w:eastAsia="zh-CN" w:bidi="ar-SA"/>
                    </w:rPr>
                    <w:t>釆用高效脉冲布袋除尘器进行处理</w:t>
                  </w:r>
                  <w:r>
                    <w:rPr>
                      <w:rFonts w:hint="eastAsia"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由</w:t>
                  </w:r>
                  <w:r>
                    <w:rPr>
                      <w:rFonts w:hint="eastAsia" w:cs="Times New Roman"/>
                      <w:color w:val="auto"/>
                      <w:kern w:val="2"/>
                      <w:sz w:val="21"/>
                      <w:szCs w:val="21"/>
                      <w:highlight w:val="none"/>
                      <w:lang w:val="en-US" w:eastAsia="zh-CN" w:bidi="ar-SA"/>
                    </w:rPr>
                    <w:t>1根15m的排气筒</w:t>
                  </w:r>
                  <w:r>
                    <w:rPr>
                      <w:rFonts w:hint="default" w:ascii="Times New Roman" w:hAnsi="Times New Roman" w:cs="Times New Roman"/>
                      <w:color w:val="auto"/>
                      <w:kern w:val="2"/>
                      <w:sz w:val="21"/>
                      <w:szCs w:val="21"/>
                      <w:highlight w:val="none"/>
                      <w:lang w:val="en-US" w:eastAsia="zh-CN" w:bidi="ar-SA"/>
                    </w:rPr>
                    <w:t>DA00</w:t>
                  </w:r>
                  <w:r>
                    <w:rPr>
                      <w:rFonts w:hint="default" w:ascii="Times New Roman" w:hAnsi="Times New Roman" w:eastAsia="宋体" w:cs="Times New Roman"/>
                      <w:color w:val="auto"/>
                      <w:kern w:val="2"/>
                      <w:sz w:val="21"/>
                      <w:szCs w:val="21"/>
                      <w:highlight w:val="none"/>
                      <w:lang w:val="en-US" w:eastAsia="zh-CN" w:bidi="ar-SA"/>
                    </w:rPr>
                    <w:t>1排放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kern w:val="2"/>
                      <w:highlight w:val="none"/>
                    </w:rPr>
                  </w:pPr>
                </w:p>
              </w:tc>
              <w:tc>
                <w:tcPr>
                  <w:tcW w:w="836" w:type="pct"/>
                  <w:vMerge w:val="continue"/>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kern w:val="2"/>
                      <w:highlight w:val="none"/>
                    </w:rPr>
                  </w:pPr>
                </w:p>
              </w:tc>
              <w:tc>
                <w:tcPr>
                  <w:tcW w:w="809"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bidi="ar-SA"/>
                    </w:rPr>
                  </w:pPr>
                  <w:r>
                    <w:rPr>
                      <w:rStyle w:val="97"/>
                      <w:rFonts w:hint="eastAsia" w:cs="Times New Roman"/>
                      <w:color w:val="auto"/>
                      <w:sz w:val="21"/>
                      <w:szCs w:val="21"/>
                      <w:highlight w:val="none"/>
                      <w:lang w:val="en-US"/>
                    </w:rPr>
                    <w:t>焊接工序</w:t>
                  </w:r>
                </w:p>
              </w:tc>
              <w:tc>
                <w:tcPr>
                  <w:tcW w:w="2872"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2"/>
                      <w:sz w:val="21"/>
                      <w:szCs w:val="21"/>
                      <w:highlight w:val="none"/>
                      <w:lang w:val="en-US" w:eastAsia="zh-CN" w:bidi="ar-SA"/>
                    </w:rPr>
                    <w:t>经移动式焊烟净化器处理后排放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kern w:val="2"/>
                      <w:highlight w:val="none"/>
                    </w:rPr>
                  </w:pPr>
                </w:p>
              </w:tc>
              <w:tc>
                <w:tcPr>
                  <w:tcW w:w="836" w:type="pct"/>
                  <w:vMerge w:val="continue"/>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kern w:val="2"/>
                      <w:highlight w:val="none"/>
                    </w:rPr>
                  </w:pPr>
                </w:p>
              </w:tc>
              <w:tc>
                <w:tcPr>
                  <w:tcW w:w="809"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lang w:val="en-US"/>
                    </w:rPr>
                  </w:pPr>
                  <w:r>
                    <w:rPr>
                      <w:rStyle w:val="97"/>
                      <w:rFonts w:hint="eastAsia" w:cs="Times New Roman"/>
                      <w:color w:val="auto"/>
                      <w:sz w:val="21"/>
                      <w:szCs w:val="21"/>
                      <w:highlight w:val="none"/>
                      <w:lang w:val="en-US"/>
                    </w:rPr>
                    <w:t>食堂油烟</w:t>
                  </w:r>
                </w:p>
              </w:tc>
              <w:tc>
                <w:tcPr>
                  <w:tcW w:w="2872" w:type="pct"/>
                  <w:gridSpan w:val="2"/>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lang w:val="en-US"/>
                    </w:rPr>
                  </w:pPr>
                  <w:r>
                    <w:rPr>
                      <w:rStyle w:val="97"/>
                      <w:rFonts w:hint="eastAsia" w:cs="Times New Roman"/>
                      <w:color w:val="auto"/>
                      <w:sz w:val="21"/>
                      <w:szCs w:val="21"/>
                      <w:highlight w:val="none"/>
                      <w:lang w:val="en-US"/>
                    </w:rPr>
                    <w:t>经油烟净化器</w:t>
                  </w:r>
                  <w:r>
                    <w:rPr>
                      <w:rFonts w:hint="eastAsia" w:cs="Times New Roman"/>
                      <w:color w:val="auto"/>
                      <w:kern w:val="2"/>
                      <w:sz w:val="21"/>
                      <w:szCs w:val="21"/>
                      <w:highlight w:val="none"/>
                      <w:lang w:val="en-US" w:eastAsia="zh-CN" w:bidi="ar-SA"/>
                    </w:rPr>
                    <w:t>处理后排放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废水</w:t>
                  </w:r>
                </w:p>
              </w:tc>
              <w:tc>
                <w:tcPr>
                  <w:tcW w:w="3681" w:type="pct"/>
                  <w:gridSpan w:val="3"/>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Fonts w:hint="default" w:ascii="Times New Roman" w:hAnsi="Times New Roman" w:cs="Times New Roman"/>
                      <w:color w:val="000000"/>
                      <w:spacing w:val="0"/>
                      <w:w w:val="100"/>
                      <w:kern w:val="2"/>
                      <w:position w:val="0"/>
                      <w:sz w:val="21"/>
                      <w:szCs w:val="21"/>
                      <w:highlight w:val="none"/>
                    </w:rPr>
                    <w:t>生活污水通过隔油、化粪池处理后经市政污水管网排入唐山市北郊污水处理</w:t>
                  </w:r>
                  <w:r>
                    <w:rPr>
                      <w:rFonts w:hint="default" w:ascii="Times New Roman" w:hAnsi="Times New Roman" w:cs="Times New Roman"/>
                      <w:color w:val="000000"/>
                      <w:spacing w:val="0"/>
                      <w:w w:val="100"/>
                      <w:kern w:val="2"/>
                      <w:position w:val="0"/>
                      <w:sz w:val="21"/>
                      <w:szCs w:val="21"/>
                      <w:highlight w:val="none"/>
                      <w:lang w:val="zh-CN" w:eastAsia="zh-CN" w:bidi="zh-CN"/>
                    </w:rPr>
                    <w:t>厂统</w:t>
                  </w:r>
                  <w:r>
                    <w:rPr>
                      <w:rFonts w:hint="eastAsia" w:ascii="Times New Roman" w:hAnsi="Times New Roman" w:cs="Times New Roman"/>
                      <w:color w:val="000000"/>
                      <w:spacing w:val="0"/>
                      <w:w w:val="100"/>
                      <w:kern w:val="2"/>
                      <w:position w:val="0"/>
                      <w:sz w:val="21"/>
                      <w:szCs w:val="21"/>
                      <w:highlight w:val="none"/>
                      <w:lang w:val="en-US" w:eastAsia="zh-CN" w:bidi="zh-CN"/>
                    </w:rPr>
                    <w:t>一</w:t>
                  </w:r>
                  <w:r>
                    <w:rPr>
                      <w:rFonts w:hint="default" w:ascii="Times New Roman" w:hAnsi="Times New Roman" w:cs="Times New Roman"/>
                      <w:color w:val="000000"/>
                      <w:spacing w:val="0"/>
                      <w:w w:val="100"/>
                      <w:kern w:val="2"/>
                      <w:position w:val="0"/>
                      <w:sz w:val="21"/>
                      <w:szCs w:val="21"/>
                      <w:highlight w:val="none"/>
                    </w:rPr>
                    <w:t>处理</w:t>
                  </w:r>
                  <w:r>
                    <w:rPr>
                      <w:rFonts w:hint="default" w:ascii="Times New Roman" w:hAnsi="Times New Roman" w:cs="Times New Roman"/>
                      <w:color w:val="000000"/>
                      <w:spacing w:val="0"/>
                      <w:w w:val="100"/>
                      <w:kern w:val="2"/>
                      <w:position w:val="0"/>
                      <w:sz w:val="21"/>
                      <w:szCs w:val="21"/>
                      <w:highlight w:val="none"/>
                      <w:lang w:val="en-US" w:eastAsia="en-US" w:bidi="en-US"/>
                    </w:rPr>
                    <w:t>；</w:t>
                  </w:r>
                  <w:r>
                    <w:rPr>
                      <w:rFonts w:hint="default" w:ascii="Times New Roman" w:hAnsi="Times New Roman" w:cs="Times New Roman"/>
                      <w:color w:val="auto"/>
                      <w:spacing w:val="0"/>
                      <w:kern w:val="0"/>
                      <w:sz w:val="21"/>
                      <w:szCs w:val="21"/>
                      <w:highlight w:val="none"/>
                    </w:rPr>
                    <w:t>淬火冷却水经过沉淀处理后回用水淬工艺中，不外排；精锻车间液压机配套设备冷却水全部循环使用，不外排；除鳞工序用水经过沉淀处理后全部循环使用，不外排；</w:t>
                  </w:r>
                  <w:r>
                    <w:rPr>
                      <w:rFonts w:hint="default" w:ascii="Times New Roman" w:hAnsi="Times New Roman" w:cs="Times New Roman"/>
                      <w:color w:val="000000"/>
                      <w:spacing w:val="0"/>
                      <w:w w:val="100"/>
                      <w:kern w:val="2"/>
                      <w:position w:val="0"/>
                      <w:sz w:val="21"/>
                      <w:szCs w:val="21"/>
                      <w:highlight w:val="none"/>
                    </w:rPr>
                    <w:t>废乳化液作为危险废物委托</w:t>
                  </w:r>
                  <w:r>
                    <w:rPr>
                      <w:rFonts w:hint="eastAsia" w:ascii="Times New Roman" w:hAnsi="Times New Roman" w:cs="Times New Roman"/>
                      <w:color w:val="000000"/>
                      <w:spacing w:val="0"/>
                      <w:w w:val="100"/>
                      <w:kern w:val="2"/>
                      <w:position w:val="0"/>
                      <w:sz w:val="21"/>
                      <w:szCs w:val="21"/>
                      <w:highlight w:val="none"/>
                      <w:lang w:val="en-US" w:eastAsia="zh-CN"/>
                    </w:rPr>
                    <w:t>有资质单位</w:t>
                  </w:r>
                  <w:r>
                    <w:rPr>
                      <w:rFonts w:hint="default" w:ascii="Times New Roman" w:hAnsi="Times New Roman" w:cs="Times New Roman"/>
                      <w:color w:val="000000"/>
                      <w:spacing w:val="0"/>
                      <w:w w:val="100"/>
                      <w:kern w:val="2"/>
                      <w:position w:val="0"/>
                      <w:sz w:val="21"/>
                      <w:szCs w:val="21"/>
                      <w:highlight w:val="none"/>
                    </w:rPr>
                    <w:t>处理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噪声</w:t>
                  </w:r>
                </w:p>
              </w:tc>
              <w:tc>
                <w:tcPr>
                  <w:tcW w:w="3681" w:type="pct"/>
                  <w:gridSpan w:val="3"/>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lang w:val="en-US" w:eastAsia="zh-CN"/>
                    </w:rPr>
                    <w:t>设备</w:t>
                  </w:r>
                  <w:r>
                    <w:rPr>
                      <w:rFonts w:hint="eastAsia" w:cs="Times New Roman"/>
                      <w:snapToGrid w:val="0"/>
                      <w:color w:val="auto"/>
                      <w:kern w:val="2"/>
                      <w:sz w:val="21"/>
                      <w:szCs w:val="21"/>
                      <w:lang w:val="en-US" w:eastAsia="zh-CN"/>
                    </w:rPr>
                    <w:t>置于</w:t>
                  </w:r>
                  <w:r>
                    <w:rPr>
                      <w:rFonts w:hint="default" w:ascii="Times New Roman" w:hAnsi="Times New Roman" w:eastAsia="宋体" w:cs="Times New Roman"/>
                      <w:snapToGrid w:val="0"/>
                      <w:color w:val="auto"/>
                      <w:kern w:val="2"/>
                      <w:sz w:val="21"/>
                      <w:szCs w:val="21"/>
                      <w:lang w:val="en-US" w:eastAsia="zh-CN"/>
                    </w:rPr>
                    <w:t>全封闭车间内</w:t>
                  </w:r>
                  <w:r>
                    <w:rPr>
                      <w:rFonts w:hint="default" w:ascii="Times New Roman" w:hAnsi="Times New Roman" w:cs="Times New Roman"/>
                      <w:color w:val="auto"/>
                      <w:kern w:val="2"/>
                      <w:sz w:val="21"/>
                      <w:szCs w:val="21"/>
                      <w:highlight w:val="none"/>
                      <w:lang w:val="en-US" w:eastAsia="zh-CN"/>
                    </w:rPr>
                    <w:t>，</w:t>
                  </w:r>
                  <w:r>
                    <w:rPr>
                      <w:rFonts w:hint="default" w:ascii="Times New Roman" w:hAnsi="Times New Roman" w:cs="Times New Roman"/>
                      <w:color w:val="auto"/>
                      <w:kern w:val="2"/>
                      <w:sz w:val="21"/>
                      <w:szCs w:val="21"/>
                      <w:highlight w:val="none"/>
                    </w:rPr>
                    <w:t>采取低噪声设备，设备基础减震</w:t>
                  </w:r>
                  <w:r>
                    <w:rPr>
                      <w:rFonts w:hint="default" w:ascii="Times New Roman" w:hAnsi="Times New Roman" w:cs="Times New Roman"/>
                      <w:color w:val="auto"/>
                      <w:kern w:val="2"/>
                      <w:sz w:val="21"/>
                      <w:szCs w:val="21"/>
                      <w:highlight w:val="none"/>
                      <w:lang w:eastAsia="zh-CN"/>
                    </w:rPr>
                    <w:t>，</w:t>
                  </w:r>
                  <w:r>
                    <w:rPr>
                      <w:rFonts w:hint="default" w:ascii="Times New Roman" w:hAnsi="Times New Roman" w:cs="Times New Roman"/>
                      <w:color w:val="auto"/>
                      <w:kern w:val="2"/>
                      <w:sz w:val="21"/>
                      <w:szCs w:val="21"/>
                      <w:highlight w:val="none"/>
                      <w:lang w:val="en-US" w:eastAsia="zh-CN"/>
                    </w:rPr>
                    <w:t>建筑</w:t>
                  </w:r>
                  <w:r>
                    <w:rPr>
                      <w:rFonts w:hint="default" w:ascii="Times New Roman" w:hAnsi="Times New Roman" w:cs="Times New Roman"/>
                      <w:color w:val="auto"/>
                      <w:kern w:val="2"/>
                      <w:sz w:val="21"/>
                      <w:szCs w:val="21"/>
                      <w:highlight w:val="none"/>
                    </w:rPr>
                    <w:t>隔声等措施</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1" w:type="pct"/>
                  <w:vMerge w:val="continue"/>
                  <w:tcBorders>
                    <w:lef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p>
              </w:tc>
              <w:tc>
                <w:tcPr>
                  <w:tcW w:w="836" w:type="pct"/>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Style w:val="97"/>
                      <w:rFonts w:hint="default" w:ascii="Times New Roman" w:hAnsi="Times New Roman" w:cs="Times New Roman"/>
                      <w:color w:val="auto"/>
                      <w:sz w:val="21"/>
                      <w:szCs w:val="21"/>
                      <w:highlight w:val="none"/>
                    </w:rPr>
                    <w:t>固废</w:t>
                  </w:r>
                </w:p>
              </w:tc>
              <w:tc>
                <w:tcPr>
                  <w:tcW w:w="3681" w:type="pct"/>
                  <w:gridSpan w:val="3"/>
                  <w:tcBorders>
                    <w:right w:val="single" w:color="auto" w:sz="4" w:space="0"/>
                  </w:tcBorders>
                  <w:noWrap w:val="0"/>
                  <w:vAlign w:val="center"/>
                </w:tcPr>
                <w:p>
                  <w:pPr>
                    <w:pStyle w:val="96"/>
                    <w:keepNext w:val="0"/>
                    <w:keepLines w:val="0"/>
                    <w:pageBreakBefore w:val="0"/>
                    <w:widowControl/>
                    <w:suppressLineNumbers w:val="0"/>
                    <w:kinsoku/>
                    <w:wordWrap/>
                    <w:overflowPunct/>
                    <w:topLinePunct w:val="0"/>
                    <w:bidi w:val="0"/>
                    <w:spacing w:before="0" w:beforeAutospacing="0" w:after="0" w:afterAutospacing="0" w:line="240" w:lineRule="auto"/>
                    <w:ind w:left="0" w:right="0" w:firstLine="0" w:firstLineChars="0"/>
                    <w:jc w:val="center"/>
                    <w:textAlignment w:val="auto"/>
                    <w:outlineLvl w:val="9"/>
                    <w:rPr>
                      <w:rStyle w:val="97"/>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rPr>
                    <w:t>下料边角料、除鳞氧化铁皮、工件机加工</w:t>
                  </w:r>
                  <w:r>
                    <w:rPr>
                      <w:rFonts w:hint="eastAsia" w:cs="Times New Roman"/>
                      <w:color w:val="auto"/>
                      <w:kern w:val="2"/>
                      <w:sz w:val="21"/>
                      <w:szCs w:val="21"/>
                      <w:highlight w:val="none"/>
                      <w:lang w:eastAsia="zh-CN"/>
                    </w:rPr>
                    <w:t>废金属屑</w:t>
                  </w:r>
                  <w:r>
                    <w:rPr>
                      <w:rFonts w:hint="default" w:ascii="Times New Roman" w:hAnsi="Times New Roman" w:eastAsia="宋体" w:cs="Times New Roman"/>
                      <w:color w:val="auto"/>
                      <w:kern w:val="2"/>
                      <w:sz w:val="21"/>
                      <w:szCs w:val="21"/>
                      <w:highlight w:val="none"/>
                    </w:rPr>
                    <w:t>作为炼钢原料出售</w:t>
                  </w:r>
                  <w:r>
                    <w:rPr>
                      <w:rFonts w:hint="eastAsia" w:cs="Times New Roman"/>
                      <w:color w:val="auto"/>
                      <w:kern w:val="2"/>
                      <w:sz w:val="21"/>
                      <w:szCs w:val="21"/>
                      <w:highlight w:val="none"/>
                      <w:lang w:eastAsia="zh-CN"/>
                    </w:rPr>
                    <w:t>；</w:t>
                  </w:r>
                  <w:r>
                    <w:rPr>
                      <w:rFonts w:hint="default" w:ascii="Times New Roman" w:hAnsi="Times New Roman" w:eastAsia="宋体" w:cs="Times New Roman"/>
                      <w:color w:val="auto"/>
                      <w:kern w:val="2"/>
                      <w:sz w:val="21"/>
                      <w:szCs w:val="21"/>
                      <w:highlight w:val="none"/>
                    </w:rPr>
                    <w:t>除尘灰集中收集后，外售废品回收站</w:t>
                  </w:r>
                  <w:r>
                    <w:rPr>
                      <w:rFonts w:hint="eastAsia" w:ascii="Times New Roman" w:hAnsi="Times New Roman" w:cs="Times New Roman"/>
                      <w:color w:val="auto"/>
                      <w:kern w:val="2"/>
                      <w:sz w:val="21"/>
                      <w:szCs w:val="21"/>
                      <w:highlight w:val="none"/>
                      <w:lang w:eastAsia="zh-CN"/>
                    </w:rPr>
                    <w:t>；</w:t>
                  </w:r>
                  <w:r>
                    <w:rPr>
                      <w:rFonts w:hint="default" w:ascii="Times New Roman" w:hAnsi="Times New Roman" w:eastAsia="宋体" w:cs="Times New Roman"/>
                      <w:color w:val="auto"/>
                      <w:kern w:val="2"/>
                      <w:sz w:val="21"/>
                      <w:szCs w:val="21"/>
                      <w:highlight w:val="none"/>
                    </w:rPr>
                    <w:t>办公生活垃圾</w:t>
                  </w:r>
                  <w:r>
                    <w:rPr>
                      <w:rFonts w:hint="eastAsia" w:cs="Times New Roman"/>
                      <w:color w:val="auto"/>
                      <w:kern w:val="2"/>
                      <w:sz w:val="21"/>
                      <w:szCs w:val="21"/>
                      <w:highlight w:val="none"/>
                      <w:lang w:eastAsia="zh-CN"/>
                    </w:rPr>
                    <w:t>由唐山市市政部门统</w:t>
                  </w:r>
                  <w:r>
                    <w:rPr>
                      <w:rFonts w:hint="eastAsia" w:cs="Times New Roman"/>
                      <w:color w:val="auto"/>
                      <w:kern w:val="2"/>
                      <w:sz w:val="21"/>
                      <w:szCs w:val="21"/>
                      <w:highlight w:val="none"/>
                      <w:lang w:val="en-US" w:eastAsia="zh-CN"/>
                    </w:rPr>
                    <w:t>一</w:t>
                  </w:r>
                  <w:r>
                    <w:rPr>
                      <w:rFonts w:hint="eastAsia" w:cs="Times New Roman"/>
                      <w:color w:val="auto"/>
                      <w:kern w:val="2"/>
                      <w:sz w:val="21"/>
                      <w:szCs w:val="21"/>
                      <w:highlight w:val="none"/>
                      <w:lang w:eastAsia="zh-CN"/>
                    </w:rPr>
                    <w:t>收集处理；</w:t>
                  </w:r>
                  <w:r>
                    <w:rPr>
                      <w:rFonts w:hint="default" w:ascii="Times New Roman" w:hAnsi="Times New Roman" w:cs="Times New Roman"/>
                      <w:color w:val="auto"/>
                      <w:kern w:val="2"/>
                      <w:sz w:val="21"/>
                      <w:szCs w:val="21"/>
                      <w:highlight w:val="none"/>
                      <w:lang w:val="en-US" w:eastAsia="zh-CN"/>
                    </w:rPr>
                    <w:t>危险废物</w:t>
                  </w:r>
                  <w:r>
                    <w:rPr>
                      <w:rFonts w:hint="eastAsia" w:cs="Times New Roman"/>
                      <w:color w:val="auto"/>
                      <w:kern w:val="2"/>
                      <w:sz w:val="21"/>
                      <w:szCs w:val="21"/>
                      <w:highlight w:val="none"/>
                      <w:lang w:val="en-US" w:eastAsia="zh-CN"/>
                    </w:rPr>
                    <w:t>废乳化液、废滤芯、实验室废液、废油粘、废润滑油</w:t>
                  </w:r>
                  <w:r>
                    <w:rPr>
                      <w:rFonts w:hint="default" w:ascii="Times New Roman" w:hAnsi="Times New Roman" w:cs="Times New Roman"/>
                      <w:color w:val="auto"/>
                      <w:kern w:val="2"/>
                      <w:sz w:val="21"/>
                      <w:szCs w:val="21"/>
                      <w:highlight w:val="none"/>
                      <w:lang w:val="en-US" w:eastAsia="zh-CN"/>
                    </w:rPr>
                    <w:t>，暂存危废间，由有资质单位集中处理</w:t>
                  </w:r>
                </w:p>
              </w:tc>
            </w:tr>
          </w:tbl>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r>
              <w:rPr>
                <w:rFonts w:eastAsia="黑体"/>
                <w:bCs/>
                <w:color w:val="auto"/>
                <w:spacing w:val="5"/>
                <w:sz w:val="21"/>
                <w:szCs w:val="21"/>
                <w:highlight w:val="none"/>
              </w:rPr>
              <w:t>2.3现有工程原辅材料</w:t>
            </w:r>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20" w:firstLineChars="200"/>
              <w:outlineLvl w:val="9"/>
              <w:rPr>
                <w:color w:val="auto"/>
                <w:sz w:val="21"/>
                <w:szCs w:val="21"/>
                <w:highlight w:val="none"/>
              </w:rPr>
            </w:pPr>
            <w:r>
              <w:rPr>
                <w:color w:val="auto"/>
                <w:sz w:val="21"/>
                <w:szCs w:val="21"/>
                <w:highlight w:val="none"/>
              </w:rPr>
              <w:t>现有工程原辅材料用量见表</w:t>
            </w:r>
            <w:r>
              <w:rPr>
                <w:rFonts w:hint="eastAsia"/>
                <w:color w:val="auto"/>
                <w:sz w:val="21"/>
                <w:szCs w:val="21"/>
                <w:highlight w:val="none"/>
                <w:lang w:val="en-US" w:eastAsia="zh-CN"/>
              </w:rPr>
              <w:t>14</w:t>
            </w:r>
            <w:r>
              <w:rPr>
                <w:color w:val="auto"/>
                <w:sz w:val="21"/>
                <w:szCs w:val="21"/>
                <w:highlight w:val="none"/>
              </w:rPr>
              <w:t>。</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 w:val="0"/>
                <w:bCs w:val="0"/>
                <w:color w:val="auto"/>
                <w:spacing w:val="5"/>
                <w:sz w:val="21"/>
                <w:szCs w:val="21"/>
                <w:highlight w:val="none"/>
              </w:rPr>
            </w:pPr>
            <w:r>
              <w:rPr>
                <w:b w:val="0"/>
                <w:bCs w:val="0"/>
                <w:color w:val="auto"/>
                <w:spacing w:val="5"/>
                <w:sz w:val="21"/>
                <w:szCs w:val="21"/>
                <w:highlight w:val="none"/>
              </w:rPr>
              <w:t>表</w:t>
            </w:r>
            <w:r>
              <w:rPr>
                <w:rFonts w:hint="eastAsia"/>
                <w:b w:val="0"/>
                <w:bCs w:val="0"/>
                <w:color w:val="auto"/>
                <w:spacing w:val="5"/>
                <w:sz w:val="21"/>
                <w:szCs w:val="21"/>
                <w:highlight w:val="none"/>
                <w:lang w:val="en-US" w:eastAsia="zh-CN"/>
              </w:rPr>
              <w:t xml:space="preserve">14  </w:t>
            </w:r>
            <w:r>
              <w:rPr>
                <w:b w:val="0"/>
                <w:bCs w:val="0"/>
                <w:color w:val="auto"/>
                <w:spacing w:val="5"/>
                <w:sz w:val="21"/>
                <w:szCs w:val="21"/>
                <w:highlight w:val="none"/>
              </w:rPr>
              <w:t>现有工程原辅材料用量</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
              <w:gridCol w:w="686"/>
              <w:gridCol w:w="1951"/>
              <w:gridCol w:w="1418"/>
              <w:gridCol w:w="1931"/>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序号</w:t>
                  </w:r>
                </w:p>
              </w:tc>
              <w:tc>
                <w:tcPr>
                  <w:tcW w:w="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类别</w:t>
                  </w: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项目</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单位</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年消耗量</w:t>
                  </w:r>
                </w:p>
              </w:tc>
              <w:tc>
                <w:tcPr>
                  <w:tcW w:w="10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bCs/>
                      <w:color w:val="auto"/>
                      <w:spacing w:val="5"/>
                      <w:sz w:val="21"/>
                      <w:szCs w:val="21"/>
                      <w:highlight w:val="none"/>
                    </w:rPr>
                  </w:pPr>
                  <w:r>
                    <w:rPr>
                      <w:bCs/>
                      <w:color w:val="auto"/>
                      <w:spacing w:val="5"/>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1</w:t>
                  </w:r>
                </w:p>
              </w:tc>
              <w:tc>
                <w:tcPr>
                  <w:tcW w:w="41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原</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辅</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材</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料</w:t>
                  </w: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不锈钢</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31000</w:t>
                  </w:r>
                </w:p>
              </w:tc>
              <w:tc>
                <w:tcPr>
                  <w:tcW w:w="1005" w:type="pc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eastAsia="宋体"/>
                      <w:color w:val="auto"/>
                      <w:spacing w:val="5"/>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2</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模具钢</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10000</w:t>
                  </w:r>
                </w:p>
              </w:tc>
              <w:tc>
                <w:tcPr>
                  <w:tcW w:w="1005" w:type="pct"/>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3</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碳钢</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30000</w:t>
                  </w:r>
                </w:p>
              </w:tc>
              <w:tc>
                <w:tcPr>
                  <w:tcW w:w="1005" w:type="pct"/>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387" w:type="pc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color w:val="auto"/>
                      <w:spacing w:val="5"/>
                      <w:kern w:val="2"/>
                      <w:sz w:val="21"/>
                      <w:szCs w:val="21"/>
                      <w:highlight w:val="none"/>
                      <w:lang w:val="en-US" w:eastAsia="zh-CN" w:bidi="ar-SA"/>
                    </w:rPr>
                  </w:pPr>
                  <w:r>
                    <w:rPr>
                      <w:color w:val="auto"/>
                      <w:spacing w:val="5"/>
                      <w:sz w:val="21"/>
                      <w:szCs w:val="21"/>
                      <w:highlight w:val="none"/>
                    </w:rPr>
                    <w:t>6</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CO</w:t>
                  </w:r>
                  <w:r>
                    <w:rPr>
                      <w:rFonts w:hint="eastAsia" w:cs="Times New Roman"/>
                      <w:color w:val="auto"/>
                      <w:kern w:val="2"/>
                      <w:sz w:val="21"/>
                      <w:szCs w:val="21"/>
                      <w:highlight w:val="none"/>
                      <w:vertAlign w:val="subscript"/>
                      <w:lang w:val="en-US" w:eastAsia="zh-CN" w:bidi="ar-SA"/>
                    </w:rPr>
                    <w:t>2</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lang w:val="zh-CN"/>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1005" w:type="pct"/>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387" w:type="pc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eastAsia="宋体"/>
                      <w:color w:val="auto"/>
                      <w:spacing w:val="5"/>
                      <w:kern w:val="2"/>
                      <w:sz w:val="21"/>
                      <w:szCs w:val="21"/>
                      <w:highlight w:val="none"/>
                      <w:lang w:val="en-US" w:eastAsia="zh-CN" w:bidi="ar-SA"/>
                    </w:rPr>
                  </w:pPr>
                  <w:r>
                    <w:rPr>
                      <w:rFonts w:hint="eastAsia"/>
                      <w:color w:val="auto"/>
                      <w:spacing w:val="5"/>
                      <w:sz w:val="21"/>
                      <w:szCs w:val="21"/>
                      <w:highlight w:val="none"/>
                      <w:lang w:val="en-US" w:eastAsia="zh-CN"/>
                    </w:rPr>
                    <w:t>7</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焊丝</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r>
                    <w:rPr>
                      <w:color w:val="auto"/>
                      <w:spacing w:val="5"/>
                      <w:sz w:val="21"/>
                      <w:szCs w:val="21"/>
                      <w:highlight w:val="none"/>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110</w:t>
                  </w:r>
                </w:p>
              </w:tc>
              <w:tc>
                <w:tcPr>
                  <w:tcW w:w="1005" w:type="pct"/>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387" w:type="pc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leftChars="0" w:right="0" w:rightChars="0"/>
                    <w:jc w:val="center"/>
                    <w:outlineLvl w:val="9"/>
                    <w:rPr>
                      <w:rFonts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8</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leftChars="0" w:right="0" w:rightChars="0" w:firstLine="0" w:firstLineChars="0"/>
                    <w:jc w:val="center"/>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乳化液</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leftChars="0" w:right="0" w:rightChars="0"/>
                    <w:jc w:val="center"/>
                    <w:outlineLvl w:val="9"/>
                    <w:rPr>
                      <w:rFonts w:hint="eastAsia"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leftChars="0" w:right="0" w:rightChars="0" w:firstLine="0" w:firstLineChars="0"/>
                    <w:jc w:val="center"/>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1005" w:type="pct"/>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eastAsia="宋体"/>
                      <w:color w:val="auto"/>
                      <w:spacing w:val="5"/>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387" w:type="pct"/>
                  <w:tcBorders>
                    <w:top w:val="single" w:color="auto" w:sz="4" w:space="0"/>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leftChars="0" w:right="0" w:rightChars="0"/>
                    <w:jc w:val="center"/>
                    <w:outlineLvl w:val="9"/>
                    <w:rPr>
                      <w:rFonts w:hint="eastAsia" w:ascii="Times New Roman" w:hAnsi="Times New Roman" w:eastAsia="宋体" w:cs="Times New Roman"/>
                      <w:color w:val="auto"/>
                      <w:spacing w:val="5"/>
                      <w:kern w:val="2"/>
                      <w:sz w:val="21"/>
                      <w:szCs w:val="21"/>
                      <w:highlight w:val="none"/>
                      <w:lang w:val="en-US" w:eastAsia="zh-CN" w:bidi="ar-SA"/>
                    </w:rPr>
                  </w:pPr>
                  <w:r>
                    <w:rPr>
                      <w:rFonts w:hint="eastAsia"/>
                      <w:color w:val="auto"/>
                      <w:spacing w:val="5"/>
                      <w:sz w:val="21"/>
                      <w:szCs w:val="21"/>
                      <w:highlight w:val="none"/>
                      <w:lang w:val="en-US" w:eastAsia="zh-CN"/>
                    </w:rPr>
                    <w:t>9</w:t>
                  </w:r>
                </w:p>
              </w:tc>
              <w:tc>
                <w:tcPr>
                  <w:tcW w:w="413" w:type="pct"/>
                  <w:vMerge w:val="continue"/>
                  <w:tcBorders>
                    <w:left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lang w:val="zh-CN"/>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润滑油</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color w:val="auto"/>
                      <w:spacing w:val="5"/>
                      <w:sz w:val="21"/>
                      <w:szCs w:val="21"/>
                      <w:highlight w:val="none"/>
                      <w:lang w:val="en-US" w:eastAsia="zh-CN"/>
                    </w:rPr>
                  </w:pPr>
                  <w:r>
                    <w:rPr>
                      <w:color w:val="auto"/>
                      <w:spacing w:val="5"/>
                      <w:sz w:val="21"/>
                      <w:szCs w:val="21"/>
                      <w:highlight w:val="none"/>
                    </w:rPr>
                    <w:t>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1005" w:type="pct"/>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eastAsia" w:eastAsia="宋体"/>
                      <w:color w:val="auto"/>
                      <w:spacing w:val="5"/>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leftChars="0" w:right="0" w:rightChars="0"/>
                    <w:jc w:val="center"/>
                    <w:outlineLvl w:val="9"/>
                    <w:rPr>
                      <w:rFonts w:hint="eastAsia" w:ascii="Times New Roman" w:hAnsi="Times New Roman" w:eastAsia="宋体" w:cs="Times New Roman"/>
                      <w:color w:val="auto"/>
                      <w:spacing w:val="5"/>
                      <w:kern w:val="2"/>
                      <w:sz w:val="21"/>
                      <w:szCs w:val="21"/>
                      <w:highlight w:val="none"/>
                      <w:lang w:val="en-US" w:eastAsia="zh-CN" w:bidi="ar-SA"/>
                    </w:rPr>
                  </w:pPr>
                  <w:r>
                    <w:rPr>
                      <w:color w:val="auto"/>
                      <w:spacing w:val="5"/>
                      <w:sz w:val="21"/>
                      <w:szCs w:val="21"/>
                      <w:highlight w:val="none"/>
                    </w:rPr>
                    <w:t>10</w:t>
                  </w:r>
                </w:p>
              </w:tc>
              <w:tc>
                <w:tcPr>
                  <w:tcW w:w="41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lang w:val="zh-CN"/>
                    </w:rPr>
                    <w:t>能</w:t>
                  </w:r>
                </w:p>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lang w:val="zh-CN"/>
                    </w:rPr>
                    <w:t>源</w:t>
                  </w: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rPr>
                    <w:t>新鲜</w:t>
                  </w:r>
                  <w:r>
                    <w:rPr>
                      <w:color w:val="auto"/>
                      <w:spacing w:val="5"/>
                      <w:sz w:val="21"/>
                      <w:szCs w:val="21"/>
                      <w:highlight w:val="none"/>
                      <w:lang w:val="zh-CN"/>
                    </w:rPr>
                    <w:t>水</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rPr>
                    <w:t>m</w:t>
                  </w:r>
                  <w:r>
                    <w:rPr>
                      <w:color w:val="auto"/>
                      <w:spacing w:val="5"/>
                      <w:sz w:val="21"/>
                      <w:szCs w:val="21"/>
                      <w:highlight w:val="none"/>
                      <w:vertAlign w:val="superscript"/>
                    </w:rPr>
                    <w:t>3</w:t>
                  </w:r>
                  <w:r>
                    <w:rPr>
                      <w:color w:val="auto"/>
                      <w:spacing w:val="5"/>
                      <w:sz w:val="21"/>
                      <w:szCs w:val="21"/>
                      <w:highlight w:val="none"/>
                    </w:rPr>
                    <w:t>/a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25386.05</w:t>
                  </w:r>
                </w:p>
              </w:tc>
              <w:tc>
                <w:tcPr>
                  <w:tcW w:w="10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default"/>
                      <w:color w:val="auto"/>
                      <w:spacing w:val="5"/>
                      <w:kern w:val="2"/>
                      <w:sz w:val="21"/>
                      <w:szCs w:val="21"/>
                      <w:highlight w:val="none"/>
                      <w:lang w:val="en-US" w:eastAsia="zh-CN" w:bidi="ar-SA"/>
                    </w:rPr>
                  </w:pPr>
                  <w:r>
                    <w:rPr>
                      <w:rFonts w:hint="eastAsia"/>
                      <w:color w:val="auto"/>
                      <w:spacing w:val="5"/>
                      <w:kern w:val="2"/>
                      <w:sz w:val="21"/>
                      <w:szCs w:val="21"/>
                      <w:highlight w:val="none"/>
                      <w:lang w:val="en-US" w:eastAsia="zh-CN" w:bidi="ar-SA"/>
                    </w:rPr>
                    <w:t>11</w:t>
                  </w:r>
                </w:p>
              </w:tc>
              <w:tc>
                <w:tcPr>
                  <w:tcW w:w="41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p>
              </w:tc>
              <w:tc>
                <w:tcPr>
                  <w:tcW w:w="1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lang w:val="zh-CN"/>
                    </w:rPr>
                    <w:t>电</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r>
                    <w:rPr>
                      <w:color w:val="auto"/>
                      <w:spacing w:val="5"/>
                      <w:sz w:val="21"/>
                      <w:szCs w:val="21"/>
                      <w:highlight w:val="none"/>
                      <w:lang w:val="zh-CN"/>
                    </w:rPr>
                    <w:t>万</w:t>
                  </w:r>
                  <w:r>
                    <w:rPr>
                      <w:color w:val="auto"/>
                      <w:spacing w:val="5"/>
                      <w:sz w:val="21"/>
                      <w:szCs w:val="21"/>
                      <w:highlight w:val="none"/>
                    </w:rPr>
                    <w:t>kWh/a</w:t>
                  </w:r>
                </w:p>
              </w:tc>
              <w:tc>
                <w:tcPr>
                  <w:tcW w:w="11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rFonts w:hint="default" w:eastAsia="宋体"/>
                      <w:color w:val="auto"/>
                      <w:spacing w:val="5"/>
                      <w:sz w:val="21"/>
                      <w:szCs w:val="21"/>
                      <w:highlight w:val="none"/>
                      <w:lang w:val="en-US" w:eastAsia="zh-CN"/>
                    </w:rPr>
                  </w:pPr>
                  <w:r>
                    <w:rPr>
                      <w:rFonts w:hint="eastAsia"/>
                      <w:color w:val="auto"/>
                      <w:spacing w:val="5"/>
                      <w:sz w:val="21"/>
                      <w:szCs w:val="21"/>
                      <w:highlight w:val="none"/>
                      <w:lang w:val="en-US" w:eastAsia="zh-CN"/>
                    </w:rPr>
                    <w:t>300</w:t>
                  </w:r>
                </w:p>
              </w:tc>
              <w:tc>
                <w:tcPr>
                  <w:tcW w:w="10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wordWrap/>
                    <w:topLinePunct w:val="0"/>
                    <w:bidi w:val="0"/>
                    <w:adjustRightInd w:val="0"/>
                    <w:snapToGrid w:val="0"/>
                    <w:spacing w:before="0" w:beforeAutospacing="0" w:after="0" w:afterAutospacing="0"/>
                    <w:ind w:left="0" w:right="0"/>
                    <w:jc w:val="center"/>
                    <w:outlineLvl w:val="9"/>
                    <w:rPr>
                      <w:color w:val="auto"/>
                      <w:spacing w:val="5"/>
                      <w:sz w:val="21"/>
                      <w:szCs w:val="21"/>
                      <w:highlight w:val="none"/>
                    </w:rPr>
                  </w:pPr>
                </w:p>
              </w:tc>
            </w:tr>
          </w:tbl>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bookmarkStart w:id="7" w:name="_Toc24004"/>
            <w:r>
              <w:rPr>
                <w:rFonts w:eastAsia="黑体"/>
                <w:bCs/>
                <w:color w:val="auto"/>
                <w:spacing w:val="5"/>
                <w:sz w:val="21"/>
                <w:szCs w:val="21"/>
                <w:highlight w:val="none"/>
              </w:rPr>
              <w:t>2.4现有工程主要设备</w:t>
            </w:r>
            <w:bookmarkEnd w:id="7"/>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40" w:firstLineChars="200"/>
              <w:outlineLvl w:val="9"/>
              <w:rPr>
                <w:color w:val="auto"/>
                <w:spacing w:val="5"/>
                <w:sz w:val="21"/>
                <w:szCs w:val="21"/>
                <w:highlight w:val="none"/>
              </w:rPr>
            </w:pPr>
            <w:r>
              <w:rPr>
                <w:color w:val="auto"/>
                <w:spacing w:val="5"/>
                <w:sz w:val="21"/>
                <w:szCs w:val="21"/>
                <w:highlight w:val="none"/>
              </w:rPr>
              <w:t>现有工程主要生产设备见表</w:t>
            </w:r>
            <w:r>
              <w:rPr>
                <w:rFonts w:hint="eastAsia"/>
                <w:color w:val="auto"/>
                <w:spacing w:val="5"/>
                <w:sz w:val="21"/>
                <w:szCs w:val="21"/>
                <w:highlight w:val="none"/>
                <w:lang w:val="en-US" w:eastAsia="zh-CN"/>
              </w:rPr>
              <w:t>15</w:t>
            </w:r>
            <w:r>
              <w:rPr>
                <w:color w:val="auto"/>
                <w:spacing w:val="5"/>
                <w:sz w:val="21"/>
                <w:szCs w:val="21"/>
                <w:highlight w:val="none"/>
              </w:rPr>
              <w:t>。</w:t>
            </w:r>
          </w:p>
          <w:bookmarkEnd w:id="6"/>
          <w:p>
            <w:pPr>
              <w:pStyle w:val="82"/>
              <w:keepNext w:val="0"/>
              <w:keepLines w:val="0"/>
              <w:pageBreakBefore w:val="0"/>
              <w:suppressLineNumbers w:val="0"/>
              <w:wordWrap/>
              <w:topLinePunct w:val="0"/>
              <w:bidi w:val="0"/>
              <w:spacing w:beforeLines="0" w:beforeAutospacing="0" w:afterAutospacing="0" w:line="360" w:lineRule="auto"/>
              <w:ind w:left="0"/>
              <w:outlineLvl w:val="9"/>
              <w:rPr>
                <w:rFonts w:hint="default" w:ascii="Times New Roman" w:hAnsi="Times New Roman" w:cs="Times New Roman"/>
                <w:b w:val="0"/>
                <w:bCs/>
                <w:color w:val="auto"/>
                <w:sz w:val="21"/>
                <w:szCs w:val="21"/>
                <w:highlight w:val="none"/>
              </w:rPr>
            </w:pPr>
            <w:r>
              <w:rPr>
                <w:rFonts w:hint="default" w:ascii="Times New Roman" w:hAnsi="Times New Roman" w:cs="Times New Roman"/>
                <w:b w:val="0"/>
                <w:bCs/>
                <w:color w:val="auto"/>
                <w:sz w:val="21"/>
                <w:szCs w:val="21"/>
                <w:highlight w:val="none"/>
              </w:rPr>
              <w:t>表</w:t>
            </w:r>
            <w:r>
              <w:rPr>
                <w:rFonts w:hint="eastAsia" w:eastAsia="宋体" w:cs="Times New Roman"/>
                <w:b w:val="0"/>
                <w:bCs/>
                <w:color w:val="auto"/>
                <w:sz w:val="21"/>
                <w:szCs w:val="21"/>
                <w:highlight w:val="none"/>
                <w:lang w:val="en-US" w:eastAsia="zh-CN"/>
              </w:rPr>
              <w:t xml:space="preserve">15 </w:t>
            </w:r>
            <w:r>
              <w:rPr>
                <w:rFonts w:hint="default" w:ascii="Times New Roman" w:hAnsi="Times New Roman" w:cs="Times New Roman"/>
                <w:b w:val="0"/>
                <w:bCs/>
                <w:color w:val="auto"/>
                <w:sz w:val="21"/>
                <w:szCs w:val="21"/>
                <w:highlight w:val="none"/>
              </w:rPr>
              <w:t>现有工</w:t>
            </w:r>
            <w:r>
              <w:rPr>
                <w:rFonts w:hint="eastAsia" w:eastAsia="宋体" w:cs="Times New Roman"/>
                <w:b w:val="0"/>
                <w:bCs/>
                <w:color w:val="auto"/>
                <w:sz w:val="21"/>
                <w:szCs w:val="21"/>
                <w:highlight w:val="none"/>
                <w:lang w:val="en-US" w:eastAsia="zh-CN"/>
              </w:rPr>
              <w:t>程</w:t>
            </w:r>
            <w:r>
              <w:rPr>
                <w:rFonts w:hint="default" w:ascii="Times New Roman" w:hAnsi="Times New Roman" w:cs="Times New Roman"/>
                <w:b w:val="0"/>
                <w:bCs/>
                <w:color w:val="auto"/>
                <w:sz w:val="21"/>
                <w:szCs w:val="21"/>
                <w:highlight w:val="none"/>
              </w:rPr>
              <w:t>主要设备一览表</w:t>
            </w:r>
          </w:p>
          <w:tbl>
            <w:tblPr>
              <w:tblStyle w:val="3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
              <w:gridCol w:w="720"/>
              <w:gridCol w:w="794"/>
              <w:gridCol w:w="2484"/>
              <w:gridCol w:w="2152"/>
              <w:gridCol w:w="900"/>
              <w:gridCol w:w="7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433"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车间名称</w:t>
                  </w:r>
                </w:p>
              </w:tc>
              <w:tc>
                <w:tcPr>
                  <w:tcW w:w="478"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工序</w:t>
                  </w:r>
                </w:p>
              </w:tc>
              <w:tc>
                <w:tcPr>
                  <w:tcW w:w="1497"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设备</w:t>
                  </w:r>
                </w:p>
              </w:tc>
              <w:tc>
                <w:tcPr>
                  <w:tcW w:w="1297"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规格型号</w:t>
                  </w:r>
                </w:p>
              </w:tc>
              <w:tc>
                <w:tcPr>
                  <w:tcW w:w="542"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数量(台)</w:t>
                  </w:r>
                </w:p>
              </w:tc>
              <w:tc>
                <w:tcPr>
                  <w:tcW w:w="432" w:type="pct"/>
                  <w:noWrap w:val="0"/>
                  <w:vAlign w:val="center"/>
                </w:tcPr>
                <w:p>
                  <w:pPr>
                    <w:keepNext w:val="0"/>
                    <w:keepLines w:val="0"/>
                    <w:pageBreakBefore w:val="0"/>
                    <w:suppressLineNumbers w:val="0"/>
                    <w:wordWrap/>
                    <w:topLinePunct w:val="0"/>
                    <w:bidi w:val="0"/>
                    <w:spacing w:before="0" w:beforeAutospacing="0" w:after="0" w:afterAutospacing="0" w:line="240" w:lineRule="auto"/>
                    <w:ind w:left="0" w:leftChars="0" w:right="0" w:rightChars="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318"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3"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精锻车间</w:t>
                  </w: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下料</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冷带</w:t>
                  </w:r>
                  <w:r>
                    <w:rPr>
                      <w:rFonts w:hint="default" w:ascii="Times New Roman" w:hAnsi="Times New Roman" w:eastAsia="宋体" w:cs="Times New Roman"/>
                      <w:i w:val="0"/>
                      <w:iCs w:val="0"/>
                      <w:color w:val="auto"/>
                      <w:kern w:val="0"/>
                      <w:sz w:val="21"/>
                      <w:szCs w:val="21"/>
                      <w:highlight w:val="none"/>
                      <w:u w:val="none"/>
                      <w:lang w:val="en-US" w:eastAsia="zh-CN" w:bidi="ar"/>
                    </w:rPr>
                    <w:t>锯床</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5</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31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33"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试样锯床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jc w:val="center"/>
              </w:trPr>
              <w:tc>
                <w:tcPr>
                  <w:tcW w:w="318"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加热</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中频感应加热炉（含风冷式冷却塔）</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jc w:val="center"/>
              </w:trPr>
              <w:tc>
                <w:tcPr>
                  <w:tcW w:w="31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33"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试验箱式电阻炉</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jc w:val="center"/>
              </w:trPr>
              <w:tc>
                <w:tcPr>
                  <w:tcW w:w="31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eastAsia" w:cs="Times New Roman"/>
                      <w:i w:val="0"/>
                      <w:iCs w:val="0"/>
                      <w:color w:val="auto"/>
                      <w:kern w:val="0"/>
                      <w:sz w:val="21"/>
                      <w:szCs w:val="21"/>
                      <w:highlight w:val="none"/>
                      <w:u w:val="none"/>
                      <w:lang w:val="en-US" w:eastAsia="zh-CN" w:bidi="ar"/>
                    </w:rPr>
                  </w:pPr>
                </w:p>
              </w:tc>
              <w:tc>
                <w:tcPr>
                  <w:tcW w:w="433"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eastAsia" w:cs="Times New Roman"/>
                      <w:i w:val="0"/>
                      <w:iCs w:val="0"/>
                      <w:color w:val="auto"/>
                      <w:kern w:val="0"/>
                      <w:sz w:val="21"/>
                      <w:szCs w:val="21"/>
                      <w:highlight w:val="none"/>
                      <w:u w:val="none"/>
                      <w:lang w:val="en-US" w:eastAsia="zh-CN" w:bidi="ar"/>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eastAsia" w:cs="Times New Roman"/>
                      <w:i w:val="0"/>
                      <w:iCs w:val="0"/>
                      <w:color w:val="auto"/>
                      <w:kern w:val="0"/>
                      <w:sz w:val="21"/>
                      <w:szCs w:val="21"/>
                      <w:highlight w:val="none"/>
                      <w:u w:val="none"/>
                      <w:lang w:val="en-US" w:eastAsia="zh-CN" w:bidi="ar"/>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台车式电阻炉</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除磷</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除磷机</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318"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锻造</w:t>
                  </w:r>
                </w:p>
              </w:tc>
              <w:tc>
                <w:tcPr>
                  <w:tcW w:w="1497"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无轨装取料机</w:t>
                  </w:r>
                </w:p>
              </w:tc>
              <w:tc>
                <w:tcPr>
                  <w:tcW w:w="1297"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最大夹持重量1000KG</w:t>
                  </w:r>
                </w:p>
              </w:tc>
              <w:tc>
                <w:tcPr>
                  <w:tcW w:w="542" w:type="pct"/>
                  <w:tcBorders>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3</w:t>
                  </w:r>
                </w:p>
              </w:tc>
              <w:tc>
                <w:tcPr>
                  <w:tcW w:w="432" w:type="pct"/>
                  <w:tcBorders>
                    <w:bottom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5" w:hRule="atLeast"/>
                <w:jc w:val="center"/>
              </w:trPr>
              <w:tc>
                <w:tcPr>
                  <w:tcW w:w="318"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vMerge w:val="restart"/>
                  <w:tcBorders>
                    <w:top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多向模锻液压机（含压机本体、风冷式冷却塔、钢制输送链以及液压系统）</w:t>
                  </w:r>
                </w:p>
              </w:tc>
              <w:tc>
                <w:tcPr>
                  <w:tcW w:w="1297" w:type="pct"/>
                  <w:tcBorders>
                    <w:top w:val="single" w:color="auto" w:sz="4" w:space="0"/>
                    <w:bottom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64</w:t>
                  </w:r>
                  <w:r>
                    <w:rPr>
                      <w:rFonts w:hint="default" w:ascii="Times New Roman" w:hAnsi="Times New Roman" w:eastAsia="宋体" w:cs="Times New Roman"/>
                      <w:i w:val="0"/>
                      <w:iCs w:val="0"/>
                      <w:color w:val="auto"/>
                      <w:kern w:val="0"/>
                      <w:sz w:val="21"/>
                      <w:szCs w:val="21"/>
                      <w:highlight w:val="none"/>
                      <w:u w:val="none"/>
                      <w:lang w:val="en-US" w:eastAsia="zh-CN" w:bidi="ar"/>
                    </w:rPr>
                    <w:t>MN</w:t>
                  </w:r>
                </w:p>
              </w:tc>
              <w:tc>
                <w:tcPr>
                  <w:tcW w:w="542"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2</w:t>
                  </w:r>
                </w:p>
              </w:tc>
              <w:tc>
                <w:tcPr>
                  <w:tcW w:w="432" w:type="pct"/>
                  <w:tcBorders>
                    <w:top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1497" w:type="pct"/>
                  <w:vMerge w:val="continue"/>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300</w:t>
                  </w:r>
                  <w:r>
                    <w:rPr>
                      <w:rFonts w:hint="default" w:ascii="Times New Roman" w:hAnsi="Times New Roman" w:eastAsia="宋体" w:cs="Times New Roman"/>
                      <w:i w:val="0"/>
                      <w:iCs w:val="0"/>
                      <w:color w:val="auto"/>
                      <w:kern w:val="0"/>
                      <w:sz w:val="21"/>
                      <w:szCs w:val="21"/>
                      <w:highlight w:val="none"/>
                      <w:u w:val="none"/>
                      <w:lang w:val="en-US" w:eastAsia="zh-CN" w:bidi="ar"/>
                    </w:rPr>
                    <w:t>MN</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重载机械手</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热处理</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台车式电阻热处理炉（含高温1炉个、中温炉1个）</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热处理试验箱式电阻炉</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淬火水冷却系统</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闭市、室外</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淬火水槽</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12*7*4.5m</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备用</w:t>
                  </w:r>
                  <w:r>
                    <w:rPr>
                      <w:rFonts w:hint="eastAsia" w:cs="Times New Roman"/>
                      <w:i w:val="0"/>
                      <w:iCs w:val="0"/>
                      <w:color w:val="auto"/>
                      <w:kern w:val="0"/>
                      <w:sz w:val="21"/>
                      <w:szCs w:val="21"/>
                      <w:highlight w:val="none"/>
                      <w:u w:val="none"/>
                      <w:lang w:val="en-US" w:eastAsia="zh-CN" w:bidi="ar"/>
                    </w:rPr>
                    <w:t>水</w:t>
                  </w:r>
                  <w:r>
                    <w:rPr>
                      <w:rFonts w:hint="default" w:ascii="Times New Roman" w:hAnsi="Times New Roman" w:eastAsia="宋体" w:cs="Times New Roman"/>
                      <w:i w:val="0"/>
                      <w:iCs w:val="0"/>
                      <w:color w:val="auto"/>
                      <w:kern w:val="0"/>
                      <w:sz w:val="21"/>
                      <w:szCs w:val="21"/>
                      <w:highlight w:val="none"/>
                      <w:u w:val="none"/>
                      <w:lang w:val="en-US" w:eastAsia="zh-CN" w:bidi="ar"/>
                    </w:rPr>
                    <w:t>槽</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13*8*6m室外</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cs="Times New Roman"/>
                      <w:i w:val="0"/>
                      <w:iCs w:val="0"/>
                      <w:color w:val="auto"/>
                      <w:kern w:val="0"/>
                      <w:sz w:val="21"/>
                      <w:szCs w:val="21"/>
                      <w:highlight w:val="none"/>
                      <w:u w:val="none"/>
                      <w:lang w:val="en-US" w:eastAsia="zh-CN" w:bidi="ar"/>
                    </w:rPr>
                    <w:t>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打磨抛丸</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叉车</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合力</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cs="Times New Roman"/>
                      <w:i w:val="0"/>
                      <w:iCs w:val="0"/>
                      <w:color w:val="auto"/>
                      <w:kern w:val="0"/>
                      <w:sz w:val="21"/>
                      <w:szCs w:val="21"/>
                      <w:highlight w:val="none"/>
                      <w:u w:val="none"/>
                      <w:lang w:val="en-US" w:eastAsia="zh-CN" w:bidi="ar"/>
                    </w:rPr>
                    <w:t>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抛丸机</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31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14</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其他</w:t>
                  </w: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桥式起重机</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10到75吨</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10</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jc w:val="center"/>
              </w:trPr>
              <w:tc>
                <w:tcPr>
                  <w:tcW w:w="31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33"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color w:val="auto"/>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电动平车</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100t，50t</w:t>
                  </w:r>
                </w:p>
              </w:tc>
              <w:tc>
                <w:tcPr>
                  <w:tcW w:w="542"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3" w:type="pct"/>
                  <w:vMerge w:val="restart"/>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重型车间</w:t>
                  </w: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机加工</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立式加工中心</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XH718A 800×800×800</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数控双柱立式车床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φ2500～3500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立式车床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φ1600～6300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数控车床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φ400～630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卧式车镗床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φ2500×8000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数显卧式铣镗床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φ85</w:t>
                  </w:r>
                  <w:r>
                    <w:rPr>
                      <w:rFonts w:hint="eastAsia"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φ130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数控落地铣镗床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TK6916 φ160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龙门铣侧床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B112   1250×6000</w:t>
                  </w:r>
                </w:p>
              </w:tc>
              <w:tc>
                <w:tcPr>
                  <w:tcW w:w="542"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龙门式平面铣床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插床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B5050500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立式铣床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X53T     425×200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数控万能铣床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XKAD775  500×2000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数控仿形铣床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1200×2250,800×400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导轨磨床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M512005000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平面磨床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M7130   300×1000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万能外圆磨床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500×3000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21</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摇臂钻床</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23080,Z3040</w:t>
                  </w:r>
                </w:p>
              </w:tc>
              <w:tc>
                <w:tcPr>
                  <w:tcW w:w="542"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缠绕</w:t>
                  </w: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缠绕设备</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3（套）</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铆焊区</w:t>
                  </w: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油压机</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3000t</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淘汰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24</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窄间隙焊机</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25</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电焊机</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500A</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新增15台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26</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数控火焰切割机</w:t>
                  </w:r>
                </w:p>
              </w:tc>
              <w:tc>
                <w:tcPr>
                  <w:tcW w:w="1297"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4000×20000</w:t>
                  </w:r>
                  <w:r>
                    <w:rPr>
                      <w:rFonts w:hint="eastAsia"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厚度220</w:t>
                  </w:r>
                </w:p>
              </w:tc>
              <w:tc>
                <w:tcPr>
                  <w:tcW w:w="54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27</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移动焊烟净化器</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28</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管道焊接机器人</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29</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莱斯厚板焊接机器人</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30</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卷板机</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31</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带锯床</w:t>
                  </w:r>
                </w:p>
              </w:tc>
              <w:tc>
                <w:tcPr>
                  <w:tcW w:w="1297"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新增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32</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restar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其他</w:t>
                  </w: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桥式起重机</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10到75吨</w:t>
                  </w:r>
                </w:p>
              </w:tc>
              <w:tc>
                <w:tcPr>
                  <w:tcW w:w="542"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10</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18"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33</w:t>
                  </w:r>
                </w:p>
              </w:tc>
              <w:tc>
                <w:tcPr>
                  <w:tcW w:w="433" w:type="pct"/>
                  <w:vMerge w:val="continue"/>
                  <w:noWrap w:val="0"/>
                  <w:vAlign w:val="center"/>
                </w:tcPr>
                <w:p>
                  <w:pPr>
                    <w:keepNext w:val="0"/>
                    <w:keepLines w:val="0"/>
                    <w:pageBreakBefore w:val="0"/>
                    <w:suppressLineNumbers w:val="0"/>
                    <w:wordWrap/>
                    <w:topLinePunct w:val="0"/>
                    <w:bidi w:val="0"/>
                    <w:spacing w:before="0" w:beforeAutospacing="0" w:after="0" w:afterAutospacing="0" w:line="240" w:lineRule="auto"/>
                    <w:ind w:left="0" w:right="0" w:firstLine="0" w:firstLineChars="0"/>
                    <w:jc w:val="center"/>
                    <w:outlineLvl w:val="9"/>
                    <w:rPr>
                      <w:rFonts w:hint="default" w:ascii="Times New Roman" w:hAnsi="Times New Roman" w:eastAsia="宋体" w:cs="Times New Roman"/>
                      <w:color w:val="auto"/>
                      <w:sz w:val="21"/>
                      <w:szCs w:val="21"/>
                      <w:highlight w:val="none"/>
                    </w:rPr>
                  </w:pPr>
                </w:p>
              </w:tc>
              <w:tc>
                <w:tcPr>
                  <w:tcW w:w="478" w:type="pct"/>
                  <w:vMerge w:val="continue"/>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c>
                <w:tcPr>
                  <w:tcW w:w="14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电动平车</w:t>
                  </w:r>
                </w:p>
              </w:tc>
              <w:tc>
                <w:tcPr>
                  <w:tcW w:w="1297" w:type="pct"/>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100t，50t</w:t>
                  </w:r>
                </w:p>
              </w:tc>
              <w:tc>
                <w:tcPr>
                  <w:tcW w:w="542"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2</w:t>
                  </w:r>
                </w:p>
              </w:tc>
              <w:tc>
                <w:tcPr>
                  <w:tcW w:w="432" w:type="pct"/>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i w:val="0"/>
                      <w:iCs w:val="0"/>
                      <w:color w:val="auto"/>
                      <w:kern w:val="2"/>
                      <w:sz w:val="21"/>
                      <w:szCs w:val="21"/>
                      <w:highlight w:val="none"/>
                      <w:u w:val="none"/>
                      <w:lang w:val="en-US" w:eastAsia="zh-CN" w:bidi="ar-SA"/>
                    </w:rPr>
                  </w:pPr>
                </w:p>
              </w:tc>
            </w:tr>
          </w:tbl>
          <w:p>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outlineLvl w:val="9"/>
              <w:rPr>
                <w:rFonts w:hint="default" w:ascii="Times New Roman" w:hAnsi="Times New Roman" w:eastAsia="宋体" w:cs="Times New Roman"/>
                <w:color w:val="auto"/>
                <w:spacing w:val="0"/>
                <w:w w:val="100"/>
                <w:kern w:val="2"/>
                <w:position w:val="0"/>
                <w:sz w:val="21"/>
                <w:szCs w:val="21"/>
                <w:highlight w:val="none"/>
                <w:u w:val="none"/>
                <w:shd w:val="clear" w:color="auto" w:fill="auto"/>
                <w:lang w:val="en-US" w:eastAsia="zh-CN" w:bidi="zh-TW"/>
              </w:rPr>
            </w:pPr>
            <w:r>
              <w:rPr>
                <w:rFonts w:hint="eastAsia" w:ascii="Times New Roman" w:hAnsi="Times New Roman" w:eastAsia="宋体" w:cs="Times New Roman"/>
                <w:color w:val="auto"/>
                <w:spacing w:val="0"/>
                <w:w w:val="100"/>
                <w:kern w:val="2"/>
                <w:position w:val="0"/>
                <w:sz w:val="21"/>
                <w:szCs w:val="21"/>
                <w:highlight w:val="none"/>
                <w:u w:val="none"/>
                <w:shd w:val="clear" w:color="auto" w:fill="auto"/>
                <w:lang w:val="en-US" w:eastAsia="zh-CN" w:bidi="zh-TW"/>
              </w:rPr>
              <w:t>现有工程存在淘汰</w:t>
            </w:r>
            <w:r>
              <w:rPr>
                <w:rFonts w:hint="eastAsia" w:cs="Times New Roman"/>
                <w:color w:val="auto"/>
                <w:spacing w:val="0"/>
                <w:w w:val="100"/>
                <w:kern w:val="2"/>
                <w:position w:val="0"/>
                <w:sz w:val="21"/>
                <w:szCs w:val="21"/>
                <w:highlight w:val="none"/>
                <w:u w:val="none"/>
                <w:shd w:val="clear" w:color="auto" w:fill="auto"/>
                <w:lang w:val="en-US" w:eastAsia="zh-CN" w:bidi="zh-TW"/>
              </w:rPr>
              <w:t>、</w:t>
            </w:r>
            <w:r>
              <w:rPr>
                <w:rFonts w:hint="eastAsia" w:ascii="Times New Roman" w:hAnsi="Times New Roman" w:eastAsia="宋体" w:cs="Times New Roman"/>
                <w:color w:val="auto"/>
                <w:spacing w:val="0"/>
                <w:w w:val="100"/>
                <w:kern w:val="2"/>
                <w:position w:val="0"/>
                <w:sz w:val="21"/>
                <w:szCs w:val="21"/>
                <w:highlight w:val="none"/>
                <w:u w:val="none"/>
                <w:shd w:val="clear" w:color="auto" w:fill="auto"/>
                <w:lang w:val="en-US" w:eastAsia="zh-CN" w:bidi="zh-TW"/>
              </w:rPr>
              <w:t>新增</w:t>
            </w:r>
            <w:r>
              <w:rPr>
                <w:rFonts w:hint="eastAsia" w:cs="Times New Roman"/>
                <w:color w:val="auto"/>
                <w:spacing w:val="0"/>
                <w:w w:val="100"/>
                <w:kern w:val="2"/>
                <w:position w:val="0"/>
                <w:sz w:val="21"/>
                <w:szCs w:val="21"/>
                <w:highlight w:val="none"/>
                <w:u w:val="none"/>
                <w:shd w:val="clear" w:color="auto" w:fill="auto"/>
                <w:lang w:val="en-US" w:eastAsia="zh-CN" w:bidi="zh-TW"/>
              </w:rPr>
              <w:t>焊接等</w:t>
            </w:r>
            <w:r>
              <w:rPr>
                <w:rFonts w:hint="eastAsia" w:ascii="Times New Roman" w:hAnsi="Times New Roman" w:eastAsia="宋体" w:cs="Times New Roman"/>
                <w:color w:val="auto"/>
                <w:spacing w:val="0"/>
                <w:w w:val="100"/>
                <w:kern w:val="2"/>
                <w:position w:val="0"/>
                <w:sz w:val="21"/>
                <w:szCs w:val="21"/>
                <w:highlight w:val="none"/>
                <w:u w:val="none"/>
                <w:shd w:val="clear" w:color="auto" w:fill="auto"/>
                <w:lang w:val="en-US" w:eastAsia="zh-CN" w:bidi="zh-TW"/>
              </w:rPr>
              <w:t>设备</w:t>
            </w:r>
            <w:r>
              <w:rPr>
                <w:rFonts w:hint="eastAsia" w:cs="Times New Roman"/>
                <w:color w:val="auto"/>
                <w:spacing w:val="0"/>
                <w:w w:val="100"/>
                <w:kern w:val="2"/>
                <w:position w:val="0"/>
                <w:sz w:val="21"/>
                <w:szCs w:val="21"/>
                <w:highlight w:val="none"/>
                <w:u w:val="none"/>
                <w:shd w:val="clear" w:color="auto" w:fill="auto"/>
                <w:lang w:val="en-US" w:eastAsia="zh-CN" w:bidi="zh-TW"/>
              </w:rPr>
              <w:t>，</w:t>
            </w:r>
            <w:r>
              <w:rPr>
                <w:rFonts w:hint="eastAsia" w:ascii="Times New Roman" w:hAnsi="Times New Roman" w:eastAsia="宋体" w:cs="Times New Roman"/>
                <w:color w:val="auto"/>
                <w:spacing w:val="0"/>
                <w:w w:val="100"/>
                <w:kern w:val="2"/>
                <w:position w:val="0"/>
                <w:sz w:val="21"/>
                <w:szCs w:val="21"/>
                <w:highlight w:val="none"/>
                <w:u w:val="none"/>
                <w:shd w:val="clear" w:color="auto" w:fill="auto"/>
                <w:lang w:val="en-US" w:eastAsia="zh-CN" w:bidi="zh-TW"/>
              </w:rPr>
              <w:t>无相关环保手续。</w:t>
            </w:r>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color w:val="auto"/>
                <w:sz w:val="21"/>
                <w:szCs w:val="21"/>
                <w:highlight w:val="none"/>
              </w:rPr>
            </w:pPr>
            <w:r>
              <w:rPr>
                <w:rFonts w:eastAsia="黑体"/>
                <w:color w:val="auto"/>
                <w:sz w:val="21"/>
                <w:szCs w:val="21"/>
                <w:highlight w:val="none"/>
              </w:rPr>
              <w:t>2.5公用工程</w:t>
            </w:r>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bookmarkStart w:id="8" w:name="_Toc31053"/>
            <w:r>
              <w:rPr>
                <w:rFonts w:eastAsia="黑体"/>
                <w:bCs/>
                <w:color w:val="auto"/>
                <w:spacing w:val="5"/>
                <w:sz w:val="21"/>
                <w:szCs w:val="21"/>
                <w:highlight w:val="none"/>
              </w:rPr>
              <w:t>2.5.1给排水</w:t>
            </w:r>
            <w:bookmarkEnd w:id="8"/>
          </w:p>
          <w:p>
            <w:pPr>
              <w:pStyle w:val="101"/>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sz w:val="21"/>
                <w:szCs w:val="21"/>
                <w:highlight w:val="none"/>
              </w:rPr>
            </w:pPr>
            <w:r>
              <w:rPr>
                <w:rFonts w:hint="eastAsia" w:ascii="Times New Roman" w:hAnsi="Times New Roman" w:cs="Times New Roman"/>
                <w:color w:val="000000"/>
                <w:spacing w:val="0"/>
                <w:w w:val="100"/>
                <w:position w:val="0"/>
                <w:sz w:val="21"/>
                <w:szCs w:val="21"/>
                <w:highlight w:val="none"/>
                <w:lang w:val="en-US" w:eastAsia="zh-CN"/>
              </w:rPr>
              <w:t>现有工程</w:t>
            </w:r>
            <w:r>
              <w:rPr>
                <w:rFonts w:hint="default" w:ascii="Times New Roman" w:hAnsi="Times New Roman" w:cs="Times New Roman"/>
                <w:color w:val="000000"/>
                <w:spacing w:val="0"/>
                <w:w w:val="100"/>
                <w:position w:val="0"/>
                <w:sz w:val="21"/>
                <w:szCs w:val="21"/>
                <w:highlight w:val="none"/>
              </w:rPr>
              <w:t>用水来自市政管网供水。</w:t>
            </w:r>
          </w:p>
          <w:p>
            <w:pPr>
              <w:pStyle w:val="101"/>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cs="Times New Roman"/>
                <w:sz w:val="21"/>
                <w:szCs w:val="21"/>
                <w:highlight w:val="none"/>
              </w:rPr>
            </w:pPr>
            <w:r>
              <w:rPr>
                <w:rFonts w:hint="default" w:ascii="Times New Roman" w:hAnsi="Times New Roman" w:cs="Times New Roman"/>
                <w:color w:val="000000"/>
                <w:spacing w:val="0"/>
                <w:w w:val="100"/>
                <w:position w:val="0"/>
                <w:sz w:val="21"/>
                <w:szCs w:val="21"/>
                <w:highlight w:val="none"/>
              </w:rPr>
              <w:t>给水：</w:t>
            </w:r>
            <w:r>
              <w:rPr>
                <w:rFonts w:hint="eastAsia" w:ascii="Times New Roman" w:hAnsi="Times New Roman" w:cs="Times New Roman"/>
                <w:color w:val="000000"/>
                <w:spacing w:val="0"/>
                <w:w w:val="100"/>
                <w:position w:val="0"/>
                <w:sz w:val="21"/>
                <w:szCs w:val="21"/>
                <w:highlight w:val="none"/>
                <w:lang w:val="en-US" w:eastAsia="zh-CN"/>
              </w:rPr>
              <w:t>现有工程</w:t>
            </w:r>
            <w:r>
              <w:rPr>
                <w:rFonts w:hint="default" w:ascii="Times New Roman" w:hAnsi="Times New Roman" w:cs="Times New Roman"/>
                <w:color w:val="000000"/>
                <w:spacing w:val="0"/>
                <w:w w:val="100"/>
                <w:position w:val="0"/>
                <w:sz w:val="21"/>
                <w:szCs w:val="21"/>
                <w:highlight w:val="none"/>
              </w:rPr>
              <w:t>用水主要为厂区职工生活用水、乳化液配制用水等。全厂总用水量</w:t>
            </w:r>
            <w:r>
              <w:rPr>
                <w:rFonts w:hint="default" w:ascii="Times New Roman" w:hAnsi="Times New Roman" w:cs="Times New Roman"/>
                <w:color w:val="000000"/>
                <w:spacing w:val="0"/>
                <w:w w:val="100"/>
                <w:position w:val="0"/>
                <w:sz w:val="21"/>
                <w:szCs w:val="21"/>
                <w:highlight w:val="none"/>
                <w:lang w:val="en-US" w:eastAsia="en-US" w:bidi="en-US"/>
              </w:rPr>
              <w:t>8</w:t>
            </w:r>
            <w:r>
              <w:rPr>
                <w:rFonts w:hint="eastAsia" w:ascii="Times New Roman" w:hAnsi="Times New Roman" w:cs="Times New Roman"/>
                <w:color w:val="000000"/>
                <w:spacing w:val="0"/>
                <w:w w:val="100"/>
                <w:position w:val="0"/>
                <w:sz w:val="21"/>
                <w:szCs w:val="21"/>
                <w:highlight w:val="none"/>
                <w:lang w:val="en-US" w:eastAsia="zh-CN" w:bidi="en-US"/>
              </w:rPr>
              <w:t>75.5</w:t>
            </w:r>
            <w:r>
              <w:rPr>
                <w:rFonts w:hint="default" w:ascii="Times New Roman" w:hAnsi="Times New Roman" w:cs="Times New Roman"/>
                <w:color w:val="000000"/>
                <w:spacing w:val="0"/>
                <w:w w:val="100"/>
                <w:position w:val="0"/>
                <w:sz w:val="21"/>
                <w:szCs w:val="21"/>
                <w:highlight w:val="none"/>
                <w:lang w:val="en-US" w:eastAsia="en-US" w:bidi="en-US"/>
              </w:rPr>
              <w:t>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rPr>
              <w:t>新鲜水量</w:t>
            </w:r>
            <w:r>
              <w:rPr>
                <w:rFonts w:hint="eastAsia" w:ascii="Times New Roman" w:hAnsi="Times New Roman" w:cs="Times New Roman"/>
                <w:color w:val="000000"/>
                <w:spacing w:val="0"/>
                <w:w w:val="100"/>
                <w:position w:val="0"/>
                <w:sz w:val="21"/>
                <w:szCs w:val="21"/>
                <w:highlight w:val="none"/>
                <w:lang w:val="en-US" w:eastAsia="zh-CN" w:bidi="en-US"/>
              </w:rPr>
              <w:t>71.5</w:t>
            </w:r>
            <w:r>
              <w:rPr>
                <w:rFonts w:hint="default" w:ascii="Times New Roman" w:hAnsi="Times New Roman" w:cs="Times New Roman"/>
                <w:color w:val="000000"/>
                <w:spacing w:val="0"/>
                <w:w w:val="100"/>
                <w:position w:val="0"/>
                <w:sz w:val="21"/>
                <w:szCs w:val="21"/>
                <w:highlight w:val="none"/>
                <w:lang w:val="en-US" w:eastAsia="en-US" w:bidi="en-US"/>
              </w:rPr>
              <w:t>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rPr>
              <w:t>循环水用量</w:t>
            </w:r>
            <w:r>
              <w:rPr>
                <w:rFonts w:hint="eastAsia" w:ascii="Times New Roman" w:hAnsi="Times New Roman" w:cs="Times New Roman"/>
                <w:color w:val="000000"/>
                <w:spacing w:val="0"/>
                <w:w w:val="100"/>
                <w:position w:val="0"/>
                <w:sz w:val="21"/>
                <w:szCs w:val="21"/>
                <w:highlight w:val="none"/>
                <w:lang w:val="en-US" w:eastAsia="zh-CN" w:bidi="en-US"/>
              </w:rPr>
              <w:t>804</w:t>
            </w:r>
            <w:r>
              <w:rPr>
                <w:rFonts w:hint="default" w:ascii="Times New Roman" w:hAnsi="Times New Roman" w:cs="Times New Roman"/>
                <w:color w:val="000000"/>
                <w:spacing w:val="0"/>
                <w:w w:val="100"/>
                <w:position w:val="0"/>
                <w:sz w:val="21"/>
                <w:szCs w:val="21"/>
                <w:highlight w:val="none"/>
                <w:lang w:val="en-US" w:eastAsia="en-US" w:bidi="en-US"/>
              </w:rPr>
              <w:t>m</w:t>
            </w:r>
            <w:r>
              <w:rPr>
                <w:rFonts w:hint="default" w:ascii="Times New Roman" w:hAnsi="Times New Roman" w:cs="Times New Roman"/>
                <w:color w:val="000000"/>
                <w:spacing w:val="0"/>
                <w:w w:val="100"/>
                <w:position w:val="0"/>
                <w:sz w:val="21"/>
                <w:szCs w:val="21"/>
                <w:highlight w:val="none"/>
                <w:vertAlign w:val="superscript"/>
                <w:lang w:val="en-US" w:eastAsia="en-US" w:bidi="en-US"/>
              </w:rPr>
              <w:t>3</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rPr>
              <w:t>循环复用率</w:t>
            </w:r>
            <w:r>
              <w:rPr>
                <w:rFonts w:hint="eastAsia" w:ascii="Times New Roman" w:hAnsi="Times New Roman" w:cs="Times New Roman"/>
                <w:color w:val="000000"/>
                <w:spacing w:val="0"/>
                <w:w w:val="100"/>
                <w:position w:val="0"/>
                <w:sz w:val="21"/>
                <w:szCs w:val="21"/>
                <w:highlight w:val="none"/>
                <w:lang w:val="en-US" w:eastAsia="zh-CN"/>
              </w:rPr>
              <w:t>91.8</w:t>
            </w:r>
            <w:r>
              <w:rPr>
                <w:rFonts w:hint="default" w:ascii="Times New Roman" w:hAnsi="Times New Roman" w:cs="Times New Roman"/>
                <w:color w:val="000000"/>
                <w:spacing w:val="0"/>
                <w:w w:val="100"/>
                <w:position w:val="0"/>
                <w:sz w:val="21"/>
                <w:szCs w:val="21"/>
                <w:highlight w:val="none"/>
              </w:rPr>
              <w:t>%。</w:t>
            </w:r>
          </w:p>
          <w:p>
            <w:pPr>
              <w:pStyle w:val="101"/>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Times New Roman" w:hAnsi="Times New Roman" w:eastAsia="宋体" w:cs="Times New Roman"/>
                <w:sz w:val="21"/>
                <w:szCs w:val="21"/>
                <w:highlight w:val="none"/>
                <w:lang w:eastAsia="zh-CN"/>
              </w:rPr>
            </w:pPr>
            <w:r>
              <w:rPr>
                <w:rFonts w:hint="default" w:ascii="Times New Roman" w:hAnsi="Times New Roman" w:cs="Times New Roman"/>
                <w:color w:val="000000"/>
                <w:spacing w:val="0"/>
                <w:w w:val="100"/>
                <w:position w:val="0"/>
                <w:sz w:val="21"/>
                <w:szCs w:val="21"/>
                <w:highlight w:val="none"/>
              </w:rPr>
              <w:t>全厂主要生产、生活用水均为新鲜水，</w:t>
            </w:r>
            <w:r>
              <w:rPr>
                <w:rFonts w:hint="eastAsia" w:ascii="Times New Roman" w:hAnsi="Times New Roman" w:cs="Times New Roman"/>
                <w:color w:val="000000"/>
                <w:spacing w:val="0"/>
                <w:w w:val="100"/>
                <w:position w:val="0"/>
                <w:sz w:val="21"/>
                <w:szCs w:val="21"/>
                <w:highlight w:val="none"/>
                <w:lang w:val="en-US" w:eastAsia="zh-CN"/>
              </w:rPr>
              <w:t>其中</w:t>
            </w:r>
            <w:r>
              <w:rPr>
                <w:rFonts w:hint="default" w:ascii="Times New Roman" w:hAnsi="Times New Roman" w:cs="Times New Roman"/>
                <w:color w:val="000000"/>
                <w:spacing w:val="0"/>
                <w:w w:val="100"/>
                <w:position w:val="0"/>
                <w:sz w:val="21"/>
                <w:szCs w:val="21"/>
                <w:highlight w:val="none"/>
              </w:rPr>
              <w:t>；办公、生活和食堂用水按</w:t>
            </w:r>
            <w:r>
              <w:rPr>
                <w:rFonts w:hint="default" w:ascii="Times New Roman" w:hAnsi="Times New Roman" w:cs="Times New Roman"/>
                <w:color w:val="000000"/>
                <w:spacing w:val="0"/>
                <w:w w:val="100"/>
                <w:position w:val="0"/>
                <w:sz w:val="21"/>
                <w:szCs w:val="21"/>
                <w:highlight w:val="none"/>
                <w:lang w:val="en-US" w:eastAsia="en-US" w:bidi="en-US"/>
              </w:rPr>
              <w:t>40L/</w:t>
            </w:r>
            <w:r>
              <w:rPr>
                <w:rFonts w:hint="default" w:ascii="Times New Roman" w:hAnsi="Times New Roman" w:cs="Times New Roman"/>
                <w:color w:val="000000"/>
                <w:spacing w:val="0"/>
                <w:w w:val="100"/>
                <w:position w:val="0"/>
                <w:sz w:val="21"/>
                <w:szCs w:val="21"/>
                <w:highlight w:val="none"/>
              </w:rPr>
              <w:t>人</w:t>
            </w:r>
            <w:r>
              <w:rPr>
                <w:rFonts w:hint="default" w:ascii="Times New Roman" w:hAnsi="Times New Roman" w:cs="Times New Roman"/>
                <w:color w:val="000000"/>
                <w:spacing w:val="0"/>
                <w:w w:val="100"/>
                <w:position w:val="0"/>
                <w:sz w:val="21"/>
                <w:szCs w:val="21"/>
                <w:highlight w:val="none"/>
                <w:lang w:val="zh-CN" w:eastAsia="zh-CN" w:bidi="zh-CN"/>
              </w:rPr>
              <w:t>·</w:t>
            </w:r>
            <w:r>
              <w:rPr>
                <w:rFonts w:hint="default" w:ascii="Times New Roman" w:hAnsi="Times New Roman" w:cs="Times New Roman"/>
                <w:color w:val="000000"/>
                <w:spacing w:val="0"/>
                <w:w w:val="100"/>
                <w:position w:val="0"/>
                <w:sz w:val="21"/>
                <w:szCs w:val="21"/>
                <w:highlight w:val="none"/>
              </w:rPr>
              <w:t>天计，劳动定员550人</w:t>
            </w:r>
            <w:r>
              <w:rPr>
                <w:rFonts w:hint="eastAsia" w:ascii="Times New Roman" w:hAnsi="Times New Roman" w:cs="Times New Roman"/>
                <w:color w:val="000000"/>
                <w:spacing w:val="0"/>
                <w:w w:val="100"/>
                <w:position w:val="0"/>
                <w:sz w:val="21"/>
                <w:szCs w:val="21"/>
                <w:highlight w:val="none"/>
                <w:lang w:eastAsia="zh-CN"/>
              </w:rPr>
              <w:t>，</w:t>
            </w:r>
            <w:r>
              <w:rPr>
                <w:rFonts w:hint="default" w:ascii="Times New Roman" w:hAnsi="Times New Roman" w:cs="Times New Roman"/>
                <w:color w:val="000000"/>
                <w:spacing w:val="0"/>
                <w:w w:val="100"/>
                <w:position w:val="0"/>
                <w:sz w:val="21"/>
                <w:szCs w:val="21"/>
                <w:highlight w:val="none"/>
              </w:rPr>
              <w:t>则生活新鲜水用量为</w:t>
            </w:r>
            <w:r>
              <w:rPr>
                <w:rFonts w:hint="default" w:ascii="Times New Roman" w:hAnsi="Times New Roman" w:cs="Times New Roman"/>
                <w:color w:val="000000"/>
                <w:spacing w:val="0"/>
                <w:w w:val="100"/>
                <w:position w:val="0"/>
                <w:sz w:val="21"/>
                <w:szCs w:val="21"/>
                <w:highlight w:val="none"/>
                <w:lang w:val="en-US" w:eastAsia="en-US" w:bidi="en-US"/>
              </w:rPr>
              <w:t>22m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r>
              <w:rPr>
                <w:rFonts w:hint="default" w:ascii="Times New Roman" w:hAnsi="Times New Roman" w:cs="Times New Roman"/>
                <w:color w:val="000000"/>
                <w:spacing w:val="0"/>
                <w:w w:val="100"/>
                <w:position w:val="0"/>
                <w:sz w:val="21"/>
                <w:szCs w:val="21"/>
                <w:highlight w:val="none"/>
              </w:rPr>
              <w:t>厂内冲厕杂用水按</w:t>
            </w:r>
            <w:r>
              <w:rPr>
                <w:rFonts w:hint="default" w:ascii="Times New Roman" w:hAnsi="Times New Roman" w:cs="Times New Roman"/>
                <w:color w:val="000000"/>
                <w:spacing w:val="0"/>
                <w:w w:val="100"/>
                <w:position w:val="0"/>
                <w:sz w:val="21"/>
                <w:szCs w:val="21"/>
                <w:highlight w:val="none"/>
                <w:lang w:val="en-US" w:eastAsia="en-US" w:bidi="en-US"/>
              </w:rPr>
              <w:t>60L/</w:t>
            </w:r>
            <w:r>
              <w:rPr>
                <w:rFonts w:hint="default" w:ascii="Times New Roman" w:hAnsi="Times New Roman" w:cs="Times New Roman"/>
                <w:color w:val="000000"/>
                <w:spacing w:val="0"/>
                <w:w w:val="100"/>
                <w:position w:val="0"/>
                <w:sz w:val="21"/>
                <w:szCs w:val="21"/>
                <w:highlight w:val="none"/>
              </w:rPr>
              <w:t>人</w:t>
            </w:r>
            <w:r>
              <w:rPr>
                <w:rFonts w:hint="default" w:ascii="Times New Roman" w:hAnsi="Times New Roman" w:cs="Times New Roman"/>
                <w:color w:val="000000"/>
                <w:spacing w:val="0"/>
                <w:w w:val="100"/>
                <w:position w:val="0"/>
                <w:sz w:val="21"/>
                <w:szCs w:val="21"/>
                <w:highlight w:val="none"/>
                <w:lang w:val="zh-CN" w:eastAsia="zh-CN" w:bidi="zh-CN"/>
              </w:rPr>
              <w:t>·</w:t>
            </w:r>
            <w:r>
              <w:rPr>
                <w:rFonts w:hint="default" w:ascii="Times New Roman" w:hAnsi="Times New Roman" w:cs="Times New Roman"/>
                <w:color w:val="000000"/>
                <w:spacing w:val="0"/>
                <w:w w:val="100"/>
                <w:position w:val="0"/>
                <w:sz w:val="21"/>
                <w:szCs w:val="21"/>
                <w:highlight w:val="none"/>
              </w:rPr>
              <w:t>天计，用水量为</w:t>
            </w:r>
            <w:r>
              <w:rPr>
                <w:rFonts w:hint="default" w:ascii="Times New Roman" w:hAnsi="Times New Roman" w:cs="Times New Roman"/>
                <w:color w:val="000000"/>
                <w:spacing w:val="0"/>
                <w:w w:val="100"/>
                <w:position w:val="0"/>
                <w:sz w:val="21"/>
                <w:szCs w:val="21"/>
                <w:highlight w:val="none"/>
                <w:lang w:val="en-US" w:eastAsia="en-US" w:bidi="en-US"/>
              </w:rPr>
              <w:t>33m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r>
              <w:rPr>
                <w:rFonts w:hint="default" w:ascii="Times New Roman" w:hAnsi="Times New Roman" w:cs="Times New Roman"/>
                <w:color w:val="000000"/>
                <w:spacing w:val="0"/>
                <w:w w:val="100"/>
                <w:position w:val="0"/>
                <w:sz w:val="21"/>
                <w:szCs w:val="21"/>
                <w:highlight w:val="none"/>
              </w:rPr>
              <w:t>水淬冷却水循环补充水用量</w:t>
            </w:r>
            <w:r>
              <w:rPr>
                <w:rFonts w:hint="eastAsia" w:ascii="Times New Roman" w:hAnsi="Times New Roman" w:cs="Times New Roman"/>
                <w:color w:val="000000"/>
                <w:spacing w:val="0"/>
                <w:w w:val="100"/>
                <w:position w:val="0"/>
                <w:sz w:val="21"/>
                <w:szCs w:val="21"/>
                <w:highlight w:val="none"/>
                <w:lang w:val="en-US" w:eastAsia="zh-CN"/>
              </w:rPr>
              <w:t>10</w:t>
            </w:r>
            <w:r>
              <w:rPr>
                <w:rFonts w:hint="default" w:ascii="Times New Roman" w:hAnsi="Times New Roman" w:cs="Times New Roman"/>
                <w:color w:val="000000"/>
                <w:spacing w:val="0"/>
                <w:w w:val="100"/>
                <w:position w:val="0"/>
                <w:sz w:val="21"/>
                <w:szCs w:val="21"/>
                <w:highlight w:val="none"/>
                <w:lang w:val="en-US" w:eastAsia="en-US" w:bidi="en-US"/>
              </w:rPr>
              <w:t>m</w:t>
            </w:r>
            <w:r>
              <w:rPr>
                <w:rFonts w:hint="default" w:ascii="Times New Roman" w:hAnsi="Times New Roman" w:cs="Times New Roman"/>
                <w:color w:val="000000"/>
                <w:spacing w:val="0"/>
                <w:w w:val="100"/>
                <w:position w:val="0"/>
                <w:sz w:val="21"/>
                <w:szCs w:val="21"/>
                <w:highlight w:val="none"/>
                <w:vertAlign w:val="superscript"/>
                <w:lang w:val="en-US" w:eastAsia="en-US" w:bidi="en-US"/>
              </w:rPr>
              <w:t>3</w:t>
            </w:r>
            <w:r>
              <w:rPr>
                <w:rFonts w:hint="default" w:ascii="Times New Roman" w:hAnsi="Times New Roman" w:cs="Times New Roman"/>
                <w:color w:val="000000"/>
                <w:spacing w:val="0"/>
                <w:w w:val="100"/>
                <w:position w:val="0"/>
                <w:sz w:val="21"/>
                <w:szCs w:val="21"/>
                <w:highlight w:val="none"/>
                <w:lang w:val="en-US" w:eastAsia="en-US" w:bidi="en-US"/>
              </w:rPr>
              <w:t>/d；</w:t>
            </w:r>
            <w:r>
              <w:rPr>
                <w:rFonts w:hint="default" w:ascii="Times New Roman" w:hAnsi="Times New Roman" w:cs="Times New Roman"/>
                <w:color w:val="000000"/>
                <w:spacing w:val="0"/>
                <w:w w:val="100"/>
                <w:position w:val="0"/>
                <w:sz w:val="21"/>
                <w:szCs w:val="21"/>
                <w:highlight w:val="none"/>
              </w:rPr>
              <w:t>液压机循环冷却水补水用量</w:t>
            </w:r>
            <w:r>
              <w:rPr>
                <w:rFonts w:hint="eastAsia" w:ascii="Times New Roman" w:hAnsi="Times New Roman" w:cs="Times New Roman"/>
                <w:color w:val="000000"/>
                <w:spacing w:val="0"/>
                <w:w w:val="100"/>
                <w:position w:val="0"/>
                <w:sz w:val="21"/>
                <w:szCs w:val="21"/>
                <w:highlight w:val="none"/>
                <w:lang w:val="en-US" w:eastAsia="zh-CN" w:bidi="en-US"/>
              </w:rPr>
              <w:t>1</w:t>
            </w:r>
            <w:r>
              <w:rPr>
                <w:rFonts w:hint="default" w:ascii="Times New Roman" w:hAnsi="Times New Roman" w:cs="Times New Roman"/>
                <w:color w:val="000000"/>
                <w:spacing w:val="0"/>
                <w:w w:val="100"/>
                <w:position w:val="0"/>
                <w:sz w:val="21"/>
                <w:szCs w:val="21"/>
                <w:highlight w:val="none"/>
                <w:lang w:val="en-US" w:eastAsia="en-US" w:bidi="en-US"/>
              </w:rPr>
              <w:t>m</w:t>
            </w:r>
            <w:r>
              <w:rPr>
                <w:rFonts w:hint="default" w:ascii="Times New Roman" w:hAnsi="Times New Roman" w:cs="Times New Roman"/>
                <w:color w:val="000000"/>
                <w:spacing w:val="0"/>
                <w:w w:val="100"/>
                <w:position w:val="0"/>
                <w:sz w:val="21"/>
                <w:szCs w:val="21"/>
                <w:highlight w:val="none"/>
                <w:vertAlign w:val="superscript"/>
                <w:lang w:val="en-US" w:eastAsia="en-US" w:bidi="en-US"/>
              </w:rPr>
              <w:t>3</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rPr>
              <w:t>绿化、乳化液配制用量分别为</w:t>
            </w:r>
            <w:r>
              <w:rPr>
                <w:rFonts w:hint="default" w:ascii="Times New Roman" w:hAnsi="Times New Roman" w:cs="Times New Roman"/>
                <w:color w:val="000000"/>
                <w:spacing w:val="0"/>
                <w:w w:val="100"/>
                <w:position w:val="0"/>
                <w:sz w:val="21"/>
                <w:szCs w:val="21"/>
                <w:highlight w:val="none"/>
                <w:lang w:val="en-US" w:eastAsia="en-US" w:bidi="en-US"/>
              </w:rPr>
              <w:t>4m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d、0.5m</w:t>
            </w:r>
            <w:r>
              <w:rPr>
                <w:rFonts w:hint="default" w:ascii="Times New Roman" w:hAnsi="Times New Roman" w:cs="Times New Roman"/>
                <w:color w:val="000000"/>
                <w:spacing w:val="0"/>
                <w:w w:val="100"/>
                <w:position w:val="0"/>
                <w:sz w:val="21"/>
                <w:szCs w:val="21"/>
                <w:highlight w:val="none"/>
                <w:vertAlign w:val="superscript"/>
                <w:lang w:val="en-US" w:eastAsia="en-US" w:bidi="en-US"/>
              </w:rPr>
              <w:t>3</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hint="eastAsia"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cs="Times New Roman"/>
                <w:color w:val="000000"/>
                <w:spacing w:val="0"/>
                <w:w w:val="100"/>
                <w:position w:val="0"/>
                <w:sz w:val="21"/>
                <w:szCs w:val="21"/>
                <w:highlight w:val="none"/>
              </w:rPr>
              <w:t>排水：全厂主要排水环节有办公、生活污水，水淬冷却水、设备冷却水等。其中，生活污水通过隔油、化粪池处理后产生量</w:t>
            </w:r>
            <w:r>
              <w:rPr>
                <w:rFonts w:hint="default" w:ascii="Times New Roman" w:hAnsi="Times New Roman" w:cs="Times New Roman"/>
                <w:color w:val="000000"/>
                <w:spacing w:val="0"/>
                <w:w w:val="100"/>
                <w:position w:val="0"/>
                <w:sz w:val="21"/>
                <w:szCs w:val="21"/>
                <w:highlight w:val="none"/>
                <w:lang w:val="en-US" w:eastAsia="en-US" w:bidi="en-US"/>
              </w:rPr>
              <w:t>46m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rPr>
              <w:t>经市政污水管网排入唐山市北郊污水处理</w:t>
            </w:r>
            <w:r>
              <w:rPr>
                <w:rFonts w:hint="default" w:ascii="Times New Roman" w:hAnsi="Times New Roman" w:cs="Times New Roman"/>
                <w:color w:val="000000"/>
                <w:spacing w:val="0"/>
                <w:w w:val="100"/>
                <w:position w:val="0"/>
                <w:sz w:val="21"/>
                <w:szCs w:val="21"/>
                <w:highlight w:val="none"/>
                <w:lang w:val="zh-CN" w:eastAsia="zh-CN" w:bidi="zh-CN"/>
              </w:rPr>
              <w:t>厂统</w:t>
            </w:r>
            <w:r>
              <w:rPr>
                <w:rFonts w:hint="eastAsia" w:ascii="Times New Roman" w:hAnsi="Times New Roman" w:cs="Times New Roman"/>
                <w:color w:val="000000"/>
                <w:spacing w:val="0"/>
                <w:w w:val="100"/>
                <w:position w:val="0"/>
                <w:sz w:val="21"/>
                <w:szCs w:val="21"/>
                <w:highlight w:val="none"/>
                <w:lang w:val="en-US" w:eastAsia="zh-CN" w:bidi="zh-CN"/>
              </w:rPr>
              <w:t>一</w:t>
            </w:r>
            <w:r>
              <w:rPr>
                <w:rFonts w:hint="default" w:ascii="Times New Roman" w:hAnsi="Times New Roman" w:cs="Times New Roman"/>
                <w:color w:val="000000"/>
                <w:spacing w:val="0"/>
                <w:w w:val="100"/>
                <w:position w:val="0"/>
                <w:sz w:val="21"/>
                <w:szCs w:val="21"/>
                <w:highlight w:val="none"/>
              </w:rPr>
              <w:t>处理</w:t>
            </w:r>
            <w:r>
              <w:rPr>
                <w:rFonts w:hint="default" w:ascii="Times New Roman" w:hAnsi="Times New Roman" w:cs="Times New Roman"/>
                <w:color w:val="000000"/>
                <w:spacing w:val="0"/>
                <w:w w:val="100"/>
                <w:position w:val="0"/>
                <w:sz w:val="21"/>
                <w:szCs w:val="21"/>
                <w:highlight w:val="none"/>
                <w:lang w:val="en-US" w:eastAsia="en-US" w:bidi="en-US"/>
              </w:rPr>
              <w:t>；</w:t>
            </w:r>
            <w:r>
              <w:rPr>
                <w:rFonts w:hint="default" w:ascii="Times New Roman" w:hAnsi="Times New Roman" w:cs="Times New Roman"/>
                <w:color w:val="auto"/>
                <w:spacing w:val="0"/>
                <w:kern w:val="0"/>
                <w:sz w:val="21"/>
                <w:szCs w:val="21"/>
                <w:highlight w:val="none"/>
              </w:rPr>
              <w:t>淬火冷却水经过沉淀处理后回用水淬工艺中，不外排；精锻车间液压机配套设备冷却水全部循环使用，不外排；除鳞工序用水经过沉淀处理后全部循环使用，不外排；</w:t>
            </w:r>
            <w:r>
              <w:rPr>
                <w:rFonts w:hint="default" w:ascii="Times New Roman" w:hAnsi="Times New Roman" w:cs="Times New Roman"/>
                <w:color w:val="000000"/>
                <w:spacing w:val="0"/>
                <w:w w:val="100"/>
                <w:position w:val="0"/>
                <w:sz w:val="21"/>
                <w:szCs w:val="21"/>
                <w:highlight w:val="none"/>
              </w:rPr>
              <w:t>废乳化液作为危险废物委托</w:t>
            </w:r>
            <w:r>
              <w:rPr>
                <w:rFonts w:hint="eastAsia" w:ascii="Times New Roman" w:hAnsi="Times New Roman" w:cs="Times New Roman"/>
                <w:color w:val="000000"/>
                <w:spacing w:val="0"/>
                <w:w w:val="100"/>
                <w:position w:val="0"/>
                <w:sz w:val="21"/>
                <w:szCs w:val="21"/>
                <w:highlight w:val="none"/>
                <w:lang w:val="en-US" w:eastAsia="zh-CN"/>
              </w:rPr>
              <w:t>有资质单位</w:t>
            </w:r>
            <w:r>
              <w:rPr>
                <w:rFonts w:hint="default" w:ascii="Times New Roman" w:hAnsi="Times New Roman" w:cs="Times New Roman"/>
                <w:color w:val="000000"/>
                <w:spacing w:val="0"/>
                <w:w w:val="100"/>
                <w:position w:val="0"/>
                <w:sz w:val="21"/>
                <w:szCs w:val="21"/>
                <w:highlight w:val="none"/>
              </w:rPr>
              <w:t>处理。</w:t>
            </w:r>
          </w:p>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黑体" w:cs="Times New Roman"/>
                <w:bCs/>
                <w:spacing w:val="0"/>
                <w:kern w:val="0"/>
                <w:sz w:val="21"/>
                <w:szCs w:val="21"/>
                <w:lang w:val="en-US" w:eastAsia="zh-CN"/>
              </w:rPr>
            </w:pPr>
            <w:r>
              <w:rPr>
                <w:rFonts w:hint="default" w:ascii="Times New Roman" w:hAnsi="Times New Roman" w:eastAsia="黑体" w:cs="Times New Roman"/>
                <w:bCs/>
                <w:spacing w:val="0"/>
                <w:kern w:val="0"/>
                <w:sz w:val="21"/>
                <w:szCs w:val="21"/>
              </w:rPr>
              <w:t>表</w:t>
            </w:r>
            <w:r>
              <w:rPr>
                <w:rFonts w:hint="eastAsia" w:ascii="Times New Roman" w:hAnsi="Times New Roman" w:eastAsia="黑体" w:cs="Times New Roman"/>
                <w:bCs/>
                <w:spacing w:val="0"/>
                <w:kern w:val="0"/>
                <w:sz w:val="21"/>
                <w:szCs w:val="21"/>
                <w:lang w:val="en-US" w:eastAsia="zh-CN"/>
              </w:rPr>
              <w:t>1</w:t>
            </w:r>
            <w:r>
              <w:rPr>
                <w:rFonts w:hint="eastAsia" w:eastAsia="黑体" w:cs="Times New Roman"/>
                <w:bCs/>
                <w:spacing w:val="0"/>
                <w:kern w:val="0"/>
                <w:sz w:val="21"/>
                <w:szCs w:val="21"/>
                <w:lang w:val="en-US" w:eastAsia="zh-CN"/>
              </w:rPr>
              <w:t>6</w:t>
            </w:r>
            <w:r>
              <w:rPr>
                <w:rFonts w:hint="default" w:ascii="Times New Roman" w:hAnsi="Times New Roman" w:eastAsia="黑体" w:cs="Times New Roman"/>
                <w:bCs/>
                <w:spacing w:val="0"/>
                <w:kern w:val="0"/>
                <w:sz w:val="21"/>
                <w:szCs w:val="21"/>
              </w:rPr>
              <w:t xml:space="preserve">  </w:t>
            </w:r>
            <w:r>
              <w:rPr>
                <w:rFonts w:hint="eastAsia" w:ascii="Times New Roman" w:hAnsi="Times New Roman" w:eastAsia="黑体" w:cs="Times New Roman"/>
                <w:bCs/>
                <w:spacing w:val="0"/>
                <w:kern w:val="0"/>
                <w:sz w:val="21"/>
                <w:szCs w:val="21"/>
                <w:lang w:val="en-US" w:eastAsia="zh-CN"/>
              </w:rPr>
              <w:t>现有工程</w:t>
            </w:r>
            <w:r>
              <w:rPr>
                <w:rFonts w:hint="default" w:ascii="Times New Roman" w:hAnsi="Times New Roman" w:eastAsia="黑体" w:cs="Times New Roman"/>
                <w:bCs/>
                <w:spacing w:val="0"/>
                <w:kern w:val="0"/>
                <w:sz w:val="21"/>
                <w:szCs w:val="21"/>
              </w:rPr>
              <w:t>水平衡用量</w:t>
            </w:r>
            <w:r>
              <w:rPr>
                <w:rFonts w:hint="eastAsia" w:ascii="Times New Roman" w:hAnsi="Times New Roman" w:eastAsia="黑体" w:cs="Times New Roman"/>
                <w:bCs/>
                <w:spacing w:val="0"/>
                <w:kern w:val="0"/>
                <w:sz w:val="21"/>
                <w:szCs w:val="21"/>
                <w:lang w:val="en-US" w:eastAsia="zh-CN"/>
              </w:rPr>
              <w:t xml:space="preserve">       单位：</w:t>
            </w:r>
            <w:r>
              <w:rPr>
                <w:rFonts w:hint="default" w:ascii="Times New Roman" w:hAnsi="Times New Roman" w:cs="Times New Roman"/>
                <w:color w:val="000000"/>
                <w:spacing w:val="0"/>
                <w:w w:val="100"/>
                <w:position w:val="0"/>
                <w:sz w:val="21"/>
                <w:szCs w:val="21"/>
                <w:highlight w:val="none"/>
                <w:lang w:val="en-US" w:eastAsia="en-US" w:bidi="en-US"/>
              </w:rPr>
              <w:t>m</w:t>
            </w:r>
            <w:r>
              <w:rPr>
                <w:rFonts w:hint="eastAsia" w:ascii="Times New Roman" w:hAnsi="Times New Roman" w:cs="Times New Roman"/>
                <w:color w:val="000000"/>
                <w:spacing w:val="0"/>
                <w:w w:val="100"/>
                <w:position w:val="0"/>
                <w:sz w:val="21"/>
                <w:szCs w:val="21"/>
                <w:highlight w:val="none"/>
                <w:vertAlign w:val="superscript"/>
                <w:lang w:val="en-US" w:eastAsia="zh-CN" w:bidi="en-US"/>
              </w:rPr>
              <w:t>3</w:t>
            </w:r>
            <w:r>
              <w:rPr>
                <w:rFonts w:hint="eastAsia" w:ascii="Times New Roman" w:hAnsi="Times New Roman" w:cs="Times New Roman"/>
                <w:color w:val="000000"/>
                <w:spacing w:val="0"/>
                <w:w w:val="100"/>
                <w:position w:val="0"/>
                <w:sz w:val="21"/>
                <w:szCs w:val="21"/>
                <w:highlight w:val="none"/>
                <w:lang w:val="en-US" w:eastAsia="zh-CN" w:bidi="en-US"/>
              </w:rPr>
              <w:t>/</w:t>
            </w:r>
            <w:r>
              <w:rPr>
                <w:rFonts w:hint="default" w:ascii="Times New Roman" w:hAnsi="Times New Roman" w:cs="Times New Roman"/>
                <w:color w:val="000000"/>
                <w:spacing w:val="0"/>
                <w:w w:val="100"/>
                <w:position w:val="0"/>
                <w:sz w:val="21"/>
                <w:szCs w:val="21"/>
                <w:highlight w:val="none"/>
                <w:lang w:val="en-US" w:eastAsia="en-US" w:bidi="en-US"/>
              </w:rPr>
              <w:t>d</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68"/>
              <w:gridCol w:w="1535"/>
              <w:gridCol w:w="948"/>
              <w:gridCol w:w="1263"/>
              <w:gridCol w:w="1124"/>
              <w:gridCol w:w="856"/>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207" w:type="pct"/>
                  <w:gridSpan w:val="2"/>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用水点</w:t>
                  </w:r>
                </w:p>
              </w:tc>
              <w:tc>
                <w:tcPr>
                  <w:tcW w:w="1332" w:type="pct"/>
                  <w:gridSpan w:val="2"/>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其中</w:t>
                  </w:r>
                </w:p>
              </w:tc>
              <w:tc>
                <w:tcPr>
                  <w:tcW w:w="677" w:type="pct"/>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损耗水量</w:t>
                  </w:r>
                </w:p>
              </w:tc>
              <w:tc>
                <w:tcPr>
                  <w:tcW w:w="1782" w:type="pct"/>
                  <w:gridSpan w:val="2"/>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废水产生量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207" w:type="pct"/>
                  <w:gridSpan w:val="2"/>
                  <w:vMerge w:val="continue"/>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新水</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kern w:val="2"/>
                      <w:sz w:val="21"/>
                      <w:szCs w:val="21"/>
                    </w:rPr>
                    <w:t>循环水</w:t>
                  </w:r>
                </w:p>
              </w:tc>
              <w:tc>
                <w:tcPr>
                  <w:tcW w:w="677" w:type="pct"/>
                  <w:vMerge w:val="continue"/>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c>
                <w:tcPr>
                  <w:tcW w:w="1782" w:type="pct"/>
                  <w:gridSpan w:val="2"/>
                  <w:vMerge w:val="continue"/>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办公、食堂</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22</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677" w:type="pct"/>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9</w:t>
                  </w:r>
                </w:p>
              </w:tc>
              <w:tc>
                <w:tcPr>
                  <w:tcW w:w="516" w:type="pct"/>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46</w:t>
                  </w:r>
                </w:p>
              </w:tc>
              <w:tc>
                <w:tcPr>
                  <w:tcW w:w="1266" w:type="pct"/>
                  <w:vMerge w:val="restar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color w:val="000000"/>
                      <w:spacing w:val="0"/>
                      <w:w w:val="100"/>
                      <w:kern w:val="2"/>
                      <w:position w:val="0"/>
                      <w:sz w:val="21"/>
                      <w:szCs w:val="21"/>
                      <w:highlight w:val="none"/>
                    </w:rPr>
                    <w:t>通过隔油、化粪池处理后</w:t>
                  </w:r>
                  <w:r>
                    <w:rPr>
                      <w:rFonts w:hint="eastAsia" w:ascii="Times New Roman" w:hAnsi="Times New Roman" w:cs="Times New Roman"/>
                      <w:color w:val="000000"/>
                      <w:spacing w:val="0"/>
                      <w:w w:val="100"/>
                      <w:kern w:val="2"/>
                      <w:position w:val="0"/>
                      <w:sz w:val="21"/>
                      <w:szCs w:val="21"/>
                      <w:highlight w:val="none"/>
                      <w:lang w:val="en-US" w:eastAsia="zh-CN" w:bidi="en-US"/>
                    </w:rPr>
                    <w:t>，</w:t>
                  </w:r>
                  <w:r>
                    <w:rPr>
                      <w:rFonts w:hint="default" w:ascii="Times New Roman" w:hAnsi="Times New Roman" w:cs="Times New Roman"/>
                      <w:color w:val="000000"/>
                      <w:spacing w:val="0"/>
                      <w:w w:val="100"/>
                      <w:kern w:val="2"/>
                      <w:position w:val="0"/>
                      <w:sz w:val="21"/>
                      <w:szCs w:val="21"/>
                      <w:highlight w:val="none"/>
                    </w:rPr>
                    <w:t>经市政污水管网排入唐山市北郊污水处理</w:t>
                  </w:r>
                  <w:r>
                    <w:rPr>
                      <w:rFonts w:hint="default" w:ascii="Times New Roman" w:hAnsi="Times New Roman" w:cs="Times New Roman"/>
                      <w:color w:val="000000"/>
                      <w:spacing w:val="0"/>
                      <w:w w:val="100"/>
                      <w:kern w:val="2"/>
                      <w:position w:val="0"/>
                      <w:sz w:val="21"/>
                      <w:szCs w:val="21"/>
                      <w:highlight w:val="none"/>
                      <w:lang w:val="zh-CN" w:eastAsia="zh-CN" w:bidi="zh-CN"/>
                    </w:rPr>
                    <w:t>厂统</w:t>
                  </w:r>
                  <w:r>
                    <w:rPr>
                      <w:rFonts w:hint="eastAsia" w:ascii="Times New Roman" w:hAnsi="Times New Roman" w:cs="Times New Roman"/>
                      <w:color w:val="000000"/>
                      <w:spacing w:val="0"/>
                      <w:w w:val="100"/>
                      <w:kern w:val="2"/>
                      <w:position w:val="0"/>
                      <w:sz w:val="21"/>
                      <w:szCs w:val="21"/>
                      <w:highlight w:val="none"/>
                      <w:lang w:val="en-US" w:eastAsia="zh-CN" w:bidi="zh-CN"/>
                    </w:rPr>
                    <w:t>一</w:t>
                  </w:r>
                  <w:r>
                    <w:rPr>
                      <w:rFonts w:hint="default" w:ascii="Times New Roman" w:hAnsi="Times New Roman" w:cs="Times New Roman"/>
                      <w:color w:val="000000"/>
                      <w:spacing w:val="0"/>
                      <w:w w:val="100"/>
                      <w:kern w:val="2"/>
                      <w:position w:val="0"/>
                      <w:sz w:val="21"/>
                      <w:szCs w:val="21"/>
                      <w:highlight w:val="none"/>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冲厕、杂用</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33</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677" w:type="pct"/>
                  <w:vMerge w:val="continue"/>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p>
              </w:tc>
              <w:tc>
                <w:tcPr>
                  <w:tcW w:w="516" w:type="pct"/>
                  <w:vMerge w:val="continue"/>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p>
              </w:tc>
              <w:tc>
                <w:tcPr>
                  <w:tcW w:w="1266" w:type="pct"/>
                  <w:vMerge w:val="continue"/>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淬火冷却池</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10</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530</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10</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color w:val="auto"/>
                      <w:spacing w:val="0"/>
                      <w:kern w:val="0"/>
                      <w:sz w:val="21"/>
                      <w:szCs w:val="21"/>
                      <w:highlight w:val="none"/>
                    </w:rPr>
                    <w:t>淬火冷却水经过沉淀处理后回用水淬工艺中，不外排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液压机设备循环冷却系统</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254</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color w:val="auto"/>
                      <w:spacing w:val="0"/>
                      <w:kern w:val="0"/>
                      <w:sz w:val="21"/>
                      <w:szCs w:val="21"/>
                      <w:highlight w:val="none"/>
                    </w:rPr>
                    <w:t>精锻车间液压机配套设备冷却水全部循环使用，不外排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除磷用水</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20</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color w:val="auto"/>
                      <w:spacing w:val="0"/>
                      <w:kern w:val="0"/>
                      <w:sz w:val="21"/>
                      <w:szCs w:val="21"/>
                      <w:highlight w:val="none"/>
                    </w:rPr>
                    <w:t>除鳞工序用水经过沉淀处理后全部循环使用，不外排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配置乳化液</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r>
                    <w:rPr>
                      <w:rFonts w:hint="default" w:ascii="Times New Roman" w:hAnsi="Times New Roman" w:cs="Times New Roman"/>
                      <w:color w:val="000000"/>
                      <w:spacing w:val="0"/>
                      <w:w w:val="100"/>
                      <w:kern w:val="2"/>
                      <w:position w:val="0"/>
                      <w:sz w:val="21"/>
                      <w:szCs w:val="21"/>
                      <w:highlight w:val="none"/>
                    </w:rPr>
                    <w:t>废乳化液作为危险废物委托</w:t>
                  </w:r>
                  <w:r>
                    <w:rPr>
                      <w:rFonts w:hint="eastAsia" w:ascii="Times New Roman" w:hAnsi="Times New Roman" w:cs="Times New Roman"/>
                      <w:color w:val="000000"/>
                      <w:spacing w:val="0"/>
                      <w:w w:val="100"/>
                      <w:kern w:val="2"/>
                      <w:position w:val="0"/>
                      <w:sz w:val="21"/>
                      <w:szCs w:val="21"/>
                      <w:highlight w:val="none"/>
                      <w:lang w:val="en-US" w:eastAsia="zh-CN"/>
                    </w:rPr>
                    <w:t>有资质单位</w:t>
                  </w:r>
                  <w:r>
                    <w:rPr>
                      <w:rFonts w:hint="default" w:ascii="Times New Roman" w:hAnsi="Times New Roman" w:cs="Times New Roman"/>
                      <w:color w:val="000000"/>
                      <w:spacing w:val="0"/>
                      <w:w w:val="100"/>
                      <w:kern w:val="2"/>
                      <w:position w:val="0"/>
                      <w:sz w:val="21"/>
                      <w:szCs w:val="21"/>
                      <w:highlight w:val="none"/>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绿化用水</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28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w:t>
                  </w:r>
                </w:p>
              </w:tc>
              <w:tc>
                <w:tcPr>
                  <w:tcW w:w="924"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合计</w:t>
                  </w:r>
                </w:p>
              </w:tc>
              <w:tc>
                <w:tcPr>
                  <w:tcW w:w="57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71.5</w:t>
                  </w:r>
                </w:p>
              </w:tc>
              <w:tc>
                <w:tcPr>
                  <w:tcW w:w="761"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804</w:t>
                  </w:r>
                </w:p>
              </w:tc>
              <w:tc>
                <w:tcPr>
                  <w:tcW w:w="677"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25.5</w:t>
                  </w:r>
                </w:p>
              </w:tc>
              <w:tc>
                <w:tcPr>
                  <w:tcW w:w="51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46</w:t>
                  </w:r>
                </w:p>
              </w:tc>
              <w:tc>
                <w:tcPr>
                  <w:tcW w:w="1266" w:type="pct"/>
                  <w:noWrap w:val="0"/>
                  <w:vAlign w:val="center"/>
                </w:tcPr>
                <w:p>
                  <w:pPr>
                    <w:pStyle w:val="99"/>
                    <w:keepNext w:val="0"/>
                    <w:keepLines w:val="0"/>
                    <w:widowControl/>
                    <w:suppressLineNumbers w:val="0"/>
                    <w:spacing w:before="0" w:beforeAutospacing="0" w:after="0" w:afterAutospacing="0"/>
                    <w:ind w:left="0" w:right="0"/>
                    <w:rPr>
                      <w:rFonts w:hint="default" w:ascii="Times New Roman" w:hAnsi="Times New Roman" w:cs="Times New Roman"/>
                      <w:kern w:val="2"/>
                      <w:sz w:val="21"/>
                      <w:szCs w:val="21"/>
                    </w:rPr>
                  </w:pPr>
                </w:p>
              </w:tc>
            </w:tr>
          </w:tbl>
          <w:p>
            <w:pPr>
              <w:pStyle w:val="11"/>
              <w:keepNext w:val="0"/>
              <w:keepLines w:val="0"/>
              <w:pageBreakBefore w:val="0"/>
              <w:suppressLineNumbers w:val="0"/>
              <w:wordWrap/>
              <w:topLinePunct w:val="0"/>
              <w:bidi w:val="0"/>
              <w:spacing w:before="0" w:beforeAutospacing="0" w:after="0" w:afterAutospacing="0"/>
              <w:ind w:left="0" w:right="0" w:firstLine="0" w:firstLineChars="0"/>
              <w:jc w:val="center"/>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drawing>
                <wp:inline distT="0" distB="0" distL="114300" distR="114300">
                  <wp:extent cx="3943350" cy="4943475"/>
                  <wp:effectExtent l="0" t="0" r="0" b="9525"/>
                  <wp:docPr id="9" name="图片 9"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5"/>
                          <pic:cNvPicPr>
                            <a:picLocks noChangeAspect="1"/>
                          </pic:cNvPicPr>
                        </pic:nvPicPr>
                        <pic:blipFill>
                          <a:blip r:embed="rId16"/>
                          <a:stretch>
                            <a:fillRect/>
                          </a:stretch>
                        </pic:blipFill>
                        <pic:spPr>
                          <a:xfrm>
                            <a:off x="0" y="0"/>
                            <a:ext cx="3943350" cy="4943475"/>
                          </a:xfrm>
                          <a:prstGeom prst="rect">
                            <a:avLst/>
                          </a:prstGeom>
                        </pic:spPr>
                      </pic:pic>
                    </a:graphicData>
                  </a:graphic>
                </wp:inline>
              </w:drawing>
            </w:r>
          </w:p>
          <w:p>
            <w:pPr>
              <w:pStyle w:val="11"/>
              <w:keepNext w:val="0"/>
              <w:keepLines w:val="0"/>
              <w:pageBreakBefore w:val="0"/>
              <w:suppressLineNumbers w:val="0"/>
              <w:wordWrap/>
              <w:topLinePunct w:val="0"/>
              <w:bidi w:val="0"/>
              <w:spacing w:before="0" w:beforeAutospacing="0" w:after="0" w:afterAutospacing="0"/>
              <w:ind w:left="0" w:right="0" w:firstLine="0" w:firstLineChars="0"/>
              <w:jc w:val="center"/>
              <w:outlineLvl w:val="9"/>
              <w:rPr>
                <w:rFonts w:hint="default" w:ascii="Times New Roman" w:hAnsi="Times New Roman" w:eastAsia="宋体" w:cs="Times New Roman"/>
                <w:bCs/>
                <w:color w:val="auto"/>
                <w:kern w:val="0"/>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图</w:t>
            </w:r>
            <w:r>
              <w:rPr>
                <w:rFonts w:hint="eastAsia" w:cs="Times New Roman"/>
                <w:color w:val="auto"/>
                <w:kern w:val="2"/>
                <w:sz w:val="21"/>
                <w:szCs w:val="21"/>
                <w:highlight w:val="none"/>
                <w:lang w:val="en-US" w:eastAsia="zh-CN" w:bidi="ar-SA"/>
              </w:rPr>
              <w:t>5</w:t>
            </w: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现有工程全厂水平衡图</w:t>
            </w: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b/>
                <w:bCs/>
                <w:color w:val="auto"/>
                <w:spacing w:val="5"/>
                <w:kern w:val="2"/>
                <w:sz w:val="21"/>
                <w:szCs w:val="21"/>
                <w:highlight w:val="none"/>
                <w:lang w:val="en-US" w:eastAsia="zh-CN" w:bidi="ar-SA"/>
              </w:rPr>
              <w:t xml:space="preserve"> </w:t>
            </w:r>
            <w:r>
              <w:rPr>
                <w:rFonts w:hint="default" w:ascii="Times New Roman" w:hAnsi="Times New Roman" w:eastAsia="宋体" w:cs="Times New Roman"/>
                <w:bCs/>
                <w:color w:val="auto"/>
                <w:kern w:val="0"/>
                <w:sz w:val="21"/>
                <w:szCs w:val="21"/>
                <w:highlight w:val="none"/>
              </w:rPr>
              <w:t>单位m</w:t>
            </w:r>
            <w:r>
              <w:rPr>
                <w:rFonts w:hint="default" w:ascii="Times New Roman" w:hAnsi="Times New Roman" w:eastAsia="宋体" w:cs="Times New Roman"/>
                <w:bCs/>
                <w:color w:val="auto"/>
                <w:kern w:val="0"/>
                <w:sz w:val="21"/>
                <w:szCs w:val="21"/>
                <w:highlight w:val="none"/>
                <w:vertAlign w:val="superscript"/>
              </w:rPr>
              <w:t>3</w:t>
            </w:r>
            <w:r>
              <w:rPr>
                <w:rFonts w:hint="default" w:ascii="Times New Roman" w:hAnsi="Times New Roman" w:eastAsia="宋体" w:cs="Times New Roman"/>
                <w:bCs/>
                <w:color w:val="auto"/>
                <w:kern w:val="0"/>
                <w:sz w:val="21"/>
                <w:szCs w:val="21"/>
                <w:highlight w:val="none"/>
              </w:rPr>
              <w:t>/d</w:t>
            </w:r>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bCs/>
                <w:color w:val="auto"/>
                <w:spacing w:val="5"/>
                <w:sz w:val="21"/>
                <w:szCs w:val="21"/>
                <w:highlight w:val="none"/>
              </w:rPr>
            </w:pPr>
            <w:bookmarkStart w:id="9" w:name="_Toc230071871"/>
            <w:bookmarkStart w:id="10" w:name="_Toc26072"/>
            <w:r>
              <w:rPr>
                <w:rFonts w:eastAsia="黑体"/>
                <w:bCs/>
                <w:color w:val="auto"/>
                <w:spacing w:val="5"/>
                <w:sz w:val="21"/>
                <w:szCs w:val="21"/>
                <w:highlight w:val="none"/>
              </w:rPr>
              <w:t>2.5.2供电及供</w:t>
            </w:r>
            <w:r>
              <w:rPr>
                <w:rFonts w:hint="eastAsia" w:eastAsia="黑体"/>
                <w:bCs/>
                <w:color w:val="auto"/>
                <w:spacing w:val="5"/>
                <w:sz w:val="21"/>
                <w:szCs w:val="21"/>
                <w:highlight w:val="none"/>
                <w:lang w:val="en-US" w:eastAsia="zh-CN"/>
              </w:rPr>
              <w:t>暖</w:t>
            </w:r>
            <w:r>
              <w:rPr>
                <w:rFonts w:eastAsia="黑体"/>
                <w:bCs/>
                <w:color w:val="auto"/>
                <w:spacing w:val="5"/>
                <w:sz w:val="21"/>
                <w:szCs w:val="21"/>
                <w:highlight w:val="none"/>
              </w:rPr>
              <w:t>系统</w:t>
            </w:r>
            <w:bookmarkEnd w:id="9"/>
            <w:bookmarkEnd w:id="10"/>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40" w:firstLineChars="200"/>
              <w:outlineLvl w:val="9"/>
              <w:rPr>
                <w:rFonts w:hint="eastAsia"/>
                <w:color w:val="auto"/>
                <w:spacing w:val="5"/>
                <w:sz w:val="21"/>
                <w:szCs w:val="21"/>
                <w:highlight w:val="none"/>
              </w:rPr>
            </w:pPr>
            <w:r>
              <w:rPr>
                <w:color w:val="auto"/>
                <w:spacing w:val="5"/>
                <w:sz w:val="21"/>
                <w:szCs w:val="21"/>
                <w:highlight w:val="none"/>
              </w:rPr>
              <w:t>（1）供电</w:t>
            </w:r>
            <w:r>
              <w:rPr>
                <w:rFonts w:hint="eastAsia"/>
                <w:color w:val="auto"/>
                <w:spacing w:val="5"/>
                <w:sz w:val="21"/>
                <w:szCs w:val="21"/>
                <w:highlight w:val="none"/>
              </w:rPr>
              <w:t>：唐山高新技术产业园内现有两座110千伏变电站，为入驻企业提供电力。</w:t>
            </w:r>
            <w:r>
              <w:rPr>
                <w:rFonts w:hint="eastAsia"/>
                <w:color w:val="auto"/>
                <w:spacing w:val="5"/>
                <w:sz w:val="21"/>
                <w:szCs w:val="21"/>
                <w:highlight w:val="none"/>
                <w:lang w:val="en-US" w:eastAsia="zh-CN"/>
              </w:rPr>
              <w:t>现有工程</w:t>
            </w:r>
            <w:r>
              <w:rPr>
                <w:rFonts w:hint="eastAsia"/>
                <w:color w:val="auto"/>
                <w:spacing w:val="5"/>
                <w:sz w:val="21"/>
                <w:szCs w:val="21"/>
                <w:highlight w:val="none"/>
              </w:rPr>
              <w:t>电源由产业园区变电站提供</w:t>
            </w:r>
            <w:r>
              <w:rPr>
                <w:rFonts w:hint="eastAsia"/>
                <w:color w:val="auto"/>
                <w:spacing w:val="5"/>
                <w:sz w:val="21"/>
                <w:szCs w:val="21"/>
                <w:highlight w:val="none"/>
                <w:lang w:val="en-US" w:eastAsia="zh-CN"/>
              </w:rPr>
              <w:t>10</w:t>
            </w:r>
            <w:r>
              <w:rPr>
                <w:rFonts w:hint="eastAsia"/>
                <w:color w:val="auto"/>
                <w:spacing w:val="5"/>
                <w:sz w:val="21"/>
                <w:szCs w:val="21"/>
                <w:highlight w:val="none"/>
              </w:rPr>
              <w:t>kV电源，由该厂区东北角进线，埋地敷设至厂区开闭所，再配送至各用电车间及部门内的变配电室。</w:t>
            </w:r>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40" w:firstLineChars="200"/>
              <w:outlineLvl w:val="9"/>
              <w:rPr>
                <w:rFonts w:hint="eastAsia"/>
                <w:color w:val="auto"/>
                <w:spacing w:val="5"/>
                <w:sz w:val="21"/>
                <w:szCs w:val="21"/>
                <w:highlight w:val="none"/>
              </w:rPr>
            </w:pPr>
            <w:r>
              <w:rPr>
                <w:rFonts w:hint="eastAsia"/>
                <w:color w:val="auto"/>
                <w:spacing w:val="5"/>
                <w:sz w:val="21"/>
                <w:szCs w:val="21"/>
                <w:highlight w:val="none"/>
              </w:rPr>
              <w:t>（2）供暖：厂区内各厂房建筑内釆暖由唐山高新技术产业园集中供热系统提供热源，热媒为</w:t>
            </w:r>
            <w:r>
              <w:rPr>
                <w:rFonts w:hint="default" w:ascii="Times New Roman" w:hAnsi="Times New Roman" w:cs="Times New Roman"/>
                <w:color w:val="auto"/>
                <w:spacing w:val="5"/>
                <w:sz w:val="21"/>
                <w:szCs w:val="21"/>
                <w:highlight w:val="none"/>
              </w:rPr>
              <w:t>95/70</w:t>
            </w:r>
            <w:r>
              <w:rPr>
                <w:rFonts w:hint="default" w:ascii="Times New Roman" w:hAnsi="Times New Roman" w:cs="Times New Roman"/>
                <w:color w:val="auto"/>
                <w:spacing w:val="5"/>
                <w:sz w:val="21"/>
                <w:szCs w:val="21"/>
                <w:highlight w:val="none"/>
                <w:lang w:val="en-US" w:eastAsia="zh-CN"/>
              </w:rPr>
              <w:t>℃</w:t>
            </w:r>
            <w:r>
              <w:rPr>
                <w:rFonts w:hint="eastAsia"/>
                <w:color w:val="auto"/>
                <w:spacing w:val="5"/>
                <w:sz w:val="21"/>
                <w:szCs w:val="21"/>
                <w:highlight w:val="none"/>
              </w:rPr>
              <w:t>热水。</w:t>
            </w:r>
          </w:p>
          <w:p>
            <w:pPr>
              <w:keepNext/>
              <w:keepLines/>
              <w:pageBreakBefore w:val="0"/>
              <w:suppressLineNumbers w:val="0"/>
              <w:wordWrap/>
              <w:topLinePunct w:val="0"/>
              <w:bidi w:val="0"/>
              <w:adjustRightInd w:val="0"/>
              <w:snapToGrid w:val="0"/>
              <w:spacing w:before="0" w:beforeAutospacing="0" w:after="0" w:afterAutospacing="0" w:line="360" w:lineRule="auto"/>
              <w:ind w:left="0" w:right="0"/>
              <w:jc w:val="left"/>
              <w:outlineLvl w:val="9"/>
              <w:rPr>
                <w:rFonts w:eastAsia="黑体"/>
                <w:color w:val="auto"/>
                <w:sz w:val="21"/>
                <w:szCs w:val="21"/>
                <w:highlight w:val="none"/>
              </w:rPr>
            </w:pPr>
            <w:r>
              <w:rPr>
                <w:rFonts w:eastAsia="黑体"/>
                <w:color w:val="auto"/>
                <w:sz w:val="21"/>
                <w:szCs w:val="21"/>
                <w:highlight w:val="none"/>
              </w:rPr>
              <w:t>2.</w:t>
            </w:r>
            <w:r>
              <w:rPr>
                <w:rFonts w:hint="eastAsia" w:eastAsia="黑体"/>
                <w:color w:val="auto"/>
                <w:sz w:val="21"/>
                <w:szCs w:val="21"/>
                <w:highlight w:val="none"/>
              </w:rPr>
              <w:t>6</w:t>
            </w:r>
            <w:r>
              <w:rPr>
                <w:rFonts w:eastAsia="黑体"/>
                <w:color w:val="auto"/>
                <w:sz w:val="21"/>
                <w:szCs w:val="21"/>
                <w:highlight w:val="none"/>
              </w:rPr>
              <w:t>工艺流程及排污节点</w:t>
            </w:r>
          </w:p>
          <w:p>
            <w:pPr>
              <w:keepNext w:val="0"/>
              <w:keepLines w:val="0"/>
              <w:pageBreakBefore w:val="0"/>
              <w:suppressLineNumbers w:val="0"/>
              <w:wordWrap/>
              <w:topLinePunct w:val="0"/>
              <w:bidi w:val="0"/>
              <w:adjustRightInd w:val="0"/>
              <w:snapToGrid w:val="0"/>
              <w:spacing w:before="0" w:beforeAutospacing="0" w:after="0" w:afterAutospacing="0" w:line="360" w:lineRule="auto"/>
              <w:ind w:left="0" w:right="0" w:firstLine="440" w:firstLineChars="200"/>
              <w:outlineLvl w:val="9"/>
              <w:rPr>
                <w:rFonts w:hint="default" w:ascii="Times New Roman" w:hAnsi="Times New Roman" w:eastAsia="宋体" w:cs="Times New Roman"/>
                <w:color w:val="auto"/>
                <w:spacing w:val="5"/>
                <w:sz w:val="21"/>
                <w:szCs w:val="21"/>
                <w:highlight w:val="none"/>
              </w:rPr>
            </w:pPr>
            <w:r>
              <w:rPr>
                <w:rFonts w:hint="eastAsia" w:ascii="Times New Roman" w:hAnsi="Times New Roman" w:eastAsia="宋体" w:cs="Times New Roman"/>
                <w:color w:val="auto"/>
                <w:spacing w:val="5"/>
                <w:sz w:val="21"/>
                <w:szCs w:val="21"/>
                <w:highlight w:val="none"/>
                <w:lang w:val="en-US" w:eastAsia="zh-CN"/>
              </w:rPr>
              <w:t>现有工程</w:t>
            </w:r>
            <w:r>
              <w:rPr>
                <w:rFonts w:hint="default" w:ascii="Times New Roman" w:hAnsi="Times New Roman" w:eastAsia="宋体" w:cs="Times New Roman"/>
                <w:color w:val="auto"/>
                <w:spacing w:val="5"/>
                <w:sz w:val="21"/>
                <w:szCs w:val="21"/>
                <w:highlight w:val="none"/>
              </w:rPr>
              <w:t>生产工艺流程及排污节点见图</w:t>
            </w:r>
            <w:r>
              <w:rPr>
                <w:rFonts w:hint="eastAsia" w:cs="Times New Roman"/>
                <w:color w:val="auto"/>
                <w:spacing w:val="5"/>
                <w:sz w:val="21"/>
                <w:szCs w:val="21"/>
                <w:highlight w:val="none"/>
                <w:lang w:val="en-US" w:eastAsia="zh-CN"/>
              </w:rPr>
              <w:t>6、图7</w:t>
            </w:r>
            <w:r>
              <w:rPr>
                <w:rFonts w:hint="default" w:ascii="Times New Roman" w:hAnsi="Times New Roman" w:eastAsia="宋体" w:cs="Times New Roman"/>
                <w:color w:val="auto"/>
                <w:spacing w:val="5"/>
                <w:sz w:val="21"/>
                <w:szCs w:val="21"/>
                <w:highlight w:val="none"/>
              </w:rPr>
              <w:t>。</w: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object>
                <v:shape id="_x0000_i1029" o:spt="75" type="#_x0000_t75" style="height:525.85pt;width:174.1pt;" o:ole="t" filled="f" o:preferrelative="t" stroked="f" coordsize="21600,21600">
                  <v:path/>
                  <v:fill on="f" focussize="0,0"/>
                  <v:stroke on="f"/>
                  <v:imagedata r:id="rId18" o:title=""/>
                  <o:lock v:ext="edit" aspectratio="f"/>
                  <w10:wrap type="none"/>
                  <w10:anchorlock/>
                </v:shape>
                <o:OLEObject Type="Embed" ProgID="Visio.Drawing.11" ShapeID="_x0000_i1029" DrawAspect="Content" ObjectID="_1468075729" r:id="rId17">
                  <o:LockedField>false</o:LockedField>
                </o:OLEObject>
              </w:objec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图</w:t>
            </w:r>
            <w:r>
              <w:rPr>
                <w:rFonts w:hint="eastAsia"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 xml:space="preserve"> 现有工程</w:t>
            </w:r>
            <w:r>
              <w:rPr>
                <w:rFonts w:hint="eastAsia" w:cs="Times New Roman"/>
                <w:color w:val="auto"/>
                <w:sz w:val="21"/>
                <w:szCs w:val="21"/>
                <w:highlight w:val="none"/>
                <w:lang w:val="en-US" w:eastAsia="zh-CN"/>
              </w:rPr>
              <w:t>重型装备</w:t>
            </w:r>
            <w:r>
              <w:rPr>
                <w:rFonts w:hint="default" w:ascii="Times New Roman" w:hAnsi="Times New Roman" w:eastAsia="宋体" w:cs="Times New Roman"/>
                <w:color w:val="auto"/>
                <w:kern w:val="2"/>
                <w:sz w:val="21"/>
                <w:szCs w:val="21"/>
                <w:highlight w:val="none"/>
                <w:lang w:val="en-US" w:eastAsia="zh-CN" w:bidi="ar-SA"/>
              </w:rPr>
              <w:t>生产工艺流程及排污节点图</w: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object>
                <v:shape id="_x0000_i1030" o:spt="75" type="#_x0000_t75" style="height:346.65pt;width:382pt;" o:ole="t" filled="f" o:preferrelative="t" stroked="f" coordsize="21600,21600">
                  <v:path/>
                  <v:fill on="f" focussize="0,0"/>
                  <v:stroke on="f"/>
                  <v:imagedata r:id="rId20" o:title=""/>
                  <o:lock v:ext="edit" aspectratio="f"/>
                  <w10:wrap type="none"/>
                  <w10:anchorlock/>
                </v:shape>
                <o:OLEObject Type="Embed" ProgID="Visio.Drawing.11" ShapeID="_x0000_i1030" DrawAspect="Content" ObjectID="_1468075730" r:id="rId19">
                  <o:LockedField>false</o:LockedField>
                </o:OLEObject>
              </w:object>
            </w:r>
          </w:p>
          <w:p>
            <w:pPr>
              <w:pStyle w:val="100"/>
              <w:keepNext w:val="0"/>
              <w:keepLines w:val="0"/>
              <w:pageBreakBefore w:val="0"/>
              <w:suppressLineNumbers w:val="0"/>
              <w:wordWrap/>
              <w:topLinePunct w:val="0"/>
              <w:bidi w:val="0"/>
              <w:spacing w:before="0" w:beforeAutospacing="0" w:after="240" w:afterLines="100" w:afterAutospacing="0" w:line="240" w:lineRule="auto"/>
              <w:ind w:left="0" w:right="0" w:firstLine="0" w:firstLineChars="0"/>
              <w:jc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图</w:t>
            </w:r>
            <w:r>
              <w:rPr>
                <w:rFonts w:hint="eastAsia" w:cs="Times New Roman"/>
                <w:color w:val="auto"/>
                <w:kern w:val="2"/>
                <w:sz w:val="21"/>
                <w:szCs w:val="21"/>
                <w:highlight w:val="none"/>
                <w:lang w:val="en-US" w:eastAsia="zh-CN" w:bidi="ar-SA"/>
              </w:rPr>
              <w:t>7</w:t>
            </w:r>
            <w:r>
              <w:rPr>
                <w:rFonts w:hint="eastAsia" w:ascii="Times New Roman" w:hAnsi="Times New Roman" w:eastAsia="宋体" w:cs="Times New Roman"/>
                <w:color w:val="auto"/>
                <w:kern w:val="2"/>
                <w:sz w:val="21"/>
                <w:szCs w:val="21"/>
                <w:highlight w:val="none"/>
                <w:lang w:val="en-US" w:eastAsia="zh-CN" w:bidi="ar-SA"/>
              </w:rPr>
              <w:t xml:space="preserve"> 现有工程</w:t>
            </w:r>
            <w:r>
              <w:rPr>
                <w:rFonts w:hint="eastAsia" w:cs="Times New Roman"/>
                <w:color w:val="auto"/>
                <w:sz w:val="21"/>
                <w:szCs w:val="21"/>
                <w:highlight w:val="none"/>
                <w:lang w:val="en-US" w:eastAsia="zh-CN"/>
              </w:rPr>
              <w:t>大型模锻件</w:t>
            </w:r>
            <w:r>
              <w:rPr>
                <w:rFonts w:hint="default" w:ascii="Times New Roman" w:hAnsi="Times New Roman" w:eastAsia="宋体" w:cs="Times New Roman"/>
                <w:color w:val="auto"/>
                <w:kern w:val="2"/>
                <w:sz w:val="21"/>
                <w:szCs w:val="21"/>
                <w:highlight w:val="none"/>
                <w:lang w:val="en-US" w:eastAsia="zh-CN" w:bidi="ar-SA"/>
              </w:rPr>
              <w:t>生产工艺流程及排污节点图</w:t>
            </w:r>
          </w:p>
          <w:p>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outlineLvl w:val="9"/>
              <w:rPr>
                <w:rFonts w:hint="default" w:ascii="Times New Roman" w:hAnsi="Times New Roman" w:eastAsia="宋体" w:cs="Times New Roman"/>
                <w:b w:val="0"/>
                <w:bCs w:val="0"/>
                <w:color w:val="auto"/>
                <w:sz w:val="21"/>
                <w:szCs w:val="21"/>
                <w:highlight w:val="none"/>
                <w:lang w:val="en-US" w:eastAsia="zh-CN"/>
              </w:rPr>
            </w:pPr>
            <w:r>
              <w:rPr>
                <w:rFonts w:hint="eastAsia" w:eastAsia="黑体"/>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rPr>
              <w:t>现有工程污染物排放情况</w:t>
            </w:r>
            <w:r>
              <w:rPr>
                <w:rFonts w:hint="default" w:ascii="Times New Roman" w:hAnsi="Times New Roman" w:cs="Times New Roman"/>
                <w:b/>
                <w:bCs/>
                <w:color w:val="auto"/>
                <w:sz w:val="21"/>
                <w:szCs w:val="21"/>
                <w:highlight w:val="none"/>
                <w:lang w:val="en-US" w:eastAsia="zh-CN"/>
              </w:rPr>
              <w:t>及环保措施情况</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废气</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现有</w:t>
            </w:r>
            <w:r>
              <w:rPr>
                <w:rFonts w:hint="default" w:ascii="Times New Roman" w:hAnsi="Times New Roman" w:cs="Times New Roman"/>
                <w:color w:val="auto"/>
                <w:sz w:val="21"/>
                <w:szCs w:val="21"/>
                <w:highlight w:val="none"/>
                <w:lang w:val="en-US" w:eastAsia="zh-CN"/>
              </w:rPr>
              <w:t>工程</w:t>
            </w:r>
            <w:r>
              <w:rPr>
                <w:rFonts w:hint="default" w:ascii="Times New Roman" w:hAnsi="Times New Roman" w:eastAsia="宋体" w:cs="Times New Roman"/>
                <w:color w:val="auto"/>
                <w:sz w:val="21"/>
                <w:szCs w:val="21"/>
                <w:highlight w:val="none"/>
              </w:rPr>
              <w:t>废气主要</w:t>
            </w:r>
            <w:r>
              <w:rPr>
                <w:rFonts w:hint="default" w:ascii="Times New Roman" w:hAnsi="Times New Roman" w:eastAsia="宋体" w:cs="Times New Roman"/>
                <w:color w:val="auto"/>
                <w:kern w:val="2"/>
                <w:sz w:val="21"/>
                <w:szCs w:val="21"/>
                <w:highlight w:val="none"/>
                <w:lang w:val="en-US" w:eastAsia="zh-CN" w:bidi="ar-SA"/>
              </w:rPr>
              <w:t>为</w:t>
            </w:r>
            <w:r>
              <w:rPr>
                <w:rFonts w:hint="eastAsia" w:cs="Times New Roman"/>
                <w:color w:val="auto"/>
                <w:kern w:val="2"/>
                <w:sz w:val="21"/>
                <w:szCs w:val="21"/>
                <w:highlight w:val="none"/>
                <w:lang w:val="en-US" w:eastAsia="zh-CN" w:bidi="ar-SA"/>
              </w:rPr>
              <w:t>抛丸工序和焊接工序</w:t>
            </w:r>
            <w:r>
              <w:rPr>
                <w:rFonts w:hint="default" w:ascii="Times New Roman" w:hAnsi="Times New Roman" w:eastAsia="宋体" w:cs="Times New Roman"/>
                <w:color w:val="auto"/>
                <w:kern w:val="2"/>
                <w:sz w:val="21"/>
                <w:szCs w:val="21"/>
                <w:highlight w:val="none"/>
                <w:lang w:val="en-US" w:eastAsia="zh-CN" w:bidi="ar-SA"/>
              </w:rPr>
              <w:t>产生的废气</w:t>
            </w:r>
            <w:r>
              <w:rPr>
                <w:rFonts w:hint="default" w:ascii="Times New Roman" w:hAnsi="Times New Roman" w:cs="Times New Roman"/>
                <w:color w:val="auto"/>
                <w:kern w:val="2"/>
                <w:sz w:val="21"/>
                <w:szCs w:val="21"/>
                <w:highlight w:val="none"/>
                <w:lang w:val="en-US" w:eastAsia="zh-CN" w:bidi="ar-SA"/>
              </w:rPr>
              <w:t>，抛丸过程釆用高效脉冲布袋除尘器进行处理</w:t>
            </w:r>
            <w:r>
              <w:rPr>
                <w:rFonts w:hint="eastAsia"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由</w:t>
            </w:r>
            <w:r>
              <w:rPr>
                <w:rFonts w:hint="eastAsia" w:cs="Times New Roman"/>
                <w:color w:val="auto"/>
                <w:kern w:val="2"/>
                <w:sz w:val="21"/>
                <w:szCs w:val="21"/>
                <w:highlight w:val="none"/>
                <w:lang w:val="en-US" w:eastAsia="zh-CN" w:bidi="ar-SA"/>
              </w:rPr>
              <w:t>1根15m的排气筒</w:t>
            </w:r>
            <w:r>
              <w:rPr>
                <w:rFonts w:hint="default" w:ascii="Times New Roman" w:hAnsi="Times New Roman" w:cs="Times New Roman"/>
                <w:color w:val="auto"/>
                <w:kern w:val="2"/>
                <w:sz w:val="21"/>
                <w:szCs w:val="21"/>
                <w:highlight w:val="none"/>
                <w:lang w:val="en-US" w:eastAsia="zh-CN" w:bidi="ar-SA"/>
              </w:rPr>
              <w:t>DA00</w:t>
            </w:r>
            <w:r>
              <w:rPr>
                <w:rFonts w:hint="default" w:ascii="Times New Roman" w:hAnsi="Times New Roman" w:eastAsia="宋体" w:cs="Times New Roman"/>
                <w:color w:val="auto"/>
                <w:kern w:val="2"/>
                <w:sz w:val="21"/>
                <w:szCs w:val="21"/>
                <w:highlight w:val="none"/>
                <w:lang w:val="en-US" w:eastAsia="zh-CN" w:bidi="ar-SA"/>
              </w:rPr>
              <w:t>1排放</w:t>
            </w:r>
            <w:r>
              <w:rPr>
                <w:rFonts w:hint="eastAsia" w:cs="Times New Roman"/>
                <w:color w:val="auto"/>
                <w:kern w:val="2"/>
                <w:sz w:val="21"/>
                <w:szCs w:val="21"/>
                <w:highlight w:val="none"/>
                <w:lang w:val="en-US" w:eastAsia="zh-CN" w:bidi="ar-SA"/>
              </w:rPr>
              <w:t>；焊接工序产生的废气经移动式焊烟净化器处理后排放</w:t>
            </w:r>
            <w:r>
              <w:rPr>
                <w:rFonts w:hint="default" w:ascii="Times New Roman" w:hAnsi="Times New Roman" w:eastAsia="宋体" w:cs="Times New Roman"/>
                <w:color w:val="auto"/>
                <w:kern w:val="2"/>
                <w:sz w:val="21"/>
                <w:szCs w:val="21"/>
                <w:highlight w:val="none"/>
                <w:lang w:val="en-US"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企业</w:t>
            </w:r>
            <w:r>
              <w:rPr>
                <w:rFonts w:hint="default" w:ascii="Times New Roman" w:hAnsi="Times New Roman" w:cs="Times New Roman"/>
                <w:color w:val="auto"/>
                <w:sz w:val="21"/>
                <w:szCs w:val="21"/>
                <w:highlight w:val="none"/>
                <w:lang w:val="en-US" w:eastAsia="zh-CN"/>
              </w:rPr>
              <w:t>委托</w:t>
            </w:r>
            <w:r>
              <w:rPr>
                <w:rFonts w:hint="eastAsia"/>
                <w:highlight w:val="none"/>
                <w:lang w:eastAsia="zh-CN"/>
              </w:rPr>
              <w:t>唐山一方检测技术有限公司</w:t>
            </w:r>
            <w:r>
              <w:rPr>
                <w:rFonts w:hint="default" w:ascii="Times New Roman" w:hAnsi="Times New Roman" w:eastAsia="宋体" w:cs="Times New Roman"/>
                <w:color w:val="auto"/>
                <w:sz w:val="21"/>
                <w:szCs w:val="21"/>
                <w:highlight w:val="none"/>
                <w:lang w:val="en-US" w:eastAsia="zh-CN"/>
              </w:rPr>
              <w:t>对</w:t>
            </w:r>
            <w:r>
              <w:rPr>
                <w:rFonts w:hint="eastAsia" w:cs="Times New Roman"/>
                <w:color w:val="auto"/>
                <w:sz w:val="21"/>
                <w:szCs w:val="21"/>
                <w:highlight w:val="none"/>
                <w:lang w:val="en-US" w:eastAsia="zh-CN"/>
              </w:rPr>
              <w:t>本企业抛丸工序废气</w:t>
            </w:r>
            <w:r>
              <w:rPr>
                <w:rFonts w:hint="default" w:ascii="Times New Roman" w:hAnsi="Times New Roman" w:cs="Times New Roman"/>
                <w:color w:val="auto"/>
                <w:sz w:val="21"/>
                <w:szCs w:val="21"/>
                <w:highlight w:val="none"/>
                <w:lang w:val="en-US" w:eastAsia="zh-CN"/>
              </w:rPr>
              <w:t>进行了监测，</w:t>
            </w:r>
            <w:r>
              <w:rPr>
                <w:rFonts w:hint="eastAsia" w:ascii="Times New Roman" w:hAnsi="Times New Roman" w:eastAsia="宋体" w:cs="Times New Roman"/>
                <w:color w:val="auto"/>
                <w:kern w:val="2"/>
                <w:sz w:val="21"/>
                <w:szCs w:val="24"/>
                <w:highlight w:val="none"/>
                <w:lang w:val="en-US" w:eastAsia="zh-CN" w:bidi="ar-SA"/>
              </w:rPr>
              <w:t>监测报告编号为</w:t>
            </w:r>
            <w:r>
              <w:rPr>
                <w:rFonts w:hint="eastAsia" w:cs="Times New Roman"/>
                <w:color w:val="auto"/>
                <w:kern w:val="2"/>
                <w:sz w:val="21"/>
                <w:szCs w:val="24"/>
                <w:highlight w:val="none"/>
                <w:lang w:val="en-US" w:eastAsia="zh-CN" w:bidi="ar-SA"/>
              </w:rPr>
              <w:t>YFJC自行监测[2023]23140</w:t>
            </w:r>
            <w:r>
              <w:rPr>
                <w:rFonts w:hint="eastAsia" w:ascii="Times New Roman" w:hAnsi="Times New Roman" w:eastAsia="宋体" w:cs="Times New Roman"/>
                <w:color w:val="auto"/>
                <w:kern w:val="2"/>
                <w:sz w:val="21"/>
                <w:szCs w:val="24"/>
                <w:highlight w:val="none"/>
                <w:lang w:val="en-US" w:eastAsia="zh-CN" w:bidi="ar-SA"/>
              </w:rPr>
              <w:t>-</w:t>
            </w:r>
            <w:r>
              <w:rPr>
                <w:rFonts w:hint="eastAsia" w:cs="Times New Roman"/>
                <w:color w:val="auto"/>
                <w:kern w:val="2"/>
                <w:sz w:val="21"/>
                <w:szCs w:val="24"/>
                <w:highlight w:val="none"/>
                <w:lang w:val="en-US" w:eastAsia="zh-CN" w:bidi="ar-SA"/>
              </w:rPr>
              <w:t>03074</w:t>
            </w:r>
            <w:r>
              <w:rPr>
                <w:rFonts w:hint="eastAsia" w:ascii="Times New Roman" w:hAnsi="Times New Roman" w:eastAsia="宋体" w:cs="Times New Roman"/>
                <w:color w:val="auto"/>
                <w:kern w:val="2"/>
                <w:sz w:val="21"/>
                <w:szCs w:val="24"/>
                <w:highlight w:val="none"/>
                <w:lang w:val="en-US" w:eastAsia="zh-CN" w:bidi="ar-SA"/>
              </w:rPr>
              <w:t>号，监测时间为</w:t>
            </w:r>
            <w:r>
              <w:rPr>
                <w:rFonts w:hint="eastAsia" w:cs="Times New Roman"/>
                <w:color w:val="auto"/>
                <w:kern w:val="2"/>
                <w:sz w:val="21"/>
                <w:szCs w:val="24"/>
                <w:highlight w:val="none"/>
                <w:lang w:val="en-US" w:eastAsia="zh-CN" w:bidi="ar-SA"/>
              </w:rPr>
              <w:t>2023年3</w:t>
            </w:r>
            <w:r>
              <w:rPr>
                <w:rFonts w:hint="eastAsia" w:ascii="Times New Roman" w:hAnsi="Times New Roman" w:eastAsia="宋体" w:cs="Times New Roman"/>
                <w:color w:val="auto"/>
                <w:kern w:val="2"/>
                <w:sz w:val="21"/>
                <w:szCs w:val="24"/>
                <w:highlight w:val="none"/>
                <w:lang w:val="en-US" w:eastAsia="zh-CN" w:bidi="ar-SA"/>
              </w:rPr>
              <w:t>月</w:t>
            </w:r>
            <w:r>
              <w:rPr>
                <w:rFonts w:hint="eastAsia" w:cs="Times New Roman"/>
                <w:color w:val="auto"/>
                <w:kern w:val="2"/>
                <w:sz w:val="21"/>
                <w:szCs w:val="24"/>
                <w:highlight w:val="none"/>
                <w:lang w:val="en-US" w:eastAsia="zh-CN" w:bidi="ar-SA"/>
              </w:rPr>
              <w:t>13</w:t>
            </w:r>
            <w:r>
              <w:rPr>
                <w:rFonts w:hint="eastAsia" w:ascii="Times New Roman" w:hAnsi="Times New Roman" w:eastAsia="宋体" w:cs="Times New Roman"/>
                <w:color w:val="auto"/>
                <w:kern w:val="2"/>
                <w:sz w:val="21"/>
                <w:szCs w:val="24"/>
                <w:highlight w:val="none"/>
                <w:lang w:val="en-US" w:eastAsia="zh-CN" w:bidi="ar-SA"/>
              </w:rPr>
              <w:t>日，</w:t>
            </w:r>
            <w:r>
              <w:rPr>
                <w:rFonts w:hint="default" w:ascii="Times New Roman" w:hAnsi="Times New Roman" w:cs="Times New Roman"/>
                <w:color w:val="auto"/>
                <w:sz w:val="21"/>
                <w:szCs w:val="21"/>
                <w:highlight w:val="none"/>
                <w:lang w:val="en-US" w:eastAsia="zh-CN"/>
              </w:rPr>
              <w:t>监测结果见下表。</w:t>
            </w:r>
          </w:p>
          <w:p>
            <w:pPr>
              <w:keepNext w:val="0"/>
              <w:keepLines w:val="0"/>
              <w:widowControl w:val="0"/>
              <w:suppressLineNumbers w:val="0"/>
              <w:spacing w:before="0" w:beforeAutospacing="0" w:after="0" w:afterAutospacing="0" w:line="400" w:lineRule="atLeast"/>
              <w:ind w:left="0" w:right="0"/>
              <w:jc w:val="center"/>
              <w:rPr>
                <w:rFonts w:hint="default" w:ascii="Times New Roman" w:hAnsi="Times New Roman" w:eastAsia="宋体" w:cs="Times New Roman"/>
                <w:b/>
                <w:bCs w:val="0"/>
                <w:color w:val="auto"/>
                <w:kern w:val="2"/>
                <w:sz w:val="21"/>
                <w:szCs w:val="21"/>
                <w:highlight w:val="none"/>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17</w:t>
            </w:r>
            <w:r>
              <w:rPr>
                <w:rFonts w:hint="default" w:ascii="Times New Roman" w:hAnsi="Times New Roman" w:eastAsia="宋体" w:cs="Times New Roman"/>
                <w:b w:val="0"/>
                <w:bCs w:val="0"/>
                <w:color w:val="auto"/>
                <w:sz w:val="21"/>
                <w:szCs w:val="21"/>
                <w:highlight w:val="none"/>
                <w:lang w:val="en-US" w:eastAsia="zh-CN"/>
              </w:rPr>
              <w:t xml:space="preserve"> </w:t>
            </w:r>
            <w:r>
              <w:rPr>
                <w:rFonts w:hint="eastAsia"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lang w:val="en-US" w:eastAsia="zh-CN"/>
              </w:rPr>
              <w:t>有组织废气检测结果</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2"/>
              <w:gridCol w:w="999"/>
              <w:gridCol w:w="596"/>
              <w:gridCol w:w="825"/>
              <w:gridCol w:w="957"/>
              <w:gridCol w:w="957"/>
              <w:gridCol w:w="957"/>
              <w:gridCol w:w="957"/>
              <w:gridCol w:w="673"/>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5" w:hRule="atLeast"/>
              </w:trPr>
              <w:tc>
                <w:tcPr>
                  <w:tcW w:w="417"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监测时间</w:t>
                  </w:r>
                </w:p>
              </w:tc>
              <w:tc>
                <w:tcPr>
                  <w:tcW w:w="602"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监测点位</w:t>
                  </w:r>
                </w:p>
              </w:tc>
              <w:tc>
                <w:tcPr>
                  <w:tcW w:w="856" w:type="pct"/>
                  <w:gridSpan w:val="2"/>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监测因子</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w:t>
                  </w:r>
                </w:p>
              </w:tc>
              <w:tc>
                <w:tcPr>
                  <w:tcW w:w="576"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p>
              </w:tc>
              <w:tc>
                <w:tcPr>
                  <w:tcW w:w="576"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3</w:t>
                  </w:r>
                </w:p>
              </w:tc>
              <w:tc>
                <w:tcPr>
                  <w:tcW w:w="576"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平均值</w:t>
                  </w:r>
                </w:p>
              </w:tc>
              <w:tc>
                <w:tcPr>
                  <w:tcW w:w="405"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标准值</w:t>
                  </w:r>
                </w:p>
              </w:tc>
              <w:tc>
                <w:tcPr>
                  <w:tcW w:w="413"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达标分析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7" w:type="pct"/>
                  <w:vMerge w:val="restar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2"/>
                      <w:sz w:val="21"/>
                      <w:szCs w:val="21"/>
                      <w:highlight w:val="none"/>
                      <w:lang w:val="en-US" w:eastAsia="zh-CN" w:bidi="ar-SA"/>
                    </w:rPr>
                    <w:t>2023年3</w:t>
                  </w:r>
                  <w:r>
                    <w:rPr>
                      <w:rFonts w:hint="eastAsia" w:ascii="Times New Roman" w:hAnsi="Times New Roman" w:eastAsia="宋体" w:cs="Times New Roman"/>
                      <w:color w:val="auto"/>
                      <w:kern w:val="2"/>
                      <w:sz w:val="21"/>
                      <w:szCs w:val="21"/>
                      <w:highlight w:val="none"/>
                      <w:lang w:val="en-US" w:eastAsia="zh-CN" w:bidi="ar-SA"/>
                    </w:rPr>
                    <w:t>月</w:t>
                  </w:r>
                  <w:r>
                    <w:rPr>
                      <w:rFonts w:hint="eastAsia" w:cs="Times New Roman"/>
                      <w:color w:val="auto"/>
                      <w:kern w:val="2"/>
                      <w:sz w:val="21"/>
                      <w:szCs w:val="21"/>
                      <w:highlight w:val="none"/>
                      <w:lang w:val="en-US" w:eastAsia="zh-CN" w:bidi="ar-SA"/>
                    </w:rPr>
                    <w:t>13</w:t>
                  </w:r>
                  <w:r>
                    <w:rPr>
                      <w:rFonts w:hint="eastAsia" w:ascii="Times New Roman" w:hAnsi="Times New Roman" w:eastAsia="宋体" w:cs="Times New Roman"/>
                      <w:color w:val="auto"/>
                      <w:kern w:val="2"/>
                      <w:sz w:val="21"/>
                      <w:szCs w:val="21"/>
                      <w:highlight w:val="none"/>
                      <w:lang w:val="en-US" w:eastAsia="zh-CN" w:bidi="ar-SA"/>
                    </w:rPr>
                    <w:t>日</w:t>
                  </w:r>
                </w:p>
              </w:tc>
              <w:tc>
                <w:tcPr>
                  <w:tcW w:w="602"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抛丸工序</w:t>
                  </w:r>
                  <w:r>
                    <w:rPr>
                      <w:rFonts w:hint="default" w:ascii="Times New Roman" w:hAnsi="Times New Roman" w:cs="Times New Roman"/>
                      <w:color w:val="auto"/>
                      <w:kern w:val="0"/>
                      <w:sz w:val="21"/>
                      <w:szCs w:val="21"/>
                      <w:highlight w:val="none"/>
                      <w:lang w:val="en-US" w:eastAsia="zh-CN"/>
                    </w:rPr>
                    <w:t>排气筒DA001</w:t>
                  </w:r>
                </w:p>
              </w:tc>
              <w:tc>
                <w:tcPr>
                  <w:tcW w:w="359"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颗粒物</w:t>
                  </w:r>
                </w:p>
              </w:tc>
              <w:tc>
                <w:tcPr>
                  <w:tcW w:w="497"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ascii="Times New Roman" w:hAnsi="Times New Roman" w:eastAsia="Times New Roman" w:cs="Times New Roman"/>
                      <w:color w:val="000000"/>
                      <w:spacing w:val="0"/>
                      <w:w w:val="100"/>
                      <w:position w:val="0"/>
                      <w:sz w:val="21"/>
                      <w:szCs w:val="21"/>
                      <w:highlight w:val="none"/>
                      <w:lang w:val="en-US" w:eastAsia="en-US" w:bidi="en-US"/>
                    </w:rPr>
                    <w:t>m</w:t>
                  </w:r>
                  <w:r>
                    <w:rPr>
                      <w:rFonts w:ascii="Times New Roman" w:hAnsi="Times New Roman" w:eastAsia="Times New Roman" w:cs="Times New Roman"/>
                      <w:color w:val="000000"/>
                      <w:spacing w:val="0"/>
                      <w:w w:val="100"/>
                      <w:position w:val="0"/>
                      <w:sz w:val="21"/>
                      <w:szCs w:val="21"/>
                      <w:highlight w:val="none"/>
                      <w:vertAlign w:val="superscript"/>
                      <w:lang w:val="en-US" w:eastAsia="en-US" w:bidi="en-US"/>
                    </w:rPr>
                    <w:t>3</w:t>
                  </w:r>
                  <w:r>
                    <w:rPr>
                      <w:rFonts w:ascii="Times New Roman" w:hAnsi="Times New Roman" w:eastAsia="Times New Roman" w:cs="Times New Roman"/>
                      <w:color w:val="000000"/>
                      <w:spacing w:val="0"/>
                      <w:w w:val="100"/>
                      <w:position w:val="0"/>
                      <w:sz w:val="21"/>
                      <w:szCs w:val="21"/>
                      <w:highlight w:val="none"/>
                      <w:lang w:val="en-US" w:eastAsia="en-US" w:bidi="en-US"/>
                    </w:rPr>
                    <w:t>/h</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rPr>
                    <w:t>17816</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rPr>
                    <w:t>18134</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rPr>
                    <w:t>17544</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rPr>
                    <w:t>17831</w:t>
                  </w:r>
                </w:p>
              </w:tc>
              <w:tc>
                <w:tcPr>
                  <w:tcW w:w="405"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w:t>
                  </w:r>
                </w:p>
              </w:tc>
              <w:tc>
                <w:tcPr>
                  <w:tcW w:w="413"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0" w:hRule="atLeast"/>
              </w:trPr>
              <w:tc>
                <w:tcPr>
                  <w:tcW w:w="417"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602"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359"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497"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mg/m</w:t>
                  </w:r>
                  <w:r>
                    <w:rPr>
                      <w:rFonts w:hint="default" w:ascii="Times New Roman" w:hAnsi="Times New Roman" w:cs="Times New Roman"/>
                      <w:color w:val="auto"/>
                      <w:kern w:val="0"/>
                      <w:sz w:val="21"/>
                      <w:szCs w:val="21"/>
                      <w:highlight w:val="none"/>
                      <w:vertAlign w:val="superscript"/>
                      <w:lang w:val="en-US" w:eastAsia="zh-CN"/>
                    </w:rPr>
                    <w:t>3</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lang w:val="en-US" w:eastAsia="en-US" w:bidi="en-US"/>
                    </w:rPr>
                    <w:t>4.4</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lang w:val="en-US" w:eastAsia="en-US" w:bidi="en-US"/>
                    </w:rPr>
                    <w:t>5.2</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lang w:val="en-US" w:eastAsia="en-US" w:bidi="en-US"/>
                    </w:rPr>
                    <w:t>4.7</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Times New Roman" w:cs="Times New Roman"/>
                      <w:color w:val="000000"/>
                      <w:spacing w:val="0"/>
                      <w:w w:val="100"/>
                      <w:position w:val="0"/>
                      <w:sz w:val="21"/>
                      <w:szCs w:val="21"/>
                      <w:highlight w:val="none"/>
                      <w:lang w:val="en-US" w:eastAsia="en-US" w:bidi="en-US"/>
                    </w:rPr>
                    <w:t>4.8</w:t>
                  </w:r>
                </w:p>
              </w:tc>
              <w:tc>
                <w:tcPr>
                  <w:tcW w:w="405"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rPr>
                    <w:t>10</w:t>
                  </w:r>
                </w:p>
              </w:tc>
              <w:tc>
                <w:tcPr>
                  <w:tcW w:w="413"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7"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602"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359"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497" w:type="pct"/>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kg/h</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lang w:val="en-US" w:eastAsia="en-US" w:bidi="en-US"/>
                    </w:rPr>
                    <w:t>7.8×10</w:t>
                  </w:r>
                  <w:r>
                    <w:rPr>
                      <w:rFonts w:hint="default" w:ascii="Times New Roman" w:hAnsi="Times New Roman" w:eastAsia="Times New Roman" w:cs="Times New Roman"/>
                      <w:color w:val="000000"/>
                      <w:spacing w:val="0"/>
                      <w:w w:val="100"/>
                      <w:position w:val="0"/>
                      <w:sz w:val="21"/>
                      <w:szCs w:val="21"/>
                      <w:highlight w:val="none"/>
                      <w:vertAlign w:val="superscript"/>
                      <w:lang w:val="en-US" w:eastAsia="en-US" w:bidi="en-US"/>
                    </w:rPr>
                    <w:t>-2</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lang w:val="en-US" w:eastAsia="en-US" w:bidi="en-US"/>
                    </w:rPr>
                    <w:t>9.4×10</w:t>
                  </w:r>
                  <w:r>
                    <w:rPr>
                      <w:rFonts w:hint="default" w:ascii="Times New Roman" w:hAnsi="Times New Roman" w:eastAsia="Times New Roman" w:cs="Times New Roman"/>
                      <w:color w:val="000000"/>
                      <w:spacing w:val="0"/>
                      <w:w w:val="100"/>
                      <w:position w:val="0"/>
                      <w:sz w:val="21"/>
                      <w:szCs w:val="21"/>
                      <w:highlight w:val="none"/>
                      <w:vertAlign w:val="superscript"/>
                      <w:lang w:val="en-US" w:eastAsia="en-US" w:bidi="en-US"/>
                    </w:rPr>
                    <w:t>-2</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lang w:val="en-US" w:eastAsia="en-US" w:bidi="en-US"/>
                    </w:rPr>
                    <w:t>8.2×10</w:t>
                  </w:r>
                  <w:r>
                    <w:rPr>
                      <w:rFonts w:hint="default" w:ascii="Times New Roman" w:hAnsi="Times New Roman" w:eastAsia="Times New Roman" w:cs="Times New Roman"/>
                      <w:color w:val="000000"/>
                      <w:spacing w:val="0"/>
                      <w:w w:val="100"/>
                      <w:position w:val="0"/>
                      <w:sz w:val="21"/>
                      <w:szCs w:val="21"/>
                      <w:highlight w:val="none"/>
                      <w:vertAlign w:val="superscript"/>
                      <w:lang w:val="en-US" w:eastAsia="en-US" w:bidi="en-US"/>
                    </w:rPr>
                    <w:t>-2</w:t>
                  </w:r>
                </w:p>
              </w:tc>
              <w:tc>
                <w:tcPr>
                  <w:tcW w:w="576"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lang w:val="en-US" w:eastAsia="en-US" w:bidi="en-US"/>
                    </w:rPr>
                    <w:t>8.5×10</w:t>
                  </w:r>
                  <w:r>
                    <w:rPr>
                      <w:rFonts w:hint="default" w:ascii="Times New Roman" w:hAnsi="Times New Roman" w:eastAsia="Times New Roman" w:cs="Times New Roman"/>
                      <w:color w:val="000000"/>
                      <w:spacing w:val="0"/>
                      <w:w w:val="100"/>
                      <w:position w:val="0"/>
                      <w:sz w:val="21"/>
                      <w:szCs w:val="21"/>
                      <w:highlight w:val="none"/>
                      <w:vertAlign w:val="superscript"/>
                      <w:lang w:val="en-US" w:eastAsia="en-US" w:bidi="en-US"/>
                    </w:rPr>
                    <w:t>-2</w:t>
                  </w:r>
                </w:p>
              </w:tc>
              <w:tc>
                <w:tcPr>
                  <w:tcW w:w="405"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rPr>
                    <w:t>3.5</w:t>
                  </w:r>
                </w:p>
              </w:tc>
              <w:tc>
                <w:tcPr>
                  <w:tcW w:w="413"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rPr>
                    <w:t>达标</w:t>
                  </w:r>
                </w:p>
              </w:tc>
            </w:tr>
          </w:tbl>
          <w:p>
            <w:pPr>
              <w:keepNext w:val="0"/>
              <w:keepLines w:val="0"/>
              <w:widowControl w:val="0"/>
              <w:suppressLineNumbers w:val="0"/>
              <w:spacing w:before="0" w:beforeAutospacing="0" w:after="0" w:afterAutospacing="0" w:line="400" w:lineRule="atLeas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 xml:space="preserve">18 </w:t>
            </w:r>
            <w:r>
              <w:rPr>
                <w:rFonts w:hint="default" w:ascii="Times New Roman" w:hAnsi="Times New Roman" w:eastAsia="宋体" w:cs="Times New Roman"/>
                <w:b w:val="0"/>
                <w:bCs w:val="0"/>
                <w:color w:val="auto"/>
                <w:sz w:val="21"/>
                <w:szCs w:val="21"/>
                <w:highlight w:val="none"/>
                <w:lang w:val="en-US" w:eastAsia="zh-CN"/>
              </w:rPr>
              <w:t xml:space="preserve"> </w:t>
            </w:r>
            <w:r>
              <w:rPr>
                <w:rFonts w:hint="default" w:ascii="Times New Roman" w:hAnsi="Times New Roman" w:cs="Times New Roman"/>
                <w:b w:val="0"/>
                <w:bCs w:val="0"/>
                <w:color w:val="auto"/>
                <w:sz w:val="21"/>
                <w:szCs w:val="21"/>
                <w:highlight w:val="none"/>
                <w:lang w:val="en-US" w:eastAsia="zh-CN"/>
              </w:rPr>
              <w:t>无</w:t>
            </w:r>
            <w:r>
              <w:rPr>
                <w:rFonts w:hint="default" w:ascii="Times New Roman" w:hAnsi="Times New Roman" w:eastAsia="宋体" w:cs="Times New Roman"/>
                <w:b w:val="0"/>
                <w:bCs w:val="0"/>
                <w:color w:val="auto"/>
                <w:sz w:val="21"/>
                <w:szCs w:val="21"/>
                <w:highlight w:val="none"/>
                <w:lang w:val="en-US" w:eastAsia="zh-CN"/>
              </w:rPr>
              <w:t>组织废气检测结果</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
              <w:gridCol w:w="818"/>
              <w:gridCol w:w="1159"/>
              <w:gridCol w:w="895"/>
              <w:gridCol w:w="765"/>
              <w:gridCol w:w="765"/>
              <w:gridCol w:w="732"/>
              <w:gridCol w:w="852"/>
              <w:gridCol w:w="804"/>
              <w:gridCol w:w="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513" w:type="pct"/>
                  <w:vMerge w:val="restar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监测时间</w:t>
                  </w:r>
                </w:p>
              </w:tc>
              <w:tc>
                <w:tcPr>
                  <w:tcW w:w="493"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rPr>
                    <w:t>监测因子</w:t>
                  </w:r>
                </w:p>
              </w:tc>
              <w:tc>
                <w:tcPr>
                  <w:tcW w:w="698"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监测点位</w:t>
                  </w:r>
                </w:p>
              </w:tc>
              <w:tc>
                <w:tcPr>
                  <w:tcW w:w="2415" w:type="pct"/>
                  <w:gridSpan w:val="5"/>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监测结果</w:t>
                  </w:r>
                  <w:r>
                    <w:rPr>
                      <w:rFonts w:hint="default" w:ascii="Times New Roman" w:hAnsi="Times New Roman" w:cs="Times New Roman"/>
                      <w:color w:val="auto"/>
                      <w:kern w:val="0"/>
                      <w:sz w:val="21"/>
                      <w:szCs w:val="21"/>
                      <w:highlight w:val="none"/>
                      <w:lang w:val="en-US" w:eastAsia="zh-CN"/>
                    </w:rPr>
                    <w:t>mg/m</w:t>
                  </w:r>
                  <w:r>
                    <w:rPr>
                      <w:rFonts w:hint="default" w:ascii="Times New Roman" w:hAnsi="Times New Roman" w:cs="Times New Roman"/>
                      <w:color w:val="auto"/>
                      <w:kern w:val="0"/>
                      <w:sz w:val="21"/>
                      <w:szCs w:val="21"/>
                      <w:highlight w:val="none"/>
                      <w:vertAlign w:val="superscript"/>
                      <w:lang w:val="en-US" w:eastAsia="zh-CN"/>
                    </w:rPr>
                    <w:t>3</w:t>
                  </w:r>
                </w:p>
              </w:tc>
              <w:tc>
                <w:tcPr>
                  <w:tcW w:w="484"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标准值</w:t>
                  </w:r>
                  <w:r>
                    <w:rPr>
                      <w:rFonts w:hint="default" w:ascii="Times New Roman" w:hAnsi="Times New Roman" w:cs="Times New Roman"/>
                      <w:color w:val="auto"/>
                      <w:kern w:val="0"/>
                      <w:sz w:val="21"/>
                      <w:szCs w:val="21"/>
                      <w:highlight w:val="none"/>
                      <w:lang w:val="en-US" w:eastAsia="zh-CN"/>
                    </w:rPr>
                    <w:t>mg/m</w:t>
                  </w:r>
                  <w:r>
                    <w:rPr>
                      <w:rFonts w:hint="default" w:ascii="Times New Roman" w:hAnsi="Times New Roman" w:cs="Times New Roman"/>
                      <w:color w:val="auto"/>
                      <w:kern w:val="0"/>
                      <w:sz w:val="21"/>
                      <w:szCs w:val="21"/>
                      <w:highlight w:val="none"/>
                      <w:vertAlign w:val="superscript"/>
                      <w:lang w:val="en-US" w:eastAsia="zh-CN"/>
                    </w:rPr>
                    <w:t>3</w:t>
                  </w:r>
                </w:p>
              </w:tc>
              <w:tc>
                <w:tcPr>
                  <w:tcW w:w="394"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513" w:type="pct"/>
                  <w:vMerge w:val="continue"/>
                  <w:tcBorders>
                    <w:left w:val="single" w:color="auto" w:sz="4" w:space="0"/>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sz w:val="21"/>
                      <w:szCs w:val="21"/>
                      <w:highlight w:val="none"/>
                    </w:rPr>
                  </w:pPr>
                </w:p>
              </w:tc>
              <w:tc>
                <w:tcPr>
                  <w:tcW w:w="493"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p>
              </w:tc>
              <w:tc>
                <w:tcPr>
                  <w:tcW w:w="698"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sz w:val="21"/>
                      <w:szCs w:val="21"/>
                      <w:highlight w:val="none"/>
                    </w:rPr>
                  </w:pPr>
                </w:p>
              </w:tc>
              <w:tc>
                <w:tcPr>
                  <w:tcW w:w="539"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2</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3</w:t>
                  </w:r>
                </w:p>
              </w:tc>
              <w:tc>
                <w:tcPr>
                  <w:tcW w:w="441" w:type="pct"/>
                  <w:tcBorders>
                    <w:top w:val="single" w:color="auto" w:sz="4" w:space="0"/>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4</w:t>
                  </w:r>
                </w:p>
              </w:tc>
              <w:tc>
                <w:tcPr>
                  <w:tcW w:w="512" w:type="pct"/>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最大值</w:t>
                  </w:r>
                </w:p>
              </w:tc>
              <w:tc>
                <w:tcPr>
                  <w:tcW w:w="484"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p>
              </w:tc>
              <w:tc>
                <w:tcPr>
                  <w:tcW w:w="394"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13" w:type="pct"/>
                  <w:vMerge w:val="restar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2"/>
                      <w:sz w:val="21"/>
                      <w:szCs w:val="21"/>
                      <w:highlight w:val="none"/>
                      <w:lang w:val="en-US" w:eastAsia="zh-CN" w:bidi="ar-SA"/>
                    </w:rPr>
                    <w:t>2023年3</w:t>
                  </w:r>
                  <w:r>
                    <w:rPr>
                      <w:rFonts w:hint="eastAsia" w:ascii="Times New Roman" w:hAnsi="Times New Roman" w:eastAsia="宋体" w:cs="Times New Roman"/>
                      <w:color w:val="auto"/>
                      <w:kern w:val="2"/>
                      <w:sz w:val="21"/>
                      <w:szCs w:val="21"/>
                      <w:highlight w:val="none"/>
                      <w:lang w:val="en-US" w:eastAsia="zh-CN" w:bidi="ar-SA"/>
                    </w:rPr>
                    <w:t>月</w:t>
                  </w:r>
                  <w:r>
                    <w:rPr>
                      <w:rFonts w:hint="eastAsia" w:cs="Times New Roman"/>
                      <w:color w:val="auto"/>
                      <w:kern w:val="2"/>
                      <w:sz w:val="21"/>
                      <w:szCs w:val="21"/>
                      <w:highlight w:val="none"/>
                      <w:lang w:val="en-US" w:eastAsia="zh-CN" w:bidi="ar-SA"/>
                    </w:rPr>
                    <w:t>13</w:t>
                  </w:r>
                  <w:r>
                    <w:rPr>
                      <w:rFonts w:hint="eastAsia" w:ascii="Times New Roman" w:hAnsi="Times New Roman" w:eastAsia="宋体" w:cs="Times New Roman"/>
                      <w:color w:val="auto"/>
                      <w:kern w:val="2"/>
                      <w:sz w:val="21"/>
                      <w:szCs w:val="21"/>
                      <w:highlight w:val="none"/>
                      <w:lang w:val="en-US" w:eastAsia="zh-CN" w:bidi="ar-SA"/>
                    </w:rPr>
                    <w:t>日</w:t>
                  </w:r>
                </w:p>
              </w:tc>
              <w:tc>
                <w:tcPr>
                  <w:tcW w:w="493"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颗粒物</w:t>
                  </w:r>
                </w:p>
              </w:tc>
              <w:tc>
                <w:tcPr>
                  <w:tcW w:w="698" w:type="pc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上风向</w:t>
                  </w:r>
                  <w:r>
                    <w:rPr>
                      <w:rFonts w:hint="default" w:ascii="Times New Roman" w:hAnsi="Times New Roman" w:eastAsia="宋体" w:cs="Times New Roman"/>
                      <w:color w:val="auto"/>
                      <w:kern w:val="0"/>
                      <w:sz w:val="21"/>
                      <w:szCs w:val="21"/>
                      <w:highlight w:val="none"/>
                    </w:rPr>
                    <w:t>1#</w:t>
                  </w:r>
                </w:p>
              </w:tc>
              <w:tc>
                <w:tcPr>
                  <w:tcW w:w="539"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201</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172</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205</w:t>
                  </w:r>
                </w:p>
              </w:tc>
              <w:tc>
                <w:tcPr>
                  <w:tcW w:w="44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193</w:t>
                  </w:r>
                </w:p>
              </w:tc>
              <w:tc>
                <w:tcPr>
                  <w:tcW w:w="512" w:type="pct"/>
                  <w:tcBorders>
                    <w:top w:val="single" w:color="auto" w:sz="4" w:space="0"/>
                    <w:left w:val="nil"/>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205</w:t>
                  </w:r>
                </w:p>
              </w:tc>
              <w:tc>
                <w:tcPr>
                  <w:tcW w:w="484"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r>
                    <w:rPr>
                      <w:rFonts w:hint="default" w:ascii="Times New Roman" w:hAnsi="Times New Roman" w:cs="Times New Roman"/>
                      <w:color w:val="auto"/>
                      <w:kern w:val="0"/>
                      <w:sz w:val="21"/>
                      <w:szCs w:val="21"/>
                      <w:highlight w:val="none"/>
                      <w:lang w:val="en-US" w:eastAsia="zh-CN"/>
                    </w:rPr>
                    <w:t>.0</w:t>
                  </w:r>
                </w:p>
              </w:tc>
              <w:tc>
                <w:tcPr>
                  <w:tcW w:w="394" w:type="pct"/>
                  <w:vMerge w:val="restart"/>
                  <w:tcBorders>
                    <w:top w:val="single" w:color="auto" w:sz="4" w:space="0"/>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13"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493"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p>
              </w:tc>
              <w:tc>
                <w:tcPr>
                  <w:tcW w:w="698" w:type="pct"/>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rPr>
                    <w:t>下风向</w:t>
                  </w:r>
                  <w:r>
                    <w:rPr>
                      <w:rFonts w:hint="default" w:ascii="Times New Roman" w:hAnsi="Times New Roman" w:eastAsia="宋体" w:cs="Times New Roman"/>
                      <w:color w:val="auto"/>
                      <w:kern w:val="0"/>
                      <w:sz w:val="21"/>
                      <w:szCs w:val="21"/>
                      <w:highlight w:val="none"/>
                    </w:rPr>
                    <w:t>2#</w:t>
                  </w:r>
                </w:p>
              </w:tc>
              <w:tc>
                <w:tcPr>
                  <w:tcW w:w="539"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317</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260</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274</w:t>
                  </w:r>
                </w:p>
              </w:tc>
              <w:tc>
                <w:tcPr>
                  <w:tcW w:w="44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302</w:t>
                  </w:r>
                </w:p>
              </w:tc>
              <w:tc>
                <w:tcPr>
                  <w:tcW w:w="512" w:type="pct"/>
                  <w:tcBorders>
                    <w:left w:val="nil"/>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317</w:t>
                  </w:r>
                </w:p>
              </w:tc>
              <w:tc>
                <w:tcPr>
                  <w:tcW w:w="484"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394"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13"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493"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p>
              </w:tc>
              <w:tc>
                <w:tcPr>
                  <w:tcW w:w="698" w:type="pct"/>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rPr>
                    <w:t>下风向</w:t>
                  </w:r>
                  <w:r>
                    <w:rPr>
                      <w:rFonts w:hint="default" w:ascii="Times New Roman" w:hAnsi="Times New Roman" w:eastAsia="宋体" w:cs="Times New Roman"/>
                      <w:color w:val="auto"/>
                      <w:kern w:val="0"/>
                      <w:sz w:val="21"/>
                      <w:szCs w:val="21"/>
                      <w:highlight w:val="none"/>
                    </w:rPr>
                    <w:t>3#</w:t>
                  </w:r>
                </w:p>
              </w:tc>
              <w:tc>
                <w:tcPr>
                  <w:tcW w:w="539"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271</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265</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305</w:t>
                  </w:r>
                </w:p>
              </w:tc>
              <w:tc>
                <w:tcPr>
                  <w:tcW w:w="44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292</w:t>
                  </w:r>
                </w:p>
              </w:tc>
              <w:tc>
                <w:tcPr>
                  <w:tcW w:w="512" w:type="pct"/>
                  <w:tcBorders>
                    <w:left w:val="nil"/>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305</w:t>
                  </w:r>
                </w:p>
              </w:tc>
              <w:tc>
                <w:tcPr>
                  <w:tcW w:w="484"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394"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493" w:type="pct"/>
                  <w:vMerge w:val="continue"/>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p>
              </w:tc>
              <w:tc>
                <w:tcPr>
                  <w:tcW w:w="698" w:type="pct"/>
                  <w:tcBorders>
                    <w:left w:val="nil"/>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下风向</w:t>
                  </w:r>
                  <w:r>
                    <w:rPr>
                      <w:rFonts w:hint="default" w:ascii="Times New Roman" w:hAnsi="Times New Roman" w:eastAsia="宋体" w:cs="Times New Roman"/>
                      <w:color w:val="auto"/>
                      <w:kern w:val="0"/>
                      <w:sz w:val="21"/>
                      <w:szCs w:val="21"/>
                      <w:highlight w:val="none"/>
                    </w:rPr>
                    <w:t>4#</w:t>
                  </w:r>
                </w:p>
              </w:tc>
              <w:tc>
                <w:tcPr>
                  <w:tcW w:w="539"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263</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299</w:t>
                  </w:r>
                </w:p>
              </w:tc>
              <w:tc>
                <w:tcPr>
                  <w:tcW w:w="46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279</w:t>
                  </w:r>
                </w:p>
              </w:tc>
              <w:tc>
                <w:tcPr>
                  <w:tcW w:w="441" w:type="pct"/>
                  <w:tcBorders>
                    <w:top w:val="single" w:color="auto" w:sz="4" w:space="0"/>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316</w:t>
                  </w:r>
                </w:p>
              </w:tc>
              <w:tc>
                <w:tcPr>
                  <w:tcW w:w="512" w:type="pct"/>
                  <w:tcBorders>
                    <w:left w:val="nil"/>
                    <w:bottom w:val="single" w:color="auto" w:sz="4" w:space="0"/>
                    <w:right w:val="single" w:color="auto" w:sz="4" w:space="0"/>
                  </w:tcBorders>
                  <w:shd w:val="clear" w:color="auto" w:fill="auto"/>
                  <w:vAlign w:val="center"/>
                </w:tcPr>
                <w:p>
                  <w:pPr>
                    <w:pStyle w:val="107"/>
                    <w:keepNext w:val="0"/>
                    <w:keepLines w:val="0"/>
                    <w:pageBreakBefore w:val="0"/>
                    <w:widowControl w:val="0"/>
                    <w:suppressLineNumbers w:val="0"/>
                    <w:shd w:val="clear" w:color="auto" w:fill="auto"/>
                    <w:kinsoku/>
                    <w:wordWrap/>
                    <w:overflowPunct/>
                    <w:topLinePunct w:val="0"/>
                    <w:autoSpaceDE/>
                    <w:autoSpaceDN/>
                    <w:bidi w:val="0"/>
                    <w:snapToGrid/>
                    <w:spacing w:before="0" w:beforeAutospacing="0" w:after="0" w:afterAutospacing="0" w:line="240" w:lineRule="auto"/>
                    <w:ind w:left="0" w:leftChars="0" w:right="0" w:rightChars="0" w:firstLine="0" w:firstLineChars="0"/>
                    <w:jc w:val="center"/>
                    <w:rPr>
                      <w:rFonts w:hint="default" w:ascii="Times New Roman" w:hAnsi="Times New Roman" w:eastAsia="Times New Roman" w:cs="Times New Roman"/>
                      <w:color w:val="000000"/>
                      <w:spacing w:val="0"/>
                      <w:w w:val="100"/>
                      <w:position w:val="0"/>
                      <w:sz w:val="21"/>
                      <w:szCs w:val="21"/>
                      <w:highlight w:val="none"/>
                      <w:lang w:val="en-US" w:eastAsia="zh-CN"/>
                    </w:rPr>
                  </w:pPr>
                  <w:r>
                    <w:rPr>
                      <w:rFonts w:hint="default" w:ascii="Times New Roman" w:hAnsi="Times New Roman" w:eastAsia="Times New Roman" w:cs="Times New Roman"/>
                      <w:color w:val="000000"/>
                      <w:spacing w:val="0"/>
                      <w:w w:val="100"/>
                      <w:position w:val="0"/>
                      <w:sz w:val="21"/>
                      <w:szCs w:val="21"/>
                      <w:highlight w:val="none"/>
                    </w:rPr>
                    <w:t>316</w:t>
                  </w:r>
                </w:p>
              </w:tc>
              <w:tc>
                <w:tcPr>
                  <w:tcW w:w="484"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c>
                <w:tcPr>
                  <w:tcW w:w="394" w:type="pct"/>
                  <w:vMerge w:val="continue"/>
                  <w:tcBorders>
                    <w:left w:val="nil"/>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snapToGrid/>
                    <w:spacing w:line="240" w:lineRule="auto"/>
                    <w:ind w:left="0" w:firstLine="0" w:firstLineChars="0"/>
                    <w:jc w:val="center"/>
                    <w:rPr>
                      <w:rFonts w:hint="default" w:ascii="Times New Roman" w:hAnsi="Times New Roman" w:cs="Times New Roman"/>
                      <w:color w:val="auto"/>
                      <w:kern w:val="0"/>
                      <w:sz w:val="21"/>
                      <w:szCs w:val="21"/>
                      <w:highlight w:val="none"/>
                      <w:lang w:val="en-US" w:eastAsia="zh-CN"/>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20" w:firstLineChars="200"/>
              <w:textAlignment w:val="auto"/>
              <w:rPr>
                <w:rFonts w:hint="default" w:ascii="Times New Roman" w:hAnsi="Times New Roman" w:cs="Times New Roman"/>
                <w:color w:val="auto"/>
                <w:kern w:val="2"/>
                <w:sz w:val="21"/>
                <w:szCs w:val="21"/>
                <w:highlight w:val="none"/>
                <w:lang w:val="en-US" w:eastAsia="zh-CN" w:bidi="ar"/>
              </w:rPr>
            </w:pPr>
            <w:r>
              <w:rPr>
                <w:rFonts w:hint="default" w:ascii="Times New Roman" w:hAnsi="Times New Roman" w:cs="Times New Roman"/>
                <w:color w:val="auto"/>
                <w:sz w:val="21"/>
                <w:szCs w:val="21"/>
                <w:highlight w:val="none"/>
                <w:lang w:val="en-US" w:eastAsia="zh-CN"/>
              </w:rPr>
              <w:t>由上表可知，现有工程</w:t>
            </w:r>
            <w:r>
              <w:rPr>
                <w:rFonts w:hint="default" w:ascii="Times New Roman" w:hAnsi="Times New Roman" w:cs="Times New Roman"/>
                <w:color w:val="auto"/>
                <w:kern w:val="2"/>
                <w:sz w:val="21"/>
                <w:szCs w:val="21"/>
                <w:highlight w:val="none"/>
                <w:lang w:val="en-US" w:eastAsia="zh-CN" w:bidi="ar"/>
              </w:rPr>
              <w:t>抛丸工序有组织颗粒物排放执行《钢铁工业大气污染物超低排放标准》（DB13/2169-2018）表1中热处理炉、拉矫、精整、抛丸、修磨、焊接机及其他生产设施颗粒物排放限值要求</w:t>
            </w:r>
            <w:r>
              <w:rPr>
                <w:rFonts w:hint="eastAsia" w:cs="Times New Roman"/>
                <w:color w:val="auto"/>
                <w:kern w:val="2"/>
                <w:sz w:val="21"/>
                <w:szCs w:val="21"/>
                <w:highlight w:val="none"/>
                <w:lang w:val="en-US" w:eastAsia="zh-CN" w:bidi="ar"/>
              </w:rPr>
              <w:t>（颗粒物10mg/m</w:t>
            </w:r>
            <w:r>
              <w:rPr>
                <w:rFonts w:hint="eastAsia" w:cs="Times New Roman"/>
                <w:color w:val="auto"/>
                <w:kern w:val="2"/>
                <w:sz w:val="21"/>
                <w:szCs w:val="21"/>
                <w:highlight w:val="none"/>
                <w:vertAlign w:val="superscript"/>
                <w:lang w:val="en-US" w:eastAsia="zh-CN" w:bidi="ar"/>
              </w:rPr>
              <w:t>3</w:t>
            </w:r>
            <w:r>
              <w:rPr>
                <w:rFonts w:hint="eastAsia" w:cs="Times New Roman"/>
                <w:color w:val="auto"/>
                <w:kern w:val="2"/>
                <w:sz w:val="21"/>
                <w:szCs w:val="21"/>
                <w:highlight w:val="none"/>
                <w:lang w:val="en-US" w:eastAsia="zh-CN" w:bidi="ar"/>
              </w:rPr>
              <w:t>，3.5kg/h）</w:t>
            </w:r>
            <w:r>
              <w:rPr>
                <w:rFonts w:hint="default" w:ascii="Times New Roman" w:hAnsi="Times New Roman" w:cs="Times New Roman"/>
                <w:color w:val="auto"/>
                <w:kern w:val="2"/>
                <w:sz w:val="21"/>
                <w:szCs w:val="21"/>
                <w:highlight w:val="none"/>
                <w:lang w:val="en-US" w:eastAsia="zh-CN" w:bidi="ar"/>
              </w:rPr>
              <w:t>；现有工程排放量为颗粒物：0.204t/a，厂界无组织颗粒物执行《钢铁工业大气污染物超低排放标准》（DB13/2169-2018）表5限值要求</w:t>
            </w:r>
            <w:r>
              <w:rPr>
                <w:rFonts w:hint="default" w:ascii="Times New Roman" w:hAnsi="Times New Roman" w:eastAsia="宋体" w:cs="Times New Roman"/>
                <w:bCs/>
                <w:color w:val="auto"/>
                <w:kern w:val="0"/>
                <w:sz w:val="21"/>
                <w:szCs w:val="21"/>
                <w:highlight w:val="none"/>
                <w:lang w:eastAsia="zh-CN"/>
              </w:rPr>
              <w:t>（</w:t>
            </w:r>
            <w:r>
              <w:rPr>
                <w:rFonts w:hint="eastAsia" w:ascii="Times New Roman" w:hAnsi="Times New Roman" w:cs="Times New Roman"/>
                <w:bCs/>
                <w:color w:val="auto"/>
                <w:kern w:val="0"/>
                <w:sz w:val="21"/>
                <w:szCs w:val="21"/>
                <w:highlight w:val="none"/>
                <w:lang w:val="en-US" w:eastAsia="zh-CN"/>
              </w:rPr>
              <w:t>颗粒物</w:t>
            </w:r>
            <w:r>
              <w:rPr>
                <w:rFonts w:hint="default" w:ascii="Times New Roman" w:hAnsi="Times New Roman" w:eastAsia="宋体" w:cs="Times New Roman"/>
                <w:bCs/>
                <w:color w:val="auto"/>
                <w:kern w:val="0"/>
                <w:sz w:val="21"/>
                <w:szCs w:val="21"/>
                <w:highlight w:val="none"/>
              </w:rPr>
              <w:t>≤</w:t>
            </w:r>
            <w:r>
              <w:rPr>
                <w:rFonts w:hint="eastAsia" w:cs="Times New Roman"/>
                <w:bCs/>
                <w:color w:val="auto"/>
                <w:kern w:val="0"/>
                <w:sz w:val="21"/>
                <w:szCs w:val="21"/>
                <w:highlight w:val="none"/>
                <w:lang w:val="en-US" w:eastAsia="zh-CN"/>
              </w:rPr>
              <w:t>1</w:t>
            </w:r>
            <w:r>
              <w:rPr>
                <w:rFonts w:hint="default" w:ascii="Times New Roman" w:hAnsi="Times New Roman" w:cs="Times New Roman"/>
                <w:bCs/>
                <w:color w:val="auto"/>
                <w:kern w:val="0"/>
                <w:sz w:val="21"/>
                <w:szCs w:val="21"/>
                <w:highlight w:val="none"/>
                <w:lang w:val="en-US" w:eastAsia="zh-CN"/>
              </w:rPr>
              <w:t>.0</w:t>
            </w:r>
            <w:r>
              <w:rPr>
                <w:rFonts w:hint="default" w:ascii="Times New Roman" w:hAnsi="Times New Roman" w:cs="Times New Roman"/>
                <w:color w:val="auto"/>
                <w:kern w:val="0"/>
                <w:sz w:val="21"/>
                <w:szCs w:val="21"/>
                <w:highlight w:val="none"/>
                <w:lang w:val="en-US" w:eastAsia="zh-CN"/>
              </w:rPr>
              <w:t>mg/m</w:t>
            </w:r>
            <w:r>
              <w:rPr>
                <w:rFonts w:hint="default" w:ascii="Times New Roman" w:hAnsi="Times New Roman" w:cs="Times New Roman"/>
                <w:color w:val="auto"/>
                <w:kern w:val="0"/>
                <w:sz w:val="21"/>
                <w:szCs w:val="21"/>
                <w:highlight w:val="none"/>
                <w:vertAlign w:val="superscript"/>
                <w:lang w:val="en-US" w:eastAsia="zh-CN"/>
              </w:rPr>
              <w:t>3</w:t>
            </w:r>
            <w:r>
              <w:rPr>
                <w:rFonts w:hint="default" w:ascii="Times New Roman" w:hAnsi="Times New Roman" w:eastAsia="宋体" w:cs="Times New Roman"/>
                <w:bCs/>
                <w:color w:val="auto"/>
                <w:kern w:val="0"/>
                <w:sz w:val="21"/>
                <w:szCs w:val="21"/>
                <w:highlight w:val="none"/>
                <w:lang w:eastAsia="zh-CN"/>
              </w:rPr>
              <w:t>）</w:t>
            </w:r>
            <w:r>
              <w:rPr>
                <w:rFonts w:hint="eastAsia" w:cs="Times New Roman"/>
                <w:color w:val="auto"/>
                <w:kern w:val="2"/>
                <w:sz w:val="21"/>
                <w:szCs w:val="21"/>
                <w:highlight w:val="none"/>
                <w:lang w:val="en-US" w:eastAsia="zh-CN" w:bidi="ar"/>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废水</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000000"/>
                <w:spacing w:val="0"/>
                <w:w w:val="100"/>
                <w:position w:val="0"/>
                <w:sz w:val="21"/>
                <w:szCs w:val="21"/>
                <w:highlight w:val="none"/>
              </w:rPr>
              <w:t>全厂主要排水环节有办公、生活污水，水淬冷却水、设备冷却水等。其中，生活污水通过隔油、化粪池处理后经市政污水管网排入唐山市北郊污水处理</w:t>
            </w:r>
            <w:r>
              <w:rPr>
                <w:rFonts w:hint="default" w:ascii="Times New Roman" w:hAnsi="Times New Roman" w:cs="Times New Roman"/>
                <w:color w:val="000000"/>
                <w:spacing w:val="0"/>
                <w:w w:val="100"/>
                <w:position w:val="0"/>
                <w:sz w:val="21"/>
                <w:szCs w:val="21"/>
                <w:highlight w:val="none"/>
                <w:lang w:val="zh-CN" w:eastAsia="zh-CN" w:bidi="zh-CN"/>
              </w:rPr>
              <w:t>厂统</w:t>
            </w:r>
            <w:r>
              <w:rPr>
                <w:rFonts w:hint="eastAsia" w:ascii="Times New Roman" w:hAnsi="Times New Roman" w:cs="Times New Roman"/>
                <w:color w:val="000000"/>
                <w:spacing w:val="0"/>
                <w:w w:val="100"/>
                <w:position w:val="0"/>
                <w:sz w:val="21"/>
                <w:szCs w:val="21"/>
                <w:highlight w:val="none"/>
                <w:lang w:val="en-US" w:eastAsia="zh-CN" w:bidi="zh-CN"/>
              </w:rPr>
              <w:t>一</w:t>
            </w:r>
            <w:r>
              <w:rPr>
                <w:rFonts w:hint="default" w:ascii="Times New Roman" w:hAnsi="Times New Roman" w:cs="Times New Roman"/>
                <w:color w:val="000000"/>
                <w:spacing w:val="0"/>
                <w:w w:val="100"/>
                <w:position w:val="0"/>
                <w:sz w:val="21"/>
                <w:szCs w:val="21"/>
                <w:highlight w:val="none"/>
              </w:rPr>
              <w:t>处理</w:t>
            </w:r>
            <w:r>
              <w:rPr>
                <w:rFonts w:hint="default" w:ascii="Times New Roman" w:hAnsi="Times New Roman" w:cs="Times New Roman"/>
                <w:color w:val="000000"/>
                <w:spacing w:val="0"/>
                <w:w w:val="100"/>
                <w:position w:val="0"/>
                <w:sz w:val="21"/>
                <w:szCs w:val="21"/>
                <w:highlight w:val="none"/>
                <w:lang w:val="en-US" w:eastAsia="en-US" w:bidi="en-US"/>
              </w:rPr>
              <w:t>；</w:t>
            </w:r>
            <w:r>
              <w:rPr>
                <w:rFonts w:hint="default" w:ascii="Times New Roman" w:hAnsi="Times New Roman" w:cs="Times New Roman"/>
                <w:color w:val="auto"/>
                <w:spacing w:val="0"/>
                <w:kern w:val="0"/>
                <w:sz w:val="21"/>
                <w:szCs w:val="21"/>
                <w:highlight w:val="none"/>
              </w:rPr>
              <w:t>淬火冷却水经过沉淀处理后回用水淬工艺中，不外排；精锻车间液压机配套设备冷却水全部循环使用，不外排；除鳞工序用水经过沉淀处理后全部循环使用，不外排；</w:t>
            </w:r>
            <w:r>
              <w:rPr>
                <w:rFonts w:hint="default" w:ascii="Times New Roman" w:hAnsi="Times New Roman" w:cs="Times New Roman"/>
                <w:color w:val="000000"/>
                <w:spacing w:val="0"/>
                <w:w w:val="100"/>
                <w:position w:val="0"/>
                <w:sz w:val="21"/>
                <w:szCs w:val="21"/>
                <w:highlight w:val="none"/>
              </w:rPr>
              <w:t>废乳化液作为危险废物委托</w:t>
            </w:r>
            <w:r>
              <w:rPr>
                <w:rFonts w:hint="eastAsia" w:ascii="Times New Roman" w:hAnsi="Times New Roman" w:cs="Times New Roman"/>
                <w:color w:val="000000"/>
                <w:spacing w:val="0"/>
                <w:w w:val="100"/>
                <w:position w:val="0"/>
                <w:sz w:val="21"/>
                <w:szCs w:val="21"/>
                <w:highlight w:val="none"/>
                <w:lang w:val="en-US" w:eastAsia="zh-CN"/>
              </w:rPr>
              <w:t>有资质单位</w:t>
            </w:r>
            <w:r>
              <w:rPr>
                <w:rFonts w:hint="default" w:ascii="Times New Roman" w:hAnsi="Times New Roman" w:cs="Times New Roman"/>
                <w:color w:val="000000"/>
                <w:spacing w:val="0"/>
                <w:w w:val="100"/>
                <w:position w:val="0"/>
                <w:sz w:val="21"/>
                <w:szCs w:val="21"/>
                <w:highlight w:val="none"/>
              </w:rPr>
              <w:t>处理</w:t>
            </w:r>
            <w:r>
              <w:rPr>
                <w:rFonts w:hint="default" w:ascii="Times New Roman" w:hAnsi="Times New Roman" w:cs="Times New Roman"/>
                <w:bCs/>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20" w:firstLineChars="200"/>
              <w:textAlignment w:val="auto"/>
              <w:rPr>
                <w:rFonts w:hint="default" w:ascii="Times New Roman" w:hAnsi="Times New Roman" w:cs="Times New Roman"/>
                <w:color w:val="auto"/>
                <w:sz w:val="21"/>
                <w:szCs w:val="21"/>
                <w:highlight w:val="none"/>
                <w:lang w:val="en-US" w:eastAsia="zh-CN"/>
              </w:rPr>
            </w:pPr>
            <w:bookmarkStart w:id="11" w:name="bookmark44"/>
            <w:r>
              <w:rPr>
                <w:rFonts w:hint="default" w:ascii="Times New Roman" w:hAnsi="Times New Roman" w:eastAsia="宋体" w:cs="Times New Roman"/>
                <w:color w:val="auto"/>
                <w:sz w:val="21"/>
                <w:szCs w:val="21"/>
                <w:highlight w:val="none"/>
                <w:lang w:val="en-US" w:eastAsia="zh-CN"/>
              </w:rPr>
              <w:t>企业</w:t>
            </w:r>
            <w:r>
              <w:rPr>
                <w:rFonts w:hint="default" w:ascii="Times New Roman" w:hAnsi="Times New Roman" w:cs="Times New Roman"/>
                <w:color w:val="auto"/>
                <w:sz w:val="21"/>
                <w:szCs w:val="21"/>
                <w:highlight w:val="none"/>
                <w:lang w:val="en-US" w:eastAsia="zh-CN"/>
              </w:rPr>
              <w:t>委托</w:t>
            </w:r>
            <w:r>
              <w:rPr>
                <w:rFonts w:hint="eastAsia"/>
                <w:highlight w:val="none"/>
                <w:lang w:eastAsia="zh-CN"/>
              </w:rPr>
              <w:t>唐山一方检测技术有限公司</w:t>
            </w:r>
            <w:r>
              <w:rPr>
                <w:rFonts w:hint="default" w:ascii="Times New Roman" w:hAnsi="Times New Roman" w:eastAsia="宋体" w:cs="Times New Roman"/>
                <w:color w:val="auto"/>
                <w:sz w:val="21"/>
                <w:szCs w:val="21"/>
                <w:highlight w:val="none"/>
                <w:lang w:val="en-US" w:eastAsia="zh-CN"/>
              </w:rPr>
              <w:t>对</w:t>
            </w:r>
            <w:r>
              <w:rPr>
                <w:rFonts w:hint="eastAsia" w:cs="Times New Roman"/>
                <w:color w:val="auto"/>
                <w:sz w:val="21"/>
                <w:szCs w:val="21"/>
                <w:highlight w:val="none"/>
                <w:lang w:val="en-US" w:eastAsia="zh-CN"/>
              </w:rPr>
              <w:t>本企业生活污水排放口</w:t>
            </w:r>
            <w:r>
              <w:rPr>
                <w:rFonts w:hint="default" w:ascii="Times New Roman" w:hAnsi="Times New Roman" w:cs="Times New Roman"/>
                <w:color w:val="auto"/>
                <w:sz w:val="21"/>
                <w:szCs w:val="21"/>
                <w:highlight w:val="none"/>
                <w:lang w:val="en-US" w:eastAsia="zh-CN"/>
              </w:rPr>
              <w:t>进行了监测，</w:t>
            </w:r>
            <w:r>
              <w:rPr>
                <w:rFonts w:hint="eastAsia" w:ascii="Times New Roman" w:hAnsi="Times New Roman" w:eastAsia="宋体" w:cs="Times New Roman"/>
                <w:color w:val="auto"/>
                <w:kern w:val="2"/>
                <w:sz w:val="21"/>
                <w:szCs w:val="24"/>
                <w:highlight w:val="none"/>
                <w:lang w:val="en-US" w:eastAsia="zh-CN" w:bidi="ar-SA"/>
              </w:rPr>
              <w:t>监测报告编号为</w:t>
            </w:r>
            <w:r>
              <w:rPr>
                <w:rFonts w:hint="eastAsia" w:cs="Times New Roman"/>
                <w:color w:val="auto"/>
                <w:kern w:val="2"/>
                <w:sz w:val="21"/>
                <w:szCs w:val="24"/>
                <w:highlight w:val="none"/>
                <w:lang w:val="en-US" w:eastAsia="zh-CN" w:bidi="ar-SA"/>
              </w:rPr>
              <w:t>YFJC自行监测[2023]23140</w:t>
            </w:r>
            <w:r>
              <w:rPr>
                <w:rFonts w:hint="eastAsia" w:ascii="Times New Roman" w:hAnsi="Times New Roman" w:eastAsia="宋体" w:cs="Times New Roman"/>
                <w:color w:val="auto"/>
                <w:kern w:val="2"/>
                <w:sz w:val="21"/>
                <w:szCs w:val="24"/>
                <w:highlight w:val="none"/>
                <w:lang w:val="en-US" w:eastAsia="zh-CN" w:bidi="ar-SA"/>
              </w:rPr>
              <w:t>-</w:t>
            </w:r>
            <w:r>
              <w:rPr>
                <w:rFonts w:hint="eastAsia" w:cs="Times New Roman"/>
                <w:color w:val="auto"/>
                <w:kern w:val="2"/>
                <w:sz w:val="21"/>
                <w:szCs w:val="24"/>
                <w:highlight w:val="none"/>
                <w:lang w:val="en-US" w:eastAsia="zh-CN" w:bidi="ar-SA"/>
              </w:rPr>
              <w:t>03074</w:t>
            </w:r>
            <w:r>
              <w:rPr>
                <w:rFonts w:hint="eastAsia" w:ascii="Times New Roman" w:hAnsi="Times New Roman" w:eastAsia="宋体" w:cs="Times New Roman"/>
                <w:color w:val="auto"/>
                <w:kern w:val="2"/>
                <w:sz w:val="21"/>
                <w:szCs w:val="24"/>
                <w:highlight w:val="none"/>
                <w:lang w:val="en-US" w:eastAsia="zh-CN" w:bidi="ar-SA"/>
              </w:rPr>
              <w:t>号，监测时间为</w:t>
            </w:r>
            <w:r>
              <w:rPr>
                <w:rFonts w:hint="eastAsia" w:cs="Times New Roman"/>
                <w:color w:val="auto"/>
                <w:kern w:val="2"/>
                <w:sz w:val="21"/>
                <w:szCs w:val="24"/>
                <w:highlight w:val="none"/>
                <w:lang w:val="en-US" w:eastAsia="zh-CN" w:bidi="ar-SA"/>
              </w:rPr>
              <w:t>2023年3</w:t>
            </w:r>
            <w:r>
              <w:rPr>
                <w:rFonts w:hint="eastAsia" w:ascii="Times New Roman" w:hAnsi="Times New Roman" w:eastAsia="宋体" w:cs="Times New Roman"/>
                <w:color w:val="auto"/>
                <w:kern w:val="2"/>
                <w:sz w:val="21"/>
                <w:szCs w:val="24"/>
                <w:highlight w:val="none"/>
                <w:lang w:val="en-US" w:eastAsia="zh-CN" w:bidi="ar-SA"/>
              </w:rPr>
              <w:t>月</w:t>
            </w:r>
            <w:r>
              <w:rPr>
                <w:rFonts w:hint="eastAsia" w:cs="Times New Roman"/>
                <w:color w:val="auto"/>
                <w:kern w:val="2"/>
                <w:sz w:val="21"/>
                <w:szCs w:val="24"/>
                <w:highlight w:val="none"/>
                <w:lang w:val="en-US" w:eastAsia="zh-CN" w:bidi="ar-SA"/>
              </w:rPr>
              <w:t>13</w:t>
            </w:r>
            <w:r>
              <w:rPr>
                <w:rFonts w:hint="eastAsia" w:ascii="Times New Roman" w:hAnsi="Times New Roman" w:eastAsia="宋体" w:cs="Times New Roman"/>
                <w:color w:val="auto"/>
                <w:kern w:val="2"/>
                <w:sz w:val="21"/>
                <w:szCs w:val="24"/>
                <w:highlight w:val="none"/>
                <w:lang w:val="en-US" w:eastAsia="zh-CN" w:bidi="ar-SA"/>
              </w:rPr>
              <w:t>日，</w:t>
            </w:r>
            <w:r>
              <w:rPr>
                <w:rFonts w:hint="default" w:ascii="Times New Roman" w:hAnsi="Times New Roman" w:cs="Times New Roman"/>
                <w:color w:val="auto"/>
                <w:sz w:val="21"/>
                <w:szCs w:val="21"/>
                <w:highlight w:val="none"/>
                <w:lang w:val="en-US" w:eastAsia="zh-CN"/>
              </w:rPr>
              <w:t>监测结果见下表。</w:t>
            </w:r>
          </w:p>
          <w:p>
            <w:pPr>
              <w:keepNext w:val="0"/>
              <w:keepLines w:val="0"/>
              <w:widowControl w:val="0"/>
              <w:suppressLineNumbers w:val="0"/>
              <w:spacing w:before="0" w:beforeAutospacing="0" w:after="0" w:afterAutospacing="0" w:line="400" w:lineRule="atLeas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19</w:t>
            </w:r>
            <w:r>
              <w:rPr>
                <w:rFonts w:hint="eastAsia" w:ascii="Times New Roman" w:hAnsi="Times New Roman"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lang w:val="en-US" w:eastAsia="zh-CN"/>
              </w:rPr>
              <w:t>废水监测结果</w:t>
            </w:r>
            <w:bookmarkEnd w:id="11"/>
          </w:p>
          <w:tbl>
            <w:tblPr>
              <w:tblStyle w:val="35"/>
              <w:tblW w:w="4997" w:type="pct"/>
              <w:jc w:val="center"/>
              <w:shd w:val="clear" w:color="auto" w:fill="auto"/>
              <w:tblLayout w:type="fixed"/>
              <w:tblCellMar>
                <w:top w:w="0" w:type="dxa"/>
                <w:left w:w="10" w:type="dxa"/>
                <w:bottom w:w="0" w:type="dxa"/>
                <w:right w:w="10" w:type="dxa"/>
              </w:tblCellMar>
            </w:tblPr>
            <w:tblGrid>
              <w:gridCol w:w="826"/>
              <w:gridCol w:w="626"/>
              <w:gridCol w:w="987"/>
              <w:gridCol w:w="904"/>
              <w:gridCol w:w="987"/>
              <w:gridCol w:w="909"/>
              <w:gridCol w:w="1427"/>
              <w:gridCol w:w="821"/>
              <w:gridCol w:w="817"/>
            </w:tblGrid>
            <w:tr>
              <w:tblPrEx>
                <w:shd w:val="clear" w:color="auto" w:fill="auto"/>
                <w:tblCellMar>
                  <w:top w:w="0" w:type="dxa"/>
                  <w:left w:w="10" w:type="dxa"/>
                  <w:bottom w:w="0" w:type="dxa"/>
                  <w:right w:w="10" w:type="dxa"/>
                </w:tblCellMar>
              </w:tblPrEx>
              <w:trPr>
                <w:trHeight w:val="499" w:hRule="exact"/>
                <w:jc w:val="center"/>
              </w:trPr>
              <w:tc>
                <w:tcPr>
                  <w:tcW w:w="497" w:type="pct"/>
                  <w:vMerge w:val="restar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监测指标</w:t>
                  </w:r>
                </w:p>
              </w:tc>
              <w:tc>
                <w:tcPr>
                  <w:tcW w:w="377" w:type="pct"/>
                  <w:vMerge w:val="restar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单位</w:t>
                  </w:r>
                </w:p>
              </w:tc>
              <w:tc>
                <w:tcPr>
                  <w:tcW w:w="2279" w:type="pct"/>
                  <w:gridSpan w:val="4"/>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监测结果</w:t>
                  </w:r>
                </w:p>
              </w:tc>
              <w:tc>
                <w:tcPr>
                  <w:tcW w:w="859" w:type="pct"/>
                  <w:vMerge w:val="restar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日均值或范围值</w:t>
                  </w:r>
                </w:p>
              </w:tc>
              <w:tc>
                <w:tcPr>
                  <w:tcW w:w="494" w:type="pct"/>
                  <w:vMerge w:val="restar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排放限值</w:t>
                  </w:r>
                </w:p>
              </w:tc>
              <w:tc>
                <w:tcPr>
                  <w:tcW w:w="491" w:type="pct"/>
                  <w:vMerge w:val="restar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是否达标</w:t>
                  </w:r>
                </w:p>
              </w:tc>
            </w:tr>
            <w:tr>
              <w:tblPrEx>
                <w:shd w:val="clear" w:color="auto" w:fill="auto"/>
                <w:tblCellMar>
                  <w:top w:w="0" w:type="dxa"/>
                  <w:left w:w="10" w:type="dxa"/>
                  <w:bottom w:w="0" w:type="dxa"/>
                  <w:right w:w="10" w:type="dxa"/>
                </w:tblCellMar>
              </w:tblPrEx>
              <w:trPr>
                <w:trHeight w:val="470" w:hRule="exact"/>
                <w:jc w:val="center"/>
              </w:trPr>
              <w:tc>
                <w:tcPr>
                  <w:tcW w:w="497" w:type="pct"/>
                  <w:vMerge w:val="continue"/>
                  <w:tcBorders>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p>
              </w:tc>
              <w:tc>
                <w:tcPr>
                  <w:tcW w:w="377" w:type="pct"/>
                  <w:vMerge w:val="continue"/>
                  <w:tcBorders>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第1次</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第2次</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第3次</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第4次</w:t>
                  </w:r>
                </w:p>
              </w:tc>
              <w:tc>
                <w:tcPr>
                  <w:tcW w:w="859" w:type="pct"/>
                  <w:vMerge w:val="continue"/>
                  <w:tcBorders>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p>
              </w:tc>
              <w:tc>
                <w:tcPr>
                  <w:tcW w:w="494" w:type="pct"/>
                  <w:vMerge w:val="continue"/>
                  <w:tcBorders>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p>
              </w:tc>
              <w:tc>
                <w:tcPr>
                  <w:tcW w:w="491" w:type="pct"/>
                  <w:vMerge w:val="continue"/>
                  <w:tcBorders>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p>
              </w:tc>
            </w:tr>
            <w:tr>
              <w:tblPrEx>
                <w:shd w:val="clear" w:color="auto" w:fill="auto"/>
                <w:tblCellMar>
                  <w:top w:w="0" w:type="dxa"/>
                  <w:left w:w="10" w:type="dxa"/>
                  <w:bottom w:w="0" w:type="dxa"/>
                  <w:right w:w="10" w:type="dxa"/>
                </w:tblCellMar>
              </w:tblPrEx>
              <w:trPr>
                <w:trHeight w:val="456" w:hRule="exact"/>
                <w:jc w:val="center"/>
              </w:trPr>
              <w:tc>
                <w:tcPr>
                  <w:tcW w:w="49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pH</w:t>
                  </w:r>
                </w:p>
              </w:tc>
              <w:tc>
                <w:tcPr>
                  <w:tcW w:w="37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无量纲</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7.2(11.2°C)</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7.3(11.4C)</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7.1(10.9°C)</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7.4(11.3C)</w:t>
                  </w:r>
                </w:p>
              </w:tc>
              <w:tc>
                <w:tcPr>
                  <w:tcW w:w="859"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7.1</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n-US" w:eastAsia="en-US"/>
                    </w:rPr>
                    <w:t>7.4</w:t>
                  </w:r>
                </w:p>
              </w:tc>
              <w:tc>
                <w:tcPr>
                  <w:tcW w:w="4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6-9</w:t>
                  </w:r>
                </w:p>
              </w:tc>
              <w:tc>
                <w:tcPr>
                  <w:tcW w:w="491"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tblPrEx>
                <w:shd w:val="clear" w:color="auto" w:fill="auto"/>
                <w:tblCellMar>
                  <w:top w:w="0" w:type="dxa"/>
                  <w:left w:w="10" w:type="dxa"/>
                  <w:bottom w:w="0" w:type="dxa"/>
                  <w:right w:w="10" w:type="dxa"/>
                </w:tblCellMar>
              </w:tblPrEx>
              <w:trPr>
                <w:trHeight w:val="461" w:hRule="exact"/>
                <w:jc w:val="center"/>
              </w:trPr>
              <w:tc>
                <w:tcPr>
                  <w:tcW w:w="49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SS</w:t>
                  </w:r>
                </w:p>
              </w:tc>
              <w:tc>
                <w:tcPr>
                  <w:tcW w:w="37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mg/L</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14</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13</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15</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12</w:t>
                  </w:r>
                </w:p>
              </w:tc>
              <w:tc>
                <w:tcPr>
                  <w:tcW w:w="859"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14</w:t>
                  </w:r>
                </w:p>
              </w:tc>
              <w:tc>
                <w:tcPr>
                  <w:tcW w:w="4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400</w:t>
                  </w:r>
                </w:p>
              </w:tc>
              <w:tc>
                <w:tcPr>
                  <w:tcW w:w="491"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tblPrEx>
                <w:shd w:val="clear" w:color="auto" w:fill="auto"/>
                <w:tblCellMar>
                  <w:top w:w="0" w:type="dxa"/>
                  <w:left w:w="10" w:type="dxa"/>
                  <w:bottom w:w="0" w:type="dxa"/>
                  <w:right w:w="10" w:type="dxa"/>
                </w:tblCellMar>
              </w:tblPrEx>
              <w:trPr>
                <w:trHeight w:val="461" w:hRule="exact"/>
                <w:jc w:val="center"/>
              </w:trPr>
              <w:tc>
                <w:tcPr>
                  <w:tcW w:w="49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COD</w:t>
                  </w:r>
                </w:p>
              </w:tc>
              <w:tc>
                <w:tcPr>
                  <w:tcW w:w="37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mg/L</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108</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120</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105</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117</w:t>
                  </w:r>
                </w:p>
              </w:tc>
              <w:tc>
                <w:tcPr>
                  <w:tcW w:w="859"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112</w:t>
                  </w:r>
                </w:p>
              </w:tc>
              <w:tc>
                <w:tcPr>
                  <w:tcW w:w="4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500</w:t>
                  </w:r>
                </w:p>
              </w:tc>
              <w:tc>
                <w:tcPr>
                  <w:tcW w:w="491"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tblPrEx>
                <w:shd w:val="clear" w:color="auto" w:fill="auto"/>
                <w:tblCellMar>
                  <w:top w:w="0" w:type="dxa"/>
                  <w:left w:w="10" w:type="dxa"/>
                  <w:bottom w:w="0" w:type="dxa"/>
                  <w:right w:w="10" w:type="dxa"/>
                </w:tblCellMar>
              </w:tblPrEx>
              <w:trPr>
                <w:trHeight w:val="475" w:hRule="exact"/>
                <w:jc w:val="center"/>
              </w:trPr>
              <w:tc>
                <w:tcPr>
                  <w:tcW w:w="49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氨氮</w:t>
                  </w:r>
                </w:p>
              </w:tc>
              <w:tc>
                <w:tcPr>
                  <w:tcW w:w="37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mg/L</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7.89</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8.25</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7.69</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8.14</w:t>
                  </w:r>
                </w:p>
              </w:tc>
              <w:tc>
                <w:tcPr>
                  <w:tcW w:w="859"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7.99</w:t>
                  </w:r>
                </w:p>
              </w:tc>
              <w:tc>
                <w:tcPr>
                  <w:tcW w:w="4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30</w:t>
                  </w:r>
                </w:p>
              </w:tc>
              <w:tc>
                <w:tcPr>
                  <w:tcW w:w="491"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val="en-US" w:eastAsia="zh-CN"/>
                    </w:rPr>
                    <w:t>达标</w:t>
                  </w:r>
                </w:p>
              </w:tc>
            </w:tr>
            <w:tr>
              <w:tblPrEx>
                <w:shd w:val="clear" w:color="auto" w:fill="auto"/>
                <w:tblCellMar>
                  <w:top w:w="0" w:type="dxa"/>
                  <w:left w:w="10" w:type="dxa"/>
                  <w:bottom w:w="0" w:type="dxa"/>
                  <w:right w:w="10" w:type="dxa"/>
                </w:tblCellMar>
              </w:tblPrEx>
              <w:trPr>
                <w:trHeight w:val="738" w:hRule="exact"/>
                <w:jc w:val="center"/>
              </w:trPr>
              <w:tc>
                <w:tcPr>
                  <w:tcW w:w="49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BOD</w:t>
                  </w:r>
                  <w:r>
                    <w:rPr>
                      <w:rFonts w:hint="eastAsia" w:ascii="Times New Roman" w:hAnsi="Times New Roman" w:cs="Times New Roman"/>
                      <w:color w:val="auto"/>
                      <w:kern w:val="0"/>
                      <w:sz w:val="21"/>
                      <w:szCs w:val="21"/>
                      <w:highlight w:val="none"/>
                      <w:vertAlign w:val="subscript"/>
                      <w:lang w:val="en-US" w:eastAsia="zh-CN"/>
                    </w:rPr>
                    <w:t>5</w:t>
                  </w:r>
                </w:p>
              </w:tc>
              <w:tc>
                <w:tcPr>
                  <w:tcW w:w="377"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mg/L</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36.8</w:t>
                  </w:r>
                </w:p>
              </w:tc>
              <w:tc>
                <w:tcPr>
                  <w:tcW w:w="54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36.3</w:t>
                  </w:r>
                </w:p>
              </w:tc>
              <w:tc>
                <w:tcPr>
                  <w:tcW w:w="5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34.0</w:t>
                  </w:r>
                </w:p>
              </w:tc>
              <w:tc>
                <w:tcPr>
                  <w:tcW w:w="545"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37.1</w:t>
                  </w:r>
                </w:p>
              </w:tc>
              <w:tc>
                <w:tcPr>
                  <w:tcW w:w="859"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36.0</w:t>
                  </w:r>
                </w:p>
              </w:tc>
              <w:tc>
                <w:tcPr>
                  <w:tcW w:w="494" w:type="pct"/>
                  <w:tcBorders>
                    <w:top w:val="single" w:color="auto" w:sz="4" w:space="0"/>
                    <w:lef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300</w:t>
                  </w:r>
                </w:p>
              </w:tc>
              <w:tc>
                <w:tcPr>
                  <w:tcW w:w="491" w:type="pct"/>
                  <w:tcBorders>
                    <w:top w:val="single" w:color="auto" w:sz="4" w:space="0"/>
                    <w:left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r>
              <w:tblPrEx>
                <w:shd w:val="clear" w:color="auto" w:fill="auto"/>
                <w:tblCellMar>
                  <w:top w:w="0" w:type="dxa"/>
                  <w:left w:w="10" w:type="dxa"/>
                  <w:bottom w:w="0" w:type="dxa"/>
                  <w:right w:w="10" w:type="dxa"/>
                </w:tblCellMar>
              </w:tblPrEx>
              <w:trPr>
                <w:trHeight w:val="705" w:hRule="exact"/>
                <w:jc w:val="center"/>
              </w:trPr>
              <w:tc>
                <w:tcPr>
                  <w:tcW w:w="497"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动植物油</w:t>
                  </w:r>
                </w:p>
              </w:tc>
              <w:tc>
                <w:tcPr>
                  <w:tcW w:w="377"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mg/L</w:t>
                  </w:r>
                </w:p>
              </w:tc>
              <w:tc>
                <w:tcPr>
                  <w:tcW w:w="594"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0.74</w:t>
                  </w:r>
                </w:p>
              </w:tc>
              <w:tc>
                <w:tcPr>
                  <w:tcW w:w="544"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0.72</w:t>
                  </w:r>
                </w:p>
              </w:tc>
              <w:tc>
                <w:tcPr>
                  <w:tcW w:w="594"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0.68</w:t>
                  </w:r>
                </w:p>
              </w:tc>
              <w:tc>
                <w:tcPr>
                  <w:tcW w:w="545"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0.69</w:t>
                  </w:r>
                </w:p>
              </w:tc>
              <w:tc>
                <w:tcPr>
                  <w:tcW w:w="859"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en-US"/>
                    </w:rPr>
                    <w:t>0.71</w:t>
                  </w:r>
                </w:p>
              </w:tc>
              <w:tc>
                <w:tcPr>
                  <w:tcW w:w="494" w:type="pct"/>
                  <w:tcBorders>
                    <w:top w:val="single" w:color="auto" w:sz="4" w:space="0"/>
                    <w:left w:val="single" w:color="auto" w:sz="4" w:space="0"/>
                    <w:bottom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100</w:t>
                  </w:r>
                </w:p>
              </w:tc>
              <w:tc>
                <w:tcPr>
                  <w:tcW w:w="491" w:type="pct"/>
                  <w:tcBorders>
                    <w:top w:val="single" w:color="auto" w:sz="4" w:space="0"/>
                    <w:left w:val="single" w:color="auto" w:sz="4" w:space="0"/>
                    <w:bottom w:val="single" w:color="auto" w:sz="4" w:space="0"/>
                    <w:right w:val="single" w:color="auto" w:sz="4" w:space="0"/>
                  </w:tcBorders>
                  <w:shd w:val="clear" w:color="auto" w:fill="auto"/>
                  <w:vAlign w:val="center"/>
                </w:tcPr>
                <w:p>
                  <w:pPr>
                    <w:pStyle w:val="88"/>
                    <w:keepNext w:val="0"/>
                    <w:keepLines w:val="0"/>
                    <w:pageBreakBefore w:val="0"/>
                    <w:widowControl/>
                    <w:suppressLineNumbers w:val="0"/>
                    <w:kinsoku/>
                    <w:wordWrap/>
                    <w:overflowPunct/>
                    <w:topLinePunct w:val="0"/>
                    <w:autoSpaceDE/>
                    <w:autoSpaceDN/>
                    <w:bidi w:val="0"/>
                    <w:adjustRightInd w:val="0"/>
                    <w:snapToGrid/>
                    <w:spacing w:line="240" w:lineRule="auto"/>
                    <w:ind w:left="0" w:firstLine="0" w:firstLineChars="0"/>
                    <w:jc w:val="center"/>
                    <w:textAlignment w:val="baseline"/>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由上表可知，现有工程</w:t>
            </w:r>
            <w:r>
              <w:rPr>
                <w:rFonts w:hint="eastAsia" w:ascii="Times New Roman" w:hAnsi="Times New Roman" w:cs="Times New Roman"/>
                <w:color w:val="auto"/>
                <w:sz w:val="21"/>
                <w:szCs w:val="21"/>
                <w:highlight w:val="none"/>
                <w:lang w:val="en-US" w:eastAsia="zh-CN"/>
              </w:rPr>
              <w:t>废水水质满足《污水综合排放标准》（GB8978-1996）三级标准，氨氮参照《污水排入城镇下水道水质标准》（CJ343-2010），同时满足北郊污水处理厂进水水质要求。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）噪声</w:t>
            </w:r>
          </w:p>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现有</w:t>
            </w:r>
            <w:r>
              <w:rPr>
                <w:rFonts w:hint="default" w:ascii="Times New Roman" w:hAnsi="Times New Roman" w:eastAsia="宋体" w:cs="Times New Roman"/>
                <w:bCs/>
                <w:color w:val="auto"/>
                <w:sz w:val="21"/>
                <w:szCs w:val="21"/>
                <w:highlight w:val="none"/>
              </w:rPr>
              <w:t>项目噪声主要来源于切割机、锻造设备、各类机床、焊机、风机、抛丸机、泵等机械设备噪声和上料、运转过程中产生的碰撞噪声。设备置于全封闭车间内，采取低噪声设备，设备基础减震，建筑隔声等措施</w:t>
            </w:r>
            <w:r>
              <w:rPr>
                <w:rFonts w:hint="default" w:ascii="Times New Roman" w:hAnsi="Times New Roman" w:eastAsia="宋体" w:cs="Times New Roman"/>
                <w:color w:val="auto"/>
                <w:sz w:val="21"/>
                <w:szCs w:val="21"/>
                <w:highlight w:val="none"/>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企业</w:t>
            </w:r>
            <w:r>
              <w:rPr>
                <w:rFonts w:hint="default" w:ascii="Times New Roman" w:hAnsi="Times New Roman" w:cs="Times New Roman"/>
                <w:color w:val="auto"/>
                <w:sz w:val="21"/>
                <w:szCs w:val="21"/>
                <w:highlight w:val="none"/>
                <w:lang w:val="en-US" w:eastAsia="zh-CN"/>
              </w:rPr>
              <w:t>委托</w:t>
            </w:r>
            <w:r>
              <w:rPr>
                <w:rFonts w:hint="eastAsia"/>
                <w:highlight w:val="none"/>
                <w:lang w:eastAsia="zh-CN"/>
              </w:rPr>
              <w:t>唐山</w:t>
            </w:r>
            <w:r>
              <w:rPr>
                <w:rFonts w:hint="eastAsia"/>
                <w:highlight w:val="none"/>
                <w:lang w:val="en-US" w:eastAsia="zh-CN"/>
              </w:rPr>
              <w:t>天之源环保科技</w:t>
            </w:r>
            <w:r>
              <w:rPr>
                <w:rFonts w:hint="eastAsia"/>
                <w:highlight w:val="none"/>
                <w:lang w:eastAsia="zh-CN"/>
              </w:rPr>
              <w:t>有限公司</w:t>
            </w:r>
            <w:r>
              <w:rPr>
                <w:rFonts w:hint="default" w:ascii="Times New Roman" w:hAnsi="Times New Roman" w:eastAsia="宋体" w:cs="Times New Roman"/>
                <w:color w:val="auto"/>
                <w:sz w:val="21"/>
                <w:szCs w:val="21"/>
                <w:highlight w:val="none"/>
                <w:lang w:val="en-US" w:eastAsia="zh-CN"/>
              </w:rPr>
              <w:t>对</w:t>
            </w:r>
            <w:r>
              <w:rPr>
                <w:rFonts w:hint="eastAsia" w:cs="Times New Roman"/>
                <w:color w:val="auto"/>
                <w:sz w:val="21"/>
                <w:szCs w:val="21"/>
                <w:highlight w:val="none"/>
                <w:lang w:val="en-US" w:eastAsia="zh-CN"/>
              </w:rPr>
              <w:t>本企业厂界噪声</w:t>
            </w:r>
            <w:r>
              <w:rPr>
                <w:rFonts w:hint="default" w:ascii="Times New Roman" w:hAnsi="Times New Roman" w:cs="Times New Roman"/>
                <w:color w:val="auto"/>
                <w:sz w:val="21"/>
                <w:szCs w:val="21"/>
                <w:highlight w:val="none"/>
                <w:lang w:val="en-US" w:eastAsia="zh-CN"/>
              </w:rPr>
              <w:t>进行了监测，</w:t>
            </w:r>
            <w:r>
              <w:rPr>
                <w:rFonts w:hint="eastAsia" w:ascii="Times New Roman" w:hAnsi="Times New Roman" w:eastAsia="宋体" w:cs="Times New Roman"/>
                <w:color w:val="auto"/>
                <w:kern w:val="2"/>
                <w:sz w:val="21"/>
                <w:szCs w:val="24"/>
                <w:highlight w:val="none"/>
                <w:lang w:val="en-US" w:eastAsia="zh-CN" w:bidi="ar-SA"/>
              </w:rPr>
              <w:t>监测报告编号为</w:t>
            </w:r>
            <w:r>
              <w:rPr>
                <w:rFonts w:hint="eastAsia" w:cs="Times New Roman"/>
                <w:color w:val="auto"/>
                <w:kern w:val="2"/>
                <w:sz w:val="21"/>
                <w:szCs w:val="24"/>
                <w:highlight w:val="none"/>
                <w:lang w:val="en-US" w:eastAsia="zh-CN" w:bidi="ar-SA"/>
              </w:rPr>
              <w:t>天之源检字（2021）（委）第198-2</w:t>
            </w:r>
            <w:r>
              <w:rPr>
                <w:rFonts w:hint="eastAsia" w:ascii="Times New Roman" w:hAnsi="Times New Roman" w:eastAsia="宋体" w:cs="Times New Roman"/>
                <w:color w:val="auto"/>
                <w:kern w:val="2"/>
                <w:sz w:val="21"/>
                <w:szCs w:val="24"/>
                <w:highlight w:val="none"/>
                <w:lang w:val="en-US" w:eastAsia="zh-CN" w:bidi="ar-SA"/>
              </w:rPr>
              <w:t>号，监测时间为</w:t>
            </w:r>
            <w:r>
              <w:rPr>
                <w:rFonts w:hint="eastAsia" w:cs="Times New Roman"/>
                <w:color w:val="auto"/>
                <w:kern w:val="2"/>
                <w:sz w:val="21"/>
                <w:szCs w:val="24"/>
                <w:highlight w:val="none"/>
                <w:lang w:val="en-US" w:eastAsia="zh-CN" w:bidi="ar-SA"/>
              </w:rPr>
              <w:t>2021年12</w:t>
            </w:r>
            <w:r>
              <w:rPr>
                <w:rFonts w:hint="eastAsia" w:ascii="Times New Roman" w:hAnsi="Times New Roman" w:eastAsia="宋体" w:cs="Times New Roman"/>
                <w:color w:val="auto"/>
                <w:kern w:val="2"/>
                <w:sz w:val="21"/>
                <w:szCs w:val="24"/>
                <w:highlight w:val="none"/>
                <w:lang w:val="en-US" w:eastAsia="zh-CN" w:bidi="ar-SA"/>
              </w:rPr>
              <w:t>月</w:t>
            </w:r>
            <w:r>
              <w:rPr>
                <w:rFonts w:hint="eastAsia" w:cs="Times New Roman"/>
                <w:color w:val="auto"/>
                <w:kern w:val="2"/>
                <w:sz w:val="21"/>
                <w:szCs w:val="24"/>
                <w:highlight w:val="none"/>
                <w:lang w:val="en-US" w:eastAsia="zh-CN" w:bidi="ar-SA"/>
              </w:rPr>
              <w:t>10</w:t>
            </w:r>
            <w:r>
              <w:rPr>
                <w:rFonts w:hint="eastAsia" w:ascii="Times New Roman" w:hAnsi="Times New Roman" w:eastAsia="宋体" w:cs="Times New Roman"/>
                <w:color w:val="auto"/>
                <w:kern w:val="2"/>
                <w:sz w:val="21"/>
                <w:szCs w:val="24"/>
                <w:highlight w:val="none"/>
                <w:lang w:val="en-US" w:eastAsia="zh-CN" w:bidi="ar-SA"/>
              </w:rPr>
              <w:t>日，</w:t>
            </w:r>
            <w:r>
              <w:rPr>
                <w:rFonts w:hint="default" w:ascii="Times New Roman" w:hAnsi="Times New Roman" w:cs="Times New Roman"/>
                <w:color w:val="auto"/>
                <w:sz w:val="21"/>
                <w:szCs w:val="21"/>
                <w:highlight w:val="none"/>
                <w:lang w:val="en-US" w:eastAsia="zh-CN"/>
              </w:rPr>
              <w:t>监测结果见下表。</w:t>
            </w:r>
          </w:p>
          <w:p>
            <w:pPr>
              <w:keepNext w:val="0"/>
              <w:keepLines w:val="0"/>
              <w:widowControl/>
              <w:suppressLineNumbers w:val="0"/>
              <w:adjustRightInd w:val="0"/>
              <w:spacing w:before="0" w:beforeAutospacing="0" w:after="0" w:afterAutospacing="0"/>
              <w:ind w:left="0" w:right="0"/>
              <w:jc w:val="center"/>
              <w:rPr>
                <w:rFonts w:hint="default" w:ascii="Times New Roman" w:hAnsi="Times New Roman" w:cs="Times New Roman"/>
                <w:b w:val="0"/>
                <w:bCs w:val="0"/>
                <w:color w:val="000000"/>
                <w:spacing w:val="5"/>
                <w:kern w:val="0"/>
                <w:szCs w:val="21"/>
                <w:highlight w:val="none"/>
              </w:rPr>
            </w:pPr>
            <w:bookmarkStart w:id="12" w:name="_Hlk522300803"/>
            <w:r>
              <w:rPr>
                <w:rFonts w:hint="default" w:ascii="Times New Roman" w:hAnsi="Times New Roman" w:cs="Times New Roman"/>
                <w:b w:val="0"/>
                <w:bCs w:val="0"/>
                <w:color w:val="000000"/>
                <w:spacing w:val="5"/>
                <w:kern w:val="0"/>
                <w:szCs w:val="21"/>
                <w:highlight w:val="none"/>
              </w:rPr>
              <w:t>表</w:t>
            </w:r>
            <w:r>
              <w:rPr>
                <w:rFonts w:hint="eastAsia" w:cs="Times New Roman"/>
                <w:b w:val="0"/>
                <w:bCs w:val="0"/>
                <w:color w:val="000000"/>
                <w:spacing w:val="5"/>
                <w:kern w:val="0"/>
                <w:szCs w:val="21"/>
                <w:highlight w:val="none"/>
                <w:lang w:val="en-US" w:eastAsia="zh-CN"/>
              </w:rPr>
              <w:t>20</w:t>
            </w:r>
            <w:r>
              <w:rPr>
                <w:rFonts w:hint="default" w:ascii="Times New Roman" w:hAnsi="Times New Roman" w:cs="Times New Roman"/>
                <w:b w:val="0"/>
                <w:bCs w:val="0"/>
                <w:color w:val="000000"/>
                <w:spacing w:val="5"/>
                <w:kern w:val="0"/>
                <w:szCs w:val="21"/>
                <w:highlight w:val="none"/>
              </w:rPr>
              <w:t xml:space="preserve">  </w:t>
            </w:r>
            <w:r>
              <w:rPr>
                <w:rFonts w:hint="eastAsia" w:ascii="Times New Roman" w:hAnsi="Times New Roman" w:cs="Times New Roman"/>
                <w:b w:val="0"/>
                <w:bCs w:val="0"/>
                <w:color w:val="000000"/>
                <w:spacing w:val="5"/>
                <w:kern w:val="0"/>
                <w:szCs w:val="21"/>
                <w:highlight w:val="none"/>
                <w:lang w:val="en-US" w:eastAsia="zh-CN"/>
              </w:rPr>
              <w:t>厂界检测</w:t>
            </w:r>
            <w:r>
              <w:rPr>
                <w:rFonts w:hint="default" w:ascii="Times New Roman" w:hAnsi="Times New Roman" w:cs="Times New Roman"/>
                <w:b w:val="0"/>
                <w:bCs w:val="0"/>
                <w:color w:val="000000"/>
                <w:spacing w:val="5"/>
                <w:kern w:val="0"/>
                <w:szCs w:val="21"/>
                <w:highlight w:val="none"/>
              </w:rPr>
              <w:t>结果</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999"/>
              <w:gridCol w:w="1125"/>
              <w:gridCol w:w="1375"/>
              <w:gridCol w:w="1375"/>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25" w:type="pct"/>
                  <w:gridSpan w:val="2"/>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suppressLineNumbers w:val="0"/>
                    <w:snapToGrid w:val="0"/>
                    <w:spacing w:before="0" w:beforeAutospacing="0" w:after="0" w:afterAutospacing="0" w:line="240" w:lineRule="auto"/>
                    <w:ind w:left="0" w:right="0" w:firstLine="0" w:firstLineChars="0"/>
                    <w:jc w:val="center"/>
                    <w:rPr>
                      <w:rFonts w:hint="eastAsia" w:ascii="Times New Roman" w:hAnsi="Times New Roman" w:cs="Times New Roman"/>
                      <w:bCs/>
                      <w:kern w:val="0"/>
                      <w:sz w:val="21"/>
                      <w:szCs w:val="21"/>
                      <w:highlight w:val="none"/>
                      <w:lang w:val="en-US" w:eastAsia="zh-CN"/>
                    </w:rPr>
                  </w:pPr>
                </w:p>
                <w:p>
                  <w:pPr>
                    <w:keepNext w:val="0"/>
                    <w:keepLines w:val="0"/>
                    <w:suppressLineNumbers w:val="0"/>
                    <w:snapToGrid w:val="0"/>
                    <w:spacing w:before="0" w:beforeAutospacing="0" w:after="0" w:afterAutospacing="0" w:line="240" w:lineRule="auto"/>
                    <w:ind w:left="0" w:right="0" w:firstLine="0" w:firstLineChars="0"/>
                    <w:jc w:val="center"/>
                    <mc:AlternateContent>
                      <mc:Choice Requires="wpsCustomData">
                        <wpsCustomData:diagonalParaType/>
                      </mc:Choice>
                    </mc:AlternateContent>
                    <w:rPr>
                      <w:rFonts w:hint="default" w:ascii="Times New Roman" w:hAnsi="Times New Roman" w:eastAsia="宋体"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检测日期</w:t>
                  </w:r>
                </w:p>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bCs/>
                      <w:kern w:val="0"/>
                      <w:sz w:val="21"/>
                      <w:szCs w:val="21"/>
                      <w:highlight w:val="none"/>
                      <w:lang w:val="en-US" w:eastAsia="zh-CN"/>
                    </w:rPr>
                  </w:pPr>
                  <w:r>
                    <w:rPr>
                      <w:rFonts w:hint="default" w:ascii="Times New Roman" w:hAnsi="Times New Roman" w:cs="Times New Roman"/>
                      <w:bCs/>
                      <w:kern w:val="0"/>
                      <w:sz w:val="21"/>
                      <w:szCs w:val="21"/>
                      <w:highlight w:val="none"/>
                    </w:rPr>
                    <w:t>检测点</w:t>
                  </w:r>
                  <w:r>
                    <w:rPr>
                      <w:rFonts w:hint="eastAsia" w:ascii="Times New Roman" w:hAnsi="Times New Roman" w:cs="Times New Roman"/>
                      <w:bCs/>
                      <w:kern w:val="0"/>
                      <w:sz w:val="21"/>
                      <w:szCs w:val="21"/>
                      <w:highlight w:val="none"/>
                      <w:lang w:val="en-US" w:eastAsia="zh-CN"/>
                    </w:rPr>
                    <w:t>位</w:t>
                  </w:r>
                </w:p>
              </w:tc>
              <w:tc>
                <w:tcPr>
                  <w:tcW w:w="678"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1#</w:t>
                  </w:r>
                  <w:r>
                    <w:rPr>
                      <w:rFonts w:hint="eastAsia" w:cs="Times New Roman"/>
                      <w:bCs/>
                      <w:kern w:val="0"/>
                      <w:sz w:val="21"/>
                      <w:szCs w:val="21"/>
                      <w:highlight w:val="none"/>
                      <w:lang w:val="en-US" w:eastAsia="zh-CN"/>
                    </w:rPr>
                    <w:t>（东）</w:t>
                  </w:r>
                </w:p>
              </w:tc>
              <w:tc>
                <w:tcPr>
                  <w:tcW w:w="829"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2#</w:t>
                  </w:r>
                  <w:r>
                    <w:rPr>
                      <w:rFonts w:hint="eastAsia" w:cs="Times New Roman"/>
                      <w:bCs/>
                      <w:kern w:val="0"/>
                      <w:sz w:val="21"/>
                      <w:szCs w:val="21"/>
                      <w:highlight w:val="none"/>
                      <w:lang w:val="en-US" w:eastAsia="zh-CN"/>
                    </w:rPr>
                    <w:t>（南）</w:t>
                  </w:r>
                </w:p>
              </w:tc>
              <w:tc>
                <w:tcPr>
                  <w:tcW w:w="829"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3#</w:t>
                  </w:r>
                  <w:r>
                    <w:rPr>
                      <w:rFonts w:hint="eastAsia" w:cs="Times New Roman"/>
                      <w:bCs/>
                      <w:kern w:val="0"/>
                      <w:sz w:val="21"/>
                      <w:szCs w:val="21"/>
                      <w:highlight w:val="none"/>
                      <w:lang w:val="en-US" w:eastAsia="zh-CN"/>
                    </w:rPr>
                    <w:t>（西）</w:t>
                  </w:r>
                </w:p>
              </w:tc>
              <w:tc>
                <w:tcPr>
                  <w:tcW w:w="837"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4#</w:t>
                  </w:r>
                  <w:r>
                    <w:rPr>
                      <w:rFonts w:hint="eastAsia" w:cs="Times New Roman"/>
                      <w:bCs/>
                      <w:kern w:val="0"/>
                      <w:sz w:val="21"/>
                      <w:szCs w:val="21"/>
                      <w:highlight w:val="none"/>
                      <w:lang w:val="en-US" w:eastAsia="zh-CN"/>
                    </w:rPr>
                    <w:t>（北）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23"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cs="Times New Roman"/>
                      <w:color w:val="auto"/>
                      <w:kern w:val="2"/>
                      <w:sz w:val="21"/>
                      <w:szCs w:val="24"/>
                      <w:highlight w:val="none"/>
                      <w:lang w:val="en-US" w:eastAsia="zh-CN" w:bidi="ar-SA"/>
                    </w:rPr>
                    <w:t>2021年12</w:t>
                  </w:r>
                  <w:r>
                    <w:rPr>
                      <w:rFonts w:hint="eastAsia" w:ascii="Times New Roman" w:hAnsi="Times New Roman" w:eastAsia="宋体" w:cs="Times New Roman"/>
                      <w:color w:val="auto"/>
                      <w:kern w:val="2"/>
                      <w:sz w:val="21"/>
                      <w:szCs w:val="24"/>
                      <w:highlight w:val="none"/>
                      <w:lang w:val="en-US" w:eastAsia="zh-CN" w:bidi="ar-SA"/>
                    </w:rPr>
                    <w:t>月</w:t>
                  </w:r>
                  <w:r>
                    <w:rPr>
                      <w:rFonts w:hint="eastAsia" w:cs="Times New Roman"/>
                      <w:color w:val="auto"/>
                      <w:kern w:val="2"/>
                      <w:sz w:val="21"/>
                      <w:szCs w:val="24"/>
                      <w:highlight w:val="none"/>
                      <w:lang w:val="en-US" w:eastAsia="zh-CN" w:bidi="ar-SA"/>
                    </w:rPr>
                    <w:t>10</w:t>
                  </w:r>
                  <w:r>
                    <w:rPr>
                      <w:rFonts w:hint="eastAsia" w:ascii="Times New Roman" w:hAnsi="Times New Roman" w:eastAsia="宋体" w:cs="Times New Roman"/>
                      <w:color w:val="auto"/>
                      <w:kern w:val="2"/>
                      <w:sz w:val="21"/>
                      <w:szCs w:val="24"/>
                      <w:highlight w:val="none"/>
                      <w:lang w:val="en-US" w:eastAsia="zh-CN" w:bidi="ar-SA"/>
                    </w:rPr>
                    <w:t>日</w:t>
                  </w:r>
                </w:p>
              </w:tc>
              <w:tc>
                <w:tcPr>
                  <w:tcW w:w="602"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kern w:val="0"/>
                      <w:sz w:val="21"/>
                      <w:szCs w:val="21"/>
                      <w:highlight w:val="none"/>
                      <w:lang w:val="en-US" w:eastAsia="zh-CN"/>
                    </w:rPr>
                  </w:pPr>
                  <w:r>
                    <w:rPr>
                      <w:rFonts w:hint="eastAsia" w:ascii="Times New Roman" w:hAnsi="Times New Roman" w:cs="Times New Roman"/>
                      <w:bCs/>
                      <w:kern w:val="0"/>
                      <w:sz w:val="21"/>
                      <w:szCs w:val="21"/>
                      <w:highlight w:val="none"/>
                      <w:lang w:val="en-US" w:eastAsia="zh-CN"/>
                    </w:rPr>
                    <w:t>昼间值</w:t>
                  </w:r>
                </w:p>
              </w:tc>
              <w:tc>
                <w:tcPr>
                  <w:tcW w:w="678" w:type="pct"/>
                  <w:noWrap w:val="0"/>
                  <w:vAlign w:val="center"/>
                </w:tcPr>
                <w:p>
                  <w:pPr>
                    <w:keepNext w:val="0"/>
                    <w:keepLines w:val="0"/>
                    <w:widowControl/>
                    <w:suppressLineNumbers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cs="Times New Roman"/>
                      <w:bCs/>
                      <w:kern w:val="0"/>
                      <w:sz w:val="21"/>
                      <w:szCs w:val="21"/>
                      <w:highlight w:val="none"/>
                      <w:lang w:val="en-US" w:eastAsia="zh-CN"/>
                    </w:rPr>
                    <w:t>63.6</w:t>
                  </w:r>
                </w:p>
              </w:tc>
              <w:tc>
                <w:tcPr>
                  <w:tcW w:w="829" w:type="pct"/>
                  <w:noWrap w:val="0"/>
                  <w:vAlign w:val="center"/>
                </w:tcPr>
                <w:p>
                  <w:pPr>
                    <w:keepNext w:val="0"/>
                    <w:keepLines w:val="0"/>
                    <w:widowControl/>
                    <w:suppressLineNumbers w:val="0"/>
                    <w:adjustRightInd/>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cs="Times New Roman"/>
                      <w:bCs/>
                      <w:kern w:val="0"/>
                      <w:sz w:val="21"/>
                      <w:szCs w:val="21"/>
                      <w:highlight w:val="none"/>
                      <w:lang w:val="en-US" w:eastAsia="zh-CN"/>
                    </w:rPr>
                    <w:t>57.3</w:t>
                  </w:r>
                </w:p>
              </w:tc>
              <w:tc>
                <w:tcPr>
                  <w:tcW w:w="829"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cs="Times New Roman"/>
                      <w:bCs/>
                      <w:kern w:val="0"/>
                      <w:sz w:val="21"/>
                      <w:szCs w:val="21"/>
                      <w:highlight w:val="none"/>
                      <w:lang w:val="en-US" w:eastAsia="zh-CN"/>
                    </w:rPr>
                    <w:t>56.8</w:t>
                  </w:r>
                </w:p>
              </w:tc>
              <w:tc>
                <w:tcPr>
                  <w:tcW w:w="837" w:type="pct"/>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kern w:val="0"/>
                      <w:sz w:val="21"/>
                      <w:szCs w:val="21"/>
                      <w:highlight w:val="none"/>
                      <w:lang w:val="en-US" w:eastAsia="zh-CN"/>
                    </w:rPr>
                  </w:pPr>
                  <w:r>
                    <w:rPr>
                      <w:rFonts w:hint="eastAsia" w:cs="Times New Roman"/>
                      <w:bCs/>
                      <w:kern w:val="0"/>
                      <w:sz w:val="21"/>
                      <w:szCs w:val="21"/>
                      <w:highlight w:val="none"/>
                      <w:lang w:val="en-US" w:eastAsia="zh-CN"/>
                    </w:rPr>
                    <w:t>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000" w:type="pct"/>
                  <w:gridSpan w:val="6"/>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cs="Times New Roman"/>
                      <w:bCs/>
                      <w:kern w:val="0"/>
                      <w:sz w:val="21"/>
                      <w:szCs w:val="21"/>
                      <w:highlight w:val="none"/>
                      <w:lang w:val="en-US" w:eastAsia="zh-CN"/>
                    </w:rPr>
                  </w:pPr>
                  <w:bookmarkStart w:id="13" w:name="_Hlk503918945"/>
                  <w:r>
                    <w:rPr>
                      <w:rFonts w:hint="eastAsia" w:cs="Times New Roman"/>
                      <w:bCs/>
                      <w:kern w:val="0"/>
                      <w:sz w:val="21"/>
                      <w:szCs w:val="21"/>
                      <w:highlight w:val="none"/>
                      <w:lang w:val="en-US" w:eastAsia="zh-CN"/>
                    </w:rPr>
                    <w:t>1#、2#、3#、4#点位为4类噪声，1#学院路，2#庆南道，3#大理路，4#大庆西道</w:t>
                  </w:r>
                </w:p>
              </w:tc>
            </w:tr>
            <w:bookmarkEnd w:id="12"/>
          </w:tbl>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根据监测报告，该企业</w:t>
            </w:r>
            <w:r>
              <w:rPr>
                <w:rFonts w:hint="eastAsia" w:cs="Times New Roman"/>
                <w:color w:val="auto"/>
                <w:kern w:val="0"/>
                <w:sz w:val="21"/>
                <w:szCs w:val="21"/>
                <w:highlight w:val="none"/>
                <w:lang w:val="en-US" w:eastAsia="zh-CN"/>
              </w:rPr>
              <w:t>东、南、西</w:t>
            </w:r>
            <w:r>
              <w:rPr>
                <w:rFonts w:hint="default" w:ascii="Times New Roman" w:hAnsi="Times New Roman" w:eastAsia="宋体" w:cs="Times New Roman"/>
                <w:color w:val="auto"/>
                <w:kern w:val="0"/>
                <w:sz w:val="21"/>
                <w:szCs w:val="21"/>
                <w:highlight w:val="none"/>
              </w:rPr>
              <w:t>厂界昼间噪声值范围</w:t>
            </w:r>
            <w:bookmarkStart w:id="14" w:name="_Hlk522257360"/>
            <w:r>
              <w:rPr>
                <w:rFonts w:hint="eastAsia" w:cs="Times New Roman"/>
                <w:color w:val="auto"/>
                <w:kern w:val="0"/>
                <w:sz w:val="21"/>
                <w:szCs w:val="21"/>
                <w:highlight w:val="none"/>
                <w:lang w:val="en-US" w:eastAsia="zh-CN"/>
              </w:rPr>
              <w:t>57.3</w:t>
            </w:r>
            <w:r>
              <w:rPr>
                <w:rFonts w:hint="default" w:ascii="Times New Roman" w:hAnsi="Times New Roman" w:eastAsia="宋体"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6</w:t>
            </w:r>
            <w:r>
              <w:rPr>
                <w:rFonts w:hint="eastAsia" w:cs="Times New Roman"/>
                <w:color w:val="auto"/>
                <w:kern w:val="0"/>
                <w:sz w:val="21"/>
                <w:szCs w:val="21"/>
                <w:highlight w:val="none"/>
                <w:lang w:val="en-US" w:eastAsia="zh-CN"/>
              </w:rPr>
              <w:t>3.6</w:t>
            </w:r>
            <w:r>
              <w:rPr>
                <w:rFonts w:hint="eastAsia" w:ascii="Times New Roman" w:hAnsi="Times New Roman" w:cs="Times New Roman"/>
                <w:color w:val="auto"/>
                <w:kern w:val="0"/>
                <w:sz w:val="21"/>
                <w:szCs w:val="21"/>
                <w:highlight w:val="none"/>
                <w:lang w:val="en-US" w:eastAsia="zh-CN"/>
              </w:rPr>
              <w:t>d</w:t>
            </w:r>
            <w:r>
              <w:rPr>
                <w:rFonts w:hint="default" w:ascii="Times New Roman" w:hAnsi="Times New Roman" w:eastAsia="宋体" w:cs="Times New Roman"/>
                <w:color w:val="auto"/>
                <w:kern w:val="0"/>
                <w:sz w:val="21"/>
                <w:szCs w:val="21"/>
                <w:highlight w:val="none"/>
              </w:rPr>
              <w:t>B(A)</w:t>
            </w:r>
            <w:r>
              <w:rPr>
                <w:rFonts w:hint="default" w:ascii="Times New Roman" w:hAnsi="Times New Roman" w:eastAsia="宋体" w:cs="Times New Roman"/>
                <w:color w:val="auto"/>
                <w:kern w:val="0"/>
                <w:sz w:val="21"/>
                <w:szCs w:val="21"/>
                <w:highlight w:val="none"/>
                <w:lang w:eastAsia="zh-CN"/>
              </w:rPr>
              <w:t>，</w:t>
            </w:r>
            <w:bookmarkEnd w:id="14"/>
            <w:r>
              <w:rPr>
                <w:rFonts w:hint="eastAsia" w:cs="Times New Roman"/>
                <w:color w:val="auto"/>
                <w:kern w:val="0"/>
                <w:sz w:val="21"/>
                <w:szCs w:val="21"/>
                <w:highlight w:val="none"/>
                <w:lang w:val="en-US" w:eastAsia="zh-CN"/>
              </w:rPr>
              <w:t>能够满足</w:t>
            </w:r>
            <w:r>
              <w:rPr>
                <w:rFonts w:hint="default" w:ascii="Times New Roman" w:hAnsi="Times New Roman" w:eastAsia="宋体" w:cs="Times New Roman"/>
                <w:color w:val="auto"/>
                <w:kern w:val="0"/>
                <w:sz w:val="21"/>
                <w:szCs w:val="21"/>
                <w:highlight w:val="none"/>
              </w:rPr>
              <w:t>《工业企业厂界环境噪声排放标准》(GB12348-2008)中</w:t>
            </w:r>
            <w:r>
              <w:rPr>
                <w:rFonts w:hint="eastAsia"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类标准限值要求</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昼间</w:t>
            </w:r>
            <w:r>
              <w:rPr>
                <w:rFonts w:hint="default" w:ascii="Times New Roman" w:hAnsi="Times New Roman" w:eastAsia="宋体" w:cs="Times New Roman"/>
                <w:bCs/>
                <w:color w:val="auto"/>
                <w:kern w:val="0"/>
                <w:sz w:val="21"/>
                <w:szCs w:val="21"/>
                <w:highlight w:val="none"/>
              </w:rPr>
              <w:t>≤</w:t>
            </w:r>
            <w:r>
              <w:rPr>
                <w:rFonts w:hint="eastAsia" w:cs="Times New Roman"/>
                <w:bCs/>
                <w:color w:val="auto"/>
                <w:kern w:val="0"/>
                <w:sz w:val="21"/>
                <w:szCs w:val="21"/>
                <w:highlight w:val="none"/>
                <w:lang w:val="en-US" w:eastAsia="zh-CN"/>
              </w:rPr>
              <w:t>65</w:t>
            </w:r>
            <w:r>
              <w:rPr>
                <w:rFonts w:hint="default" w:ascii="Times New Roman" w:hAnsi="Times New Roman" w:eastAsia="宋体" w:cs="Times New Roman"/>
                <w:color w:val="auto"/>
                <w:kern w:val="0"/>
                <w:sz w:val="21"/>
                <w:szCs w:val="21"/>
                <w:highlight w:val="none"/>
              </w:rPr>
              <w:t>dB(A)</w:t>
            </w:r>
            <w:r>
              <w:rPr>
                <w:rFonts w:hint="default" w:ascii="Times New Roman" w:hAnsi="Times New Roman" w:eastAsia="宋体" w:cs="Times New Roman"/>
                <w:color w:val="auto"/>
                <w:kern w:val="0"/>
                <w:sz w:val="21"/>
                <w:szCs w:val="21"/>
                <w:highlight w:val="none"/>
                <w:lang w:eastAsia="zh-CN"/>
              </w:rPr>
              <w:t>）</w:t>
            </w:r>
            <w:r>
              <w:rPr>
                <w:rFonts w:hint="eastAsia" w:cs="Times New Roman"/>
                <w:color w:val="auto"/>
                <w:kern w:val="0"/>
                <w:sz w:val="21"/>
                <w:szCs w:val="21"/>
                <w:highlight w:val="none"/>
                <w:lang w:eastAsia="zh-CN"/>
              </w:rPr>
              <w:t>；</w:t>
            </w:r>
            <w:r>
              <w:rPr>
                <w:rFonts w:hint="eastAsia" w:cs="Times New Roman"/>
                <w:color w:val="auto"/>
                <w:kern w:val="0"/>
                <w:sz w:val="21"/>
                <w:szCs w:val="21"/>
                <w:highlight w:val="none"/>
                <w:lang w:val="en-US" w:eastAsia="zh-CN"/>
              </w:rPr>
              <w:t>北厂界</w:t>
            </w:r>
            <w:r>
              <w:rPr>
                <w:rFonts w:hint="default" w:ascii="Times New Roman" w:hAnsi="Times New Roman" w:eastAsia="宋体" w:cs="Times New Roman"/>
                <w:color w:val="auto"/>
                <w:kern w:val="0"/>
                <w:sz w:val="21"/>
                <w:szCs w:val="21"/>
                <w:highlight w:val="none"/>
              </w:rPr>
              <w:t>昼间噪声值</w:t>
            </w:r>
            <w:r>
              <w:rPr>
                <w:rFonts w:hint="eastAsia" w:cs="Times New Roman"/>
                <w:color w:val="auto"/>
                <w:kern w:val="0"/>
                <w:sz w:val="21"/>
                <w:szCs w:val="21"/>
                <w:highlight w:val="none"/>
                <w:lang w:val="en-US" w:eastAsia="zh-CN"/>
              </w:rPr>
              <w:t>为64.8</w:t>
            </w:r>
            <w:r>
              <w:rPr>
                <w:rFonts w:hint="eastAsia" w:ascii="Times New Roman" w:hAnsi="Times New Roman" w:cs="Times New Roman"/>
                <w:color w:val="auto"/>
                <w:kern w:val="0"/>
                <w:sz w:val="21"/>
                <w:szCs w:val="21"/>
                <w:highlight w:val="none"/>
                <w:lang w:val="en-US" w:eastAsia="zh-CN"/>
              </w:rPr>
              <w:t>d</w:t>
            </w:r>
            <w:r>
              <w:rPr>
                <w:rFonts w:hint="default" w:ascii="Times New Roman" w:hAnsi="Times New Roman" w:eastAsia="宋体" w:cs="Times New Roman"/>
                <w:color w:val="auto"/>
                <w:kern w:val="0"/>
                <w:sz w:val="21"/>
                <w:szCs w:val="21"/>
                <w:highlight w:val="none"/>
              </w:rPr>
              <w:t>B(A)</w:t>
            </w:r>
            <w:r>
              <w:rPr>
                <w:rFonts w:hint="eastAsia" w:cs="Times New Roman"/>
                <w:color w:val="auto"/>
                <w:kern w:val="0"/>
                <w:sz w:val="21"/>
                <w:szCs w:val="21"/>
                <w:highlight w:val="none"/>
                <w:lang w:val="en-US" w:eastAsia="zh-CN"/>
              </w:rPr>
              <w:t>，能够满足</w:t>
            </w:r>
            <w:r>
              <w:rPr>
                <w:rFonts w:hint="default" w:ascii="Times New Roman" w:hAnsi="Times New Roman" w:eastAsia="宋体" w:cs="Times New Roman"/>
                <w:color w:val="auto"/>
                <w:kern w:val="0"/>
                <w:sz w:val="21"/>
                <w:szCs w:val="21"/>
                <w:highlight w:val="none"/>
              </w:rPr>
              <w:t>《工业企业厂界环境噪声排放标准》(GB12348-2008)中</w:t>
            </w:r>
            <w:r>
              <w:rPr>
                <w:rFonts w:hint="eastAsia"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类标准限值要求</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昼间</w:t>
            </w:r>
            <w:r>
              <w:rPr>
                <w:rFonts w:hint="default" w:ascii="Times New Roman" w:hAnsi="Times New Roman" w:eastAsia="宋体" w:cs="Times New Roman"/>
                <w:bCs/>
                <w:color w:val="auto"/>
                <w:kern w:val="0"/>
                <w:sz w:val="21"/>
                <w:szCs w:val="21"/>
                <w:highlight w:val="none"/>
              </w:rPr>
              <w:t>≤</w:t>
            </w:r>
            <w:r>
              <w:rPr>
                <w:rFonts w:hint="eastAsia" w:cs="Times New Roman"/>
                <w:bCs/>
                <w:color w:val="auto"/>
                <w:kern w:val="0"/>
                <w:sz w:val="21"/>
                <w:szCs w:val="21"/>
                <w:highlight w:val="none"/>
                <w:lang w:val="en-US" w:eastAsia="zh-CN"/>
              </w:rPr>
              <w:t>70</w:t>
            </w:r>
            <w:r>
              <w:rPr>
                <w:rFonts w:hint="default" w:ascii="Times New Roman" w:hAnsi="Times New Roman" w:eastAsia="宋体" w:cs="Times New Roman"/>
                <w:color w:val="auto"/>
                <w:kern w:val="0"/>
                <w:sz w:val="21"/>
                <w:szCs w:val="21"/>
                <w:highlight w:val="none"/>
              </w:rPr>
              <w:t>dB(A)</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w:t>
            </w:r>
            <w:bookmarkEnd w:id="13"/>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）固废</w:t>
            </w:r>
          </w:p>
          <w:p>
            <w:pPr>
              <w:pStyle w:val="72"/>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一般固体废物主要为下料边角料、除鳞氧化铁皮、工件机加工</w:t>
            </w:r>
            <w:r>
              <w:rPr>
                <w:rFonts w:hint="eastAsia" w:cs="Times New Roman"/>
                <w:color w:val="auto"/>
                <w:sz w:val="21"/>
                <w:szCs w:val="21"/>
                <w:highlight w:val="none"/>
                <w:lang w:eastAsia="zh-CN"/>
              </w:rPr>
              <w:t>废金属屑</w:t>
            </w:r>
            <w:r>
              <w:rPr>
                <w:rFonts w:hint="default" w:ascii="Times New Roman" w:hAnsi="Times New Roman" w:eastAsia="宋体" w:cs="Times New Roman"/>
                <w:color w:val="auto"/>
                <w:sz w:val="21"/>
                <w:szCs w:val="21"/>
                <w:highlight w:val="none"/>
              </w:rPr>
              <w:t>、除尘灰</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办公生活垃圾；危险废物主要为废乳化液。下料边角料、除鳞氧化铁皮、工件机加工</w:t>
            </w:r>
            <w:r>
              <w:rPr>
                <w:rFonts w:hint="eastAsia" w:cs="Times New Roman"/>
                <w:color w:val="auto"/>
                <w:sz w:val="21"/>
                <w:szCs w:val="21"/>
                <w:highlight w:val="none"/>
                <w:lang w:eastAsia="zh-CN"/>
              </w:rPr>
              <w:t>废金属屑</w:t>
            </w:r>
            <w:r>
              <w:rPr>
                <w:rFonts w:hint="default" w:ascii="Times New Roman" w:hAnsi="Times New Roman" w:eastAsia="宋体" w:cs="Times New Roman"/>
                <w:color w:val="auto"/>
                <w:sz w:val="21"/>
                <w:szCs w:val="21"/>
                <w:highlight w:val="none"/>
              </w:rPr>
              <w:t>作为炼钢原料出售</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除尘灰集中收集后，外售废品回收站</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办公生活垃圾</w:t>
            </w:r>
            <w:r>
              <w:rPr>
                <w:rFonts w:hint="eastAsia" w:cs="Times New Roman"/>
                <w:color w:val="auto"/>
                <w:sz w:val="21"/>
                <w:szCs w:val="21"/>
                <w:highlight w:val="none"/>
                <w:lang w:eastAsia="zh-CN"/>
              </w:rPr>
              <w:t>由唐山市市政部门统</w:t>
            </w:r>
            <w:r>
              <w:rPr>
                <w:rFonts w:hint="eastAsia" w:cs="Times New Roman"/>
                <w:color w:val="auto"/>
                <w:sz w:val="21"/>
                <w:szCs w:val="21"/>
                <w:highlight w:val="none"/>
                <w:lang w:val="en-US" w:eastAsia="zh-CN"/>
              </w:rPr>
              <w:t>一</w:t>
            </w:r>
            <w:r>
              <w:rPr>
                <w:rFonts w:hint="eastAsia" w:cs="Times New Roman"/>
                <w:color w:val="auto"/>
                <w:sz w:val="21"/>
                <w:szCs w:val="21"/>
                <w:highlight w:val="none"/>
                <w:lang w:eastAsia="zh-CN"/>
              </w:rPr>
              <w:t>收集处理；</w:t>
            </w:r>
            <w:r>
              <w:rPr>
                <w:rFonts w:hint="default" w:ascii="Times New Roman" w:hAnsi="Times New Roman" w:cs="Times New Roman"/>
                <w:color w:val="auto"/>
                <w:sz w:val="21"/>
                <w:szCs w:val="21"/>
                <w:highlight w:val="none"/>
                <w:lang w:val="en-US" w:eastAsia="zh-CN"/>
              </w:rPr>
              <w:t>危险废物</w:t>
            </w:r>
            <w:r>
              <w:rPr>
                <w:rFonts w:hint="eastAsia" w:cs="Times New Roman"/>
                <w:color w:val="auto"/>
                <w:sz w:val="21"/>
                <w:szCs w:val="21"/>
                <w:highlight w:val="none"/>
                <w:lang w:val="en-US" w:eastAsia="zh-CN"/>
              </w:rPr>
              <w:t>废乳化液、废滤芯、实验室废液、废油粘、废润滑油</w:t>
            </w:r>
            <w:r>
              <w:rPr>
                <w:rFonts w:hint="default" w:ascii="Times New Roman" w:hAnsi="Times New Roman" w:cs="Times New Roman"/>
                <w:color w:val="auto"/>
                <w:sz w:val="21"/>
                <w:szCs w:val="21"/>
                <w:highlight w:val="none"/>
                <w:lang w:val="en-US" w:eastAsia="zh-CN"/>
              </w:rPr>
              <w:t>，暂存危废间，由有资质单位集中处理。固体废物均合理处置。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现有工程污染物排放量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cs="Times New Roman"/>
                <w:color w:val="FF000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现有</w:t>
            </w:r>
            <w:r>
              <w:rPr>
                <w:rFonts w:hint="default" w:ascii="Times New Roman" w:hAnsi="Times New Roman" w:cs="Times New Roman"/>
                <w:color w:val="auto"/>
                <w:sz w:val="21"/>
                <w:szCs w:val="21"/>
                <w:highlight w:val="none"/>
                <w:lang w:val="en-US" w:eastAsia="zh-CN"/>
              </w:rPr>
              <w:t>工程不涉及</w:t>
            </w:r>
            <w:r>
              <w:rPr>
                <w:rFonts w:hint="default" w:ascii="Times New Roman" w:hAnsi="Times New Roman" w:eastAsia="宋体"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气</w:t>
            </w:r>
            <w:r>
              <w:rPr>
                <w:rFonts w:hint="default" w:ascii="Times New Roman" w:hAnsi="Times New Roman" w:eastAsia="宋体" w:cs="Times New Roman"/>
                <w:color w:val="auto"/>
                <w:sz w:val="21"/>
                <w:szCs w:val="21"/>
                <w:highlight w:val="none"/>
              </w:rPr>
              <w:t>总量控制指标</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现有工程涉及总量控制的废</w:t>
            </w:r>
            <w:r>
              <w:rPr>
                <w:rFonts w:hint="eastAsia" w:cs="Times New Roman"/>
                <w:color w:val="auto"/>
                <w:sz w:val="21"/>
                <w:szCs w:val="21"/>
                <w:highlight w:val="none"/>
                <w:lang w:val="en-US" w:eastAsia="zh-CN"/>
              </w:rPr>
              <w:t>水</w:t>
            </w:r>
            <w:r>
              <w:rPr>
                <w:rFonts w:hint="default" w:ascii="Times New Roman" w:hAnsi="Times New Roman" w:eastAsia="宋体" w:cs="Times New Roman"/>
                <w:color w:val="auto"/>
                <w:sz w:val="21"/>
                <w:szCs w:val="21"/>
                <w:highlight w:val="none"/>
                <w:lang w:val="en-US" w:eastAsia="zh-CN"/>
              </w:rPr>
              <w:t>污染物为</w:t>
            </w:r>
            <w:r>
              <w:rPr>
                <w:color w:val="000000"/>
                <w:spacing w:val="0"/>
                <w:w w:val="100"/>
                <w:position w:val="0"/>
                <w:sz w:val="20"/>
                <w:szCs w:val="20"/>
                <w:highlight w:val="none"/>
                <w:lang w:val="en-US" w:eastAsia="en-US" w:bidi="en-US"/>
              </w:rPr>
              <w:t>COD</w:t>
            </w:r>
            <w:r>
              <w:rPr>
                <w:color w:val="000000"/>
                <w:spacing w:val="0"/>
                <w:w w:val="100"/>
                <w:position w:val="0"/>
                <w:highlight w:val="none"/>
                <w:lang w:val="en-US" w:eastAsia="en-US" w:bidi="en-US"/>
              </w:rPr>
              <w:t>、</w:t>
            </w:r>
            <w:r>
              <w:rPr>
                <w:color w:val="000000"/>
                <w:spacing w:val="0"/>
                <w:w w:val="100"/>
                <w:position w:val="0"/>
                <w:highlight w:val="none"/>
              </w:rPr>
              <w:t>氨氮</w:t>
            </w:r>
            <w:r>
              <w:rPr>
                <w:rFonts w:hint="eastAsia"/>
                <w:color w:val="000000"/>
                <w:spacing w:val="0"/>
                <w:w w:val="100"/>
                <w:position w:val="0"/>
                <w:highlight w:val="none"/>
                <w:lang w:eastAsia="zh-CN"/>
              </w:rPr>
              <w:t>，</w:t>
            </w:r>
            <w:r>
              <w:rPr>
                <w:rFonts w:hint="eastAsia"/>
                <w:color w:val="000000"/>
                <w:spacing w:val="0"/>
                <w:w w:val="100"/>
                <w:position w:val="0"/>
                <w:highlight w:val="none"/>
                <w:lang w:val="en-US" w:eastAsia="zh-CN"/>
              </w:rPr>
              <w:t>根据监测结果，现有工程排放量为</w:t>
            </w:r>
            <w:r>
              <w:rPr>
                <w:rFonts w:hint="default" w:ascii="Times New Roman" w:hAnsi="Times New Roman" w:cs="Times New Roman"/>
                <w:color w:val="auto"/>
                <w:sz w:val="21"/>
                <w:szCs w:val="21"/>
                <w:highlight w:val="none"/>
                <w:lang w:val="en-US" w:eastAsia="zh-CN"/>
              </w:rPr>
              <w:t>COD：</w:t>
            </w:r>
            <w:r>
              <w:rPr>
                <w:rFonts w:hint="eastAsia" w:cs="Times New Roman"/>
                <w:color w:val="auto"/>
                <w:sz w:val="21"/>
                <w:szCs w:val="21"/>
                <w:highlight w:val="none"/>
                <w:lang w:val="en-US" w:eastAsia="zh-CN"/>
              </w:rPr>
              <w:t>1.83</w:t>
            </w:r>
            <w:r>
              <w:rPr>
                <w:rFonts w:hint="default" w:ascii="Times New Roman" w:hAnsi="Times New Roman" w:cs="Times New Roman"/>
                <w:color w:val="auto"/>
                <w:sz w:val="21"/>
                <w:szCs w:val="21"/>
                <w:highlight w:val="none"/>
                <w:lang w:val="en-US" w:eastAsia="zh-CN"/>
              </w:rPr>
              <w:t>t/a、氨氮：</w:t>
            </w:r>
            <w:r>
              <w:rPr>
                <w:rFonts w:hint="eastAsia" w:cs="Times New Roman"/>
                <w:color w:val="auto"/>
                <w:sz w:val="21"/>
                <w:szCs w:val="21"/>
                <w:highlight w:val="none"/>
                <w:lang w:val="en-US" w:eastAsia="zh-CN"/>
              </w:rPr>
              <w:t>0.13</w:t>
            </w:r>
            <w:r>
              <w:rPr>
                <w:rFonts w:hint="default" w:ascii="Times New Roman" w:hAnsi="Times New Roman" w:cs="Times New Roman"/>
                <w:color w:val="auto"/>
                <w:sz w:val="21"/>
                <w:szCs w:val="21"/>
                <w:highlight w:val="none"/>
                <w:lang w:val="en-US" w:eastAsia="zh-CN"/>
              </w:rPr>
              <w:t>t/a</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颗粒物：0.204</w:t>
            </w:r>
            <w:r>
              <w:rPr>
                <w:rFonts w:hint="default" w:ascii="Times New Roman" w:hAnsi="Times New Roman" w:cs="Times New Roman"/>
                <w:color w:val="auto"/>
                <w:sz w:val="21"/>
                <w:szCs w:val="21"/>
                <w:highlight w:val="none"/>
                <w:lang w:val="en-US" w:eastAsia="zh-CN"/>
              </w:rPr>
              <w:t>t/a</w:t>
            </w:r>
            <w:r>
              <w:rPr>
                <w:rFonts w:hint="eastAsia" w:cs="Times New Roman"/>
                <w:color w:val="auto"/>
                <w:sz w:val="21"/>
                <w:szCs w:val="21"/>
                <w:highlight w:val="none"/>
                <w:lang w:val="en-US" w:eastAsia="zh-CN"/>
              </w:rPr>
              <w:t>，</w:t>
            </w:r>
            <w:r>
              <w:rPr>
                <w:rFonts w:hint="eastAsia"/>
                <w:color w:val="auto"/>
                <w:spacing w:val="0"/>
                <w:w w:val="100"/>
                <w:position w:val="0"/>
                <w:highlight w:val="none"/>
                <w:lang w:val="en-US" w:eastAsia="zh-CN"/>
              </w:rPr>
              <w:t>满足</w:t>
            </w:r>
            <w:r>
              <w:rPr>
                <w:rFonts w:hint="default" w:ascii="Times New Roman" w:hAnsi="Times New Roman" w:cs="Times New Roman"/>
                <w:color w:val="auto"/>
                <w:sz w:val="21"/>
                <w:szCs w:val="21"/>
                <w:highlight w:val="none"/>
                <w:lang w:val="en-US" w:eastAsia="zh-CN"/>
              </w:rPr>
              <w:t>现有工程总量控制指标为：COD：</w:t>
            </w:r>
            <w:r>
              <w:rPr>
                <w:rFonts w:hint="eastAsia" w:cs="Times New Roman"/>
                <w:color w:val="auto"/>
                <w:sz w:val="21"/>
                <w:szCs w:val="21"/>
                <w:highlight w:val="none"/>
                <w:lang w:val="en-US" w:eastAsia="zh-CN"/>
              </w:rPr>
              <w:t>3.52</w:t>
            </w:r>
            <w:r>
              <w:rPr>
                <w:rFonts w:hint="default" w:ascii="Times New Roman" w:hAnsi="Times New Roman" w:cs="Times New Roman"/>
                <w:color w:val="auto"/>
                <w:sz w:val="21"/>
                <w:szCs w:val="21"/>
                <w:highlight w:val="none"/>
                <w:lang w:val="en-US" w:eastAsia="zh-CN"/>
              </w:rPr>
              <w:t>t/a、氨氮：</w:t>
            </w:r>
            <w:r>
              <w:rPr>
                <w:rFonts w:hint="eastAsia" w:cs="Times New Roman"/>
                <w:color w:val="auto"/>
                <w:sz w:val="21"/>
                <w:szCs w:val="21"/>
                <w:highlight w:val="none"/>
                <w:lang w:val="en-US" w:eastAsia="zh-CN"/>
              </w:rPr>
              <w:t>0.35</w:t>
            </w:r>
            <w:r>
              <w:rPr>
                <w:rFonts w:hint="default" w:ascii="Times New Roman" w:hAnsi="Times New Roman" w:cs="Times New Roman"/>
                <w:color w:val="auto"/>
                <w:sz w:val="21"/>
                <w:szCs w:val="21"/>
                <w:highlight w:val="none"/>
                <w:lang w:val="en-US" w:eastAsia="zh-CN"/>
              </w:rPr>
              <w:t>t/a</w:t>
            </w:r>
            <w:r>
              <w:rPr>
                <w:rFonts w:hint="eastAsia" w:cs="Times New Roman"/>
                <w:color w:val="auto"/>
                <w:sz w:val="21"/>
                <w:szCs w:val="21"/>
                <w:highlight w:val="none"/>
                <w:lang w:val="en-US" w:eastAsia="zh-CN"/>
              </w:rPr>
              <w:t>，颗粒物：0.4</w:t>
            </w:r>
            <w:r>
              <w:rPr>
                <w:rFonts w:hint="default" w:ascii="Times New Roman" w:hAnsi="Times New Roman" w:cs="Times New Roman"/>
                <w:color w:val="auto"/>
                <w:sz w:val="21"/>
                <w:szCs w:val="21"/>
                <w:highlight w:val="none"/>
                <w:lang w:val="en-US" w:eastAsia="zh-CN"/>
              </w:rPr>
              <w:t>t/a。</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、排污口规范化分析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cs="Times New Roman"/>
                <w:color w:val="auto"/>
                <w:sz w:val="21"/>
                <w:szCs w:val="21"/>
                <w:highlight w:val="none"/>
                <w:lang w:val="en-US" w:eastAsia="zh-CN"/>
              </w:rPr>
              <w:t>现有工程设废气排放口有DA001，废气排放口已按照规定要求设置环保标识。</w:t>
            </w:r>
            <w:r>
              <w:rPr>
                <w:rFonts w:hint="default" w:ascii="Times New Roman" w:hAnsi="Times New Roman" w:eastAsia="宋体" w:cs="Times New Roman"/>
                <w:color w:val="auto"/>
                <w:sz w:val="21"/>
                <w:szCs w:val="21"/>
                <w:highlight w:val="none"/>
                <w:lang w:val="zh-CN"/>
              </w:rPr>
              <w:t>现有工程厂区现有的危险废物暂存间一座，</w:t>
            </w:r>
            <w:r>
              <w:rPr>
                <w:rFonts w:hint="default" w:ascii="Times New Roman" w:hAnsi="Times New Roman" w:cs="Times New Roman"/>
                <w:color w:val="auto"/>
                <w:sz w:val="21"/>
                <w:szCs w:val="21"/>
                <w:highlight w:val="none"/>
                <w:lang w:val="en-US" w:eastAsia="zh-CN"/>
              </w:rPr>
              <w:t>危险废物暂存间</w:t>
            </w:r>
            <w:r>
              <w:rPr>
                <w:rFonts w:hint="default" w:ascii="Times New Roman" w:hAnsi="Times New Roman" w:eastAsia="宋体" w:cs="Times New Roman"/>
                <w:color w:val="auto"/>
                <w:sz w:val="21"/>
                <w:szCs w:val="21"/>
                <w:highlight w:val="none"/>
                <w:lang w:val="zh-CN"/>
              </w:rPr>
              <w:t>根据《危险废物贮存污染控制标准》（</w:t>
            </w:r>
            <w:r>
              <w:rPr>
                <w:rFonts w:hint="eastAsia" w:cs="Times New Roman"/>
                <w:color w:val="auto"/>
                <w:sz w:val="21"/>
                <w:szCs w:val="21"/>
                <w:highlight w:val="none"/>
                <w:lang w:val="zh-CN"/>
              </w:rPr>
              <w:t>GB 18597-2023</w:t>
            </w:r>
            <w:r>
              <w:rPr>
                <w:rFonts w:hint="default" w:ascii="Times New Roman" w:hAnsi="Times New Roman" w:eastAsia="宋体" w:cs="Times New Roman"/>
                <w:color w:val="auto"/>
                <w:sz w:val="21"/>
                <w:szCs w:val="21"/>
                <w:highlight w:val="none"/>
                <w:lang w:val="zh-CN"/>
              </w:rPr>
              <w:t>）、《危险废物收集 贮存 运输技术规范》（HJ 2025-2012）规定，</w:t>
            </w:r>
            <w:r>
              <w:rPr>
                <w:rFonts w:hint="default" w:ascii="Times New Roman" w:hAnsi="Times New Roman" w:cs="Times New Roman"/>
                <w:color w:val="auto"/>
                <w:sz w:val="21"/>
                <w:szCs w:val="21"/>
                <w:highlight w:val="none"/>
                <w:lang w:val="en-US" w:eastAsia="zh-CN"/>
              </w:rPr>
              <w:t>进行</w:t>
            </w:r>
            <w:r>
              <w:rPr>
                <w:rFonts w:hint="default" w:ascii="Times New Roman" w:hAnsi="Times New Roman" w:eastAsia="宋体" w:cs="Times New Roman"/>
                <w:color w:val="auto"/>
                <w:sz w:val="21"/>
                <w:szCs w:val="21"/>
                <w:highlight w:val="none"/>
                <w:lang w:val="zh-CN"/>
              </w:rPr>
              <w:t>防腐防渗</w:t>
            </w:r>
            <w:r>
              <w:rPr>
                <w:rFonts w:hint="default" w:ascii="Times New Roman" w:hAnsi="Times New Roman" w:cs="Times New Roman"/>
                <w:color w:val="auto"/>
                <w:sz w:val="21"/>
                <w:szCs w:val="21"/>
                <w:highlight w:val="none"/>
                <w:lang w:val="en-US" w:eastAsia="zh-CN"/>
              </w:rPr>
              <w:t>及防流失</w:t>
            </w:r>
            <w:r>
              <w:rPr>
                <w:rFonts w:hint="default" w:ascii="Times New Roman" w:hAnsi="Times New Roman" w:eastAsia="宋体" w:cs="Times New Roman"/>
                <w:color w:val="auto"/>
                <w:sz w:val="21"/>
                <w:szCs w:val="21"/>
                <w:highlight w:val="none"/>
                <w:lang w:val="zh-CN"/>
              </w:rPr>
              <w:t>处理，并</w:t>
            </w:r>
            <w:r>
              <w:rPr>
                <w:rFonts w:hint="default" w:ascii="Times New Roman" w:hAnsi="Times New Roman" w:cs="Times New Roman"/>
                <w:color w:val="auto"/>
                <w:sz w:val="21"/>
                <w:szCs w:val="21"/>
                <w:highlight w:val="none"/>
                <w:lang w:val="en-US" w:eastAsia="zh-CN"/>
              </w:rPr>
              <w:t>在危险废物间大门处</w:t>
            </w:r>
            <w:r>
              <w:rPr>
                <w:rFonts w:hint="default" w:ascii="Times New Roman" w:hAnsi="Times New Roman" w:eastAsia="宋体" w:cs="Times New Roman"/>
                <w:color w:val="auto"/>
                <w:sz w:val="21"/>
                <w:szCs w:val="21"/>
                <w:highlight w:val="none"/>
                <w:lang w:val="zh-CN"/>
              </w:rPr>
              <w:t>设置危险废物标志</w:t>
            </w:r>
            <w:r>
              <w:rPr>
                <w:rFonts w:hint="default" w:ascii="Times New Roman" w:hAnsi="Times New Roman" w:cs="Times New Roman"/>
                <w:color w:val="auto"/>
                <w:sz w:val="21"/>
                <w:szCs w:val="21"/>
                <w:highlight w:val="none"/>
                <w:lang w:val="zh-CN"/>
              </w:rPr>
              <w:t>。</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211" w:firstLineChars="1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rPr>
              <w:t>排污许可落实情况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zh-CN"/>
              </w:rPr>
              <w:t>根据《固定污染源排污许可分类管理名录（2019 年版）》（环境保护部令第11号），本项目属于</w:t>
            </w:r>
            <w:r>
              <w:rPr>
                <w:rFonts w:hint="eastAsia" w:ascii="宋体" w:hAnsi="宋体" w:eastAsia="宋体" w:cs="宋体"/>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二十九、通用设备制造业 34</w:t>
            </w:r>
            <w:r>
              <w:rPr>
                <w:rFonts w:hint="eastAsia" w:ascii="宋体" w:hAnsi="宋体" w:eastAsia="宋体" w:cs="宋体"/>
                <w:color w:val="auto"/>
                <w:sz w:val="21"/>
                <w:szCs w:val="21"/>
                <w:highlight w:val="none"/>
                <w:lang w:val="en-US" w:eastAsia="zh-CN"/>
              </w:rPr>
              <w:t>”</w:t>
            </w:r>
            <w:r>
              <w:rPr>
                <w:rFonts w:hint="eastAsia" w:cs="Times New Roman"/>
                <w:color w:val="auto"/>
                <w:sz w:val="21"/>
                <w:szCs w:val="21"/>
                <w:highlight w:val="none"/>
                <w:lang w:val="en-US" w:eastAsia="zh-CN"/>
              </w:rPr>
              <w:t>83</w:t>
            </w:r>
            <w:r>
              <w:rPr>
                <w:rFonts w:hint="default" w:ascii="Times New Roman" w:hAnsi="Times New Roman" w:eastAsia="宋体" w:cs="Times New Roman"/>
                <w:color w:val="auto"/>
                <w:sz w:val="21"/>
                <w:szCs w:val="21"/>
                <w:highlight w:val="none"/>
                <w:lang w:val="zh-CN"/>
              </w:rPr>
              <w:t>，</w:t>
            </w:r>
            <w:r>
              <w:rPr>
                <w:rFonts w:hint="default" w:ascii="Times New Roman" w:hAnsi="Times New Roman" w:eastAsia="宋体" w:cs="Times New Roman"/>
                <w:color w:val="auto"/>
                <w:sz w:val="21"/>
                <w:szCs w:val="21"/>
                <w:highlight w:val="none"/>
                <w:lang w:val="en-US" w:eastAsia="zh-CN"/>
              </w:rPr>
              <w:t>其他通用设备制造业 349</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涉及通用工序简化管理的</w:t>
            </w:r>
            <w:r>
              <w:rPr>
                <w:rFonts w:hint="eastAsia" w:ascii="宋体" w:hAnsi="宋体" w:eastAsia="宋体" w:cs="宋体"/>
                <w:color w:val="auto"/>
                <w:sz w:val="21"/>
                <w:szCs w:val="21"/>
                <w:highlight w:val="none"/>
                <w:lang w:val="zh-CN"/>
              </w:rPr>
              <w:t>”</w:t>
            </w:r>
            <w:r>
              <w:rPr>
                <w:rFonts w:hint="eastAsia" w:cs="Times New Roman"/>
                <w:color w:val="auto"/>
                <w:sz w:val="21"/>
                <w:szCs w:val="21"/>
                <w:highlight w:val="none"/>
                <w:lang w:val="en-US" w:eastAsia="zh-CN"/>
              </w:rPr>
              <w:t>以及</w:t>
            </w:r>
            <w:r>
              <w:rPr>
                <w:rFonts w:hint="eastAsia" w:ascii="宋体" w:hAnsi="宋体" w:eastAsia="宋体" w:cs="宋体"/>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五十一、通用工序</w:t>
            </w:r>
            <w:r>
              <w:rPr>
                <w:rFonts w:hint="default" w:ascii="Times New Roman" w:hAnsi="Times New Roman" w:eastAsia="宋体" w:cs="Times New Roman"/>
                <w:color w:val="auto"/>
                <w:sz w:val="21"/>
                <w:szCs w:val="21"/>
                <w:highlight w:val="none"/>
                <w:lang w:val="en-US" w:eastAsia="zh-CN"/>
              </w:rPr>
              <w:t xml:space="preserve"> </w:t>
            </w:r>
            <w:r>
              <w:rPr>
                <w:rFonts w:hint="eastAsia" w:cs="Times New Roman"/>
                <w:color w:val="auto"/>
                <w:sz w:val="21"/>
                <w:szCs w:val="21"/>
                <w:highlight w:val="none"/>
                <w:lang w:val="en-US" w:eastAsia="zh-CN"/>
              </w:rPr>
              <w:t>111</w:t>
            </w:r>
            <w:r>
              <w:rPr>
                <w:rFonts w:hint="default" w:ascii="Times New Roman" w:hAnsi="Times New Roman" w:cs="Times New Roman"/>
                <w:color w:val="auto"/>
                <w:sz w:val="21"/>
                <w:szCs w:val="21"/>
                <w:highlight w:val="none"/>
                <w:lang w:val="en-US" w:eastAsia="zh-CN"/>
              </w:rPr>
              <w:t>-表面处理</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除纳入重点排污单位名录的，有电镀工序、酸洗、抛光（电解抛光和化学抛光）、热浸镀（溶剂法）、淬火或者钝化等工序的、年使用 10 吨及以上有机溶剂的</w:t>
            </w:r>
            <w:r>
              <w:rPr>
                <w:rFonts w:hint="eastAsia" w:ascii="宋体" w:hAnsi="宋体" w:eastAsia="宋体" w:cs="宋体"/>
                <w:color w:val="auto"/>
                <w:sz w:val="21"/>
                <w:szCs w:val="21"/>
                <w:highlight w:val="none"/>
                <w:lang w:val="zh-CN"/>
              </w:rPr>
              <w:t>”</w:t>
            </w:r>
            <w:r>
              <w:rPr>
                <w:rFonts w:hint="eastAsia" w:cs="Times New Roman"/>
                <w:color w:val="auto"/>
                <w:sz w:val="21"/>
                <w:szCs w:val="21"/>
                <w:highlight w:val="none"/>
                <w:lang w:val="zh-CN"/>
              </w:rPr>
              <w:t>，</w:t>
            </w:r>
            <w:r>
              <w:rPr>
                <w:rFonts w:hint="default" w:ascii="Times New Roman" w:hAnsi="Times New Roman" w:eastAsia="宋体" w:cs="Times New Roman"/>
                <w:color w:val="auto"/>
                <w:sz w:val="21"/>
                <w:szCs w:val="21"/>
                <w:highlight w:val="none"/>
                <w:lang w:val="zh-CN"/>
              </w:rPr>
              <w:t>属于</w:t>
            </w:r>
            <w:r>
              <w:rPr>
                <w:rFonts w:hint="default" w:ascii="Times New Roman" w:hAnsi="Times New Roman" w:cs="Times New Roman"/>
                <w:color w:val="auto"/>
                <w:sz w:val="21"/>
                <w:szCs w:val="21"/>
                <w:highlight w:val="none"/>
                <w:lang w:val="en-US" w:eastAsia="zh-CN"/>
              </w:rPr>
              <w:t>简化</w:t>
            </w:r>
            <w:r>
              <w:rPr>
                <w:rFonts w:hint="default" w:ascii="Times New Roman" w:hAnsi="Times New Roman" w:eastAsia="宋体" w:cs="Times New Roman"/>
                <w:color w:val="auto"/>
                <w:sz w:val="21"/>
                <w:szCs w:val="21"/>
                <w:highlight w:val="none"/>
                <w:lang w:val="zh-CN"/>
              </w:rPr>
              <w:t>管理，</w:t>
            </w:r>
            <w:r>
              <w:rPr>
                <w:rFonts w:hint="default" w:ascii="Times New Roman" w:hAnsi="Times New Roman" w:eastAsia="宋体" w:cs="Times New Roman"/>
                <w:color w:val="auto"/>
                <w:sz w:val="21"/>
                <w:szCs w:val="21"/>
                <w:highlight w:val="none"/>
                <w:lang w:val="en-US" w:eastAsia="zh-CN"/>
              </w:rPr>
              <w:t>建设单位已</w:t>
            </w:r>
            <w:r>
              <w:rPr>
                <w:rFonts w:hint="default" w:ascii="Times New Roman" w:hAnsi="Times New Roman" w:cs="Times New Roman"/>
                <w:color w:val="auto"/>
                <w:sz w:val="21"/>
                <w:szCs w:val="21"/>
                <w:highlight w:val="none"/>
                <w:lang w:val="en-US" w:eastAsia="zh-CN"/>
              </w:rPr>
              <w:t>取得排污许可证（</w:t>
            </w:r>
            <w:r>
              <w:rPr>
                <w:rFonts w:hint="default" w:ascii="Times New Roman" w:hAnsi="Times New Roman" w:eastAsia="宋体" w:cs="Times New Roman"/>
                <w:color w:val="auto"/>
                <w:sz w:val="21"/>
                <w:szCs w:val="21"/>
                <w:highlight w:val="none"/>
                <w:lang w:val="en-US" w:eastAsia="zh-CN"/>
              </w:rPr>
              <w:t>编号：</w:t>
            </w:r>
            <w:r>
              <w:rPr>
                <w:rFonts w:hint="eastAsia" w:cs="Times New Roman"/>
                <w:color w:val="auto"/>
                <w:sz w:val="21"/>
                <w:szCs w:val="21"/>
                <w:highlight w:val="none"/>
                <w:lang w:val="en-US" w:eastAsia="zh-CN"/>
              </w:rPr>
              <w:t>9113029369465696XU001X</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zh-CN"/>
              </w:rPr>
              <w:t>，</w:t>
            </w:r>
            <w:r>
              <w:rPr>
                <w:rFonts w:hint="default" w:ascii="Times New Roman" w:hAnsi="Times New Roman" w:eastAsia="宋体" w:cs="Times New Roman"/>
                <w:color w:val="auto"/>
                <w:sz w:val="21"/>
                <w:szCs w:val="21"/>
                <w:highlight w:val="none"/>
              </w:rPr>
              <w:t>有效期限：</w:t>
            </w:r>
            <w:r>
              <w:rPr>
                <w:rFonts w:hint="eastAsia" w:cs="Times New Roman"/>
                <w:color w:val="auto"/>
                <w:sz w:val="21"/>
                <w:szCs w:val="21"/>
                <w:highlight w:val="none"/>
                <w:lang w:val="en-US" w:eastAsia="zh-CN"/>
              </w:rPr>
              <w:t>自2020年08月12日至2023年08月11日止</w:t>
            </w:r>
            <w:r>
              <w:rPr>
                <w:rFonts w:hint="default" w:ascii="Times New Roman" w:hAnsi="Times New Roman" w:eastAsia="宋体" w:cs="Times New Roman"/>
                <w:color w:val="auto"/>
                <w:sz w:val="21"/>
                <w:szCs w:val="21"/>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2" w:firstLineChars="20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rPr>
              <w:t>、</w:t>
            </w:r>
            <w:r>
              <w:rPr>
                <w:rFonts w:hint="eastAsia" w:cs="Times New Roman"/>
                <w:b/>
                <w:bCs/>
                <w:color w:val="auto"/>
                <w:sz w:val="21"/>
                <w:szCs w:val="21"/>
                <w:highlight w:val="none"/>
                <w:lang w:val="en-US" w:eastAsia="zh-CN"/>
              </w:rPr>
              <w:t>风险防范措施的落实情况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企业于</w:t>
            </w:r>
            <w:r>
              <w:rPr>
                <w:rFonts w:hint="eastAsia" w:cs="Times New Roman"/>
                <w:color w:val="auto"/>
                <w:sz w:val="21"/>
                <w:szCs w:val="21"/>
                <w:highlight w:val="none"/>
                <w:lang w:val="en-US" w:eastAsia="zh-CN"/>
              </w:rPr>
              <w:t>2022年11月编制完成《中冶重工（唐山）有限公司突发环境事件应急预案》并于2023年1月17日取得唐山市生态环境局高新技术产业开发区分局的备案意见。根据应急预案要求，企业已落实风险预防措施，公司建立隐患排查治理责任制，制定年度环境隐患排查计划，公司每季度至少组织一次隐患排查，部门每月进行一次隐患排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建立隐患排查治理年度计划，及时处理环境隐患。隐患排查的重点点位为危废间环境风险位置。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根据公司危险源及危险因素分析，环境风险源预防工作主要包括以下几个方面：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（1）危废间地面及裙角进行防腐防渗处理，渗透系数满足（1米厚粘土层渗透系数≦10</w:t>
            </w:r>
            <w:r>
              <w:rPr>
                <w:rFonts w:hint="default" w:ascii="Times New Roman" w:hAnsi="Times New Roman" w:cs="Times New Roman"/>
                <w:color w:val="auto"/>
                <w:sz w:val="21"/>
                <w:szCs w:val="21"/>
                <w:highlight w:val="none"/>
                <w:vertAlign w:val="superscript"/>
                <w:lang w:val="en-US" w:eastAsia="zh-CN"/>
              </w:rPr>
              <w:t>-7</w:t>
            </w:r>
            <w:r>
              <w:rPr>
                <w:rFonts w:hint="default" w:ascii="Times New Roman" w:hAnsi="Times New Roman" w:cs="Times New Roman"/>
                <w:color w:val="auto"/>
                <w:sz w:val="21"/>
                <w:szCs w:val="21"/>
                <w:highlight w:val="none"/>
                <w:lang w:val="en-US" w:eastAsia="zh-CN"/>
              </w:rPr>
              <w:t>cm/s，或2毫米厚高密度聚乙烯或至少2毫米厚的其它人工材料，渗透系数≤1×10</w:t>
            </w:r>
            <w:r>
              <w:rPr>
                <w:rFonts w:hint="default" w:ascii="Times New Roman" w:hAnsi="Times New Roman" w:cs="Times New Roman"/>
                <w:color w:val="auto"/>
                <w:sz w:val="21"/>
                <w:szCs w:val="21"/>
                <w:highlight w:val="none"/>
                <w:vertAlign w:val="superscript"/>
                <w:lang w:val="en-US" w:eastAsia="zh-CN"/>
              </w:rPr>
              <w:t>-10</w:t>
            </w:r>
            <w:r>
              <w:rPr>
                <w:rFonts w:hint="default" w:ascii="Times New Roman" w:hAnsi="Times New Roman" w:cs="Times New Roman"/>
                <w:color w:val="auto"/>
                <w:sz w:val="21"/>
                <w:szCs w:val="21"/>
                <w:highlight w:val="none"/>
                <w:lang w:val="en-US" w:eastAsia="zh-CN"/>
              </w:rPr>
              <w:t>cm/s）要求，并设置堵截泄漏装置，同时在门口张贴严禁烟火标识；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（2）车间采取了完善的地面防渗措施；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（3）车间配备灭火器等设备；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（4）建立健全各车间安全生产责任制，制定安全生产规章制度和操作规程；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atLeast"/>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公司应急办公室定期对环境风险源进行检查、评估；对工作人员应进行安全生产教育和培训，并定期进行理论和实践考核，保证工作人员具备必要的安全生产资质，并熟悉安全生产规章制度和安全生产规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atLeast"/>
              <w:ind w:left="0" w:right="0" w:firstLine="422" w:firstLineChars="200"/>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kern w:val="0"/>
                <w:sz w:val="21"/>
                <w:szCs w:val="21"/>
                <w:highlight w:val="none"/>
                <w:lang w:val="en-US" w:eastAsia="zh-CN"/>
              </w:rPr>
              <w:t>主要环境问题</w:t>
            </w:r>
            <w:r>
              <w:rPr>
                <w:rFonts w:hint="eastAsia" w:cs="Times New Roman"/>
                <w:b/>
                <w:bCs/>
                <w:color w:val="auto"/>
                <w:kern w:val="0"/>
                <w:sz w:val="21"/>
                <w:szCs w:val="21"/>
                <w:highlight w:val="none"/>
                <w:lang w:val="en-US" w:eastAsia="zh-CN"/>
              </w:rPr>
              <w:t>情况</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针对企业现有工程环保手续履行情况，</w:t>
            </w:r>
            <w:r>
              <w:rPr>
                <w:rFonts w:hint="default" w:ascii="Times New Roman" w:hAnsi="Times New Roman" w:eastAsia="宋体" w:cs="Times New Roman"/>
                <w:b w:val="0"/>
                <w:bCs w:val="0"/>
                <w:color w:val="auto"/>
                <w:sz w:val="21"/>
                <w:szCs w:val="21"/>
                <w:highlight w:val="none"/>
              </w:rPr>
              <w:t>现有工程污染物排放情况</w:t>
            </w:r>
            <w:r>
              <w:rPr>
                <w:rFonts w:hint="default" w:ascii="Times New Roman" w:hAnsi="Times New Roman" w:cs="Times New Roman"/>
                <w:b w:val="0"/>
                <w:bCs w:val="0"/>
                <w:color w:val="auto"/>
                <w:sz w:val="21"/>
                <w:szCs w:val="21"/>
                <w:highlight w:val="none"/>
                <w:lang w:val="en-US" w:eastAsia="zh-CN"/>
              </w:rPr>
              <w:t>及环保措施情况以及</w:t>
            </w:r>
            <w:r>
              <w:rPr>
                <w:rFonts w:hint="default" w:ascii="Times New Roman" w:hAnsi="Times New Roman" w:eastAsia="宋体" w:cs="Times New Roman"/>
                <w:b w:val="0"/>
                <w:bCs w:val="0"/>
                <w:color w:val="auto"/>
                <w:sz w:val="21"/>
                <w:szCs w:val="21"/>
                <w:highlight w:val="none"/>
              </w:rPr>
              <w:t>排污许可落实情况</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现有工程</w:t>
            </w:r>
            <w:r>
              <w:rPr>
                <w:rFonts w:hint="default" w:ascii="Times New Roman" w:hAnsi="Times New Roman" w:eastAsia="宋体" w:cs="Times New Roman"/>
                <w:color w:val="auto"/>
                <w:spacing w:val="0"/>
                <w:kern w:val="0"/>
                <w:sz w:val="21"/>
                <w:szCs w:val="21"/>
                <w:highlight w:val="none"/>
                <w:lang w:val="en-US" w:eastAsia="zh-CN" w:bidi="ar-SA"/>
              </w:rPr>
              <w:t>存在环境问题</w:t>
            </w:r>
            <w:r>
              <w:rPr>
                <w:rFonts w:hint="eastAsia" w:cs="Times New Roman"/>
                <w:color w:val="auto"/>
                <w:spacing w:val="0"/>
                <w:kern w:val="0"/>
                <w:sz w:val="21"/>
                <w:szCs w:val="21"/>
                <w:highlight w:val="none"/>
                <w:lang w:val="en-US" w:eastAsia="zh-CN" w:bidi="ar-SA"/>
              </w:rPr>
              <w:t>主要为：</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eastAsia" w:cs="Times New Roman"/>
                <w:color w:val="auto"/>
                <w:spacing w:val="0"/>
                <w:kern w:val="0"/>
                <w:sz w:val="21"/>
                <w:szCs w:val="21"/>
                <w:highlight w:val="none"/>
                <w:lang w:val="en-US" w:eastAsia="zh-CN" w:bidi="ar-SA"/>
              </w:rPr>
              <w:t>（1）未提及含有金属屑的处理；</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eastAsia" w:cs="Times New Roman"/>
                <w:color w:val="auto"/>
                <w:spacing w:val="0"/>
                <w:kern w:val="0"/>
                <w:sz w:val="21"/>
                <w:szCs w:val="21"/>
                <w:highlight w:val="none"/>
                <w:lang w:val="en-US" w:eastAsia="zh-CN" w:bidi="ar-SA"/>
              </w:rPr>
              <w:t>（2）设备存在无手续问题；</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cs="Times New Roman"/>
                <w:color w:val="auto"/>
                <w:sz w:val="21"/>
                <w:szCs w:val="21"/>
                <w:highlight w:val="none"/>
                <w:lang w:val="en-US" w:eastAsia="zh-CN"/>
              </w:rPr>
            </w:pPr>
            <w:r>
              <w:rPr>
                <w:rFonts w:hint="eastAsia" w:cs="Times New Roman"/>
                <w:color w:val="auto"/>
                <w:spacing w:val="0"/>
                <w:kern w:val="0"/>
                <w:sz w:val="21"/>
                <w:szCs w:val="21"/>
                <w:highlight w:val="none"/>
                <w:lang w:val="en-US" w:eastAsia="zh-CN" w:bidi="ar-SA"/>
              </w:rPr>
              <w:t>（3）</w:t>
            </w:r>
            <w:r>
              <w:rPr>
                <w:rFonts w:hint="eastAsia" w:cs="Times New Roman"/>
                <w:color w:val="auto"/>
                <w:sz w:val="21"/>
                <w:szCs w:val="21"/>
                <w:highlight w:val="none"/>
                <w:lang w:val="en-US" w:eastAsia="zh-CN"/>
              </w:rPr>
              <w:t>排污许可证登记信息未及时更新，企业法人未变更，缺少抛丸废气排气筒登记信息。</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eastAsia" w:cs="Times New Roman"/>
                <w:color w:val="auto"/>
                <w:spacing w:val="0"/>
                <w:kern w:val="0"/>
                <w:sz w:val="21"/>
                <w:szCs w:val="21"/>
                <w:highlight w:val="none"/>
                <w:lang w:val="en-US" w:eastAsia="zh-CN" w:bidi="ar-SA"/>
              </w:rPr>
              <w:t>整改措施：</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eastAsia" w:cs="Times New Roman"/>
                <w:color w:val="auto"/>
                <w:spacing w:val="0"/>
                <w:kern w:val="0"/>
                <w:sz w:val="21"/>
                <w:szCs w:val="21"/>
                <w:highlight w:val="none"/>
                <w:lang w:val="en-US" w:eastAsia="zh-CN" w:bidi="ar-SA"/>
              </w:rPr>
              <w:t>（1）</w:t>
            </w:r>
            <w:r>
              <w:rPr>
                <w:rFonts w:hint="eastAsia" w:cs="Times New Roman"/>
                <w:color w:val="auto"/>
                <w:sz w:val="21"/>
                <w:szCs w:val="21"/>
                <w:highlight w:val="none"/>
                <w:lang w:val="en-US" w:eastAsia="zh-CN"/>
              </w:rPr>
              <w:t>产生的废金属屑（含油）经压榨、压滤、过滤除油达到静置无滴漏后打包压块用于金属冶炼</w:t>
            </w:r>
            <w:r>
              <w:rPr>
                <w:rFonts w:hint="eastAsia" w:cs="Times New Roman"/>
                <w:color w:val="auto"/>
                <w:spacing w:val="0"/>
                <w:kern w:val="0"/>
                <w:sz w:val="21"/>
                <w:szCs w:val="21"/>
                <w:highlight w:val="none"/>
                <w:lang w:val="en-US" w:eastAsia="zh-CN" w:bidi="ar-SA"/>
              </w:rPr>
              <w:t>；</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eastAsia" w:cs="Times New Roman"/>
                <w:color w:val="auto"/>
                <w:spacing w:val="0"/>
                <w:kern w:val="0"/>
                <w:sz w:val="21"/>
                <w:szCs w:val="21"/>
                <w:highlight w:val="none"/>
                <w:lang w:val="en-US" w:eastAsia="zh-CN" w:bidi="ar-SA"/>
              </w:rPr>
            </w:pPr>
            <w:r>
              <w:rPr>
                <w:rFonts w:hint="eastAsia" w:cs="Times New Roman"/>
                <w:color w:val="auto"/>
                <w:spacing w:val="0"/>
                <w:kern w:val="0"/>
                <w:sz w:val="21"/>
                <w:szCs w:val="21"/>
                <w:highlight w:val="none"/>
                <w:lang w:val="en-US" w:eastAsia="zh-CN" w:bidi="ar-SA"/>
              </w:rPr>
              <w:t>（2）补充设备相关手续问题；</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cs="Times New Roman"/>
                <w:color w:val="auto"/>
                <w:sz w:val="21"/>
                <w:szCs w:val="21"/>
                <w:highlight w:val="none"/>
                <w:lang w:val="en-US" w:eastAsia="zh-CN"/>
              </w:rPr>
            </w:pPr>
            <w:r>
              <w:rPr>
                <w:rFonts w:hint="eastAsia" w:cs="Times New Roman"/>
                <w:color w:val="auto"/>
                <w:spacing w:val="0"/>
                <w:kern w:val="0"/>
                <w:sz w:val="21"/>
                <w:szCs w:val="21"/>
                <w:highlight w:val="none"/>
                <w:lang w:val="en-US" w:eastAsia="zh-CN" w:bidi="ar-SA"/>
              </w:rPr>
              <w:t>（3）</w:t>
            </w:r>
            <w:r>
              <w:rPr>
                <w:rFonts w:hint="eastAsia" w:cs="Times New Roman"/>
                <w:color w:val="auto"/>
                <w:sz w:val="21"/>
                <w:szCs w:val="21"/>
                <w:highlight w:val="none"/>
                <w:lang w:val="en-US" w:eastAsia="zh-CN"/>
              </w:rPr>
              <w:t>完善排污许可证登记信息。</w:t>
            </w: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pStyle w:val="2"/>
              <w:keepNext w:val="0"/>
              <w:keepLines w:val="0"/>
              <w:suppressLineNumbers w:val="0"/>
              <w:spacing w:before="0" w:beforeAutospacing="0" w:after="0" w:afterAutospacing="0"/>
              <w:ind w:right="0"/>
              <w:rPr>
                <w:rFonts w:hint="default" w:ascii="Times New Roman" w:hAnsi="Times New Roman" w:cs="Times New Roman"/>
                <w:color w:val="auto"/>
                <w:sz w:val="21"/>
                <w:szCs w:val="21"/>
                <w:highlight w:val="none"/>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440" w:lineRule="atLeast"/>
              <w:ind w:left="0" w:right="0" w:firstLine="420" w:firstLineChars="200"/>
              <w:textAlignment w:val="auto"/>
              <w:rPr>
                <w:rFonts w:hint="default" w:ascii="Times New Roman" w:hAnsi="Times New Roman" w:eastAsia="宋体" w:cs="Times New Roman"/>
                <w:bCs/>
                <w:color w:val="auto"/>
                <w:sz w:val="21"/>
                <w:szCs w:val="21"/>
                <w:highlight w:val="none"/>
                <w:lang w:val="en-US"/>
              </w:rPr>
            </w:pPr>
          </w:p>
        </w:tc>
      </w:tr>
    </w:tbl>
    <w:p>
      <w:pPr>
        <w:pStyle w:val="31"/>
        <w:jc w:val="center"/>
        <w:rPr>
          <w:rFonts w:hint="default" w:ascii="Times New Roman" w:hAnsi="Times New Roman" w:eastAsia="黑体" w:cs="Times New Roman"/>
          <w:snapToGrid w:val="0"/>
          <w:color w:val="auto"/>
          <w:sz w:val="36"/>
          <w:szCs w:val="36"/>
        </w:rPr>
        <w:sectPr>
          <w:pgSz w:w="11906" w:h="16838"/>
          <w:pgMar w:top="1440" w:right="1474" w:bottom="1440" w:left="1474"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15" w:name="_Toc22999"/>
      <w:r>
        <w:rPr>
          <w:rFonts w:hint="default" w:ascii="Times New Roman" w:hAnsi="Times New Roman" w:eastAsia="黑体" w:cs="Times New Roman"/>
          <w:snapToGrid w:val="0"/>
          <w:color w:val="auto"/>
          <w:sz w:val="30"/>
          <w:szCs w:val="30"/>
        </w:rPr>
        <w:t>三、区域环境质量现状、环境保护目标及评价标准</w:t>
      </w:r>
      <w:bookmarkEnd w:id="15"/>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0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区域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质量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现状</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1、环境空气质量现状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rPr>
              <w:t>基本污染物环境质量现状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根据唐山市环境功能区划和项目所在位置，建设项目位于环境空气质量二类区。根据唐山市生态环境局202</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年6月发布的《202</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年唐山市环境状况公报》，202</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全年监测36</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天，</w:t>
            </w:r>
            <w:r>
              <w:rPr>
                <w:rFonts w:hint="eastAsia" w:cs="Times New Roman"/>
                <w:color w:val="auto"/>
                <w:sz w:val="21"/>
                <w:szCs w:val="21"/>
                <w:highlight w:val="none"/>
                <w:lang w:val="en-US" w:eastAsia="zh-CN"/>
              </w:rPr>
              <w:t>高新技术开发区</w:t>
            </w:r>
            <w:r>
              <w:rPr>
                <w:rFonts w:hint="default" w:ascii="Times New Roman" w:hAnsi="Times New Roman" w:eastAsia="宋体" w:cs="Times New Roman"/>
                <w:color w:val="auto"/>
                <w:sz w:val="21"/>
                <w:szCs w:val="21"/>
                <w:highlight w:val="none"/>
              </w:rPr>
              <w:t>202</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年环境空气质量</w:t>
            </w:r>
            <w:r>
              <w:rPr>
                <w:rFonts w:hint="eastAsia" w:cs="Times New Roman"/>
                <w:color w:val="auto"/>
                <w:sz w:val="21"/>
                <w:szCs w:val="21"/>
                <w:highlight w:val="none"/>
                <w:lang w:val="en-US" w:eastAsia="zh-CN"/>
              </w:rPr>
              <w:t>评价</w:t>
            </w:r>
            <w:r>
              <w:rPr>
                <w:rFonts w:hint="default" w:ascii="Times New Roman" w:hAnsi="Times New Roman" w:eastAsia="宋体" w:cs="Times New Roman"/>
                <w:color w:val="auto"/>
                <w:sz w:val="21"/>
                <w:szCs w:val="21"/>
                <w:highlight w:val="none"/>
              </w:rPr>
              <w:t>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cs="Times New Roman"/>
                <w:b w:val="0"/>
                <w:bCs w:val="0"/>
                <w:color w:val="auto"/>
                <w:sz w:val="21"/>
                <w:szCs w:val="21"/>
                <w:highlight w:val="none"/>
                <w:lang w:val="en-US"/>
              </w:rPr>
            </w:pPr>
            <w:r>
              <w:rPr>
                <w:rFonts w:hint="default" w:ascii="Times New Roman" w:hAnsi="Times New Roman" w:eastAsia="宋体" w:cs="Times New Roman"/>
                <w:b w:val="0"/>
                <w:bCs w:val="0"/>
                <w:color w:val="auto"/>
                <w:sz w:val="21"/>
                <w:szCs w:val="21"/>
                <w:highlight w:val="none"/>
              </w:rPr>
              <w:t>表</w:t>
            </w:r>
            <w:r>
              <w:rPr>
                <w:rFonts w:hint="eastAsia" w:cs="Times New Roman"/>
                <w:b w:val="0"/>
                <w:bCs w:val="0"/>
                <w:color w:val="auto"/>
                <w:sz w:val="21"/>
                <w:szCs w:val="21"/>
                <w:highlight w:val="none"/>
                <w:lang w:val="en-US" w:eastAsia="zh-CN"/>
              </w:rPr>
              <w:t>21</w:t>
            </w:r>
            <w:r>
              <w:rPr>
                <w:rFonts w:hint="default" w:ascii="Times New Roman" w:hAnsi="Times New Roman" w:eastAsia="宋体" w:cs="Times New Roman"/>
                <w:b w:val="0"/>
                <w:bCs w:val="0"/>
                <w:color w:val="auto"/>
                <w:sz w:val="21"/>
                <w:szCs w:val="21"/>
                <w:highlight w:val="none"/>
              </w:rPr>
              <w:t xml:space="preserve">  </w:t>
            </w:r>
            <w:r>
              <w:rPr>
                <w:rFonts w:hint="eastAsia" w:cs="Times New Roman"/>
                <w:b w:val="0"/>
                <w:bCs w:val="0"/>
                <w:color w:val="auto"/>
                <w:sz w:val="21"/>
                <w:szCs w:val="21"/>
                <w:highlight w:val="none"/>
                <w:lang w:val="en-US" w:eastAsia="zh-CN"/>
              </w:rPr>
              <w:t>高新技术开发区</w:t>
            </w:r>
            <w:r>
              <w:rPr>
                <w:rFonts w:hint="default" w:ascii="Times New Roman" w:hAnsi="Times New Roman" w:eastAsia="宋体" w:cs="Times New Roman"/>
                <w:b w:val="0"/>
                <w:bCs w:val="0"/>
                <w:color w:val="auto"/>
                <w:sz w:val="21"/>
                <w:szCs w:val="21"/>
                <w:highlight w:val="none"/>
              </w:rPr>
              <w:t>环境空气质量现状评价表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2102"/>
              <w:gridCol w:w="1296"/>
              <w:gridCol w:w="1404"/>
              <w:gridCol w:w="110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污染物</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年评价指标</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浓度μg/m</w:t>
                  </w:r>
                  <w:r>
                    <w:rPr>
                      <w:rFonts w:hint="default" w:ascii="Times New Roman" w:hAnsi="Times New Roman" w:eastAsia="宋体" w:cs="Times New Roman"/>
                      <w:color w:val="auto"/>
                      <w:kern w:val="2"/>
                      <w:sz w:val="21"/>
                      <w:szCs w:val="21"/>
                      <w:highlight w:val="none"/>
                      <w:vertAlign w:val="superscript"/>
                    </w:rPr>
                    <w:t>3</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标准值μg/m</w:t>
                  </w:r>
                  <w:r>
                    <w:rPr>
                      <w:rFonts w:hint="default" w:ascii="Times New Roman" w:hAnsi="Times New Roman" w:eastAsia="宋体" w:cs="Times New Roman"/>
                      <w:color w:val="auto"/>
                      <w:kern w:val="2"/>
                      <w:sz w:val="21"/>
                      <w:szCs w:val="21"/>
                      <w:highlight w:val="none"/>
                      <w:vertAlign w:val="superscript"/>
                    </w:rPr>
                    <w:t>3</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占标率%</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SO</w:t>
                  </w:r>
                  <w:r>
                    <w:rPr>
                      <w:rFonts w:hint="default" w:ascii="Times New Roman" w:hAnsi="Times New Roman" w:eastAsia="宋体" w:cs="Times New Roman"/>
                      <w:color w:val="auto"/>
                      <w:kern w:val="2"/>
                      <w:sz w:val="21"/>
                      <w:szCs w:val="21"/>
                      <w:highlight w:val="none"/>
                      <w:vertAlign w:val="subscript"/>
                    </w:rPr>
                    <w:t>2</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年平均质量浓度</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11</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60</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18.3</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NO</w:t>
                  </w:r>
                  <w:r>
                    <w:rPr>
                      <w:rFonts w:hint="default" w:ascii="Times New Roman" w:hAnsi="Times New Roman" w:eastAsia="宋体" w:cs="Times New Roman"/>
                      <w:color w:val="auto"/>
                      <w:kern w:val="2"/>
                      <w:sz w:val="21"/>
                      <w:szCs w:val="21"/>
                      <w:highlight w:val="none"/>
                      <w:vertAlign w:val="subscript"/>
                    </w:rPr>
                    <w:t>2</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年平均质量浓度</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36</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40</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90</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PM</w:t>
                  </w:r>
                  <w:r>
                    <w:rPr>
                      <w:rFonts w:hint="default" w:ascii="Times New Roman" w:hAnsi="Times New Roman" w:eastAsia="宋体" w:cs="Times New Roman"/>
                      <w:color w:val="auto"/>
                      <w:kern w:val="2"/>
                      <w:sz w:val="21"/>
                      <w:szCs w:val="21"/>
                      <w:highlight w:val="none"/>
                      <w:vertAlign w:val="subscript"/>
                    </w:rPr>
                    <w:t>10</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年平均质量浓度</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77</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70</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110</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PM</w:t>
                  </w:r>
                  <w:r>
                    <w:rPr>
                      <w:rFonts w:hint="default" w:ascii="Times New Roman" w:hAnsi="Times New Roman" w:eastAsia="宋体" w:cs="Times New Roman"/>
                      <w:color w:val="auto"/>
                      <w:kern w:val="2"/>
                      <w:sz w:val="21"/>
                      <w:szCs w:val="21"/>
                      <w:highlight w:val="none"/>
                      <w:vertAlign w:val="subscript"/>
                    </w:rPr>
                    <w:t>2.5</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年平均质量浓度</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40</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default" w:eastAsia="宋体" w:cs="Times New Roman"/>
                      <w:color w:val="auto"/>
                      <w:kern w:val="2"/>
                      <w:sz w:val="21"/>
                      <w:szCs w:val="21"/>
                      <w:highlight w:val="none"/>
                    </w:rPr>
                    <w:t>35</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114</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rPr>
                  </w:pPr>
                  <w:r>
                    <w:rPr>
                      <w:rFonts w:hint="eastAsia" w:cs="Times New Roman"/>
                      <w:color w:val="auto"/>
                      <w:kern w:val="2"/>
                      <w:sz w:val="21"/>
                      <w:szCs w:val="21"/>
                      <w:highlight w:val="none"/>
                      <w:lang w:val="en-US" w:eastAsia="zh-CN"/>
                    </w:rPr>
                    <w:t>不</w:t>
                  </w:r>
                  <w:r>
                    <w:rPr>
                      <w:rFonts w:hint="default" w:eastAsia="宋体" w:cs="Times New Roman"/>
                      <w:color w:val="auto"/>
                      <w:kern w:val="2"/>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vertAlign w:val="subscript"/>
                    </w:rPr>
                  </w:pPr>
                  <w:r>
                    <w:rPr>
                      <w:rFonts w:hint="default" w:ascii="Times New Roman" w:hAnsi="Times New Roman" w:eastAsia="宋体" w:cs="Times New Roman"/>
                      <w:color w:val="auto"/>
                      <w:kern w:val="2"/>
                      <w:sz w:val="21"/>
                      <w:szCs w:val="21"/>
                      <w:highlight w:val="none"/>
                    </w:rPr>
                    <w:t>CO</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24小时平均</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2000</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4000</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50</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O</w:t>
                  </w:r>
                  <w:r>
                    <w:rPr>
                      <w:rFonts w:hint="default" w:ascii="Times New Roman" w:hAnsi="Times New Roman" w:eastAsia="宋体" w:cs="Times New Roman"/>
                      <w:color w:val="auto"/>
                      <w:kern w:val="2"/>
                      <w:sz w:val="21"/>
                      <w:szCs w:val="21"/>
                      <w:highlight w:val="none"/>
                      <w:vertAlign w:val="subscript"/>
                    </w:rPr>
                    <w:t>3</w:t>
                  </w:r>
                </w:p>
              </w:tc>
              <w:tc>
                <w:tcPr>
                  <w:tcW w:w="1319"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8小时平均</w:t>
                  </w:r>
                </w:p>
              </w:tc>
              <w:tc>
                <w:tcPr>
                  <w:tcW w:w="813"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rPr>
                    <w:t>159</w:t>
                  </w:r>
                </w:p>
              </w:tc>
              <w:tc>
                <w:tcPr>
                  <w:tcW w:w="881"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160</w:t>
                  </w:r>
                </w:p>
              </w:tc>
              <w:tc>
                <w:tcPr>
                  <w:tcW w:w="690" w:type="pct"/>
                  <w:tcBorders>
                    <w:top w:val="single" w:color="auto" w:sz="4" w:space="0"/>
                    <w:left w:val="single" w:color="auto" w:sz="4" w:space="0"/>
                    <w:bottom w:val="single" w:color="auto" w:sz="4" w:space="0"/>
                    <w:right w:val="single" w:color="auto" w:sz="4" w:space="0"/>
                  </w:tcBorders>
                  <w:noWrap w:val="0"/>
                  <w:vAlign w:val="center"/>
                </w:tcPr>
                <w:p>
                  <w:pPr>
                    <w:pStyle w:val="6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99.4</w:t>
                  </w:r>
                </w:p>
              </w:tc>
              <w:tc>
                <w:tcPr>
                  <w:tcW w:w="734" w:type="pct"/>
                  <w:tcBorders>
                    <w:top w:val="single" w:color="auto" w:sz="4" w:space="0"/>
                    <w:left w:val="single" w:color="auto" w:sz="4" w:space="0"/>
                    <w:bottom w:val="single" w:color="auto" w:sz="4" w:space="0"/>
                    <w:right w:val="single" w:color="auto" w:sz="4" w:space="0"/>
                  </w:tcBorders>
                  <w:noWrap w:val="0"/>
                  <w:vAlign w:val="center"/>
                </w:tcPr>
                <w:p>
                  <w:pPr>
                    <w:pStyle w:val="6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达标</w:t>
                  </w:r>
                </w:p>
              </w:tc>
            </w:tr>
          </w:tbl>
          <w:p>
            <w:pPr>
              <w:pStyle w:val="103"/>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由上表分析可知，项目所在区域</w:t>
            </w:r>
            <w:r>
              <w:rPr>
                <w:rFonts w:hint="eastAsia" w:ascii="Times New Roman" w:hAnsi="Times New Roman" w:eastAsia="宋体" w:cs="Times New Roman"/>
                <w:color w:val="auto"/>
                <w:kern w:val="2"/>
                <w:sz w:val="21"/>
                <w:szCs w:val="21"/>
                <w:highlight w:val="none"/>
                <w:lang w:val="en-US" w:eastAsia="zh-CN" w:bidi="ar-SA"/>
              </w:rPr>
              <w:t>二类功能区</w:t>
            </w:r>
            <w:r>
              <w:rPr>
                <w:rFonts w:hint="default" w:ascii="Times New Roman" w:hAnsi="Times New Roman" w:eastAsia="宋体" w:cs="Times New Roman"/>
                <w:color w:val="auto"/>
                <w:kern w:val="2"/>
                <w:sz w:val="21"/>
                <w:szCs w:val="21"/>
                <w:highlight w:val="none"/>
                <w:lang w:val="en-US" w:eastAsia="zh-CN" w:bidi="ar-SA"/>
              </w:rPr>
              <w:t>SO</w:t>
            </w:r>
            <w:r>
              <w:rPr>
                <w:rFonts w:hint="default"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NO</w:t>
            </w:r>
            <w:r>
              <w:rPr>
                <w:rFonts w:hint="default"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、CO、O</w:t>
            </w:r>
            <w:r>
              <w:rPr>
                <w:rFonts w:hint="eastAsia"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年平均质量浓度满足《环境空气质量标准》（GB3095-2012）中二级标准要求；</w:t>
            </w:r>
            <w:r>
              <w:rPr>
                <w:rFonts w:hint="eastAsia" w:ascii="Times New Roman" w:hAnsi="Times New Roman" w:eastAsia="宋体" w:cs="Times New Roman"/>
                <w:color w:val="auto"/>
                <w:kern w:val="2"/>
                <w:sz w:val="21"/>
                <w:szCs w:val="21"/>
                <w:highlight w:val="none"/>
                <w:lang w:val="en-US" w:eastAsia="zh-CN" w:bidi="ar-SA"/>
              </w:rPr>
              <w:t>P</w:t>
            </w:r>
            <w:r>
              <w:rPr>
                <w:rFonts w:hint="default" w:ascii="Times New Roman" w:hAnsi="Times New Roman" w:eastAsia="宋体" w:cs="Times New Roman"/>
                <w:color w:val="auto"/>
                <w:kern w:val="2"/>
                <w:sz w:val="21"/>
                <w:szCs w:val="21"/>
                <w:highlight w:val="none"/>
                <w:lang w:val="en-US" w:eastAsia="zh-CN" w:bidi="ar-SA"/>
              </w:rPr>
              <w:t>M</w:t>
            </w:r>
            <w:r>
              <w:rPr>
                <w:rFonts w:hint="default" w:ascii="Times New Roman" w:hAnsi="Times New Roman" w:eastAsia="宋体" w:cs="Times New Roman"/>
                <w:color w:val="auto"/>
                <w:kern w:val="2"/>
                <w:sz w:val="21"/>
                <w:szCs w:val="21"/>
                <w:highlight w:val="none"/>
                <w:vertAlign w:val="subscript"/>
                <w:lang w:val="en-US" w:eastAsia="zh-CN" w:bidi="ar-SA"/>
              </w:rPr>
              <w:t>10</w:t>
            </w:r>
            <w:r>
              <w:rPr>
                <w:rFonts w:hint="eastAsia" w:ascii="Times New Roman" w:hAnsi="Times New Roman" w:eastAsia="宋体" w:cs="Times New Roman"/>
                <w:color w:val="auto"/>
                <w:kern w:val="2"/>
                <w:sz w:val="21"/>
                <w:szCs w:val="21"/>
                <w:highlight w:val="none"/>
                <w:lang w:val="en-US" w:eastAsia="zh-CN" w:bidi="ar-SA"/>
              </w:rPr>
              <w:t>、P</w:t>
            </w:r>
            <w:r>
              <w:rPr>
                <w:rFonts w:hint="default" w:ascii="Times New Roman" w:hAnsi="Times New Roman" w:eastAsia="宋体" w:cs="Times New Roman"/>
                <w:color w:val="auto"/>
                <w:kern w:val="2"/>
                <w:sz w:val="21"/>
                <w:szCs w:val="21"/>
                <w:highlight w:val="none"/>
                <w:lang w:val="en-US" w:eastAsia="zh-CN" w:bidi="ar-SA"/>
              </w:rPr>
              <w:t>M</w:t>
            </w:r>
            <w:r>
              <w:rPr>
                <w:rFonts w:hint="default" w:ascii="Times New Roman" w:hAnsi="Times New Roman" w:eastAsia="宋体" w:cs="Times New Roman"/>
                <w:color w:val="auto"/>
                <w:kern w:val="2"/>
                <w:sz w:val="21"/>
                <w:szCs w:val="21"/>
                <w:highlight w:val="none"/>
                <w:vertAlign w:val="subscript"/>
                <w:lang w:val="en-US" w:eastAsia="zh-CN" w:bidi="ar-SA"/>
              </w:rPr>
              <w:t>2.5</w:t>
            </w:r>
            <w:r>
              <w:rPr>
                <w:rFonts w:hint="default" w:ascii="Times New Roman" w:hAnsi="Times New Roman" w:eastAsia="宋体" w:cs="Times New Roman"/>
                <w:color w:val="auto"/>
                <w:kern w:val="2"/>
                <w:sz w:val="21"/>
                <w:szCs w:val="21"/>
                <w:highlight w:val="none"/>
                <w:lang w:val="en-US" w:eastAsia="zh-CN" w:bidi="ar-SA"/>
              </w:rPr>
              <w:t>年平均质量浓度超标</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因此本项目所在区域为不达标区。</w:t>
            </w:r>
          </w:p>
          <w:p>
            <w:pPr>
              <w:pStyle w:val="103"/>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1.2其他污染物环境质量现状评价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32" w:firstLineChars="200"/>
              <w:textAlignment w:val="auto"/>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根据《建设项目环境影响报告表编制技术指南(污染影响类)》(试行</w:t>
            </w:r>
            <w:r>
              <w:rPr>
                <w:rFonts w:ascii="宋体" w:hAnsi="宋体" w:eastAsia="宋体" w:cs="宋体"/>
                <w:color w:val="auto"/>
                <w:spacing w:val="2"/>
                <w:sz w:val="21"/>
                <w:szCs w:val="21"/>
                <w:highlight w:val="none"/>
              </w:rPr>
              <w:t>)</w:t>
            </w:r>
            <w:r>
              <w:rPr>
                <w:rFonts w:ascii="宋体" w:hAnsi="宋体" w:eastAsia="宋体" w:cs="宋体"/>
                <w:color w:val="auto"/>
                <w:spacing w:val="18"/>
                <w:sz w:val="21"/>
                <w:szCs w:val="21"/>
                <w:highlight w:val="none"/>
              </w:rPr>
              <w:t>的要</w:t>
            </w:r>
            <w:r>
              <w:rPr>
                <w:rFonts w:ascii="宋体" w:hAnsi="宋体" w:eastAsia="宋体" w:cs="宋体"/>
                <w:color w:val="auto"/>
                <w:spacing w:val="15"/>
                <w:sz w:val="21"/>
                <w:szCs w:val="21"/>
                <w:highlight w:val="none"/>
              </w:rPr>
              <w:t>求</w:t>
            </w:r>
            <w:r>
              <w:rPr>
                <w:rFonts w:ascii="宋体" w:hAnsi="宋体" w:eastAsia="宋体" w:cs="宋体"/>
                <w:color w:val="auto"/>
                <w:spacing w:val="9"/>
                <w:sz w:val="21"/>
                <w:szCs w:val="21"/>
                <w:highlight w:val="none"/>
              </w:rPr>
              <w:t>，需要补充特征污染因子的监测，结合项目所在区域常年主导风向及</w:t>
            </w:r>
            <w:r>
              <w:rPr>
                <w:rFonts w:ascii="宋体" w:hAnsi="宋体" w:eastAsia="宋体" w:cs="宋体"/>
                <w:color w:val="auto"/>
                <w:spacing w:val="18"/>
                <w:sz w:val="21"/>
                <w:szCs w:val="21"/>
                <w:highlight w:val="none"/>
              </w:rPr>
              <w:t>敏感</w:t>
            </w:r>
            <w:r>
              <w:rPr>
                <w:rFonts w:ascii="宋体" w:hAnsi="宋体" w:eastAsia="宋体" w:cs="宋体"/>
                <w:color w:val="auto"/>
                <w:spacing w:val="15"/>
                <w:sz w:val="21"/>
                <w:szCs w:val="21"/>
                <w:highlight w:val="none"/>
              </w:rPr>
              <w:t>点</w:t>
            </w:r>
            <w:r>
              <w:rPr>
                <w:rFonts w:ascii="宋体" w:hAnsi="宋体" w:eastAsia="宋体" w:cs="宋体"/>
                <w:color w:val="auto"/>
                <w:spacing w:val="9"/>
                <w:sz w:val="21"/>
                <w:szCs w:val="21"/>
                <w:highlight w:val="none"/>
              </w:rPr>
              <w:t>分布情况，本次环境空气现状监测引用</w:t>
            </w:r>
            <w:r>
              <w:rPr>
                <w:rFonts w:hint="eastAsia" w:ascii="宋体" w:hAnsi="宋体" w:eastAsia="宋体" w:cs="宋体"/>
                <w:color w:val="auto"/>
                <w:spacing w:val="9"/>
                <w:sz w:val="21"/>
                <w:szCs w:val="21"/>
                <w:highlight w:val="none"/>
                <w:lang w:val="en-US" w:eastAsia="zh-CN"/>
              </w:rPr>
              <w:t>北京诚天检测技术服务有限公司</w:t>
            </w:r>
            <w:r>
              <w:rPr>
                <w:rFonts w:ascii="宋体" w:hAnsi="宋体" w:eastAsia="宋体" w:cs="宋体"/>
                <w:color w:val="auto"/>
                <w:spacing w:val="9"/>
                <w:sz w:val="21"/>
                <w:szCs w:val="21"/>
                <w:highlight w:val="none"/>
              </w:rPr>
              <w:t>监</w:t>
            </w:r>
            <w:r>
              <w:rPr>
                <w:rFonts w:ascii="宋体" w:hAnsi="宋体" w:eastAsia="宋体" w:cs="宋体"/>
                <w:color w:val="auto"/>
                <w:spacing w:val="10"/>
                <w:sz w:val="21"/>
                <w:szCs w:val="21"/>
                <w:highlight w:val="none"/>
              </w:rPr>
              <w:t>测</w:t>
            </w:r>
            <w:r>
              <w:rPr>
                <w:rFonts w:ascii="宋体" w:hAnsi="宋体" w:eastAsia="宋体" w:cs="宋体"/>
                <w:color w:val="auto"/>
                <w:spacing w:val="6"/>
                <w:sz w:val="21"/>
                <w:szCs w:val="21"/>
                <w:highlight w:val="none"/>
              </w:rPr>
              <w:t>的《</w:t>
            </w:r>
            <w:r>
              <w:rPr>
                <w:rFonts w:hint="eastAsia" w:ascii="宋体" w:hAnsi="宋体" w:eastAsia="宋体" w:cs="宋体"/>
                <w:color w:val="auto"/>
                <w:spacing w:val="6"/>
                <w:sz w:val="21"/>
                <w:szCs w:val="21"/>
                <w:highlight w:val="none"/>
              </w:rPr>
              <w:t>唐山高新区北部拓展区规划环境影响跟踪评价报告</w:t>
            </w:r>
            <w:r>
              <w:rPr>
                <w:rFonts w:ascii="宋体" w:hAnsi="宋体" w:eastAsia="宋体" w:cs="宋体"/>
                <w:color w:val="auto"/>
                <w:spacing w:val="6"/>
                <w:sz w:val="21"/>
                <w:szCs w:val="21"/>
                <w:highlight w:val="none"/>
              </w:rPr>
              <w:t>》中环境</w:t>
            </w:r>
            <w:r>
              <w:rPr>
                <w:rFonts w:hint="eastAsia" w:ascii="宋体" w:hAnsi="宋体" w:eastAsia="宋体" w:cs="宋体"/>
                <w:color w:val="auto"/>
                <w:spacing w:val="6"/>
                <w:sz w:val="21"/>
                <w:szCs w:val="21"/>
                <w:highlight w:val="none"/>
                <w:lang w:val="en-US" w:eastAsia="zh-CN"/>
              </w:rPr>
              <w:t>质量</w:t>
            </w:r>
            <w:r>
              <w:rPr>
                <w:rFonts w:ascii="宋体" w:hAnsi="宋体" w:eastAsia="宋体" w:cs="宋体"/>
                <w:color w:val="auto"/>
                <w:spacing w:val="6"/>
                <w:sz w:val="21"/>
                <w:szCs w:val="21"/>
                <w:highlight w:val="none"/>
              </w:rPr>
              <w:t>现状监测的数</w:t>
            </w:r>
            <w:r>
              <w:rPr>
                <w:rFonts w:ascii="宋体" w:hAnsi="宋体" w:eastAsia="宋体" w:cs="宋体"/>
                <w:color w:val="auto"/>
                <w:spacing w:val="-1"/>
                <w:sz w:val="21"/>
                <w:szCs w:val="21"/>
                <w:highlight w:val="none"/>
              </w:rPr>
              <w:t>据，监测时间为</w:t>
            </w:r>
            <w:r>
              <w:rPr>
                <w:rFonts w:ascii="Times New Roman" w:hAnsi="Times New Roman" w:eastAsia="Times New Roman" w:cs="Times New Roman"/>
                <w:color w:val="auto"/>
                <w:spacing w:val="-1"/>
                <w:sz w:val="21"/>
                <w:szCs w:val="21"/>
                <w:highlight w:val="none"/>
              </w:rPr>
              <w:t>202</w:t>
            </w:r>
            <w:r>
              <w:rPr>
                <w:rFonts w:hint="eastAsia" w:ascii="Times New Roman" w:hAnsi="Times New Roman" w:eastAsia="宋体" w:cs="Times New Roman"/>
                <w:color w:val="auto"/>
                <w:spacing w:val="-1"/>
                <w:sz w:val="21"/>
                <w:szCs w:val="21"/>
                <w:highlight w:val="none"/>
                <w:lang w:val="en-US" w:eastAsia="zh-CN"/>
              </w:rPr>
              <w:t>0</w:t>
            </w:r>
            <w:r>
              <w:rPr>
                <w:rFonts w:ascii="宋体" w:hAnsi="宋体" w:eastAsia="宋体" w:cs="宋体"/>
                <w:color w:val="auto"/>
                <w:spacing w:val="-1"/>
                <w:sz w:val="21"/>
                <w:szCs w:val="21"/>
                <w:highlight w:val="none"/>
              </w:rPr>
              <w:t>年</w:t>
            </w:r>
            <w:r>
              <w:rPr>
                <w:rFonts w:ascii="Times New Roman" w:hAnsi="Times New Roman" w:eastAsia="Times New Roman" w:cs="Times New Roman"/>
                <w:color w:val="auto"/>
                <w:spacing w:val="-1"/>
                <w:sz w:val="21"/>
                <w:szCs w:val="21"/>
                <w:highlight w:val="none"/>
              </w:rPr>
              <w:t>11</w:t>
            </w:r>
            <w:r>
              <w:rPr>
                <w:rFonts w:ascii="宋体" w:hAnsi="宋体" w:eastAsia="宋体" w:cs="宋体"/>
                <w:color w:val="auto"/>
                <w:spacing w:val="-1"/>
                <w:sz w:val="21"/>
                <w:szCs w:val="21"/>
                <w:highlight w:val="none"/>
              </w:rPr>
              <w:t>月</w:t>
            </w:r>
            <w:r>
              <w:rPr>
                <w:rFonts w:ascii="Times New Roman" w:hAnsi="Times New Roman" w:eastAsia="Times New Roman" w:cs="Times New Roman"/>
                <w:color w:val="auto"/>
                <w:spacing w:val="-1"/>
                <w:sz w:val="21"/>
                <w:szCs w:val="21"/>
                <w:highlight w:val="none"/>
              </w:rPr>
              <w:t>30</w:t>
            </w:r>
            <w:r>
              <w:rPr>
                <w:rFonts w:ascii="宋体" w:hAnsi="宋体" w:eastAsia="宋体" w:cs="宋体"/>
                <w:color w:val="auto"/>
                <w:spacing w:val="-1"/>
                <w:sz w:val="21"/>
                <w:szCs w:val="21"/>
                <w:highlight w:val="none"/>
              </w:rPr>
              <w:t>日至</w:t>
            </w:r>
            <w:r>
              <w:rPr>
                <w:rFonts w:ascii="Times New Roman" w:hAnsi="Times New Roman" w:eastAsia="Times New Roman" w:cs="Times New Roman"/>
                <w:color w:val="auto"/>
                <w:spacing w:val="-1"/>
                <w:sz w:val="21"/>
                <w:szCs w:val="21"/>
                <w:highlight w:val="none"/>
              </w:rPr>
              <w:t>2021</w:t>
            </w:r>
            <w:r>
              <w:rPr>
                <w:rFonts w:ascii="宋体" w:hAnsi="宋体" w:eastAsia="宋体" w:cs="宋体"/>
                <w:color w:val="auto"/>
                <w:spacing w:val="-1"/>
                <w:sz w:val="21"/>
                <w:szCs w:val="21"/>
                <w:highlight w:val="none"/>
              </w:rPr>
              <w:t>年</w:t>
            </w:r>
            <w:r>
              <w:rPr>
                <w:rFonts w:ascii="Times New Roman" w:hAnsi="Times New Roman" w:eastAsia="Times New Roman" w:cs="Times New Roman"/>
                <w:color w:val="auto"/>
                <w:spacing w:val="-1"/>
                <w:sz w:val="21"/>
                <w:szCs w:val="21"/>
                <w:highlight w:val="none"/>
              </w:rPr>
              <w:t>1</w:t>
            </w:r>
            <w:r>
              <w:rPr>
                <w:rFonts w:ascii="Times New Roman" w:hAnsi="Times New Roman" w:eastAsia="Times New Roman" w:cs="Times New Roman"/>
                <w:color w:val="auto"/>
                <w:sz w:val="21"/>
                <w:szCs w:val="21"/>
                <w:highlight w:val="none"/>
              </w:rPr>
              <w:t>2</w:t>
            </w:r>
            <w:r>
              <w:rPr>
                <w:rFonts w:ascii="宋体" w:hAnsi="宋体" w:eastAsia="宋体" w:cs="宋体"/>
                <w:color w:val="auto"/>
                <w:sz w:val="21"/>
                <w:szCs w:val="21"/>
                <w:highlight w:val="none"/>
              </w:rPr>
              <w:t>月</w:t>
            </w:r>
            <w:r>
              <w:rPr>
                <w:rFonts w:ascii="Times New Roman" w:hAnsi="Times New Roman" w:eastAsia="Times New Roman" w:cs="Times New Roman"/>
                <w:color w:val="auto"/>
                <w:sz w:val="21"/>
                <w:szCs w:val="21"/>
                <w:highlight w:val="none"/>
              </w:rPr>
              <w:t>0</w:t>
            </w:r>
            <w:r>
              <w:rPr>
                <w:rFonts w:hint="eastAsia" w:ascii="Times New Roman" w:hAnsi="Times New Roman" w:eastAsia="宋体" w:cs="Times New Roman"/>
                <w:color w:val="auto"/>
                <w:sz w:val="21"/>
                <w:szCs w:val="21"/>
                <w:highlight w:val="none"/>
                <w:lang w:val="en-US" w:eastAsia="zh-CN"/>
              </w:rPr>
              <w:t>6</w:t>
            </w:r>
            <w:r>
              <w:rPr>
                <w:rFonts w:ascii="宋体" w:hAnsi="宋体" w:eastAsia="宋体" w:cs="宋体"/>
                <w:color w:val="auto"/>
                <w:sz w:val="21"/>
                <w:szCs w:val="21"/>
                <w:highlight w:val="none"/>
              </w:rPr>
              <w:t>日，报告编号：</w:t>
            </w:r>
            <w:r>
              <w:rPr>
                <w:rFonts w:hint="eastAsia" w:ascii="Times New Roman" w:hAnsi="Times New Roman" w:eastAsia="宋体" w:cs="Times New Roman"/>
                <w:color w:val="auto"/>
                <w:sz w:val="21"/>
                <w:szCs w:val="21"/>
                <w:highlight w:val="none"/>
                <w:lang w:val="en-US" w:eastAsia="zh-CN"/>
              </w:rPr>
              <w:t>202010425Z</w:t>
            </w:r>
            <w:r>
              <w:rPr>
                <w:rFonts w:ascii="宋体" w:hAnsi="宋体" w:eastAsia="宋体" w:cs="宋体"/>
                <w:color w:val="auto"/>
                <w:spacing w:val="-2"/>
                <w:sz w:val="21"/>
                <w:szCs w:val="21"/>
                <w:highlight w:val="none"/>
              </w:rPr>
              <w:t>，项目引用监测点位为</w:t>
            </w:r>
            <w:r>
              <w:rPr>
                <w:rFonts w:hint="eastAsia" w:ascii="宋体" w:hAnsi="宋体" w:eastAsia="宋体" w:cs="宋体"/>
                <w:color w:val="auto"/>
                <w:spacing w:val="-2"/>
                <w:sz w:val="21"/>
                <w:szCs w:val="21"/>
                <w:highlight w:val="none"/>
                <w:lang w:val="en-US" w:eastAsia="zh-CN"/>
              </w:rPr>
              <w:t>三益庄村</w:t>
            </w:r>
            <w:r>
              <w:rPr>
                <w:rFonts w:ascii="宋体" w:hAnsi="宋体" w:eastAsia="宋体" w:cs="宋体"/>
                <w:color w:val="auto"/>
                <w:sz w:val="21"/>
                <w:szCs w:val="21"/>
                <w:highlight w:val="none"/>
              </w:rPr>
              <w:t>，位</w:t>
            </w:r>
            <w:r>
              <w:rPr>
                <w:rFonts w:ascii="宋体" w:hAnsi="宋体" w:eastAsia="宋体" w:cs="宋体"/>
                <w:color w:val="auto"/>
                <w:spacing w:val="7"/>
                <w:sz w:val="21"/>
                <w:szCs w:val="21"/>
                <w:highlight w:val="none"/>
              </w:rPr>
              <w:t>于本项目厂界东北侧</w:t>
            </w:r>
            <w:r>
              <w:rPr>
                <w:rFonts w:hint="eastAsia" w:ascii="Times New Roman" w:hAnsi="Times New Roman" w:eastAsia="宋体" w:cs="Times New Roman"/>
                <w:color w:val="auto"/>
                <w:spacing w:val="7"/>
                <w:sz w:val="21"/>
                <w:szCs w:val="21"/>
                <w:highlight w:val="none"/>
                <w:lang w:val="en-US" w:eastAsia="zh-CN"/>
              </w:rPr>
              <w:t>2600</w:t>
            </w:r>
            <w:r>
              <w:rPr>
                <w:rFonts w:ascii="Times New Roman" w:hAnsi="Times New Roman" w:eastAsia="Times New Roman" w:cs="Times New Roman"/>
                <w:color w:val="auto"/>
                <w:sz w:val="21"/>
                <w:szCs w:val="21"/>
                <w:highlight w:val="none"/>
              </w:rPr>
              <w:t>m</w:t>
            </w:r>
            <w:r>
              <w:rPr>
                <w:rFonts w:ascii="宋体" w:hAnsi="宋体" w:eastAsia="宋体" w:cs="宋体"/>
                <w:color w:val="auto"/>
                <w:spacing w:val="7"/>
                <w:sz w:val="21"/>
                <w:szCs w:val="21"/>
                <w:highlight w:val="none"/>
              </w:rPr>
              <w:t>处，根据《建设项目环境影响报告表编织技术指</w:t>
            </w:r>
            <w:r>
              <w:rPr>
                <w:rFonts w:ascii="宋体" w:hAnsi="宋体" w:eastAsia="宋体" w:cs="宋体"/>
                <w:color w:val="auto"/>
                <w:spacing w:val="4"/>
                <w:sz w:val="21"/>
                <w:szCs w:val="21"/>
                <w:highlight w:val="none"/>
              </w:rPr>
              <w:t>南(</w:t>
            </w:r>
            <w:r>
              <w:rPr>
                <w:rFonts w:ascii="宋体" w:hAnsi="宋体" w:eastAsia="宋体" w:cs="宋体"/>
                <w:color w:val="auto"/>
                <w:spacing w:val="3"/>
                <w:sz w:val="21"/>
                <w:szCs w:val="21"/>
                <w:highlight w:val="none"/>
              </w:rPr>
              <w:t>污</w:t>
            </w:r>
            <w:r>
              <w:rPr>
                <w:rFonts w:ascii="宋体" w:hAnsi="宋体" w:eastAsia="宋体" w:cs="宋体"/>
                <w:color w:val="auto"/>
                <w:spacing w:val="2"/>
                <w:sz w:val="21"/>
                <w:szCs w:val="21"/>
                <w:highlight w:val="none"/>
              </w:rPr>
              <w:t>染影响类)》(试行)，可以引用建设项目周边</w:t>
            </w:r>
            <w:r>
              <w:rPr>
                <w:rFonts w:ascii="Times New Roman" w:hAnsi="Times New Roman" w:eastAsia="Times New Roman" w:cs="Times New Roman"/>
                <w:color w:val="auto"/>
                <w:spacing w:val="2"/>
                <w:sz w:val="21"/>
                <w:szCs w:val="21"/>
                <w:highlight w:val="none"/>
              </w:rPr>
              <w:t>5</w:t>
            </w:r>
            <w:r>
              <w:rPr>
                <w:rFonts w:ascii="宋体" w:hAnsi="宋体" w:eastAsia="宋体" w:cs="宋体"/>
                <w:color w:val="auto"/>
                <w:spacing w:val="2"/>
                <w:sz w:val="21"/>
                <w:szCs w:val="21"/>
                <w:highlight w:val="none"/>
              </w:rPr>
              <w:t>千米范围内近</w:t>
            </w:r>
            <w:r>
              <w:rPr>
                <w:rFonts w:ascii="Times New Roman" w:hAnsi="Times New Roman" w:eastAsia="Times New Roman" w:cs="Times New Roman"/>
                <w:color w:val="auto"/>
                <w:spacing w:val="2"/>
                <w:sz w:val="21"/>
                <w:szCs w:val="21"/>
                <w:highlight w:val="none"/>
              </w:rPr>
              <w:t>3</w:t>
            </w:r>
            <w:r>
              <w:rPr>
                <w:rFonts w:ascii="宋体" w:hAnsi="宋体" w:eastAsia="宋体" w:cs="宋体"/>
                <w:color w:val="auto"/>
                <w:spacing w:val="2"/>
                <w:sz w:val="21"/>
                <w:szCs w:val="21"/>
                <w:highlight w:val="none"/>
              </w:rPr>
              <w:t>年</w:t>
            </w:r>
            <w:r>
              <w:rPr>
                <w:rFonts w:ascii="宋体" w:hAnsi="宋体" w:eastAsia="宋体" w:cs="宋体"/>
                <w:color w:val="auto"/>
                <w:spacing w:val="18"/>
                <w:sz w:val="21"/>
                <w:szCs w:val="21"/>
                <w:highlight w:val="none"/>
              </w:rPr>
              <w:t>的现</w:t>
            </w:r>
            <w:r>
              <w:rPr>
                <w:rFonts w:ascii="宋体" w:hAnsi="宋体" w:eastAsia="宋体" w:cs="宋体"/>
                <w:color w:val="auto"/>
                <w:spacing w:val="15"/>
                <w:sz w:val="21"/>
                <w:szCs w:val="21"/>
                <w:highlight w:val="none"/>
              </w:rPr>
              <w:t>有</w:t>
            </w:r>
            <w:r>
              <w:rPr>
                <w:rFonts w:ascii="宋体" w:hAnsi="宋体" w:eastAsia="宋体" w:cs="宋体"/>
                <w:color w:val="auto"/>
                <w:spacing w:val="9"/>
                <w:sz w:val="21"/>
                <w:szCs w:val="21"/>
                <w:highlight w:val="none"/>
              </w:rPr>
              <w:t>监测数据，且引用具有可行性、时效性，具体监测点位基本信息及监测</w:t>
            </w:r>
            <w:r>
              <w:rPr>
                <w:rFonts w:ascii="宋体" w:hAnsi="宋体" w:eastAsia="宋体" w:cs="宋体"/>
                <w:color w:val="auto"/>
                <w:spacing w:val="8"/>
                <w:sz w:val="21"/>
                <w:szCs w:val="21"/>
                <w:highlight w:val="none"/>
              </w:rPr>
              <w:t>结果情况如见下表。</w:t>
            </w:r>
          </w:p>
          <w:p>
            <w:pPr>
              <w:keepNext w:val="0"/>
              <w:keepLines w:val="0"/>
              <w:suppressLineNumbers w:val="0"/>
              <w:spacing w:before="0" w:beforeAutospacing="0" w:after="0" w:afterAutospacing="0" w:line="276" w:lineRule="exact"/>
              <w:ind w:left="0" w:right="0"/>
              <w:jc w:val="center"/>
              <w:rPr>
                <w:rFonts w:hint="eastAsia" w:ascii="Times New Roman" w:hAnsi="Times New Roman" w:eastAsia="宋体" w:cs="Times New Roman"/>
                <w:b w:val="0"/>
                <w:bCs w:val="0"/>
                <w:color w:val="auto"/>
                <w:spacing w:val="6"/>
                <w:position w:val="2"/>
                <w:sz w:val="21"/>
                <w:szCs w:val="21"/>
                <w:highlight w:val="none"/>
                <w:lang w:val="en-US" w:eastAsia="zh-CN"/>
              </w:rPr>
            </w:pPr>
            <w:r>
              <w:rPr>
                <w:rFonts w:hint="default" w:ascii="Times New Roman" w:hAnsi="Times New Roman" w:eastAsia="宋体" w:cs="Times New Roman"/>
                <w:b w:val="0"/>
                <w:bCs w:val="0"/>
                <w:color w:val="auto"/>
                <w:spacing w:val="6"/>
                <w:position w:val="2"/>
                <w:sz w:val="21"/>
                <w:szCs w:val="21"/>
                <w:highlight w:val="none"/>
              </w:rPr>
              <w:t>表</w:t>
            </w:r>
            <w:r>
              <w:rPr>
                <w:rFonts w:hint="eastAsia" w:cs="Times New Roman"/>
                <w:b w:val="0"/>
                <w:bCs w:val="0"/>
                <w:color w:val="auto"/>
                <w:spacing w:val="6"/>
                <w:position w:val="2"/>
                <w:sz w:val="21"/>
                <w:szCs w:val="21"/>
                <w:highlight w:val="none"/>
                <w:lang w:val="en-US" w:eastAsia="zh-CN"/>
              </w:rPr>
              <w:t>22</w:t>
            </w:r>
            <w:r>
              <w:rPr>
                <w:rFonts w:hint="default" w:ascii="Times New Roman" w:hAnsi="Times New Roman" w:eastAsia="宋体" w:cs="Times New Roman"/>
                <w:b w:val="0"/>
                <w:bCs w:val="0"/>
                <w:color w:val="auto"/>
                <w:spacing w:val="6"/>
                <w:position w:val="2"/>
                <w:sz w:val="21"/>
                <w:szCs w:val="21"/>
                <w:highlight w:val="none"/>
              </w:rPr>
              <w:t xml:space="preserve">  其他污染物监测点位基本信息</w:t>
            </w:r>
          </w:p>
          <w:tbl>
            <w:tblPr>
              <w:tblStyle w:val="3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1391"/>
              <w:gridCol w:w="2383"/>
              <w:gridCol w:w="1335"/>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7"/>
                      <w:sz w:val="21"/>
                      <w:szCs w:val="21"/>
                      <w:highlight w:val="none"/>
                    </w:rPr>
                    <w:t>监测点位</w:t>
                  </w:r>
                </w:p>
              </w:tc>
              <w:tc>
                <w:tcPr>
                  <w:tcW w:w="87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7"/>
                      <w:sz w:val="21"/>
                      <w:szCs w:val="21"/>
                      <w:highlight w:val="none"/>
                    </w:rPr>
                    <w:t>监</w:t>
                  </w:r>
                  <w:r>
                    <w:rPr>
                      <w:rFonts w:hint="default" w:ascii="Times New Roman" w:hAnsi="Times New Roman" w:eastAsia="宋体" w:cs="Times New Roman"/>
                      <w:color w:val="auto"/>
                      <w:spacing w:val="6"/>
                      <w:sz w:val="21"/>
                      <w:szCs w:val="21"/>
                      <w:highlight w:val="none"/>
                    </w:rPr>
                    <w:t>测因</w:t>
                  </w:r>
                  <w:r>
                    <w:rPr>
                      <w:rFonts w:hint="default" w:ascii="Times New Roman" w:hAnsi="Times New Roman" w:eastAsia="宋体" w:cs="Times New Roman"/>
                      <w:color w:val="auto"/>
                      <w:sz w:val="21"/>
                      <w:szCs w:val="21"/>
                      <w:highlight w:val="none"/>
                    </w:rPr>
                    <w:t>子</w:t>
                  </w:r>
                </w:p>
              </w:tc>
              <w:tc>
                <w:tcPr>
                  <w:tcW w:w="149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7"/>
                      <w:sz w:val="21"/>
                      <w:szCs w:val="21"/>
                      <w:highlight w:val="none"/>
                    </w:rPr>
                    <w:t>监测时段</w:t>
                  </w:r>
                </w:p>
              </w:tc>
              <w:tc>
                <w:tcPr>
                  <w:tcW w:w="8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12"/>
                      <w:sz w:val="21"/>
                      <w:szCs w:val="21"/>
                      <w:highlight w:val="none"/>
                    </w:rPr>
                    <w:t>相</w:t>
                  </w:r>
                  <w:r>
                    <w:rPr>
                      <w:rFonts w:hint="default" w:ascii="Times New Roman" w:hAnsi="Times New Roman" w:eastAsia="宋体" w:cs="Times New Roman"/>
                      <w:color w:val="auto"/>
                      <w:spacing w:val="8"/>
                      <w:sz w:val="21"/>
                      <w:szCs w:val="21"/>
                      <w:highlight w:val="none"/>
                    </w:rPr>
                    <w:t>对本项目厂址</w:t>
                  </w:r>
                  <w:r>
                    <w:rPr>
                      <w:rFonts w:hint="default" w:ascii="Times New Roman" w:hAnsi="Times New Roman" w:eastAsia="宋体" w:cs="Times New Roman"/>
                      <w:color w:val="auto"/>
                      <w:spacing w:val="4"/>
                      <w:sz w:val="21"/>
                      <w:szCs w:val="21"/>
                      <w:highlight w:val="none"/>
                    </w:rPr>
                    <w:t>方位</w:t>
                  </w:r>
                </w:p>
              </w:tc>
              <w:tc>
                <w:tcPr>
                  <w:tcW w:w="86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8"/>
                      <w:sz w:val="21"/>
                      <w:szCs w:val="21"/>
                      <w:highlight w:val="none"/>
                    </w:rPr>
                    <w:t>相对本项目</w:t>
                  </w:r>
                  <w:r>
                    <w:rPr>
                      <w:rFonts w:hint="default" w:ascii="Times New Roman" w:hAnsi="Times New Roman" w:eastAsia="宋体" w:cs="Times New Roman"/>
                      <w:color w:val="auto"/>
                      <w:spacing w:val="9"/>
                      <w:sz w:val="21"/>
                      <w:szCs w:val="21"/>
                      <w:highlight w:val="none"/>
                    </w:rPr>
                    <w:t>厂</w:t>
                  </w:r>
                  <w:r>
                    <w:rPr>
                      <w:rFonts w:hint="default" w:ascii="Times New Roman" w:hAnsi="Times New Roman" w:eastAsia="宋体" w:cs="Times New Roman"/>
                      <w:color w:val="auto"/>
                      <w:spacing w:val="6"/>
                      <w:sz w:val="21"/>
                      <w:szCs w:val="21"/>
                      <w:highlight w:val="none"/>
                    </w:rPr>
                    <w:t>界距离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2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spacing w:val="-2"/>
                      <w:sz w:val="21"/>
                      <w:szCs w:val="21"/>
                      <w:highlight w:val="none"/>
                      <w:lang w:val="en-US" w:eastAsia="zh-CN"/>
                    </w:rPr>
                    <w:t>三益庄村</w:t>
                  </w:r>
                </w:p>
              </w:tc>
              <w:tc>
                <w:tcPr>
                  <w:tcW w:w="87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pacing w:val="4"/>
                      <w:sz w:val="21"/>
                      <w:szCs w:val="21"/>
                      <w:highlight w:val="none"/>
                      <w:lang w:val="en-US" w:eastAsia="zh-CN"/>
                    </w:rPr>
                    <w:t>TSP、非甲烷总烃</w:t>
                  </w:r>
                </w:p>
              </w:tc>
              <w:tc>
                <w:tcPr>
                  <w:tcW w:w="149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Times New Roman" w:cs="Times New Roman"/>
                      <w:color w:val="auto"/>
                      <w:spacing w:val="-1"/>
                      <w:sz w:val="21"/>
                      <w:szCs w:val="21"/>
                      <w:highlight w:val="none"/>
                    </w:rPr>
                    <w:t>202</w:t>
                  </w:r>
                  <w:r>
                    <w:rPr>
                      <w:rFonts w:hint="eastAsia" w:ascii="Times New Roman" w:hAnsi="Times New Roman" w:eastAsia="宋体" w:cs="Times New Roman"/>
                      <w:color w:val="auto"/>
                      <w:spacing w:val="-1"/>
                      <w:sz w:val="21"/>
                      <w:szCs w:val="21"/>
                      <w:highlight w:val="none"/>
                      <w:lang w:val="en-US" w:eastAsia="zh-CN"/>
                    </w:rPr>
                    <w:t>0</w:t>
                  </w:r>
                  <w:r>
                    <w:rPr>
                      <w:rFonts w:ascii="宋体" w:hAnsi="宋体" w:eastAsia="宋体" w:cs="宋体"/>
                      <w:color w:val="auto"/>
                      <w:spacing w:val="-1"/>
                      <w:sz w:val="21"/>
                      <w:szCs w:val="21"/>
                      <w:highlight w:val="none"/>
                    </w:rPr>
                    <w:t>年</w:t>
                  </w:r>
                  <w:r>
                    <w:rPr>
                      <w:rFonts w:ascii="Times New Roman" w:hAnsi="Times New Roman" w:eastAsia="Times New Roman" w:cs="Times New Roman"/>
                      <w:color w:val="auto"/>
                      <w:spacing w:val="-1"/>
                      <w:sz w:val="21"/>
                      <w:szCs w:val="21"/>
                      <w:highlight w:val="none"/>
                    </w:rPr>
                    <w:t>11</w:t>
                  </w:r>
                  <w:r>
                    <w:rPr>
                      <w:rFonts w:ascii="宋体" w:hAnsi="宋体" w:eastAsia="宋体" w:cs="宋体"/>
                      <w:color w:val="auto"/>
                      <w:spacing w:val="-1"/>
                      <w:sz w:val="21"/>
                      <w:szCs w:val="21"/>
                      <w:highlight w:val="none"/>
                    </w:rPr>
                    <w:t>月</w:t>
                  </w:r>
                  <w:r>
                    <w:rPr>
                      <w:rFonts w:ascii="Times New Roman" w:hAnsi="Times New Roman" w:eastAsia="Times New Roman" w:cs="Times New Roman"/>
                      <w:color w:val="auto"/>
                      <w:spacing w:val="-1"/>
                      <w:sz w:val="21"/>
                      <w:szCs w:val="21"/>
                      <w:highlight w:val="none"/>
                    </w:rPr>
                    <w:t>30</w:t>
                  </w:r>
                  <w:r>
                    <w:rPr>
                      <w:rFonts w:ascii="宋体" w:hAnsi="宋体" w:eastAsia="宋体" w:cs="宋体"/>
                      <w:color w:val="auto"/>
                      <w:spacing w:val="-1"/>
                      <w:sz w:val="21"/>
                      <w:szCs w:val="21"/>
                      <w:highlight w:val="none"/>
                    </w:rPr>
                    <w:t>日至</w:t>
                  </w:r>
                  <w:r>
                    <w:rPr>
                      <w:rFonts w:ascii="Times New Roman" w:hAnsi="Times New Roman" w:eastAsia="Times New Roman" w:cs="Times New Roman"/>
                      <w:color w:val="auto"/>
                      <w:spacing w:val="-1"/>
                      <w:sz w:val="21"/>
                      <w:szCs w:val="21"/>
                      <w:highlight w:val="none"/>
                    </w:rPr>
                    <w:t>2021</w:t>
                  </w:r>
                  <w:r>
                    <w:rPr>
                      <w:rFonts w:ascii="宋体" w:hAnsi="宋体" w:eastAsia="宋体" w:cs="宋体"/>
                      <w:color w:val="auto"/>
                      <w:spacing w:val="-1"/>
                      <w:sz w:val="21"/>
                      <w:szCs w:val="21"/>
                      <w:highlight w:val="none"/>
                    </w:rPr>
                    <w:t>年</w:t>
                  </w:r>
                  <w:r>
                    <w:rPr>
                      <w:rFonts w:ascii="Times New Roman" w:hAnsi="Times New Roman" w:eastAsia="Times New Roman" w:cs="Times New Roman"/>
                      <w:color w:val="auto"/>
                      <w:spacing w:val="-1"/>
                      <w:sz w:val="21"/>
                      <w:szCs w:val="21"/>
                      <w:highlight w:val="none"/>
                    </w:rPr>
                    <w:t>1</w:t>
                  </w:r>
                  <w:r>
                    <w:rPr>
                      <w:rFonts w:ascii="Times New Roman" w:hAnsi="Times New Roman" w:eastAsia="Times New Roman" w:cs="Times New Roman"/>
                      <w:color w:val="auto"/>
                      <w:sz w:val="21"/>
                      <w:szCs w:val="21"/>
                      <w:highlight w:val="none"/>
                    </w:rPr>
                    <w:t>2</w:t>
                  </w:r>
                  <w:r>
                    <w:rPr>
                      <w:rFonts w:ascii="宋体" w:hAnsi="宋体" w:eastAsia="宋体" w:cs="宋体"/>
                      <w:color w:val="auto"/>
                      <w:sz w:val="21"/>
                      <w:szCs w:val="21"/>
                      <w:highlight w:val="none"/>
                    </w:rPr>
                    <w:t>月</w:t>
                  </w:r>
                  <w:r>
                    <w:rPr>
                      <w:rFonts w:ascii="Times New Roman" w:hAnsi="Times New Roman" w:eastAsia="Times New Roman" w:cs="Times New Roman"/>
                      <w:color w:val="auto"/>
                      <w:sz w:val="21"/>
                      <w:szCs w:val="21"/>
                      <w:highlight w:val="none"/>
                    </w:rPr>
                    <w:t>0</w:t>
                  </w:r>
                  <w:r>
                    <w:rPr>
                      <w:rFonts w:hint="eastAsia" w:ascii="Times New Roman" w:hAnsi="Times New Roman" w:eastAsia="宋体" w:cs="Times New Roman"/>
                      <w:color w:val="auto"/>
                      <w:sz w:val="21"/>
                      <w:szCs w:val="21"/>
                      <w:highlight w:val="none"/>
                      <w:lang w:val="en-US" w:eastAsia="zh-CN"/>
                    </w:rPr>
                    <w:t>6</w:t>
                  </w:r>
                  <w:r>
                    <w:rPr>
                      <w:rFonts w:ascii="宋体" w:hAnsi="宋体" w:eastAsia="宋体" w:cs="宋体"/>
                      <w:color w:val="auto"/>
                      <w:sz w:val="21"/>
                      <w:szCs w:val="21"/>
                      <w:highlight w:val="none"/>
                    </w:rPr>
                    <w:t>日</w:t>
                  </w:r>
                </w:p>
              </w:tc>
              <w:tc>
                <w:tcPr>
                  <w:tcW w:w="8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7"/>
                      <w:sz w:val="21"/>
                      <w:szCs w:val="21"/>
                      <w:highlight w:val="none"/>
                    </w:rPr>
                    <w:t>东</w:t>
                  </w:r>
                  <w:r>
                    <w:rPr>
                      <w:rFonts w:hint="default" w:ascii="Times New Roman" w:hAnsi="Times New Roman" w:eastAsia="宋体" w:cs="Times New Roman"/>
                      <w:color w:val="auto"/>
                      <w:spacing w:val="5"/>
                      <w:sz w:val="21"/>
                      <w:szCs w:val="21"/>
                      <w:highlight w:val="none"/>
                    </w:rPr>
                    <w:t>北方向</w:t>
                  </w:r>
                </w:p>
              </w:tc>
              <w:tc>
                <w:tcPr>
                  <w:tcW w:w="86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2600m</w:t>
                  </w:r>
                </w:p>
              </w:tc>
            </w:tr>
          </w:tbl>
          <w:p>
            <w:pPr>
              <w:keepNext w:val="0"/>
              <w:keepLines w:val="0"/>
              <w:suppressLineNumbers w:val="0"/>
              <w:spacing w:before="0" w:beforeAutospacing="0" w:after="0" w:afterAutospacing="0" w:line="276" w:lineRule="exact"/>
              <w:ind w:left="0" w:right="0"/>
              <w:jc w:val="center"/>
              <w:rPr>
                <w:rFonts w:hint="eastAsia" w:ascii="Times New Roman" w:hAnsi="Times New Roman" w:eastAsia="宋体" w:cs="Times New Roman"/>
                <w:b w:val="0"/>
                <w:bCs w:val="0"/>
                <w:color w:val="auto"/>
                <w:spacing w:val="6"/>
                <w:position w:val="2"/>
                <w:sz w:val="21"/>
                <w:szCs w:val="21"/>
                <w:highlight w:val="none"/>
                <w:lang w:val="en-US" w:eastAsia="zh-CN"/>
              </w:rPr>
            </w:pPr>
            <w:r>
              <w:rPr>
                <w:rFonts w:hint="default" w:ascii="Times New Roman" w:hAnsi="Times New Roman" w:eastAsia="宋体" w:cs="Times New Roman"/>
                <w:b w:val="0"/>
                <w:bCs w:val="0"/>
                <w:color w:val="auto"/>
                <w:spacing w:val="6"/>
                <w:position w:val="2"/>
                <w:sz w:val="21"/>
                <w:szCs w:val="21"/>
                <w:highlight w:val="none"/>
              </w:rPr>
              <w:t>表</w:t>
            </w:r>
            <w:r>
              <w:rPr>
                <w:rFonts w:hint="eastAsia" w:cs="Times New Roman"/>
                <w:b w:val="0"/>
                <w:bCs w:val="0"/>
                <w:color w:val="auto"/>
                <w:spacing w:val="6"/>
                <w:position w:val="2"/>
                <w:sz w:val="21"/>
                <w:szCs w:val="21"/>
                <w:highlight w:val="none"/>
                <w:lang w:val="en-US" w:eastAsia="zh-CN"/>
              </w:rPr>
              <w:t>23</w:t>
            </w:r>
            <w:r>
              <w:rPr>
                <w:rFonts w:hint="default" w:ascii="Times New Roman" w:hAnsi="Times New Roman" w:eastAsia="宋体" w:cs="Times New Roman"/>
                <w:b w:val="0"/>
                <w:bCs w:val="0"/>
                <w:color w:val="auto"/>
                <w:spacing w:val="6"/>
                <w:position w:val="2"/>
                <w:sz w:val="21"/>
                <w:szCs w:val="21"/>
                <w:highlight w:val="none"/>
              </w:rPr>
              <w:t xml:space="preserve">  其他污染物环境空气质量现状监测结果</w:t>
            </w:r>
          </w:p>
          <w:tbl>
            <w:tblPr>
              <w:tblStyle w:val="36"/>
              <w:tblW w:w="4981"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875"/>
              <w:gridCol w:w="884"/>
              <w:gridCol w:w="1124"/>
              <w:gridCol w:w="1333"/>
              <w:gridCol w:w="1142"/>
              <w:gridCol w:w="778"/>
              <w:gridCol w:w="68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5" w:type="pct"/>
                  <w:tcBorders>
                    <w:left w:val="single" w:color="auto" w:sz="0"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监测点位</w:t>
                  </w:r>
                </w:p>
              </w:tc>
              <w:tc>
                <w:tcPr>
                  <w:tcW w:w="55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监测因子</w:t>
                  </w:r>
                </w:p>
              </w:tc>
              <w:tc>
                <w:tcPr>
                  <w:tcW w:w="55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平均时间</w:t>
                  </w:r>
                </w:p>
              </w:tc>
              <w:tc>
                <w:tcPr>
                  <w:tcW w:w="7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评价标准(mg/m</w:t>
                  </w:r>
                  <w:r>
                    <w:rPr>
                      <w:rFonts w:hint="default" w:ascii="Times New Roman" w:hAnsi="Times New Roman" w:eastAsia="宋体" w:cs="Times New Roman"/>
                      <w:color w:val="auto"/>
                      <w:spacing w:val="9"/>
                      <w:sz w:val="21"/>
                      <w:szCs w:val="21"/>
                      <w:highlight w:val="none"/>
                      <w:vertAlign w:val="superscript"/>
                    </w:rPr>
                    <w:t>3</w:t>
                  </w:r>
                  <w:r>
                    <w:rPr>
                      <w:rFonts w:hint="default" w:ascii="Times New Roman" w:hAnsi="Times New Roman" w:eastAsia="宋体" w:cs="Times New Roman"/>
                      <w:color w:val="auto"/>
                      <w:spacing w:val="9"/>
                      <w:sz w:val="21"/>
                      <w:szCs w:val="21"/>
                      <w:highlight w:val="none"/>
                    </w:rPr>
                    <w:t>)</w:t>
                  </w:r>
                </w:p>
              </w:tc>
              <w:tc>
                <w:tcPr>
                  <w:tcW w:w="8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监测浓度范围(mg/m</w:t>
                  </w:r>
                  <w:r>
                    <w:rPr>
                      <w:rFonts w:hint="default" w:ascii="Times New Roman" w:hAnsi="Times New Roman" w:eastAsia="宋体" w:cs="Times New Roman"/>
                      <w:color w:val="auto"/>
                      <w:spacing w:val="9"/>
                      <w:sz w:val="21"/>
                      <w:szCs w:val="21"/>
                      <w:highlight w:val="none"/>
                      <w:vertAlign w:val="superscript"/>
                    </w:rPr>
                    <w:t>3</w:t>
                  </w:r>
                  <w:r>
                    <w:rPr>
                      <w:rFonts w:hint="default" w:ascii="Times New Roman" w:hAnsi="Times New Roman" w:eastAsia="宋体" w:cs="Times New Roman"/>
                      <w:color w:val="auto"/>
                      <w:spacing w:val="9"/>
                      <w:sz w:val="21"/>
                      <w:szCs w:val="21"/>
                      <w:highlight w:val="none"/>
                    </w:rPr>
                    <w:t>)</w:t>
                  </w:r>
                </w:p>
              </w:tc>
              <w:tc>
                <w:tcPr>
                  <w:tcW w:w="7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最大浓度占标率/%</w:t>
                  </w:r>
                </w:p>
              </w:tc>
              <w:tc>
                <w:tcPr>
                  <w:tcW w:w="489"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超标率/%</w:t>
                  </w:r>
                </w:p>
              </w:tc>
              <w:tc>
                <w:tcPr>
                  <w:tcW w:w="432" w:type="pct"/>
                  <w:tcBorders>
                    <w:right w:val="single" w:color="auto" w:sz="4"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达标情况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5" w:type="pct"/>
                  <w:vMerge w:val="restart"/>
                  <w:tcBorders>
                    <w:left w:val="single" w:color="auto" w:sz="4"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eastAsia" w:ascii="宋体" w:hAnsi="宋体" w:eastAsia="宋体" w:cs="宋体"/>
                      <w:color w:val="auto"/>
                      <w:spacing w:val="-2"/>
                      <w:sz w:val="21"/>
                      <w:szCs w:val="21"/>
                      <w:highlight w:val="none"/>
                      <w:lang w:val="en-US" w:eastAsia="zh-CN"/>
                    </w:rPr>
                    <w:t>三益庄村</w:t>
                  </w:r>
                </w:p>
              </w:tc>
              <w:tc>
                <w:tcPr>
                  <w:tcW w:w="55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TSP</w:t>
                  </w:r>
                </w:p>
              </w:tc>
              <w:tc>
                <w:tcPr>
                  <w:tcW w:w="55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24小时</w:t>
                  </w:r>
                </w:p>
              </w:tc>
              <w:tc>
                <w:tcPr>
                  <w:tcW w:w="7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0.3</w:t>
                  </w:r>
                </w:p>
              </w:tc>
              <w:tc>
                <w:tcPr>
                  <w:tcW w:w="8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cs="Times New Roman"/>
                      <w:color w:val="auto"/>
                      <w:highlight w:val="none"/>
                    </w:rPr>
                    <w:t>0.235-0.241</w:t>
                  </w:r>
                </w:p>
              </w:tc>
              <w:tc>
                <w:tcPr>
                  <w:tcW w:w="7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cs="Times New Roman"/>
                      <w:color w:val="auto"/>
                      <w:highlight w:val="none"/>
                    </w:rPr>
                    <w:t>80.3</w:t>
                  </w:r>
                </w:p>
              </w:tc>
              <w:tc>
                <w:tcPr>
                  <w:tcW w:w="489"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w:t>
                  </w:r>
                </w:p>
              </w:tc>
              <w:tc>
                <w:tcPr>
                  <w:tcW w:w="432" w:type="pct"/>
                  <w:tcBorders>
                    <w:right w:val="single" w:color="auto" w:sz="4"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default" w:ascii="Times New Roman" w:hAnsi="Times New Roman" w:eastAsia="宋体" w:cs="Times New Roman"/>
                      <w:color w:val="auto"/>
                      <w:spacing w:val="9"/>
                      <w:sz w:val="21"/>
                      <w:szCs w:val="21"/>
                      <w:highlight w:val="none"/>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5" w:type="pct"/>
                  <w:vMerge w:val="continue"/>
                  <w:tcBorders>
                    <w:left w:val="single" w:color="auto" w:sz="4"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rPr>
                  </w:pPr>
                </w:p>
              </w:tc>
              <w:tc>
                <w:tcPr>
                  <w:tcW w:w="55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rPr>
                  </w:pPr>
                  <w:r>
                    <w:rPr>
                      <w:rFonts w:hint="eastAsia" w:ascii="Times New Roman" w:hAnsi="Times New Roman" w:eastAsia="宋体" w:cs="Times New Roman"/>
                      <w:color w:val="auto"/>
                      <w:spacing w:val="4"/>
                      <w:sz w:val="21"/>
                      <w:szCs w:val="21"/>
                      <w:highlight w:val="none"/>
                      <w:lang w:val="en-US" w:eastAsia="zh-CN"/>
                    </w:rPr>
                    <w:t>非甲烷总烃</w:t>
                  </w:r>
                </w:p>
              </w:tc>
              <w:tc>
                <w:tcPr>
                  <w:tcW w:w="55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sz w:val="21"/>
                      <w:szCs w:val="21"/>
                      <w:highlight w:val="none"/>
                      <w:lang w:val="en-US" w:eastAsia="zh-CN"/>
                    </w:rPr>
                  </w:pPr>
                  <w:r>
                    <w:rPr>
                      <w:rFonts w:hint="eastAsia" w:ascii="Times New Roman" w:hAnsi="Times New Roman" w:eastAsia="宋体" w:cs="Times New Roman"/>
                      <w:color w:val="auto"/>
                      <w:spacing w:val="9"/>
                      <w:sz w:val="21"/>
                      <w:szCs w:val="21"/>
                      <w:highlight w:val="none"/>
                      <w:lang w:val="en-US" w:eastAsia="zh-CN"/>
                    </w:rPr>
                    <w:t>1小时</w:t>
                  </w:r>
                </w:p>
              </w:tc>
              <w:tc>
                <w:tcPr>
                  <w:tcW w:w="7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9"/>
                      <w:sz w:val="21"/>
                      <w:szCs w:val="21"/>
                      <w:highlight w:val="none"/>
                      <w:lang w:val="en-US" w:eastAsia="zh-CN"/>
                    </w:rPr>
                  </w:pPr>
                  <w:r>
                    <w:rPr>
                      <w:rFonts w:hint="eastAsia" w:ascii="Times New Roman" w:hAnsi="Times New Roman" w:eastAsia="宋体" w:cs="Times New Roman"/>
                      <w:color w:val="auto"/>
                      <w:spacing w:val="9"/>
                      <w:sz w:val="21"/>
                      <w:szCs w:val="21"/>
                      <w:highlight w:val="none"/>
                      <w:lang w:val="en-US" w:eastAsia="zh-CN"/>
                    </w:rPr>
                    <w:t>2</w:t>
                  </w:r>
                </w:p>
              </w:tc>
              <w:tc>
                <w:tcPr>
                  <w:tcW w:w="8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kern w:val="2"/>
                      <w:sz w:val="21"/>
                      <w:szCs w:val="21"/>
                      <w:highlight w:val="none"/>
                      <w:lang w:val="en-US" w:eastAsia="zh-CN" w:bidi="ar-SA"/>
                    </w:rPr>
                  </w:pPr>
                  <w:r>
                    <w:rPr>
                      <w:rFonts w:cs="Times New Roman"/>
                      <w:color w:val="auto"/>
                      <w:highlight w:val="none"/>
                    </w:rPr>
                    <w:t>0.73-0.99</w:t>
                  </w:r>
                </w:p>
              </w:tc>
              <w:tc>
                <w:tcPr>
                  <w:tcW w:w="7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kern w:val="2"/>
                      <w:sz w:val="21"/>
                      <w:szCs w:val="21"/>
                      <w:highlight w:val="none"/>
                      <w:lang w:val="en-US" w:eastAsia="zh-CN" w:bidi="ar-SA"/>
                    </w:rPr>
                  </w:pPr>
                  <w:r>
                    <w:rPr>
                      <w:rFonts w:cs="Times New Roman"/>
                      <w:color w:val="auto"/>
                      <w:highlight w:val="none"/>
                    </w:rPr>
                    <w:t>49.5</w:t>
                  </w:r>
                </w:p>
              </w:tc>
              <w:tc>
                <w:tcPr>
                  <w:tcW w:w="489"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kern w:val="2"/>
                      <w:sz w:val="21"/>
                      <w:szCs w:val="21"/>
                      <w:highlight w:val="none"/>
                      <w:lang w:val="en-US" w:eastAsia="zh-CN" w:bidi="ar-SA"/>
                    </w:rPr>
                  </w:pPr>
                  <w:r>
                    <w:rPr>
                      <w:rFonts w:hint="default" w:ascii="Times New Roman" w:hAnsi="Times New Roman" w:eastAsia="宋体" w:cs="Times New Roman"/>
                      <w:color w:val="auto"/>
                      <w:spacing w:val="9"/>
                      <w:sz w:val="21"/>
                      <w:szCs w:val="21"/>
                      <w:highlight w:val="none"/>
                    </w:rPr>
                    <w:t>/</w:t>
                  </w:r>
                </w:p>
              </w:tc>
              <w:tc>
                <w:tcPr>
                  <w:tcW w:w="432" w:type="pct"/>
                  <w:tcBorders>
                    <w:right w:val="single" w:color="auto" w:sz="4"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9"/>
                      <w:kern w:val="2"/>
                      <w:sz w:val="21"/>
                      <w:szCs w:val="21"/>
                      <w:highlight w:val="none"/>
                      <w:lang w:val="en-US" w:eastAsia="zh-CN" w:bidi="ar-SA"/>
                    </w:rPr>
                  </w:pPr>
                  <w:r>
                    <w:rPr>
                      <w:rFonts w:hint="default" w:ascii="Times New Roman" w:hAnsi="Times New Roman" w:eastAsia="宋体" w:cs="Times New Roman"/>
                      <w:color w:val="auto"/>
                      <w:spacing w:val="9"/>
                      <w:sz w:val="21"/>
                      <w:szCs w:val="21"/>
                      <w:highlight w:val="none"/>
                    </w:rPr>
                    <w:t>达标</w:t>
                  </w:r>
                </w:p>
              </w:tc>
            </w:tr>
          </w:tbl>
          <w:p>
            <w:pPr>
              <w:pStyle w:val="103"/>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由上表分析可知，评价范围内非甲烷总烃1h平均质量浓度满足《环境空气质量 非甲烷总烃限值》（DB13/1577-2012）二级标准限值要求；TSP 24h平均质量浓度均满足《环境空气质量标准》（GB3095-2012）二级标准及修改单要求。</w:t>
            </w:r>
          </w:p>
          <w:p>
            <w:pPr>
              <w:keepNext w:val="0"/>
              <w:keepLines w:val="0"/>
              <w:pageBreakBefore w:val="0"/>
              <w:widowControl w:val="0"/>
              <w:suppressLineNumbers w:val="0"/>
              <w:kinsoku/>
              <w:wordWrap/>
              <w:bidi w:val="0"/>
              <w:spacing w:before="0" w:beforeAutospacing="0" w:after="0" w:afterAutospacing="0" w:line="480" w:lineRule="exact"/>
              <w:ind w:left="0" w:right="0"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2、地表水环境质量现状</w:t>
            </w:r>
          </w:p>
          <w:p>
            <w:pPr>
              <w:keepNext w:val="0"/>
              <w:keepLines w:val="0"/>
              <w:pageBreakBefore w:val="0"/>
              <w:widowControl w:val="0"/>
              <w:suppressLineNumbers w:val="0"/>
              <w:tabs>
                <w:tab w:val="left" w:pos="4760"/>
              </w:tabs>
              <w:kinsoku/>
              <w:wordWrap/>
              <w:overflowPunct w:val="0"/>
              <w:topLinePunct/>
              <w:autoSpaceDE w:val="0"/>
              <w:autoSpaceDN w:val="0"/>
              <w:bidi w:val="0"/>
              <w:adjustRightInd w:val="0"/>
              <w:snapToGrid w:val="0"/>
              <w:spacing w:before="0" w:beforeAutospacing="0" w:after="0" w:afterAutospacing="0" w:line="480" w:lineRule="exact"/>
              <w:ind w:left="0" w:right="0"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距本项目最近河流为东侧陡河，距离为</w:t>
            </w:r>
            <w:r>
              <w:rPr>
                <w:rFonts w:hint="eastAsia" w:cs="Times New Roman"/>
                <w:color w:val="auto"/>
                <w:sz w:val="21"/>
                <w:szCs w:val="21"/>
                <w:highlight w:val="none"/>
                <w:lang w:val="en-US" w:eastAsia="zh-CN"/>
              </w:rPr>
              <w:t>4.3</w:t>
            </w:r>
            <w:r>
              <w:rPr>
                <w:rFonts w:hint="default" w:ascii="Times New Roman" w:hAnsi="Times New Roman" w:eastAsia="宋体" w:cs="Times New Roman"/>
                <w:color w:val="auto"/>
                <w:sz w:val="21"/>
                <w:szCs w:val="21"/>
                <w:highlight w:val="none"/>
              </w:rPr>
              <w:t>km，本评价引用《2021年唐山市环境状况公报》中数据，陡河国控断面、省控断面为陡河的涧河口断面和还乡河的丰北闸断面。按照《地表水环境质量标准》GB3838-2002）进行监测，监测频次每月1次，全年共监测12次，监测项目25项，按照《地表水环境质量标准》（GB3838-2002）进行评价，评价方法采用单因子评价法进行，根据监测结果，涧河口断面为Ⅳ类水质断面，丰北闸断面为Ⅳ类水质断面，水质达标率达到100%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3、声环境质量现状</w:t>
            </w:r>
          </w:p>
          <w:p>
            <w:pPr>
              <w:keepNext w:val="0"/>
              <w:keepLines w:val="0"/>
              <w:suppressLineNumbers w:val="0"/>
              <w:adjustRightInd w:val="0"/>
              <w:snapToGrid w:val="0"/>
              <w:spacing w:before="0" w:beforeAutospacing="0" w:after="0" w:afterAutospacing="0" w:line="360" w:lineRule="auto"/>
              <w:ind w:left="0" w:right="0" w:firstLine="420" w:firstLineChars="200"/>
              <w:jc w:val="left"/>
              <w:rPr>
                <w:highlight w:val="none"/>
              </w:rPr>
            </w:pPr>
            <w:r>
              <w:rPr>
                <w:rFonts w:hint="eastAsia"/>
                <w:highlight w:val="none"/>
              </w:rPr>
              <w:t>本项目</w:t>
            </w:r>
            <w:r>
              <w:rPr>
                <w:highlight w:val="none"/>
              </w:rPr>
              <w:t>50m范围内</w:t>
            </w:r>
            <w:r>
              <w:rPr>
                <w:rFonts w:hint="eastAsia"/>
                <w:highlight w:val="none"/>
              </w:rPr>
              <w:t>有</w:t>
            </w:r>
            <w:r>
              <w:rPr>
                <w:rFonts w:hint="eastAsia"/>
                <w:szCs w:val="21"/>
                <w:highlight w:val="none"/>
                <w:lang w:val="en-US" w:eastAsia="zh-CN"/>
              </w:rPr>
              <w:t>唐山市第二医院高新院区</w:t>
            </w:r>
            <w:r>
              <w:rPr>
                <w:rFonts w:hint="eastAsia"/>
                <w:highlight w:val="none"/>
              </w:rPr>
              <w:t>，于202</w:t>
            </w:r>
            <w:r>
              <w:rPr>
                <w:rFonts w:hint="eastAsia"/>
                <w:highlight w:val="none"/>
                <w:lang w:val="en-US" w:eastAsia="zh-CN"/>
              </w:rPr>
              <w:t>3</w:t>
            </w:r>
            <w:r>
              <w:rPr>
                <w:rFonts w:hint="eastAsia"/>
                <w:highlight w:val="none"/>
              </w:rPr>
              <w:t>年</w:t>
            </w:r>
            <w:r>
              <w:rPr>
                <w:rFonts w:hint="eastAsia"/>
                <w:highlight w:val="none"/>
                <w:lang w:val="en-US" w:eastAsia="zh-CN"/>
              </w:rPr>
              <w:t>2</w:t>
            </w:r>
            <w:r>
              <w:rPr>
                <w:rFonts w:hint="eastAsia"/>
                <w:highlight w:val="none"/>
              </w:rPr>
              <w:t>月</w:t>
            </w:r>
            <w:r>
              <w:rPr>
                <w:rFonts w:hint="eastAsia"/>
                <w:highlight w:val="none"/>
                <w:lang w:val="en-US" w:eastAsia="zh-CN"/>
              </w:rPr>
              <w:t>21~22</w:t>
            </w:r>
            <w:r>
              <w:rPr>
                <w:rFonts w:hint="eastAsia"/>
                <w:highlight w:val="none"/>
              </w:rPr>
              <w:t>日进行了噪声质量现状检测，监测单位为</w:t>
            </w:r>
            <w:r>
              <w:rPr>
                <w:rFonts w:hint="eastAsia"/>
                <w:highlight w:val="none"/>
                <w:lang w:eastAsia="zh-CN"/>
              </w:rPr>
              <w:t>唐山一方检测技术有限公司</w:t>
            </w:r>
            <w:r>
              <w:rPr>
                <w:rFonts w:hint="eastAsia"/>
                <w:highlight w:val="none"/>
              </w:rPr>
              <w:t>，监测点位为</w:t>
            </w:r>
            <w:r>
              <w:rPr>
                <w:rFonts w:hint="eastAsia"/>
                <w:szCs w:val="21"/>
                <w:highlight w:val="none"/>
                <w:lang w:val="en-US" w:eastAsia="zh-CN"/>
              </w:rPr>
              <w:t>唐山市第二医院高新院区南侧</w:t>
            </w:r>
            <w:r>
              <w:rPr>
                <w:rFonts w:hint="eastAsia"/>
                <w:highlight w:val="none"/>
              </w:rPr>
              <w:t>，检测结果如下：</w:t>
            </w:r>
          </w:p>
          <w:p>
            <w:pPr>
              <w:pStyle w:val="11"/>
              <w:keepNext w:val="0"/>
              <w:keepLines w:val="0"/>
              <w:suppressLineNumbers w:val="0"/>
              <w:spacing w:before="0" w:beforeAutospacing="0" w:after="0" w:afterAutospacing="0"/>
              <w:ind w:left="0" w:right="0" w:firstLine="0"/>
              <w:jc w:val="center"/>
              <w:rPr>
                <w:highlight w:val="none"/>
              </w:rPr>
            </w:pPr>
            <w:r>
              <w:rPr>
                <w:rFonts w:hint="eastAsia"/>
                <w:highlight w:val="none"/>
                <w:lang w:val="en-US" w:eastAsia="zh-CN"/>
              </w:rPr>
              <w:t xml:space="preserve">            </w:t>
            </w:r>
            <w:r>
              <w:rPr>
                <w:rFonts w:hint="eastAsia"/>
                <w:highlight w:val="none"/>
              </w:rPr>
              <w:t>表</w:t>
            </w:r>
            <w:r>
              <w:rPr>
                <w:rFonts w:hint="eastAsia"/>
                <w:highlight w:val="none"/>
                <w:lang w:val="en-US" w:eastAsia="zh-CN"/>
              </w:rPr>
              <w:t xml:space="preserve">24  </w:t>
            </w:r>
            <w:r>
              <w:rPr>
                <w:rFonts w:hint="eastAsia"/>
                <w:highlight w:val="none"/>
              </w:rPr>
              <w:t>噪声环境质量检测结果</w:t>
            </w:r>
            <w:r>
              <w:rPr>
                <w:rFonts w:hint="eastAsia"/>
                <w:highlight w:val="none"/>
                <w:lang w:val="en-US" w:eastAsia="zh-CN"/>
              </w:rPr>
              <w:t xml:space="preserve">         </w:t>
            </w:r>
            <w:r>
              <w:rPr>
                <w:rFonts w:hint="eastAsia"/>
                <w:highlight w:val="none"/>
              </w:rPr>
              <w:t>单位：dB（A）</w:t>
            </w:r>
          </w:p>
          <w:tbl>
            <w:tblPr>
              <w:tblStyle w:val="3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236"/>
              <w:gridCol w:w="1427"/>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5"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rPr>
                  </w:pPr>
                  <w:r>
                    <w:rPr>
                      <w:rFonts w:hint="default" w:ascii="Times New Roman" w:hAnsi="Times New Roman" w:eastAsia="宋体" w:cs="Times New Roman"/>
                      <w:b w:val="0"/>
                      <w:bCs/>
                      <w:kern w:val="2"/>
                      <w:sz w:val="21"/>
                      <w:szCs w:val="24"/>
                      <w:highlight w:val="none"/>
                    </w:rPr>
                    <w:t>检测点位</w:t>
                  </w:r>
                </w:p>
              </w:tc>
              <w:tc>
                <w:tcPr>
                  <w:tcW w:w="1403"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eastAsia"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监测时间</w:t>
                  </w:r>
                </w:p>
              </w:tc>
              <w:tc>
                <w:tcPr>
                  <w:tcW w:w="896"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rPr>
                  </w:pPr>
                  <w:r>
                    <w:rPr>
                      <w:rFonts w:hint="default" w:ascii="Times New Roman" w:hAnsi="Times New Roman" w:eastAsia="宋体" w:cs="Times New Roman"/>
                      <w:b w:val="0"/>
                      <w:bCs/>
                      <w:kern w:val="2"/>
                      <w:sz w:val="21"/>
                      <w:szCs w:val="24"/>
                      <w:highlight w:val="none"/>
                    </w:rPr>
                    <w:t>昼间</w:t>
                  </w:r>
                </w:p>
              </w:tc>
              <w:tc>
                <w:tcPr>
                  <w:tcW w:w="1474"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eastAsia="zh-CN"/>
                    </w:rPr>
                  </w:pPr>
                  <w:r>
                    <w:rPr>
                      <w:rFonts w:hint="default" w:ascii="Times New Roman" w:hAnsi="Times New Roman" w:eastAsia="宋体" w:cs="Times New Roman"/>
                      <w:b w:val="0"/>
                      <w:bCs/>
                      <w:kern w:val="2"/>
                      <w:sz w:val="21"/>
                      <w:szCs w:val="24"/>
                      <w:highlight w:val="none"/>
                      <w:lang w:eastAsia="zh-CN"/>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225" w:type="pct"/>
                  <w:vMerge w:val="restar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default" w:ascii="Times New Roman" w:hAnsi="Times New Roman" w:eastAsia="宋体" w:cs="Times New Roman"/>
                      <w:b w:val="0"/>
                      <w:bCs/>
                      <w:kern w:val="2"/>
                      <w:sz w:val="21"/>
                      <w:szCs w:val="24"/>
                      <w:highlight w:val="none"/>
                      <w:lang w:eastAsia="zh-CN"/>
                    </w:rPr>
                    <w:t>唐山市第二医院高新院区</w:t>
                  </w:r>
                  <w:r>
                    <w:rPr>
                      <w:rFonts w:hint="eastAsia" w:ascii="Times New Roman" w:hAnsi="Times New Roman" w:eastAsia="宋体" w:cs="Times New Roman"/>
                      <w:b w:val="0"/>
                      <w:bCs/>
                      <w:kern w:val="2"/>
                      <w:sz w:val="21"/>
                      <w:szCs w:val="24"/>
                      <w:highlight w:val="none"/>
                      <w:lang w:val="en-US" w:eastAsia="zh-CN"/>
                    </w:rPr>
                    <w:t>南侧</w:t>
                  </w:r>
                </w:p>
              </w:tc>
              <w:tc>
                <w:tcPr>
                  <w:tcW w:w="1403"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eastAsia="zh-CN"/>
                    </w:rPr>
                    <w:t>202</w:t>
                  </w:r>
                  <w:r>
                    <w:rPr>
                      <w:rFonts w:hint="eastAsia" w:ascii="Times New Roman" w:hAnsi="Times New Roman" w:eastAsia="宋体" w:cs="Times New Roman"/>
                      <w:b w:val="0"/>
                      <w:bCs/>
                      <w:kern w:val="2"/>
                      <w:sz w:val="21"/>
                      <w:szCs w:val="24"/>
                      <w:highlight w:val="none"/>
                      <w:lang w:val="en-US" w:eastAsia="zh-CN"/>
                    </w:rPr>
                    <w:t>3</w:t>
                  </w:r>
                  <w:r>
                    <w:rPr>
                      <w:rFonts w:hint="eastAsia" w:ascii="Times New Roman" w:hAnsi="Times New Roman" w:eastAsia="宋体" w:cs="Times New Roman"/>
                      <w:b w:val="0"/>
                      <w:bCs/>
                      <w:kern w:val="2"/>
                      <w:sz w:val="21"/>
                      <w:szCs w:val="24"/>
                      <w:highlight w:val="none"/>
                      <w:lang w:eastAsia="zh-CN"/>
                    </w:rPr>
                    <w:t>年</w:t>
                  </w:r>
                  <w:r>
                    <w:rPr>
                      <w:rFonts w:hint="eastAsia" w:ascii="Times New Roman" w:hAnsi="Times New Roman" w:eastAsia="宋体" w:cs="Times New Roman"/>
                      <w:b w:val="0"/>
                      <w:bCs/>
                      <w:kern w:val="2"/>
                      <w:sz w:val="21"/>
                      <w:szCs w:val="24"/>
                      <w:highlight w:val="none"/>
                      <w:lang w:val="en-US" w:eastAsia="zh-CN"/>
                    </w:rPr>
                    <w:t>2</w:t>
                  </w:r>
                  <w:r>
                    <w:rPr>
                      <w:rFonts w:hint="eastAsia" w:ascii="Times New Roman" w:hAnsi="Times New Roman" w:eastAsia="宋体" w:cs="Times New Roman"/>
                      <w:b w:val="0"/>
                      <w:bCs/>
                      <w:kern w:val="2"/>
                      <w:sz w:val="21"/>
                      <w:szCs w:val="24"/>
                      <w:highlight w:val="none"/>
                      <w:lang w:eastAsia="zh-CN"/>
                    </w:rPr>
                    <w:t>月</w:t>
                  </w:r>
                  <w:r>
                    <w:rPr>
                      <w:rFonts w:hint="eastAsia" w:ascii="Times New Roman" w:hAnsi="Times New Roman" w:eastAsia="宋体" w:cs="Times New Roman"/>
                      <w:b w:val="0"/>
                      <w:bCs/>
                      <w:kern w:val="2"/>
                      <w:sz w:val="21"/>
                      <w:szCs w:val="24"/>
                      <w:highlight w:val="none"/>
                      <w:lang w:val="en-US" w:eastAsia="zh-CN"/>
                    </w:rPr>
                    <w:t>21日</w:t>
                  </w:r>
                </w:p>
              </w:tc>
              <w:tc>
                <w:tcPr>
                  <w:tcW w:w="896"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53</w:t>
                  </w:r>
                </w:p>
              </w:tc>
              <w:tc>
                <w:tcPr>
                  <w:tcW w:w="1474"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pct"/>
                  <w:vMerge w:val="continue"/>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rPr>
                  </w:pPr>
                </w:p>
              </w:tc>
              <w:tc>
                <w:tcPr>
                  <w:tcW w:w="1403"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eastAsia="zh-CN"/>
                    </w:rPr>
                  </w:pPr>
                  <w:r>
                    <w:rPr>
                      <w:rFonts w:hint="eastAsia" w:ascii="Times New Roman" w:hAnsi="Times New Roman" w:eastAsia="宋体" w:cs="Times New Roman"/>
                      <w:b w:val="0"/>
                      <w:bCs/>
                      <w:kern w:val="2"/>
                      <w:sz w:val="21"/>
                      <w:szCs w:val="24"/>
                      <w:highlight w:val="none"/>
                      <w:lang w:eastAsia="zh-CN"/>
                    </w:rPr>
                    <w:t>202</w:t>
                  </w:r>
                  <w:r>
                    <w:rPr>
                      <w:rFonts w:hint="eastAsia" w:ascii="Times New Roman" w:hAnsi="Times New Roman" w:eastAsia="宋体" w:cs="Times New Roman"/>
                      <w:b w:val="0"/>
                      <w:bCs/>
                      <w:kern w:val="2"/>
                      <w:sz w:val="21"/>
                      <w:szCs w:val="24"/>
                      <w:highlight w:val="none"/>
                      <w:lang w:val="en-US" w:eastAsia="zh-CN"/>
                    </w:rPr>
                    <w:t>3</w:t>
                  </w:r>
                  <w:r>
                    <w:rPr>
                      <w:rFonts w:hint="eastAsia" w:ascii="Times New Roman" w:hAnsi="Times New Roman" w:eastAsia="宋体" w:cs="Times New Roman"/>
                      <w:b w:val="0"/>
                      <w:bCs/>
                      <w:kern w:val="2"/>
                      <w:sz w:val="21"/>
                      <w:szCs w:val="24"/>
                      <w:highlight w:val="none"/>
                      <w:lang w:eastAsia="zh-CN"/>
                    </w:rPr>
                    <w:t>年</w:t>
                  </w:r>
                  <w:r>
                    <w:rPr>
                      <w:rFonts w:hint="eastAsia" w:ascii="Times New Roman" w:hAnsi="Times New Roman" w:eastAsia="宋体" w:cs="Times New Roman"/>
                      <w:b w:val="0"/>
                      <w:bCs/>
                      <w:kern w:val="2"/>
                      <w:sz w:val="21"/>
                      <w:szCs w:val="24"/>
                      <w:highlight w:val="none"/>
                      <w:lang w:val="en-US" w:eastAsia="zh-CN"/>
                    </w:rPr>
                    <w:t>2</w:t>
                  </w:r>
                  <w:r>
                    <w:rPr>
                      <w:rFonts w:hint="eastAsia" w:ascii="Times New Roman" w:hAnsi="Times New Roman" w:eastAsia="宋体" w:cs="Times New Roman"/>
                      <w:b w:val="0"/>
                      <w:bCs/>
                      <w:kern w:val="2"/>
                      <w:sz w:val="21"/>
                      <w:szCs w:val="24"/>
                      <w:highlight w:val="none"/>
                      <w:lang w:eastAsia="zh-CN"/>
                    </w:rPr>
                    <w:t>月</w:t>
                  </w:r>
                  <w:r>
                    <w:rPr>
                      <w:rFonts w:hint="eastAsia" w:ascii="Times New Roman" w:hAnsi="Times New Roman" w:eastAsia="宋体" w:cs="Times New Roman"/>
                      <w:b w:val="0"/>
                      <w:bCs/>
                      <w:kern w:val="2"/>
                      <w:sz w:val="21"/>
                      <w:szCs w:val="24"/>
                      <w:highlight w:val="none"/>
                      <w:lang w:val="en-US" w:eastAsia="zh-CN"/>
                    </w:rPr>
                    <w:t>22日</w:t>
                  </w:r>
                </w:p>
              </w:tc>
              <w:tc>
                <w:tcPr>
                  <w:tcW w:w="896"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53</w:t>
                  </w:r>
                </w:p>
              </w:tc>
              <w:tc>
                <w:tcPr>
                  <w:tcW w:w="1474"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pct"/>
                  <w:gridSpan w:val="2"/>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标准值</w:t>
                  </w:r>
                </w:p>
              </w:tc>
              <w:tc>
                <w:tcPr>
                  <w:tcW w:w="896"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60</w:t>
                  </w:r>
                </w:p>
              </w:tc>
              <w:tc>
                <w:tcPr>
                  <w:tcW w:w="1474" w:type="pct"/>
                  <w:noWrap w:val="0"/>
                  <w:vAlign w:val="center"/>
                </w:tcPr>
                <w:p>
                  <w:pPr>
                    <w:pStyle w:val="42"/>
                    <w:keepNext w:val="0"/>
                    <w:keepLines w:val="0"/>
                    <w:suppressLineNumbers w:val="0"/>
                    <w:spacing w:beforeAutospacing="0" w:after="0" w:afterAutospacing="0" w:line="240" w:lineRule="auto"/>
                    <w:ind w:left="0" w:firstLine="0" w:firstLineChars="0"/>
                    <w:jc w:val="center"/>
                    <w:rPr>
                      <w:rFonts w:hint="default" w:ascii="Times New Roman" w:hAnsi="Times New Roman" w:eastAsia="宋体" w:cs="Times New Roman"/>
                      <w:b w:val="0"/>
                      <w:bCs/>
                      <w:kern w:val="2"/>
                      <w:sz w:val="21"/>
                      <w:szCs w:val="24"/>
                      <w:highlight w:val="none"/>
                      <w:lang w:val="en-US" w:eastAsia="zh-CN"/>
                    </w:rPr>
                  </w:pPr>
                  <w:r>
                    <w:rPr>
                      <w:rFonts w:hint="eastAsia" w:ascii="Times New Roman" w:hAnsi="Times New Roman" w:eastAsia="宋体" w:cs="Times New Roman"/>
                      <w:b w:val="0"/>
                      <w:bCs/>
                      <w:kern w:val="2"/>
                      <w:sz w:val="21"/>
                      <w:szCs w:val="24"/>
                      <w:highlight w:val="none"/>
                      <w:lang w:val="en-US" w:eastAsia="zh-CN"/>
                    </w:rPr>
                    <w:t>50</w:t>
                  </w:r>
                </w:p>
              </w:tc>
            </w:tr>
          </w:tbl>
          <w:p>
            <w:pPr>
              <w:pStyle w:val="42"/>
              <w:keepNext w:val="0"/>
              <w:keepLines w:val="0"/>
              <w:pageBreakBefore w:val="0"/>
              <w:suppressLineNumbers w:val="0"/>
              <w:kinsoku/>
              <w:wordWrap/>
              <w:overflowPunct/>
              <w:topLinePunct w:val="0"/>
              <w:autoSpaceDE/>
              <w:autoSpaceDN/>
              <w:bidi w:val="0"/>
              <w:snapToGrid w:val="0"/>
              <w:spacing w:before="0" w:beforeAutospacing="0" w:after="0" w:afterAutospacing="0" w:line="360" w:lineRule="auto"/>
              <w:ind w:left="0" w:right="0" w:firstLine="420" w:firstLineChars="200"/>
              <w:jc w:val="both"/>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bCs/>
                <w:kern w:val="2"/>
                <w:sz w:val="21"/>
                <w:szCs w:val="24"/>
                <w:highlight w:val="none"/>
                <w:lang w:eastAsia="zh-CN"/>
              </w:rPr>
              <w:t>唐山市第二医院高新院区</w:t>
            </w:r>
            <w:r>
              <w:rPr>
                <w:rFonts w:hint="eastAsia" w:ascii="Times New Roman" w:hAnsi="Times New Roman" w:eastAsia="宋体" w:cs="Times New Roman"/>
                <w:b w:val="0"/>
                <w:bCs/>
                <w:kern w:val="2"/>
                <w:sz w:val="21"/>
                <w:szCs w:val="24"/>
                <w:highlight w:val="none"/>
                <w:lang w:val="en-US" w:eastAsia="zh-CN"/>
              </w:rPr>
              <w:t>南侧</w:t>
            </w:r>
            <w:r>
              <w:rPr>
                <w:rFonts w:hint="eastAsia" w:ascii="Times New Roman" w:hAnsi="Times New Roman" w:eastAsia="宋体" w:cs="Times New Roman"/>
                <w:b w:val="0"/>
                <w:color w:val="auto"/>
                <w:kern w:val="2"/>
                <w:sz w:val="21"/>
                <w:szCs w:val="21"/>
                <w:highlight w:val="none"/>
                <w:lang w:val="en-US" w:eastAsia="zh-CN" w:bidi="ar-SA"/>
              </w:rPr>
              <w:t>可满足《声环境质量标准》（GB3096－2008）中2类区标准要求。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4、生态环境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项目用地范围内无生态环境保护目标，无需进行生态环境现状调查。</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5、电磁辐射</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项目不属于新建或改建、扩建广播电台、差转台、电视塔台、卫星地球上行站、雷达等电磁辐射类项目，无需开展电磁辐射现状监测与评价。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6、地下水、土壤环境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项目厂界外500m范围内不涉及地下水集中式饮用水水源和热水、矿泉水、温泉等特殊地下水资源。项目按相关要求采取</w:t>
            </w:r>
            <w:r>
              <w:rPr>
                <w:rFonts w:hint="eastAsia" w:ascii="Times New Roman" w:hAnsi="Times New Roman" w:eastAsia="宋体" w:cs="Times New Roman"/>
                <w:color w:val="auto"/>
                <w:sz w:val="21"/>
                <w:szCs w:val="21"/>
                <w:highlight w:val="none"/>
                <w:lang w:val="en-US" w:eastAsia="zh-CN"/>
              </w:rPr>
              <w:t>相关</w:t>
            </w:r>
            <w:r>
              <w:rPr>
                <w:rFonts w:hint="default" w:ascii="Times New Roman" w:hAnsi="Times New Roman" w:eastAsia="宋体" w:cs="Times New Roman"/>
                <w:color w:val="auto"/>
                <w:sz w:val="21"/>
                <w:szCs w:val="21"/>
                <w:highlight w:val="none"/>
                <w:lang w:val="en-US" w:eastAsia="zh-CN"/>
              </w:rPr>
              <w:t>防渗措施</w:t>
            </w:r>
            <w:r>
              <w:rPr>
                <w:rFonts w:hint="eastAsia" w:ascii="Times New Roman" w:hAnsi="Times New Roman" w:eastAsia="宋体" w:cs="Times New Roman"/>
                <w:color w:val="auto"/>
                <w:sz w:val="21"/>
                <w:szCs w:val="21"/>
                <w:highlight w:val="none"/>
                <w:lang w:val="en-US" w:eastAsia="zh-CN"/>
              </w:rPr>
              <w:t>后可防止</w:t>
            </w:r>
            <w:r>
              <w:rPr>
                <w:rFonts w:hint="default" w:ascii="Times New Roman" w:hAnsi="Times New Roman" w:eastAsia="宋体" w:cs="Times New Roman"/>
                <w:color w:val="auto"/>
                <w:sz w:val="21"/>
                <w:szCs w:val="21"/>
                <w:highlight w:val="none"/>
                <w:lang w:val="en-US" w:eastAsia="zh-CN"/>
              </w:rPr>
              <w:t>地下水、土壤污染。因此，不需要开展现状监测</w:t>
            </w: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保护</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目标</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color w:val="auto"/>
                <w:sz w:val="21"/>
                <w:szCs w:val="21"/>
                <w:highlight w:val="none"/>
              </w:rPr>
            </w:pPr>
          </w:p>
          <w:p>
            <w:pPr>
              <w:pStyle w:val="2"/>
              <w:keepNext w:val="0"/>
              <w:keepLines w:val="0"/>
              <w:suppressLineNumbers w:val="0"/>
              <w:spacing w:before="0" w:beforeAutospacing="0" w:after="0" w:afterAutospacing="0"/>
              <w:ind w:right="0"/>
              <w:rPr>
                <w:highlight w:val="none"/>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color w:val="auto"/>
                <w:sz w:val="21"/>
                <w:szCs w:val="21"/>
                <w:highlight w:val="none"/>
              </w:rPr>
            </w:pPr>
            <w:r>
              <w:rPr>
                <w:color w:val="auto"/>
                <w:sz w:val="21"/>
                <w:szCs w:val="21"/>
                <w:highlight w:val="none"/>
              </w:rPr>
              <w:t>本项目</w:t>
            </w:r>
            <w:r>
              <w:rPr>
                <w:rFonts w:hint="eastAsia"/>
                <w:color w:val="auto"/>
                <w:sz w:val="21"/>
                <w:szCs w:val="21"/>
                <w:highlight w:val="none"/>
                <w:lang w:val="en-US" w:eastAsia="zh-CN"/>
              </w:rPr>
              <w:t>位于</w:t>
            </w:r>
            <w:r>
              <w:rPr>
                <w:rFonts w:hint="eastAsia"/>
                <w:color w:val="auto"/>
                <w:kern w:val="0"/>
                <w:sz w:val="21"/>
                <w:szCs w:val="21"/>
                <w:highlight w:val="none"/>
                <w:lang w:eastAsia="zh-CN"/>
              </w:rPr>
              <w:t>唐山市高新区学院北路1700号，</w:t>
            </w:r>
            <w:r>
              <w:rPr>
                <w:rFonts w:hint="eastAsia"/>
                <w:color w:val="auto"/>
                <w:sz w:val="21"/>
                <w:szCs w:val="21"/>
                <w:highlight w:val="none"/>
                <w:lang w:eastAsia="zh-CN"/>
              </w:rPr>
              <w:t>中冶重工（唐山）有限公司</w:t>
            </w:r>
            <w:r>
              <w:rPr>
                <w:rFonts w:hint="eastAsia"/>
                <w:color w:val="auto"/>
                <w:kern w:val="0"/>
                <w:sz w:val="21"/>
                <w:szCs w:val="21"/>
                <w:highlight w:val="none"/>
                <w:lang w:val="en-US" w:eastAsia="zh-CN"/>
              </w:rPr>
              <w:t>现有厂房，</w:t>
            </w:r>
            <w:r>
              <w:rPr>
                <w:color w:val="auto"/>
                <w:sz w:val="21"/>
                <w:szCs w:val="21"/>
                <w:highlight w:val="none"/>
              </w:rPr>
              <w:t>周边无自然保护区、风景名胜区、世界文化和自然遗产地、饮用水水源保护区；项目所在地不属于基本农田保护区、基本草原、森林公园、地质公园、重要湿地、天然林、珍惜濒危野生动植物天然集中分布区、重要水生生物的自然产卵场及索饵场、越冬场和洄游通道、天然渔场、资源性缺水地区、水土流失重点防治区、沙化土地封禁保护区、封闭及半封闭海域、富营养化水域；周边无文物保护单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大气环境</w:t>
            </w:r>
            <w:r>
              <w:rPr>
                <w:rFonts w:hint="eastAsia" w:cs="Times New Roman"/>
                <w:color w:val="auto"/>
                <w:sz w:val="21"/>
                <w:szCs w:val="21"/>
                <w:highlight w:val="none"/>
                <w:lang w:val="en-US" w:eastAsia="zh-CN"/>
              </w:rPr>
              <w:t>保护目标</w:t>
            </w:r>
            <w:r>
              <w:rPr>
                <w:rFonts w:hint="eastAsia" w:ascii="Times New Roman" w:hAnsi="Times New Roman" w:eastAsia="宋体" w:cs="Times New Roman"/>
                <w:color w:val="auto"/>
                <w:sz w:val="21"/>
                <w:szCs w:val="21"/>
                <w:highlight w:val="none"/>
                <w:lang w:val="en-US" w:eastAsia="zh-CN"/>
              </w:rPr>
              <w:t>：本项目厂界外500米范围内</w:t>
            </w:r>
            <w:r>
              <w:rPr>
                <w:rFonts w:hint="eastAsia"/>
                <w:highlight w:val="none"/>
              </w:rPr>
              <w:t>有</w:t>
            </w:r>
            <w:r>
              <w:rPr>
                <w:rFonts w:hint="eastAsia"/>
                <w:szCs w:val="21"/>
                <w:highlight w:val="none"/>
                <w:lang w:eastAsia="zh-CN"/>
              </w:rPr>
              <w:t>唐山市第二医院高新院区</w:t>
            </w:r>
            <w:r>
              <w:rPr>
                <w:rFonts w:hint="eastAsia" w:ascii="Times New Roman" w:hAnsi="Times New Roman" w:eastAsia="宋体" w:cs="Times New Roman"/>
                <w:color w:val="auto"/>
                <w:sz w:val="21"/>
                <w:szCs w:val="21"/>
                <w:highlight w:val="none"/>
                <w:lang w:val="en-US" w:eastAsia="zh-CN"/>
              </w:rPr>
              <w:t>；</w:t>
            </w:r>
          </w:p>
          <w:p>
            <w:pPr>
              <w:keepNext w:val="0"/>
              <w:keepLines w:val="0"/>
              <w:suppressLineNumbers w:val="0"/>
              <w:adjustRightInd w:val="0"/>
              <w:snapToGrid w:val="0"/>
              <w:spacing w:before="0" w:beforeAutospacing="0" w:after="0" w:afterAutospacing="0" w:line="360" w:lineRule="auto"/>
              <w:ind w:left="0" w:right="0" w:firstLine="420" w:firstLineChars="200"/>
              <w:rPr>
                <w:bCs/>
                <w:szCs w:val="21"/>
                <w:highlight w:val="none"/>
              </w:rPr>
            </w:pPr>
            <w:r>
              <w:rPr>
                <w:rFonts w:hint="eastAsia"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声环境</w:t>
            </w:r>
            <w:r>
              <w:rPr>
                <w:rFonts w:hint="eastAsia" w:cs="Times New Roman"/>
                <w:color w:val="auto"/>
                <w:sz w:val="21"/>
                <w:szCs w:val="21"/>
                <w:highlight w:val="none"/>
                <w:lang w:val="en-US" w:eastAsia="zh-CN"/>
              </w:rPr>
              <w:t>保护目标</w:t>
            </w:r>
            <w:r>
              <w:rPr>
                <w:rFonts w:hint="eastAsia" w:ascii="Times New Roman" w:hAnsi="Times New Roman" w:eastAsia="宋体" w:cs="Times New Roman"/>
                <w:color w:val="auto"/>
                <w:sz w:val="21"/>
                <w:szCs w:val="21"/>
                <w:highlight w:val="none"/>
                <w:lang w:val="en-US" w:eastAsia="zh-CN"/>
              </w:rPr>
              <w:t>：</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highlight w:val="none"/>
              </w:rPr>
              <w:t>本项目</w:t>
            </w:r>
            <w:r>
              <w:rPr>
                <w:highlight w:val="none"/>
              </w:rPr>
              <w:t>50m范围内</w:t>
            </w:r>
            <w:r>
              <w:rPr>
                <w:rFonts w:hint="eastAsia"/>
                <w:highlight w:val="none"/>
              </w:rPr>
              <w:t>有</w:t>
            </w:r>
            <w:r>
              <w:rPr>
                <w:rFonts w:hint="eastAsia"/>
                <w:szCs w:val="21"/>
                <w:highlight w:val="none"/>
                <w:lang w:eastAsia="zh-CN"/>
              </w:rPr>
              <w:t>唐山市第二医院高新院区</w:t>
            </w:r>
            <w:r>
              <w:rPr>
                <w:rFonts w:hint="eastAsia" w:ascii="Times New Roman" w:hAnsi="Times New Roman" w:eastAsia="宋体" w:cs="Times New Roman"/>
                <w:b w:val="0"/>
                <w:color w:val="auto"/>
                <w:kern w:val="2"/>
                <w:sz w:val="21"/>
                <w:szCs w:val="21"/>
                <w:highlight w:val="none"/>
                <w:lang w:val="en-US"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地下水环境保护目标：经调查，本项目</w:t>
            </w:r>
            <w:r>
              <w:rPr>
                <w:color w:val="auto"/>
                <w:sz w:val="21"/>
                <w:szCs w:val="21"/>
                <w:highlight w:val="none"/>
              </w:rPr>
              <w:t>不在水源保护区内，且不在水源保护区的补给径流区</w:t>
            </w:r>
            <w:r>
              <w:rPr>
                <w:rFonts w:hint="eastAsia"/>
                <w:color w:val="auto"/>
                <w:sz w:val="21"/>
                <w:szCs w:val="21"/>
                <w:highlight w:val="none"/>
                <w:lang w:eastAsia="zh-CN"/>
              </w:rPr>
              <w:t>，</w:t>
            </w:r>
            <w:r>
              <w:rPr>
                <w:color w:val="auto"/>
                <w:sz w:val="21"/>
                <w:szCs w:val="21"/>
                <w:highlight w:val="none"/>
              </w:rPr>
              <w:t>亦非准保护区和准保护区以外的补给径流区</w:t>
            </w:r>
            <w:r>
              <w:rPr>
                <w:rFonts w:hint="eastAsia"/>
                <w:color w:val="auto"/>
                <w:sz w:val="21"/>
                <w:szCs w:val="21"/>
                <w:highlight w:val="none"/>
                <w:lang w:eastAsia="zh-CN"/>
              </w:rPr>
              <w:t>。</w:t>
            </w:r>
            <w:r>
              <w:rPr>
                <w:rFonts w:hint="eastAsia" w:cs="Times New Roman"/>
                <w:color w:val="auto"/>
                <w:sz w:val="21"/>
                <w:szCs w:val="21"/>
                <w:highlight w:val="none"/>
                <w:lang w:val="en-US" w:eastAsia="zh-CN"/>
              </w:rPr>
              <w:t>厂界外500米范围内无地下水集中式饮用水水源和热水、矿泉水、温泉等特殊地下水资源。</w:t>
            </w:r>
            <w:r>
              <w:rPr>
                <w:color w:val="auto"/>
                <w:sz w:val="21"/>
                <w:szCs w:val="21"/>
                <w:highlight w:val="none"/>
              </w:rPr>
              <w:t>周边无分散式居民饮用水水源地，无其他未列入敏感分级的环境敏感区。</w:t>
            </w:r>
          </w:p>
          <w:p>
            <w:pPr>
              <w:keepNext w:val="0"/>
              <w:keepLines w:val="0"/>
              <w:suppressLineNumbers w:val="0"/>
              <w:adjustRightInd w:val="0"/>
              <w:snapToGrid w:val="0"/>
              <w:spacing w:before="0" w:beforeAutospacing="0" w:after="0" w:afterAutospacing="0"/>
              <w:ind w:left="0" w:right="0"/>
              <w:jc w:val="center"/>
              <w:rPr>
                <w:bCs/>
                <w:szCs w:val="21"/>
                <w:highlight w:val="none"/>
              </w:rPr>
            </w:pPr>
            <w:r>
              <w:rPr>
                <w:bCs/>
                <w:szCs w:val="21"/>
                <w:highlight w:val="none"/>
              </w:rPr>
              <w:t>表</w:t>
            </w:r>
            <w:r>
              <w:rPr>
                <w:rFonts w:hint="eastAsia"/>
                <w:bCs/>
                <w:szCs w:val="21"/>
                <w:highlight w:val="none"/>
                <w:lang w:val="en-US" w:eastAsia="zh-CN"/>
              </w:rPr>
              <w:t xml:space="preserve">25 </w:t>
            </w:r>
            <w:r>
              <w:rPr>
                <w:bCs/>
                <w:szCs w:val="21"/>
                <w:highlight w:val="none"/>
              </w:rPr>
              <w:t>主要环境保护目标一览表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1008"/>
              <w:gridCol w:w="1438"/>
              <w:gridCol w:w="795"/>
              <w:gridCol w:w="945"/>
              <w:gridCol w:w="765"/>
              <w:gridCol w:w="960"/>
              <w:gridCol w:w="885"/>
              <w:gridCol w:w="1168"/>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08" w:type="dxa"/>
                  <w:tcBorders>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环境要素</w:t>
                  </w:r>
                </w:p>
              </w:tc>
              <w:tc>
                <w:tcPr>
                  <w:tcW w:w="1438" w:type="dxa"/>
                  <w:tcBorders>
                    <w:left w:val="nil"/>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保护目标名称</w:t>
                  </w:r>
                </w:p>
              </w:tc>
              <w:tc>
                <w:tcPr>
                  <w:tcW w:w="795" w:type="dxa"/>
                  <w:tcBorders>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保护对象</w:t>
                  </w:r>
                </w:p>
              </w:tc>
              <w:tc>
                <w:tcPr>
                  <w:tcW w:w="945" w:type="dxa"/>
                  <w:tcBorders>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rFonts w:hint="eastAsia" w:eastAsia="宋体"/>
                      <w:bCs/>
                      <w:szCs w:val="21"/>
                      <w:highlight w:val="none"/>
                      <w:lang w:val="en-US" w:eastAsia="zh-CN"/>
                    </w:rPr>
                  </w:pPr>
                  <w:r>
                    <w:rPr>
                      <w:rFonts w:hint="eastAsia"/>
                      <w:bCs/>
                      <w:szCs w:val="21"/>
                      <w:highlight w:val="none"/>
                      <w:lang w:val="en-US" w:eastAsia="zh-CN"/>
                    </w:rPr>
                    <w:t>人口规模（人）</w:t>
                  </w:r>
                </w:p>
              </w:tc>
              <w:tc>
                <w:tcPr>
                  <w:tcW w:w="765" w:type="dxa"/>
                  <w:tcBorders>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环境功能区</w:t>
                  </w:r>
                </w:p>
              </w:tc>
              <w:tc>
                <w:tcPr>
                  <w:tcW w:w="960" w:type="dxa"/>
                  <w:tcBorders>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相对厂址方位</w:t>
                  </w:r>
                </w:p>
              </w:tc>
              <w:tc>
                <w:tcPr>
                  <w:tcW w:w="885" w:type="dxa"/>
                  <w:tcBorders>
                    <w:left w:val="single" w:color="000000" w:sz="4" w:space="0"/>
                    <w:bottom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bCs/>
                      <w:szCs w:val="21"/>
                      <w:highlight w:val="none"/>
                    </w:rPr>
                  </w:pPr>
                  <w:r>
                    <w:rPr>
                      <w:bCs/>
                      <w:szCs w:val="21"/>
                      <w:highlight w:val="none"/>
                    </w:rPr>
                    <w:t>相对厂界距离</w:t>
                  </w:r>
                  <w:r>
                    <w:rPr>
                      <w:bCs/>
                      <w:szCs w:val="21"/>
                      <w:highlight w:val="none"/>
                    </w:rPr>
                    <w:cr/>
                  </w:r>
                  <w:r>
                    <w:rPr>
                      <w:bCs/>
                      <w:szCs w:val="21"/>
                      <w:highlight w:val="none"/>
                    </w:rPr>
                    <w:t>m</w:t>
                  </w:r>
                </w:p>
              </w:tc>
              <w:tc>
                <w:tcPr>
                  <w:tcW w:w="1168" w:type="dxa"/>
                  <w:tcBorders>
                    <w:left w:val="single" w:color="000000" w:sz="4" w:space="0"/>
                    <w:bottom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rFonts w:hint="default" w:eastAsia="宋体"/>
                      <w:bCs/>
                      <w:szCs w:val="21"/>
                      <w:highlight w:val="none"/>
                      <w:lang w:val="en-US" w:eastAsia="zh-CN"/>
                    </w:rPr>
                  </w:pPr>
                  <w:r>
                    <w:rPr>
                      <w:rFonts w:hint="eastAsia"/>
                      <w:bCs/>
                      <w:szCs w:val="21"/>
                      <w:highlight w:val="none"/>
                      <w:lang w:val="en-US" w:eastAsia="zh-CN"/>
                    </w:rPr>
                    <w:t>相对车间距离</w:t>
                  </w:r>
                  <w:r>
                    <w:rPr>
                      <w:bCs/>
                      <w:szCs w:val="21"/>
                      <w:highlight w:val="none"/>
                    </w:rPr>
                    <w:cr/>
                  </w:r>
                  <w:r>
                    <w:rPr>
                      <w:bCs/>
                      <w:szCs w:val="21"/>
                      <w:highlight w:val="none"/>
                    </w:rPr>
                    <w:t>m</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08" w:type="dxa"/>
                  <w:vMerge w:val="restart"/>
                  <w:tcBorders>
                    <w:top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大气环境</w:t>
                  </w:r>
                </w:p>
              </w:tc>
              <w:tc>
                <w:tcPr>
                  <w:tcW w:w="1438"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pacing w:before="0" w:beforeAutospacing="0" w:after="0" w:afterAutospacing="0"/>
                    <w:ind w:left="-42" w:leftChars="-20" w:right="-42" w:rightChars="-20"/>
                    <w:jc w:val="center"/>
                    <w:rPr>
                      <w:szCs w:val="21"/>
                      <w:highlight w:val="none"/>
                    </w:rPr>
                  </w:pPr>
                  <w:r>
                    <w:rPr>
                      <w:rFonts w:hint="eastAsia" w:cs="Times New Roman"/>
                      <w:color w:val="auto"/>
                      <w:sz w:val="21"/>
                      <w:szCs w:val="21"/>
                      <w:highlight w:val="none"/>
                      <w:lang w:val="en-US" w:eastAsia="zh-CN"/>
                    </w:rPr>
                    <w:t>唐山市第二医院高新院区</w:t>
                  </w:r>
                </w:p>
              </w:tc>
              <w:tc>
                <w:tcPr>
                  <w:tcW w:w="79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rFonts w:hint="eastAsia" w:eastAsia="宋体"/>
                      <w:szCs w:val="21"/>
                      <w:highlight w:val="none"/>
                      <w:lang w:eastAsia="zh-CN"/>
                    </w:rPr>
                  </w:pPr>
                  <w:r>
                    <w:rPr>
                      <w:rFonts w:hint="eastAsia"/>
                      <w:szCs w:val="21"/>
                      <w:highlight w:val="none"/>
                      <w:lang w:val="en-US" w:eastAsia="zh-CN"/>
                    </w:rPr>
                    <w:t>公民</w:t>
                  </w:r>
                </w:p>
              </w:tc>
              <w:tc>
                <w:tcPr>
                  <w:tcW w:w="94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rFonts w:hint="default"/>
                      <w:szCs w:val="21"/>
                      <w:highlight w:val="none"/>
                      <w:lang w:val="en-US" w:eastAsia="zh-CN"/>
                    </w:rPr>
                  </w:pPr>
                  <w:r>
                    <w:rPr>
                      <w:rFonts w:hint="eastAsia"/>
                      <w:szCs w:val="21"/>
                      <w:highlight w:val="none"/>
                      <w:lang w:val="en-US" w:eastAsia="zh-CN"/>
                    </w:rPr>
                    <w:t>3000</w:t>
                  </w:r>
                </w:p>
              </w:tc>
              <w:tc>
                <w:tcPr>
                  <w:tcW w:w="76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二类</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eastAsia="宋体"/>
                      <w:szCs w:val="21"/>
                      <w:highlight w:val="none"/>
                      <w:lang w:eastAsia="zh-CN"/>
                    </w:rPr>
                  </w:pPr>
                  <w:r>
                    <w:rPr>
                      <w:rFonts w:hint="eastAsia"/>
                      <w:szCs w:val="21"/>
                      <w:highlight w:val="none"/>
                      <w:lang w:val="en-US" w:eastAsia="zh-CN"/>
                    </w:rPr>
                    <w:t>N</w:t>
                  </w:r>
                </w:p>
              </w:tc>
              <w:tc>
                <w:tcPr>
                  <w:tcW w:w="885"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eastAsia="宋体"/>
                      <w:szCs w:val="21"/>
                      <w:highlight w:val="none"/>
                      <w:lang w:val="en-US" w:eastAsia="zh-CN"/>
                    </w:rPr>
                  </w:pPr>
                  <w:r>
                    <w:rPr>
                      <w:rFonts w:hint="eastAsia"/>
                      <w:szCs w:val="21"/>
                      <w:highlight w:val="none"/>
                      <w:lang w:val="en-US" w:eastAsia="zh-CN"/>
                    </w:rPr>
                    <w:t>30</w:t>
                  </w:r>
                </w:p>
              </w:tc>
              <w:tc>
                <w:tcPr>
                  <w:tcW w:w="1168"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szCs w:val="21"/>
                      <w:highlight w:val="none"/>
                      <w:lang w:val="en-US" w:eastAsia="zh-CN"/>
                    </w:rPr>
                  </w:pPr>
                  <w:r>
                    <w:rPr>
                      <w:rFonts w:hint="eastAsia"/>
                      <w:szCs w:val="21"/>
                      <w:highlight w:val="none"/>
                      <w:lang w:val="en-US" w:eastAsia="zh-CN"/>
                    </w:rPr>
                    <w:t>160（重型车间）</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08" w:type="dxa"/>
                  <w:vMerge w:val="continue"/>
                  <w:tcBorders>
                    <w:right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pPr>
                </w:p>
              </w:tc>
              <w:tc>
                <w:tcPr>
                  <w:tcW w:w="1438"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唐山仁爱手外科医院</w:t>
                  </w:r>
                </w:p>
              </w:tc>
              <w:tc>
                <w:tcPr>
                  <w:tcW w:w="79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公民</w:t>
                  </w:r>
                </w:p>
              </w:tc>
              <w:tc>
                <w:tcPr>
                  <w:tcW w:w="94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50</w:t>
                  </w:r>
                </w:p>
              </w:tc>
              <w:tc>
                <w:tcPr>
                  <w:tcW w:w="76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szCs w:val="21"/>
                      <w:highlight w:val="none"/>
                    </w:rPr>
                    <w:t>二类</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320" w:lineRule="exact"/>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N</w:t>
                  </w:r>
                </w:p>
              </w:tc>
              <w:tc>
                <w:tcPr>
                  <w:tcW w:w="885"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100</w:t>
                  </w:r>
                </w:p>
              </w:tc>
              <w:tc>
                <w:tcPr>
                  <w:tcW w:w="1168"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200（重型车间）</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c>
                <w:tcPr>
                  <w:tcW w:w="1008" w:type="dxa"/>
                  <w:tcBorders>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声环境</w:t>
                  </w:r>
                </w:p>
              </w:tc>
              <w:tc>
                <w:tcPr>
                  <w:tcW w:w="1438"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pacing w:before="0" w:beforeAutospacing="0" w:after="0" w:afterAutospacing="0"/>
                    <w:ind w:left="-42" w:leftChars="-20" w:right="-42" w:rightChars="-20"/>
                    <w:jc w:val="center"/>
                    <w:rPr>
                      <w:rFonts w:ascii="Times New Roman" w:hAnsi="Times New Roman" w:eastAsia="宋体" w:cs="Times New Roman"/>
                      <w:kern w:val="2"/>
                      <w:sz w:val="21"/>
                      <w:szCs w:val="21"/>
                      <w:highlight w:val="none"/>
                      <w:lang w:val="en-US" w:eastAsia="zh-CN" w:bidi="ar-SA"/>
                    </w:rPr>
                  </w:pPr>
                  <w:r>
                    <w:rPr>
                      <w:rFonts w:hint="eastAsia" w:cs="Times New Roman"/>
                      <w:color w:val="auto"/>
                      <w:sz w:val="21"/>
                      <w:szCs w:val="21"/>
                      <w:highlight w:val="none"/>
                      <w:lang w:val="en-US" w:eastAsia="zh-CN"/>
                    </w:rPr>
                    <w:t>唐山市第二医院高新院区</w:t>
                  </w:r>
                </w:p>
              </w:tc>
              <w:tc>
                <w:tcPr>
                  <w:tcW w:w="79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公民</w:t>
                  </w:r>
                </w:p>
              </w:tc>
              <w:tc>
                <w:tcPr>
                  <w:tcW w:w="94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leftChars="0" w:right="0" w:rightChars="0"/>
                    <w:jc w:val="center"/>
                    <w:rPr>
                      <w:rFonts w:hint="default"/>
                      <w:szCs w:val="21"/>
                      <w:highlight w:val="none"/>
                      <w:lang w:val="en-US" w:eastAsia="zh-CN"/>
                    </w:rPr>
                  </w:pPr>
                  <w:r>
                    <w:rPr>
                      <w:rFonts w:hint="eastAsia"/>
                      <w:szCs w:val="21"/>
                      <w:highlight w:val="none"/>
                      <w:lang w:val="en-US" w:eastAsia="zh-CN"/>
                    </w:rPr>
                    <w:t>3000</w:t>
                  </w:r>
                </w:p>
              </w:tc>
              <w:tc>
                <w:tcPr>
                  <w:tcW w:w="76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2</w:t>
                  </w:r>
                  <w:r>
                    <w:rPr>
                      <w:szCs w:val="21"/>
                      <w:highlight w:val="none"/>
                    </w:rPr>
                    <w:t>类</w:t>
                  </w:r>
                  <w:r>
                    <w:rPr>
                      <w:rFonts w:hint="eastAsia"/>
                      <w:szCs w:val="21"/>
                      <w:highlight w:val="none"/>
                      <w:lang w:val="en-US" w:eastAsia="zh-CN"/>
                    </w:rPr>
                    <w:t>/4a类</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N</w:t>
                  </w:r>
                </w:p>
              </w:tc>
              <w:tc>
                <w:tcPr>
                  <w:tcW w:w="885"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30</w:t>
                  </w:r>
                </w:p>
              </w:tc>
              <w:tc>
                <w:tcPr>
                  <w:tcW w:w="1168" w:type="dxa"/>
                  <w:tcBorders>
                    <w:top w:val="single" w:color="000000" w:sz="4" w:space="0"/>
                    <w:left w:val="single" w:color="000000" w:sz="4" w:space="0"/>
                    <w:bottom w:val="single" w:color="000000"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color w:val="auto"/>
                      <w:szCs w:val="21"/>
                      <w:highlight w:val="none"/>
                      <w:lang w:val="en-US" w:eastAsia="zh-CN"/>
                    </w:rPr>
                  </w:pPr>
                  <w:r>
                    <w:rPr>
                      <w:rFonts w:hint="eastAsia"/>
                      <w:szCs w:val="21"/>
                      <w:highlight w:val="none"/>
                      <w:lang w:val="en-US" w:eastAsia="zh-CN"/>
                    </w:rPr>
                    <w:t>50（管汇车间）</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c>
                <w:tcPr>
                  <w:tcW w:w="1008" w:type="dxa"/>
                  <w:tcBorders>
                    <w:top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地下水环境</w:t>
                  </w:r>
                </w:p>
              </w:tc>
              <w:tc>
                <w:tcPr>
                  <w:tcW w:w="1438" w:type="dxa"/>
                  <w:tcBorders>
                    <w:top w:val="single" w:color="000000" w:sz="4" w:space="0"/>
                    <w:left w:val="nil"/>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无</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885" w:type="dxa"/>
                  <w:tcBorders>
                    <w:top w:val="single" w:color="000000" w:sz="4" w:space="0"/>
                    <w:left w:val="single" w:color="000000" w:sz="4" w:space="0"/>
                    <w:bottom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1168" w:type="dxa"/>
                  <w:tcBorders>
                    <w:top w:val="single" w:color="000000" w:sz="4" w:space="0"/>
                    <w:left w:val="single" w:color="000000" w:sz="4" w:space="0"/>
                    <w:bottom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2" w:hRule="atLeast"/>
              </w:trPr>
              <w:tc>
                <w:tcPr>
                  <w:tcW w:w="1008" w:type="dxa"/>
                  <w:tcBorders>
                    <w:top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生态环境</w:t>
                  </w:r>
                </w:p>
              </w:tc>
              <w:tc>
                <w:tcPr>
                  <w:tcW w:w="1438" w:type="dxa"/>
                  <w:tcBorders>
                    <w:top w:val="single" w:color="000000" w:sz="4" w:space="0"/>
                    <w:left w:val="nil"/>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无</w:t>
                  </w:r>
                </w:p>
              </w:tc>
              <w:tc>
                <w:tcPr>
                  <w:tcW w:w="79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94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p>
              </w:tc>
              <w:tc>
                <w:tcPr>
                  <w:tcW w:w="765"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960" w:type="dxa"/>
                  <w:tcBorders>
                    <w:top w:val="single" w:color="000000" w:sz="4" w:space="0"/>
                    <w:left w:val="single" w:color="000000" w:sz="4" w:space="0"/>
                    <w:righ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885" w:type="dxa"/>
                  <w:tcBorders>
                    <w:top w:val="single" w:color="000000" w:sz="4" w:space="0"/>
                    <w:lef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r>
                    <w:rPr>
                      <w:szCs w:val="21"/>
                      <w:highlight w:val="none"/>
                    </w:rPr>
                    <w:t>/</w:t>
                  </w:r>
                </w:p>
              </w:tc>
              <w:tc>
                <w:tcPr>
                  <w:tcW w:w="1168" w:type="dxa"/>
                  <w:tcBorders>
                    <w:top w:val="single" w:color="000000" w:sz="4" w:space="0"/>
                    <w:left w:val="single" w:color="000000" w:sz="4" w:space="0"/>
                  </w:tcBorders>
                  <w:noWrap w:val="0"/>
                  <w:vAlign w:val="center"/>
                </w:tcPr>
                <w:p>
                  <w:pPr>
                    <w:keepNext w:val="0"/>
                    <w:keepLines w:val="0"/>
                    <w:suppressLineNumbers w:val="0"/>
                    <w:snapToGrid w:val="0"/>
                    <w:spacing w:before="0" w:beforeAutospacing="0" w:after="0" w:afterAutospacing="0"/>
                    <w:ind w:left="0" w:right="0"/>
                    <w:jc w:val="center"/>
                    <w:rPr>
                      <w:szCs w:val="21"/>
                      <w:highlight w:val="none"/>
                    </w:rPr>
                  </w:pPr>
                </w:p>
              </w:tc>
            </w:tr>
          </w:tbl>
          <w:p>
            <w:pPr>
              <w:pStyle w:val="2"/>
              <w:keepNext w:val="0"/>
              <w:keepLines w:val="0"/>
              <w:suppressLineNumbers w:val="0"/>
              <w:spacing w:before="0" w:beforeAutospacing="0" w:after="0" w:afterAutospacing="0"/>
              <w:ind w:right="0"/>
              <w:rPr>
                <w:rFonts w:hint="default"/>
                <w:highlight w:val="none"/>
                <w:lang w:val="en-US" w:eastAsia="zh-CN"/>
              </w:rPr>
            </w:pPr>
          </w:p>
          <w:p>
            <w:pPr>
              <w:pStyle w:val="2"/>
              <w:keepNext w:val="0"/>
              <w:keepLines w:val="0"/>
              <w:suppressLineNumbers w:val="0"/>
              <w:spacing w:before="0" w:beforeAutospacing="0" w:after="0" w:afterAutospacing="0"/>
              <w:ind w:right="0"/>
              <w:rPr>
                <w:rFonts w:hint="default"/>
                <w:highlight w:val="none"/>
                <w:lang w:val="en-US" w:eastAsia="zh-CN"/>
              </w:rPr>
            </w:pPr>
          </w:p>
          <w:p>
            <w:pPr>
              <w:pStyle w:val="2"/>
              <w:keepNext w:val="0"/>
              <w:keepLines w:val="0"/>
              <w:suppressLineNumbers w:val="0"/>
              <w:spacing w:before="0" w:beforeAutospacing="0" w:after="0" w:afterAutospacing="0"/>
              <w:ind w:right="0"/>
              <w:rPr>
                <w:rFonts w:hint="default"/>
                <w:highlight w:val="none"/>
                <w:lang w:val="en-US" w:eastAsia="zh-CN"/>
              </w:rPr>
            </w:pPr>
          </w:p>
          <w:p>
            <w:pPr>
              <w:pStyle w:val="2"/>
              <w:keepNext w:val="0"/>
              <w:keepLines w:val="0"/>
              <w:suppressLineNumbers w:val="0"/>
              <w:spacing w:before="0" w:beforeAutospacing="0" w:after="0" w:afterAutospacing="0"/>
              <w:ind w:right="0"/>
              <w:rPr>
                <w:rFonts w:hint="default"/>
                <w:highlight w:val="none"/>
                <w:lang w:val="en-US" w:eastAsia="zh-CN"/>
              </w:rPr>
            </w:pPr>
          </w:p>
          <w:p>
            <w:pPr>
              <w:pStyle w:val="2"/>
              <w:keepNext w:val="0"/>
              <w:keepLines w:val="0"/>
              <w:suppressLineNumbers w:val="0"/>
              <w:spacing w:before="0" w:beforeAutospacing="0" w:after="0" w:afterAutospacing="0"/>
              <w:ind w:right="0"/>
              <w:rPr>
                <w:rFonts w:hint="default"/>
                <w:highlight w:val="none"/>
                <w:lang w:val="en-US" w:eastAsia="zh-CN"/>
              </w:rPr>
            </w:pPr>
          </w:p>
          <w:p>
            <w:pPr>
              <w:pStyle w:val="11"/>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800"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物排</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放控</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制标</w:t>
            </w:r>
          </w:p>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准</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rPr>
                <w:rFonts w:hint="default"/>
                <w:color w:val="auto"/>
                <w:highlight w:val="none"/>
              </w:rPr>
            </w:pPr>
            <w:r>
              <w:rPr>
                <w:rFonts w:hint="default"/>
                <w:color w:val="auto"/>
                <w:highlight w:val="none"/>
              </w:rPr>
              <w:t>施工期：</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本项目</w:t>
            </w:r>
            <w:r>
              <w:rPr>
                <w:rFonts w:hint="eastAsia" w:cs="Times New Roman"/>
                <w:bCs/>
                <w:color w:val="auto"/>
                <w:sz w:val="21"/>
                <w:szCs w:val="21"/>
                <w:highlight w:val="none"/>
                <w:lang w:val="en-US" w:eastAsia="zh-CN"/>
              </w:rPr>
              <w:t>利用厂区内现有生产车间，涉及的建筑主要为喷粉房、危废间等，项目无大型土建施工过程，施工期仅涉及生产设备、设施的安装过程</w:t>
            </w:r>
            <w:r>
              <w:rPr>
                <w:rFonts w:hint="eastAsia" w:ascii="Times New Roman" w:hAnsi="Times New Roman" w:cs="Times New Roman"/>
                <w:bCs/>
                <w:color w:val="auto"/>
                <w:sz w:val="21"/>
                <w:szCs w:val="21"/>
                <w:highlight w:val="none"/>
                <w:lang w:val="en-US" w:eastAsia="zh-CN"/>
              </w:rPr>
              <w:t>。</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color w:val="auto"/>
                <w:highlight w:val="none"/>
              </w:rPr>
            </w:pPr>
            <w:r>
              <w:rPr>
                <w:rFonts w:hint="eastAsia" w:ascii="Times New Roman" w:hAnsi="Times New Roman" w:cs="Times New Roman"/>
                <w:color w:val="auto"/>
                <w:sz w:val="21"/>
                <w:szCs w:val="21"/>
                <w:highlight w:val="none"/>
                <w:lang w:val="en-US" w:eastAsia="zh-CN"/>
              </w:rPr>
              <w:t>1、</w:t>
            </w:r>
            <w:r>
              <w:rPr>
                <w:rFonts w:hint="default"/>
                <w:color w:val="auto"/>
                <w:highlight w:val="none"/>
              </w:rPr>
              <w:t>噪声：建筑施工噪声执行《建筑施工场界环境噪声排放标准》(GB12523-2011)，即昼间≤70dB(A)，夜间≤55dB(A)。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rPr>
                <w:rFonts w:hint="default"/>
                <w:color w:val="auto"/>
                <w:highlight w:val="none"/>
              </w:rPr>
            </w:pPr>
            <w:r>
              <w:rPr>
                <w:rFonts w:hint="eastAsia"/>
                <w:color w:val="auto"/>
                <w:highlight w:val="none"/>
                <w:lang w:val="en-US" w:eastAsia="zh-CN"/>
              </w:rPr>
              <w:t>2、</w:t>
            </w:r>
            <w:r>
              <w:rPr>
                <w:rFonts w:hint="default"/>
                <w:color w:val="auto"/>
                <w:highlight w:val="none"/>
              </w:rPr>
              <w:t>固体废物：建筑垃圾满足《建筑垃圾处理技术规范》的处理要求；施工工人的生活垃圾处置参照执行《中华人民共和国固体废物污染环境防治法》中相关要求。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rPr>
                <w:rFonts w:hint="default"/>
                <w:color w:val="auto"/>
                <w:highlight w:val="none"/>
                <w:lang w:val="en-US" w:eastAsia="zh-CN"/>
              </w:rPr>
            </w:pPr>
            <w:r>
              <w:rPr>
                <w:rFonts w:hint="default"/>
                <w:color w:val="auto"/>
                <w:highlight w:val="none"/>
                <w:lang w:val="en-US" w:eastAsia="zh-CN"/>
              </w:rPr>
              <w:t>运营期</w:t>
            </w:r>
            <w:r>
              <w:rPr>
                <w:rFonts w:hint="eastAsia"/>
                <w:color w:val="auto"/>
                <w:highlight w:val="none"/>
                <w:lang w:val="en-US" w:eastAsia="zh-CN"/>
              </w:rPr>
              <w:t>：</w:t>
            </w:r>
          </w:p>
          <w:p>
            <w:pPr>
              <w:keepNext w:val="0"/>
              <w:keepLines w:val="0"/>
              <w:widowControl w:val="0"/>
              <w:suppressLineNumbers w:val="0"/>
              <w:spacing w:before="0" w:beforeAutospacing="0" w:after="0" w:afterAutospacing="0" w:line="360" w:lineRule="auto"/>
              <w:ind w:left="0" w:right="0" w:firstLine="413" w:firstLineChars="196"/>
              <w:jc w:val="left"/>
              <w:rPr>
                <w:rFonts w:hint="default" w:ascii="Times New Roman" w:hAnsi="Times New Roman" w:cs="Times New Roman"/>
                <w:b/>
                <w:color w:val="auto"/>
                <w:kern w:val="0"/>
                <w:sz w:val="21"/>
                <w:szCs w:val="21"/>
                <w:highlight w:val="none"/>
                <w:lang w:val="en-US"/>
              </w:rPr>
            </w:pPr>
            <w:r>
              <w:rPr>
                <w:rFonts w:hint="eastAsia" w:ascii="宋体" w:hAnsi="宋体" w:eastAsia="宋体" w:cs="宋体"/>
                <w:b/>
                <w:color w:val="auto"/>
                <w:kern w:val="0"/>
                <w:sz w:val="21"/>
                <w:szCs w:val="21"/>
                <w:highlight w:val="none"/>
                <w:lang w:val="en-US" w:eastAsia="zh-CN" w:bidi="ar"/>
              </w:rPr>
              <w:t>1、废气排放标准</w:t>
            </w:r>
          </w:p>
          <w:p>
            <w:pPr>
              <w:keepNext w:val="0"/>
              <w:keepLines w:val="0"/>
              <w:suppressLineNumbers w:val="0"/>
              <w:spacing w:before="0" w:beforeAutospacing="0" w:after="0" w:afterAutospacing="0" w:line="360" w:lineRule="auto"/>
              <w:ind w:left="0" w:right="0" w:firstLine="420" w:firstLineChars="200"/>
              <w:rPr>
                <w:rFonts w:hint="eastAsia"/>
                <w:color w:val="auto"/>
                <w:szCs w:val="21"/>
                <w:highlight w:val="none"/>
              </w:rPr>
            </w:pPr>
            <w:r>
              <w:rPr>
                <w:rFonts w:hint="eastAsia"/>
                <w:color w:val="auto"/>
                <w:szCs w:val="21"/>
                <w:highlight w:val="none"/>
              </w:rPr>
              <w:t>静电喷粉工序颗粒物排放执行</w:t>
            </w:r>
            <w:r>
              <w:rPr>
                <w:color w:val="auto"/>
                <w:szCs w:val="21"/>
                <w:highlight w:val="none"/>
              </w:rPr>
              <w:t>《大气污染物综合排放标准》(GB16297-1996)表2碳黑尘、染料尘二级标准</w:t>
            </w:r>
            <w:r>
              <w:rPr>
                <w:rFonts w:hint="eastAsia"/>
                <w:color w:val="auto"/>
                <w:szCs w:val="21"/>
                <w:highlight w:val="none"/>
              </w:rPr>
              <w:t>及</w:t>
            </w:r>
            <w:r>
              <w:rPr>
                <w:color w:val="auto"/>
                <w:szCs w:val="21"/>
                <w:highlight w:val="none"/>
              </w:rPr>
              <w:t>无组织排放监控浓度限值要求；非甲烷总烃排放执行《工业企业挥发性有机物排放控制标准》（DB13/2322-2016）表1</w:t>
            </w:r>
            <w:r>
              <w:rPr>
                <w:rFonts w:hint="eastAsia"/>
                <w:color w:val="auto"/>
                <w:szCs w:val="21"/>
                <w:highlight w:val="none"/>
                <w:lang w:eastAsia="zh-CN"/>
              </w:rPr>
              <w:t>表面涂装业</w:t>
            </w:r>
            <w:r>
              <w:rPr>
                <w:color w:val="auto"/>
                <w:szCs w:val="21"/>
                <w:highlight w:val="none"/>
              </w:rPr>
              <w:t>大气污染物排放限值及</w:t>
            </w:r>
            <w:r>
              <w:rPr>
                <w:bCs/>
                <w:color w:val="auto"/>
                <w:szCs w:val="21"/>
                <w:highlight w:val="none"/>
              </w:rPr>
              <w:t>表2其他企业边界大气污染物浓度限值要求</w:t>
            </w:r>
            <w:r>
              <w:rPr>
                <w:rFonts w:hint="eastAsia"/>
                <w:bCs/>
                <w:color w:val="auto"/>
                <w:szCs w:val="21"/>
                <w:highlight w:val="none"/>
              </w:rPr>
              <w:t>；</w:t>
            </w:r>
            <w:r>
              <w:rPr>
                <w:color w:val="auto"/>
                <w:szCs w:val="21"/>
                <w:highlight w:val="none"/>
              </w:rPr>
              <w:t>厂区内非甲烷总烃无组织排放执行《挥发性有机物无组织排放控制标准》（GB37822-2019）附录A特别排放限值要求</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r>
              <w:rPr>
                <w:rFonts w:hint="eastAsia"/>
                <w:bCs/>
                <w:color w:val="auto"/>
                <w:szCs w:val="21"/>
                <w:highlight w:val="none"/>
              </w:rPr>
              <w:t>。</w:t>
            </w:r>
          </w:p>
          <w:p>
            <w:pPr>
              <w:keepNext w:val="0"/>
              <w:keepLines w:val="0"/>
              <w:suppressLineNumbers w:val="0"/>
              <w:tabs>
                <w:tab w:val="left" w:pos="5404"/>
              </w:tabs>
              <w:spacing w:before="0" w:beforeAutospacing="0" w:after="0" w:afterAutospacing="0" w:line="500" w:lineRule="exact"/>
              <w:ind w:left="0" w:right="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表</w:t>
            </w:r>
            <w:r>
              <w:rPr>
                <w:rFonts w:hint="eastAsia" w:cs="Times New Roman"/>
                <w:b w:val="0"/>
                <w:bCs w:val="0"/>
                <w:color w:val="auto"/>
                <w:sz w:val="21"/>
                <w:szCs w:val="21"/>
                <w:highlight w:val="none"/>
                <w:lang w:val="en-US" w:eastAsia="zh-CN"/>
              </w:rPr>
              <w:t>26</w:t>
            </w:r>
            <w:r>
              <w:rPr>
                <w:rFonts w:hint="default" w:ascii="Times New Roman" w:hAnsi="Times New Roman" w:eastAsia="宋体" w:cs="Times New Roman"/>
                <w:b w:val="0"/>
                <w:bCs w:val="0"/>
                <w:color w:val="auto"/>
                <w:sz w:val="21"/>
                <w:szCs w:val="21"/>
                <w:highlight w:val="none"/>
                <w:lang w:val="en-US" w:eastAsia="zh-CN"/>
              </w:rPr>
              <w:t xml:space="preserve">  大气污染物排放标准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11"/>
              <w:gridCol w:w="1211"/>
              <w:gridCol w:w="1364"/>
              <w:gridCol w:w="3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污染源</w:t>
                  </w:r>
                </w:p>
              </w:tc>
              <w:tc>
                <w:tcPr>
                  <w:tcW w:w="711"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类别</w:t>
                  </w:r>
                </w:p>
              </w:tc>
              <w:tc>
                <w:tcPr>
                  <w:tcW w:w="1211"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污染物</w:t>
                  </w: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限值</w:t>
                  </w:r>
                </w:p>
              </w:tc>
              <w:tc>
                <w:tcPr>
                  <w:tcW w:w="3769"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静电喷粉工序</w:t>
                  </w:r>
                </w:p>
              </w:tc>
              <w:tc>
                <w:tcPr>
                  <w:tcW w:w="711" w:type="dxa"/>
                  <w:noWrap w:val="0"/>
                  <w:vAlign w:val="center"/>
                </w:tcPr>
                <w:p>
                  <w:pPr>
                    <w:keepNext w:val="0"/>
                    <w:keepLines w:val="0"/>
                    <w:suppressLineNumbers w:val="0"/>
                    <w:adjustRightInd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rPr>
                    <w:t>有组织</w:t>
                  </w:r>
                </w:p>
              </w:tc>
              <w:tc>
                <w:tcPr>
                  <w:tcW w:w="1211"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颗粒物</w:t>
                  </w:r>
                </w:p>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w:t>
                  </w:r>
                  <w:r>
                    <w:rPr>
                      <w:color w:val="auto"/>
                      <w:szCs w:val="21"/>
                      <w:highlight w:val="none"/>
                    </w:rPr>
                    <w:t>染料尘</w:t>
                  </w:r>
                  <w:r>
                    <w:rPr>
                      <w:rFonts w:hint="eastAsia"/>
                      <w:color w:val="auto"/>
                      <w:szCs w:val="21"/>
                      <w:highlight w:val="none"/>
                    </w:rPr>
                    <w:t>）</w:t>
                  </w: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highlight w:val="none"/>
                    </w:rPr>
                  </w:pPr>
                  <w:r>
                    <w:rPr>
                      <w:rFonts w:hint="eastAsia"/>
                      <w:color w:val="auto"/>
                      <w:highlight w:val="none"/>
                    </w:rPr>
                    <w:t>18</w:t>
                  </w:r>
                  <w:r>
                    <w:rPr>
                      <w:color w:val="auto"/>
                      <w:highlight w:val="none"/>
                    </w:rPr>
                    <w:t>mg/m</w:t>
                  </w:r>
                  <w:r>
                    <w:rPr>
                      <w:color w:val="auto"/>
                      <w:highlight w:val="none"/>
                      <w:vertAlign w:val="superscript"/>
                    </w:rPr>
                    <w:t>3</w:t>
                  </w:r>
                </w:p>
                <w:p>
                  <w:pPr>
                    <w:keepNext w:val="0"/>
                    <w:keepLines w:val="0"/>
                    <w:suppressLineNumbers w:val="0"/>
                    <w:adjustRightInd w:val="0"/>
                    <w:spacing w:before="0" w:beforeAutospacing="0" w:after="0" w:afterAutospacing="0"/>
                    <w:ind w:left="0" w:right="0"/>
                    <w:jc w:val="center"/>
                    <w:rPr>
                      <w:color w:val="auto"/>
                      <w:highlight w:val="none"/>
                    </w:rPr>
                  </w:pPr>
                  <w:r>
                    <w:rPr>
                      <w:rFonts w:hint="eastAsia"/>
                      <w:color w:val="auto"/>
                      <w:highlight w:val="none"/>
                      <w:lang w:val="en-US" w:eastAsia="zh-CN"/>
                    </w:rPr>
                    <w:t>3.4</w:t>
                  </w:r>
                  <w:r>
                    <w:rPr>
                      <w:rFonts w:hint="eastAsia"/>
                      <w:color w:val="auto"/>
                      <w:highlight w:val="none"/>
                    </w:rPr>
                    <w:t>kg/h</w:t>
                  </w:r>
                  <w:r>
                    <w:rPr>
                      <w:rFonts w:hint="eastAsia"/>
                      <w:color w:val="auto"/>
                      <w:szCs w:val="21"/>
                      <w:highlight w:val="none"/>
                      <w:lang w:eastAsia="zh-CN"/>
                    </w:rPr>
                    <w:t>（</w:t>
                  </w:r>
                  <w:r>
                    <w:rPr>
                      <w:rFonts w:hint="eastAsia"/>
                      <w:color w:val="auto"/>
                      <w:szCs w:val="21"/>
                      <w:highlight w:val="none"/>
                      <w:lang w:val="en-US" w:eastAsia="zh-CN"/>
                    </w:rPr>
                    <w:t>30m</w:t>
                  </w:r>
                  <w:r>
                    <w:rPr>
                      <w:rFonts w:hint="eastAsia"/>
                      <w:color w:val="auto"/>
                      <w:szCs w:val="21"/>
                      <w:highlight w:val="none"/>
                      <w:lang w:eastAsia="zh-CN"/>
                    </w:rPr>
                    <w:t>）</w:t>
                  </w:r>
                </w:p>
              </w:tc>
              <w:tc>
                <w:tcPr>
                  <w:tcW w:w="3769"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color w:val="auto"/>
                      <w:szCs w:val="21"/>
                      <w:highlight w:val="none"/>
                    </w:rPr>
                    <w:t>《大气污染物综合排放标准》(GB16297-1996)表2二碳黑尘、染料尘二级标准</w:t>
                  </w:r>
                  <w:r>
                    <w:rPr>
                      <w:rFonts w:hint="eastAsia"/>
                      <w:color w:val="auto"/>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固化工序</w:t>
                  </w:r>
                </w:p>
              </w:tc>
              <w:tc>
                <w:tcPr>
                  <w:tcW w:w="711"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有组织</w:t>
                  </w:r>
                </w:p>
              </w:tc>
              <w:tc>
                <w:tcPr>
                  <w:tcW w:w="1211"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非甲烷总烃</w:t>
                  </w: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vertAlign w:val="superscript"/>
                    </w:rPr>
                  </w:pPr>
                  <w:r>
                    <w:rPr>
                      <w:rFonts w:hint="eastAsia"/>
                      <w:color w:val="auto"/>
                      <w:szCs w:val="21"/>
                      <w:highlight w:val="none"/>
                      <w:lang w:val="en-US" w:eastAsia="zh-CN"/>
                    </w:rPr>
                    <w:t>30</w:t>
                  </w:r>
                  <w:r>
                    <w:rPr>
                      <w:color w:val="auto"/>
                      <w:szCs w:val="21"/>
                      <w:highlight w:val="none"/>
                    </w:rPr>
                    <w:t>mg/m</w:t>
                  </w:r>
                  <w:r>
                    <w:rPr>
                      <w:color w:val="auto"/>
                      <w:szCs w:val="21"/>
                      <w:highlight w:val="none"/>
                      <w:vertAlign w:val="superscript"/>
                    </w:rPr>
                    <w:t>3</w:t>
                  </w:r>
                </w:p>
                <w:p>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最低去除效率70%</w:t>
                  </w:r>
                </w:p>
              </w:tc>
              <w:tc>
                <w:tcPr>
                  <w:tcW w:w="3769"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《工业企业挥发性有机物排放控制标准》（DB13/2322-2016）表1</w:t>
                  </w:r>
                  <w:r>
                    <w:rPr>
                      <w:rFonts w:hint="eastAsia"/>
                      <w:color w:val="auto"/>
                      <w:szCs w:val="21"/>
                      <w:highlight w:val="none"/>
                      <w:lang w:eastAsia="zh-CN"/>
                    </w:rPr>
                    <w:t>表面涂装业</w:t>
                  </w:r>
                  <w:r>
                    <w:rPr>
                      <w:color w:val="auto"/>
                      <w:szCs w:val="21"/>
                      <w:highlight w:val="none"/>
                    </w:rPr>
                    <w:t>大气污染物排放限值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vMerge w:val="restar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静电喷粉工序</w:t>
                  </w:r>
                </w:p>
              </w:tc>
              <w:tc>
                <w:tcPr>
                  <w:tcW w:w="711" w:type="dxa"/>
                  <w:vMerge w:val="restart"/>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厂界</w:t>
                  </w:r>
                </w:p>
              </w:tc>
              <w:tc>
                <w:tcPr>
                  <w:tcW w:w="1211"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染料尘</w:t>
                  </w:r>
                </w:p>
              </w:tc>
              <w:tc>
                <w:tcPr>
                  <w:tcW w:w="1364"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肉眼不可见</w:t>
                  </w:r>
                </w:p>
              </w:tc>
              <w:tc>
                <w:tcPr>
                  <w:tcW w:w="3769" w:type="dxa"/>
                  <w:vMerge w:val="restar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《大气污染物综合排放标准》(GB16297-1996)表2</w:t>
                  </w:r>
                  <w:r>
                    <w:rPr>
                      <w:rFonts w:hint="eastAsia"/>
                      <w:color w:val="auto"/>
                      <w:szCs w:val="21"/>
                      <w:highlight w:val="none"/>
                    </w:rPr>
                    <w:t>颗粒物</w:t>
                  </w:r>
                  <w:r>
                    <w:rPr>
                      <w:color w:val="auto"/>
                      <w:szCs w:val="21"/>
                      <w:highlight w:val="none"/>
                    </w:rPr>
                    <w:t>无组织排放监控浓度限值要求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9" w:type="dxa"/>
                  <w:vMerge w:val="continue"/>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p>
              </w:tc>
              <w:tc>
                <w:tcPr>
                  <w:tcW w:w="711" w:type="dxa"/>
                  <w:vMerge w:val="continue"/>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p>
              </w:tc>
              <w:tc>
                <w:tcPr>
                  <w:tcW w:w="1211" w:type="dxa"/>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颗粒物</w:t>
                  </w: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企业边界浓度</w:t>
                  </w:r>
                  <w:r>
                    <w:rPr>
                      <w:rFonts w:hint="eastAsia"/>
                      <w:color w:val="auto"/>
                      <w:szCs w:val="21"/>
                      <w:highlight w:val="none"/>
                    </w:rPr>
                    <w:t>1.0</w:t>
                  </w:r>
                  <w:r>
                    <w:rPr>
                      <w:color w:val="auto"/>
                      <w:szCs w:val="21"/>
                      <w:highlight w:val="none"/>
                    </w:rPr>
                    <w:t>mg/m</w:t>
                  </w:r>
                  <w:r>
                    <w:rPr>
                      <w:color w:val="auto"/>
                      <w:szCs w:val="21"/>
                      <w:highlight w:val="none"/>
                      <w:vertAlign w:val="superscript"/>
                    </w:rPr>
                    <w:t>3</w:t>
                  </w:r>
                </w:p>
              </w:tc>
              <w:tc>
                <w:tcPr>
                  <w:tcW w:w="3769"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9" w:type="dxa"/>
                  <w:vMerge w:val="restart"/>
                  <w:noWrap w:val="0"/>
                  <w:vAlign w:val="center"/>
                </w:tcPr>
                <w:p>
                  <w:pPr>
                    <w:keepNext w:val="0"/>
                    <w:keepLines w:val="0"/>
                    <w:suppressLineNumbers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固化工序</w:t>
                  </w:r>
                </w:p>
              </w:tc>
              <w:tc>
                <w:tcPr>
                  <w:tcW w:w="711"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1211" w:type="dxa"/>
                  <w:vMerge w:val="restar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非甲烷总烃</w:t>
                  </w: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企业边界浓度2.0mg/m</w:t>
                  </w:r>
                  <w:r>
                    <w:rPr>
                      <w:color w:val="auto"/>
                      <w:szCs w:val="21"/>
                      <w:highlight w:val="none"/>
                      <w:vertAlign w:val="superscript"/>
                    </w:rPr>
                    <w:t>3</w:t>
                  </w:r>
                </w:p>
              </w:tc>
              <w:tc>
                <w:tcPr>
                  <w:tcW w:w="3769"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《工业企业挥发性有机物排放控制标准》（DB13/2322-2016）</w:t>
                  </w:r>
                  <w:r>
                    <w:rPr>
                      <w:bCs/>
                      <w:color w:val="auto"/>
                      <w:szCs w:val="21"/>
                      <w:highlight w:val="none"/>
                    </w:rPr>
                    <w:t>表2其他企业边界大气污染物浓度限值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711" w:type="dxa"/>
                  <w:vMerge w:val="restar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厂区内</w:t>
                  </w:r>
                </w:p>
              </w:tc>
              <w:tc>
                <w:tcPr>
                  <w:tcW w:w="1211"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1h</w:t>
                  </w:r>
                  <w:r>
                    <w:rPr>
                      <w:color w:val="auto"/>
                      <w:kern w:val="0"/>
                      <w:highlight w:val="none"/>
                      <w:lang w:bidi="ar"/>
                    </w:rPr>
                    <w:t>平均浓度</w:t>
                  </w:r>
                  <w:r>
                    <w:rPr>
                      <w:color w:val="auto"/>
                      <w:szCs w:val="21"/>
                      <w:highlight w:val="none"/>
                    </w:rPr>
                    <w:t>6mg/m</w:t>
                  </w:r>
                  <w:r>
                    <w:rPr>
                      <w:color w:val="auto"/>
                      <w:szCs w:val="21"/>
                      <w:highlight w:val="none"/>
                      <w:vertAlign w:val="superscript"/>
                    </w:rPr>
                    <w:t>3</w:t>
                  </w:r>
                </w:p>
              </w:tc>
              <w:tc>
                <w:tcPr>
                  <w:tcW w:w="3769" w:type="dxa"/>
                  <w:vMerge w:val="restar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《挥发性有机物无组织排放控制标准》（GB37822-2019）附录A特别排放限值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9"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711"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1211"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c>
                <w:tcPr>
                  <w:tcW w:w="1364" w:type="dxa"/>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kern w:val="0"/>
                      <w:highlight w:val="none"/>
                      <w:lang w:bidi="ar"/>
                    </w:rPr>
                    <w:t>任意一次浓度</w:t>
                  </w:r>
                  <w:r>
                    <w:rPr>
                      <w:color w:val="auto"/>
                      <w:szCs w:val="21"/>
                      <w:highlight w:val="none"/>
                    </w:rPr>
                    <w:t>20mg/m</w:t>
                  </w:r>
                  <w:r>
                    <w:rPr>
                      <w:color w:val="auto"/>
                      <w:szCs w:val="21"/>
                      <w:highlight w:val="none"/>
                      <w:vertAlign w:val="superscript"/>
                    </w:rPr>
                    <w:t>3</w:t>
                  </w:r>
                </w:p>
              </w:tc>
              <w:tc>
                <w:tcPr>
                  <w:tcW w:w="3769" w:type="dxa"/>
                  <w:vMerge w:val="continue"/>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p>
              </w:tc>
            </w:tr>
          </w:tbl>
          <w:p>
            <w:pPr>
              <w:keepNext w:val="0"/>
              <w:keepLines w:val="0"/>
              <w:suppressLineNumbers w:val="0"/>
              <w:spacing w:before="0" w:beforeAutospacing="0" w:after="0" w:afterAutospacing="0" w:line="360" w:lineRule="auto"/>
              <w:ind w:left="0" w:right="0" w:firstLine="420" w:firstLineChars="200"/>
              <w:rPr>
                <w:rFonts w:hint="default"/>
                <w:bCs/>
                <w:color w:val="auto"/>
                <w:szCs w:val="21"/>
                <w:highlight w:val="none"/>
                <w:lang w:val="en-US" w:eastAsia="zh-CN"/>
              </w:rPr>
            </w:pPr>
            <w:r>
              <w:rPr>
                <w:rFonts w:hint="eastAsia"/>
                <w:bCs/>
                <w:color w:val="auto"/>
                <w:szCs w:val="21"/>
                <w:highlight w:val="none"/>
                <w:lang w:val="en-US" w:eastAsia="zh-CN"/>
              </w:rPr>
              <w:t>注：企业排气筒高度一般不应低于15m。排气筒高度应高出周围200m半径范围的建筑5m以上，本企业最高建筑（重型车间，精锻车间）高度25m，因此本项目的排气筒高度为30m。</w:t>
            </w:r>
          </w:p>
          <w:p>
            <w:pPr>
              <w:pStyle w:val="89"/>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default" w:ascii="Times New Roman" w:hAnsi="Times New Roman" w:eastAsia="宋体" w:cs="Times New Roman"/>
                <w:b/>
                <w:color w:val="auto"/>
                <w:kern w:val="2"/>
                <w:sz w:val="21"/>
                <w:szCs w:val="21"/>
                <w:highlight w:val="none"/>
                <w:lang w:val="en-US" w:eastAsia="zh-CN"/>
              </w:rPr>
            </w:pPr>
            <w:r>
              <w:rPr>
                <w:rFonts w:hint="default" w:ascii="Times New Roman" w:hAnsi="Times New Roman" w:eastAsia="宋体" w:cs="Times New Roman"/>
                <w:b/>
                <w:color w:val="auto"/>
                <w:kern w:val="2"/>
                <w:sz w:val="21"/>
                <w:szCs w:val="21"/>
                <w:highlight w:val="none"/>
                <w:lang w:val="en-US" w:eastAsia="zh-CN"/>
              </w:rPr>
              <w:t>3</w:t>
            </w:r>
            <w:r>
              <w:rPr>
                <w:rFonts w:hint="default" w:ascii="Times New Roman" w:hAnsi="Times New Roman" w:eastAsia="宋体" w:cs="Times New Roman"/>
                <w:b/>
                <w:color w:val="auto"/>
                <w:kern w:val="2"/>
                <w:sz w:val="21"/>
                <w:szCs w:val="21"/>
                <w:highlight w:val="none"/>
              </w:rPr>
              <w:t>、噪声</w:t>
            </w:r>
            <w:r>
              <w:rPr>
                <w:rFonts w:hint="eastAsia" w:ascii="Times New Roman" w:hAnsi="Times New Roman" w:eastAsia="宋体" w:cs="Times New Roman"/>
                <w:b/>
                <w:color w:val="auto"/>
                <w:kern w:val="2"/>
                <w:sz w:val="21"/>
                <w:szCs w:val="21"/>
                <w:highlight w:val="none"/>
                <w:lang w:val="en-US" w:eastAsia="zh-CN"/>
              </w:rPr>
              <w:t>排放标准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13" w:firstLineChars="197"/>
              <w:jc w:val="both"/>
              <w:textAlignment w:val="auto"/>
              <w:rPr>
                <w:rFonts w:hint="default" w:ascii="Times New Roman" w:hAnsi="Times New Roman" w:eastAsia="宋体" w:cs="Times New Roman"/>
                <w:b w:val="0"/>
                <w:bCs/>
                <w:color w:val="auto"/>
                <w:spacing w:val="2"/>
                <w:kern w:val="2"/>
                <w:sz w:val="21"/>
                <w:szCs w:val="21"/>
                <w:highlight w:val="none"/>
                <w:lang w:val="en-US" w:eastAsia="zh-CN" w:bidi="ar"/>
              </w:rPr>
            </w:pPr>
            <w:r>
              <w:rPr>
                <w:rFonts w:hint="eastAsia" w:cs="Times New Roman"/>
                <w:color w:val="auto"/>
                <w:kern w:val="0"/>
                <w:sz w:val="21"/>
                <w:szCs w:val="21"/>
                <w:highlight w:val="none"/>
                <w:lang w:val="en-US" w:eastAsia="zh-CN" w:bidi="ar"/>
              </w:rPr>
              <w:t>本项目新增设备，增加设备噪声，</w:t>
            </w:r>
            <w:r>
              <w:rPr>
                <w:rFonts w:hint="default" w:ascii="Times New Roman" w:hAnsi="Times New Roman" w:eastAsia="宋体" w:cs="Times New Roman"/>
                <w:color w:val="auto"/>
                <w:kern w:val="0"/>
                <w:sz w:val="21"/>
                <w:szCs w:val="21"/>
                <w:highlight w:val="none"/>
                <w:lang w:val="en-US" w:eastAsia="zh-CN" w:bidi="ar"/>
              </w:rPr>
              <w:t>厂界</w:t>
            </w:r>
            <w:r>
              <w:rPr>
                <w:rFonts w:hint="eastAsia" w:cs="Times New Roman"/>
                <w:color w:val="auto"/>
                <w:kern w:val="0"/>
                <w:sz w:val="21"/>
                <w:szCs w:val="21"/>
                <w:highlight w:val="none"/>
                <w:lang w:val="en-US" w:eastAsia="zh-CN" w:bidi="ar"/>
              </w:rPr>
              <w:t>噪声排放执行</w:t>
            </w:r>
            <w:r>
              <w:rPr>
                <w:rFonts w:hint="default" w:ascii="Times New Roman" w:hAnsi="Times New Roman" w:eastAsia="宋体" w:cs="Times New Roman"/>
                <w:color w:val="auto"/>
                <w:kern w:val="0"/>
                <w:sz w:val="21"/>
                <w:szCs w:val="21"/>
                <w:highlight w:val="none"/>
                <w:lang w:val="en-US" w:eastAsia="zh-CN" w:bidi="ar"/>
              </w:rPr>
              <w:t>《工业企业厂界环境噪声排放标准》（GB12348-2008）中</w:t>
            </w:r>
            <w:r>
              <w:rPr>
                <w:rFonts w:hint="eastAsia" w:cs="Times New Roman"/>
                <w:color w:val="auto"/>
                <w:kern w:val="0"/>
                <w:sz w:val="21"/>
                <w:szCs w:val="21"/>
                <w:highlight w:val="none"/>
                <w:lang w:val="en-US" w:eastAsia="zh-CN" w:bidi="ar"/>
              </w:rPr>
              <w:t>3</w:t>
            </w:r>
            <w:r>
              <w:rPr>
                <w:rFonts w:hint="default" w:ascii="Times New Roman" w:hAnsi="Times New Roman" w:eastAsia="宋体" w:cs="Times New Roman"/>
                <w:color w:val="auto"/>
                <w:kern w:val="0"/>
                <w:sz w:val="21"/>
                <w:szCs w:val="21"/>
                <w:highlight w:val="none"/>
                <w:lang w:val="en-US" w:eastAsia="zh-CN" w:bidi="ar"/>
              </w:rPr>
              <w:t>类</w:t>
            </w:r>
            <w:r>
              <w:rPr>
                <w:rFonts w:hint="eastAsia" w:cs="Times New Roman"/>
                <w:color w:val="auto"/>
                <w:kern w:val="0"/>
                <w:sz w:val="21"/>
                <w:szCs w:val="21"/>
                <w:highlight w:val="none"/>
                <w:lang w:val="en-US" w:eastAsia="zh-CN" w:bidi="ar"/>
              </w:rPr>
              <w:t>、4类</w:t>
            </w:r>
            <w:r>
              <w:rPr>
                <w:rFonts w:hint="default" w:ascii="Times New Roman" w:hAnsi="Times New Roman" w:eastAsia="宋体" w:cs="Times New Roman"/>
                <w:color w:val="auto"/>
                <w:kern w:val="0"/>
                <w:sz w:val="21"/>
                <w:szCs w:val="21"/>
                <w:highlight w:val="none"/>
                <w:lang w:val="en-US" w:eastAsia="zh-CN" w:bidi="ar"/>
              </w:rPr>
              <w:t>标准</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具体标准见表</w:t>
            </w:r>
            <w:r>
              <w:rPr>
                <w:rFonts w:hint="eastAsia" w:cs="Times New Roman"/>
                <w:color w:val="auto"/>
                <w:kern w:val="0"/>
                <w:sz w:val="21"/>
                <w:szCs w:val="21"/>
                <w:highlight w:val="none"/>
                <w:lang w:val="en-US" w:eastAsia="zh-CN" w:bidi="ar"/>
              </w:rPr>
              <w:t>27</w:t>
            </w:r>
            <w:r>
              <w:rPr>
                <w:rFonts w:hint="default" w:ascii="Times New Roman" w:hAnsi="Times New Roman" w:eastAsia="宋体" w:cs="Times New Roman"/>
                <w:color w:val="auto"/>
                <w:kern w:val="0"/>
                <w:sz w:val="21"/>
                <w:szCs w:val="21"/>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cs="Times New Roman"/>
                <w:b w:val="0"/>
                <w:bCs/>
                <w:color w:val="auto"/>
                <w:spacing w:val="2"/>
                <w:kern w:val="2"/>
                <w:sz w:val="21"/>
                <w:szCs w:val="21"/>
                <w:highlight w:val="none"/>
              </w:rPr>
            </w:pPr>
            <w:r>
              <w:rPr>
                <w:rFonts w:hint="default" w:ascii="Times New Roman" w:hAnsi="Times New Roman" w:eastAsia="宋体" w:cs="Times New Roman"/>
                <w:b w:val="0"/>
                <w:bCs/>
                <w:color w:val="auto"/>
                <w:spacing w:val="2"/>
                <w:kern w:val="2"/>
                <w:sz w:val="21"/>
                <w:szCs w:val="21"/>
                <w:highlight w:val="none"/>
                <w:lang w:val="en-US" w:eastAsia="zh-CN" w:bidi="ar"/>
              </w:rPr>
              <w:t>表</w:t>
            </w:r>
            <w:r>
              <w:rPr>
                <w:rFonts w:hint="eastAsia" w:cs="Times New Roman"/>
                <w:b w:val="0"/>
                <w:bCs/>
                <w:color w:val="auto"/>
                <w:spacing w:val="2"/>
                <w:kern w:val="2"/>
                <w:sz w:val="21"/>
                <w:szCs w:val="21"/>
                <w:highlight w:val="none"/>
                <w:lang w:val="en-US" w:eastAsia="zh-CN" w:bidi="ar"/>
              </w:rPr>
              <w:t>27</w:t>
            </w:r>
            <w:r>
              <w:rPr>
                <w:rFonts w:hint="default" w:ascii="Times New Roman" w:hAnsi="Times New Roman" w:eastAsia="宋体" w:cs="Times New Roman"/>
                <w:b w:val="0"/>
                <w:bCs/>
                <w:color w:val="auto"/>
                <w:spacing w:val="2"/>
                <w:kern w:val="2"/>
                <w:sz w:val="21"/>
                <w:szCs w:val="21"/>
                <w:highlight w:val="none"/>
                <w:lang w:val="en-US" w:eastAsia="zh-CN" w:bidi="ar"/>
              </w:rPr>
              <w:t xml:space="preserve">  噪声排放标准   （单位：dB(A)）</w:t>
            </w:r>
          </w:p>
          <w:tbl>
            <w:tblPr>
              <w:tblStyle w:val="35"/>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65"/>
              <w:gridCol w:w="1299"/>
              <w:gridCol w:w="1051"/>
              <w:gridCol w:w="925"/>
              <w:gridCol w:w="3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trPr>
              <w:tc>
                <w:tcPr>
                  <w:tcW w:w="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执行时间</w:t>
                  </w:r>
                </w:p>
              </w:tc>
              <w:tc>
                <w:tcPr>
                  <w:tcW w:w="8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位置</w:t>
                  </w:r>
                </w:p>
              </w:tc>
              <w:tc>
                <w:tcPr>
                  <w:tcW w:w="66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昼间</w:t>
                  </w:r>
                </w:p>
              </w:tc>
              <w:tc>
                <w:tcPr>
                  <w:tcW w:w="581"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夜间</w:t>
                  </w:r>
                </w:p>
              </w:tc>
              <w:tc>
                <w:tcPr>
                  <w:tcW w:w="208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执行标准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85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运营期</w:t>
                  </w:r>
                </w:p>
              </w:tc>
              <w:tc>
                <w:tcPr>
                  <w:tcW w:w="8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东、南、西厂界</w:t>
                  </w:r>
                </w:p>
              </w:tc>
              <w:tc>
                <w:tcPr>
                  <w:tcW w:w="66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bidi="ar"/>
                    </w:rPr>
                    <w:t>6</w:t>
                  </w:r>
                  <w:r>
                    <w:rPr>
                      <w:rFonts w:hint="eastAsia" w:cs="Times New Roman"/>
                      <w:color w:val="auto"/>
                      <w:kern w:val="2"/>
                      <w:sz w:val="21"/>
                      <w:szCs w:val="21"/>
                      <w:highlight w:val="none"/>
                      <w:lang w:val="en-US" w:eastAsia="zh-CN" w:bidi="ar"/>
                    </w:rPr>
                    <w:t>5</w:t>
                  </w:r>
                </w:p>
              </w:tc>
              <w:tc>
                <w:tcPr>
                  <w:tcW w:w="581"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55</w:t>
                  </w:r>
                </w:p>
              </w:tc>
              <w:tc>
                <w:tcPr>
                  <w:tcW w:w="208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《工业企业厂界环境噪声排放标准》（GB12348-2008）</w:t>
                  </w:r>
                  <w:r>
                    <w:rPr>
                      <w:rFonts w:hint="eastAsia" w:cs="Times New Roman"/>
                      <w:color w:val="auto"/>
                      <w:kern w:val="2"/>
                      <w:sz w:val="21"/>
                      <w:szCs w:val="21"/>
                      <w:highlight w:val="none"/>
                      <w:lang w:val="en-US" w:eastAsia="zh-CN" w:bidi="ar"/>
                    </w:rPr>
                    <w:t>3</w:t>
                  </w:r>
                  <w:r>
                    <w:rPr>
                      <w:rFonts w:hint="default" w:ascii="Times New Roman" w:hAnsi="Times New Roman" w:eastAsia="宋体" w:cs="Times New Roman"/>
                      <w:color w:val="auto"/>
                      <w:kern w:val="2"/>
                      <w:sz w:val="21"/>
                      <w:szCs w:val="21"/>
                      <w:highlight w:val="none"/>
                      <w:lang w:val="en-US" w:eastAsia="zh-CN" w:bidi="ar"/>
                    </w:rPr>
                    <w:t>类标准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858" w:type="pct"/>
                  <w:vMerge w:val="continue"/>
                  <w:tcBorders>
                    <w:left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cs="Times New Roman"/>
                      <w:color w:val="auto"/>
                      <w:kern w:val="2"/>
                      <w:sz w:val="21"/>
                      <w:szCs w:val="21"/>
                      <w:highlight w:val="none"/>
                      <w:lang w:val="en-US" w:eastAsia="zh-CN"/>
                    </w:rPr>
                  </w:pPr>
                </w:p>
              </w:tc>
              <w:tc>
                <w:tcPr>
                  <w:tcW w:w="8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北厂界</w:t>
                  </w:r>
                </w:p>
              </w:tc>
              <w:tc>
                <w:tcPr>
                  <w:tcW w:w="66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70</w:t>
                  </w:r>
                </w:p>
              </w:tc>
              <w:tc>
                <w:tcPr>
                  <w:tcW w:w="581"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55</w:t>
                  </w:r>
                </w:p>
              </w:tc>
              <w:tc>
                <w:tcPr>
                  <w:tcW w:w="208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《工业企业厂界环境噪声排放标准》（GB12348-2008）</w:t>
                  </w:r>
                  <w:r>
                    <w:rPr>
                      <w:rFonts w:hint="eastAsia" w:cs="Times New Roman"/>
                      <w:color w:val="auto"/>
                      <w:kern w:val="2"/>
                      <w:sz w:val="21"/>
                      <w:szCs w:val="21"/>
                      <w:highlight w:val="none"/>
                      <w:lang w:val="en-US" w:eastAsia="zh-CN" w:bidi="ar"/>
                    </w:rPr>
                    <w:t>4</w:t>
                  </w:r>
                  <w:r>
                    <w:rPr>
                      <w:rFonts w:hint="default" w:ascii="Times New Roman" w:hAnsi="Times New Roman" w:eastAsia="宋体" w:cs="Times New Roman"/>
                      <w:color w:val="auto"/>
                      <w:kern w:val="2"/>
                      <w:sz w:val="21"/>
                      <w:szCs w:val="21"/>
                      <w:highlight w:val="none"/>
                      <w:lang w:val="en-US" w:eastAsia="zh-CN" w:bidi="ar"/>
                    </w:rPr>
                    <w:t>类标准</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textAlignment w:val="baseline"/>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、固废</w:t>
            </w:r>
          </w:p>
          <w:p>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本项目一般固废参照执行《中华人民共和国固体废物污染环境防治法》中相关要求；危险废物处置执行《危险废物贮存污染控制标准》(GB 18597-2023)的要求</w:t>
            </w:r>
            <w:r>
              <w:rPr>
                <w:rFonts w:hint="eastAsia" w:cs="Times New Roman"/>
                <w:color w:val="auto"/>
                <w:sz w:val="21"/>
                <w:szCs w:val="21"/>
                <w:highlight w:val="none"/>
                <w:lang w:eastAsia="zh-CN"/>
              </w:rPr>
              <w:t>。</w:t>
            </w:r>
          </w:p>
          <w:p>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rPr>
                <w:rFonts w:hint="eastAsia" w:cs="Times New Roman"/>
                <w:color w:val="auto"/>
                <w:kern w:val="0"/>
                <w:sz w:val="21"/>
                <w:szCs w:val="21"/>
                <w:highlight w:val="none"/>
                <w:lang w:val="en-US" w:eastAsia="zh-CN" w:bidi="ar"/>
              </w:rPr>
            </w:pPr>
          </w:p>
          <w:p>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20" w:firstLineChars="200"/>
              <w:rPr>
                <w:rFonts w:hint="eastAsia" w:cs="Times New Roman"/>
                <w:color w:val="auto"/>
                <w:sz w:val="21"/>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总量</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控制</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2"/>
                <w:sz w:val="21"/>
                <w:szCs w:val="21"/>
                <w:highlight w:val="none"/>
              </w:rPr>
              <w:t>指标</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根据《国务院关于印发大气污染防治行动计划的通知》（国发〔2013〕37号）、《国务院关于印发水污染防治行动计划的通知》（国发〔2015〕17号），总量指标污染物为SO</w:t>
            </w:r>
            <w:r>
              <w:rPr>
                <w:rFonts w:hint="eastAsia" w:ascii="Times New Roman" w:hAnsi="Times New Roman" w:eastAsia="宋体" w:cs="Times New Roman"/>
                <w:color w:val="auto"/>
                <w:sz w:val="21"/>
                <w:szCs w:val="21"/>
                <w:highlight w:val="none"/>
                <w:vertAlign w:val="subscript"/>
              </w:rPr>
              <w:t>2</w:t>
            </w:r>
            <w:r>
              <w:rPr>
                <w:rFonts w:hint="eastAsia" w:ascii="Times New Roman" w:hAnsi="Times New Roman" w:eastAsia="宋体" w:cs="Times New Roman"/>
                <w:color w:val="auto"/>
                <w:sz w:val="21"/>
                <w:szCs w:val="21"/>
                <w:highlight w:val="none"/>
              </w:rPr>
              <w:t>、NO</w:t>
            </w:r>
            <w:r>
              <w:rPr>
                <w:rFonts w:hint="eastAsia" w:ascii="Times New Roman" w:hAnsi="Times New Roman" w:eastAsia="宋体" w:cs="Times New Roman"/>
                <w:color w:val="auto"/>
                <w:sz w:val="21"/>
                <w:szCs w:val="21"/>
                <w:highlight w:val="none"/>
                <w:vertAlign w:val="subscript"/>
              </w:rPr>
              <w:t>x</w:t>
            </w:r>
            <w:r>
              <w:rPr>
                <w:rFonts w:hint="eastAsia"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非甲烷总烃、颗粒物</w:t>
            </w:r>
            <w:r>
              <w:rPr>
                <w:rFonts w:hint="eastAsia" w:ascii="Times New Roman" w:hAnsi="Times New Roman" w:eastAsia="宋体" w:cs="Times New Roman"/>
                <w:color w:val="auto"/>
                <w:sz w:val="21"/>
                <w:szCs w:val="21"/>
                <w:highlight w:val="none"/>
              </w:rPr>
              <w:t>、COD、氨氮。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现有工程</w:t>
            </w:r>
            <w:r>
              <w:rPr>
                <w:rFonts w:hint="default" w:ascii="Times New Roman" w:hAnsi="Times New Roman" w:eastAsia="宋体" w:cs="Times New Roman"/>
                <w:color w:val="auto"/>
                <w:sz w:val="21"/>
                <w:szCs w:val="21"/>
                <w:highlight w:val="none"/>
              </w:rPr>
              <w:t>总量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现有工程无锅炉，</w:t>
            </w:r>
            <w:r>
              <w:rPr>
                <w:rFonts w:hint="eastAsia" w:cs="Times New Roman"/>
                <w:color w:val="auto"/>
                <w:sz w:val="21"/>
                <w:szCs w:val="21"/>
                <w:highlight w:val="none"/>
                <w:lang w:val="en-US" w:eastAsia="zh-CN"/>
              </w:rPr>
              <w:t>不涉及</w:t>
            </w:r>
            <w:r>
              <w:rPr>
                <w:rFonts w:hint="eastAsia" w:ascii="Times New Roman" w:hAnsi="Times New Roman" w:eastAsia="宋体" w:cs="Times New Roman"/>
                <w:color w:val="auto"/>
                <w:sz w:val="21"/>
                <w:szCs w:val="21"/>
                <w:highlight w:val="none"/>
              </w:rPr>
              <w:t>SO</w:t>
            </w:r>
            <w:r>
              <w:rPr>
                <w:rFonts w:hint="eastAsia" w:ascii="Times New Roman" w:hAnsi="Times New Roman" w:eastAsia="宋体" w:cs="Times New Roman"/>
                <w:color w:val="auto"/>
                <w:sz w:val="21"/>
                <w:szCs w:val="21"/>
                <w:highlight w:val="none"/>
                <w:vertAlign w:val="subscript"/>
              </w:rPr>
              <w:t>2</w:t>
            </w:r>
            <w:r>
              <w:rPr>
                <w:rFonts w:hint="eastAsia" w:ascii="Times New Roman" w:hAnsi="Times New Roman" w:eastAsia="宋体" w:cs="Times New Roman"/>
                <w:color w:val="auto"/>
                <w:sz w:val="21"/>
                <w:szCs w:val="21"/>
                <w:highlight w:val="none"/>
              </w:rPr>
              <w:t>、NO</w:t>
            </w:r>
            <w:r>
              <w:rPr>
                <w:rFonts w:hint="eastAsia" w:ascii="Times New Roman" w:hAnsi="Times New Roman" w:eastAsia="宋体" w:cs="Times New Roman"/>
                <w:color w:val="auto"/>
                <w:sz w:val="21"/>
                <w:szCs w:val="21"/>
                <w:highlight w:val="none"/>
                <w:vertAlign w:val="subscript"/>
              </w:rPr>
              <w:t>x</w:t>
            </w:r>
            <w:r>
              <w:rPr>
                <w:rFonts w:hint="eastAsia" w:ascii="Times New Roman" w:hAnsi="Times New Roman" w:eastAsia="宋体" w:cs="Times New Roman"/>
                <w:color w:val="auto"/>
                <w:sz w:val="21"/>
                <w:szCs w:val="21"/>
                <w:highlight w:val="none"/>
                <w:lang w:val="en-US" w:eastAsia="zh-CN"/>
              </w:rPr>
              <w:t>排放。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现有工程</w:t>
            </w:r>
            <w:r>
              <w:rPr>
                <w:rFonts w:hint="eastAsia" w:ascii="Times New Roman" w:hAnsi="Times New Roman" w:eastAsia="宋体" w:cs="Times New Roman"/>
                <w:color w:val="auto"/>
                <w:sz w:val="21"/>
                <w:szCs w:val="21"/>
                <w:highlight w:val="none"/>
              </w:rPr>
              <w:t>废水</w:t>
            </w:r>
            <w:r>
              <w:rPr>
                <w:rFonts w:hint="default" w:ascii="Times New Roman" w:hAnsi="Times New Roman" w:cs="Times New Roman"/>
                <w:color w:val="000000"/>
                <w:spacing w:val="0"/>
                <w:w w:val="100"/>
                <w:position w:val="0"/>
                <w:sz w:val="21"/>
                <w:szCs w:val="21"/>
                <w:highlight w:val="none"/>
              </w:rPr>
              <w:t>生活污水通过隔油、化粪池处理后经市政污水管网排入唐山市北郊污水处理</w:t>
            </w:r>
            <w:r>
              <w:rPr>
                <w:rFonts w:hint="default" w:ascii="Times New Roman" w:hAnsi="Times New Roman" w:cs="Times New Roman"/>
                <w:color w:val="000000"/>
                <w:spacing w:val="0"/>
                <w:w w:val="100"/>
                <w:position w:val="0"/>
                <w:sz w:val="21"/>
                <w:szCs w:val="21"/>
                <w:highlight w:val="none"/>
                <w:lang w:val="zh-CN" w:eastAsia="zh-CN" w:bidi="zh-CN"/>
              </w:rPr>
              <w:t>厂统</w:t>
            </w:r>
            <w:r>
              <w:rPr>
                <w:rFonts w:hint="eastAsia" w:ascii="Times New Roman" w:hAnsi="Times New Roman" w:cs="Times New Roman"/>
                <w:color w:val="000000"/>
                <w:spacing w:val="0"/>
                <w:w w:val="100"/>
                <w:position w:val="0"/>
                <w:sz w:val="21"/>
                <w:szCs w:val="21"/>
                <w:highlight w:val="none"/>
                <w:lang w:val="en-US" w:eastAsia="zh-CN" w:bidi="zh-CN"/>
              </w:rPr>
              <w:t>一</w:t>
            </w:r>
            <w:r>
              <w:rPr>
                <w:rFonts w:hint="default" w:ascii="Times New Roman" w:hAnsi="Times New Roman" w:cs="Times New Roman"/>
                <w:color w:val="000000"/>
                <w:spacing w:val="0"/>
                <w:w w:val="100"/>
                <w:position w:val="0"/>
                <w:sz w:val="21"/>
                <w:szCs w:val="21"/>
                <w:highlight w:val="none"/>
              </w:rPr>
              <w:t>处理</w:t>
            </w:r>
            <w:r>
              <w:rPr>
                <w:rFonts w:hint="default" w:ascii="Times New Roman" w:hAnsi="Times New Roman" w:cs="Times New Roman"/>
                <w:color w:val="000000"/>
                <w:spacing w:val="0"/>
                <w:w w:val="100"/>
                <w:position w:val="0"/>
                <w:sz w:val="21"/>
                <w:szCs w:val="21"/>
                <w:highlight w:val="none"/>
                <w:lang w:val="en-US" w:eastAsia="en-US" w:bidi="en-US"/>
              </w:rPr>
              <w:t>；</w:t>
            </w:r>
            <w:r>
              <w:rPr>
                <w:rFonts w:hint="default" w:ascii="Times New Roman" w:hAnsi="Times New Roman" w:cs="Times New Roman"/>
                <w:color w:val="auto"/>
                <w:spacing w:val="0"/>
                <w:kern w:val="0"/>
                <w:sz w:val="21"/>
                <w:szCs w:val="21"/>
                <w:highlight w:val="none"/>
              </w:rPr>
              <w:t>淬火冷却水经过沉淀处理后回用水淬工艺中，不外排；精锻车间液压机配套设备冷却水全部循环使用，不外排；除鳞工序用水经过沉淀处理后全部循环使用，不外排；</w:t>
            </w:r>
            <w:r>
              <w:rPr>
                <w:rFonts w:hint="default" w:ascii="Times New Roman" w:hAnsi="Times New Roman" w:cs="Times New Roman"/>
                <w:color w:val="000000"/>
                <w:spacing w:val="0"/>
                <w:w w:val="100"/>
                <w:position w:val="0"/>
                <w:sz w:val="21"/>
                <w:szCs w:val="21"/>
                <w:highlight w:val="none"/>
              </w:rPr>
              <w:t>废乳化液作为危险废物委托</w:t>
            </w:r>
            <w:r>
              <w:rPr>
                <w:rFonts w:hint="eastAsia" w:ascii="Times New Roman" w:hAnsi="Times New Roman" w:cs="Times New Roman"/>
                <w:color w:val="000000"/>
                <w:spacing w:val="0"/>
                <w:w w:val="100"/>
                <w:position w:val="0"/>
                <w:sz w:val="21"/>
                <w:szCs w:val="21"/>
                <w:highlight w:val="none"/>
                <w:lang w:val="en-US" w:eastAsia="zh-CN"/>
              </w:rPr>
              <w:t>有资质单位</w:t>
            </w:r>
            <w:r>
              <w:rPr>
                <w:rFonts w:hint="default" w:ascii="Times New Roman" w:hAnsi="Times New Roman" w:cs="Times New Roman"/>
                <w:color w:val="000000"/>
                <w:spacing w:val="0"/>
                <w:w w:val="100"/>
                <w:position w:val="0"/>
                <w:sz w:val="21"/>
                <w:szCs w:val="21"/>
                <w:highlight w:val="none"/>
              </w:rPr>
              <w:t>处理</w:t>
            </w:r>
            <w:r>
              <w:rPr>
                <w:rFonts w:hint="eastAsia" w:ascii="Times New Roman" w:hAnsi="Times New Roman" w:eastAsia="宋体" w:cs="Times New Roman"/>
                <w:color w:val="auto"/>
                <w:sz w:val="21"/>
                <w:szCs w:val="21"/>
                <w:highlight w:val="none"/>
              </w:rPr>
              <w:t>。</w:t>
            </w:r>
            <w:r>
              <w:rPr>
                <w:rFonts w:hint="eastAsia"/>
                <w:color w:val="000000"/>
                <w:spacing w:val="0"/>
                <w:w w:val="100"/>
                <w:position w:val="0"/>
                <w:highlight w:val="none"/>
                <w:lang w:val="en-US" w:eastAsia="zh-CN"/>
              </w:rPr>
              <w:t>根据现有环评</w:t>
            </w:r>
            <w:r>
              <w:rPr>
                <w:rFonts w:hint="default" w:ascii="Times New Roman" w:hAnsi="Times New Roman" w:cs="Times New Roman"/>
                <w:color w:val="auto"/>
                <w:sz w:val="21"/>
                <w:szCs w:val="21"/>
                <w:highlight w:val="none"/>
                <w:lang w:val="en-US" w:eastAsia="zh-CN"/>
              </w:rPr>
              <w:t>及批复</w:t>
            </w:r>
            <w:r>
              <w:rPr>
                <w:rFonts w:hint="eastAsia"/>
                <w:color w:val="000000"/>
                <w:spacing w:val="0"/>
                <w:w w:val="100"/>
                <w:position w:val="0"/>
                <w:highlight w:val="none"/>
                <w:lang w:val="en-US" w:eastAsia="zh-CN"/>
              </w:rPr>
              <w:t>，</w:t>
            </w:r>
            <w:r>
              <w:rPr>
                <w:rFonts w:hint="default" w:ascii="Times New Roman" w:hAnsi="Times New Roman" w:cs="Times New Roman"/>
                <w:color w:val="auto"/>
                <w:sz w:val="21"/>
                <w:szCs w:val="21"/>
                <w:highlight w:val="none"/>
                <w:lang w:val="en-US" w:eastAsia="zh-CN"/>
              </w:rPr>
              <w:t>现有工程总量控制指标为：COD：</w:t>
            </w:r>
            <w:r>
              <w:rPr>
                <w:rFonts w:hint="eastAsia" w:cs="Times New Roman"/>
                <w:color w:val="auto"/>
                <w:sz w:val="21"/>
                <w:szCs w:val="21"/>
                <w:highlight w:val="none"/>
                <w:lang w:val="en-US" w:eastAsia="zh-CN"/>
              </w:rPr>
              <w:t>3.52</w:t>
            </w:r>
            <w:r>
              <w:rPr>
                <w:rFonts w:hint="default" w:ascii="Times New Roman" w:hAnsi="Times New Roman" w:cs="Times New Roman"/>
                <w:color w:val="auto"/>
                <w:sz w:val="21"/>
                <w:szCs w:val="21"/>
                <w:highlight w:val="none"/>
                <w:lang w:val="en-US" w:eastAsia="zh-CN"/>
              </w:rPr>
              <w:t>t/a、</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0.35</w:t>
            </w:r>
            <w:r>
              <w:rPr>
                <w:rFonts w:hint="default" w:ascii="Times New Roman" w:hAnsi="Times New Roman" w:cs="Times New Roman"/>
                <w:color w:val="auto"/>
                <w:sz w:val="21"/>
                <w:szCs w:val="21"/>
                <w:highlight w:val="none"/>
                <w:lang w:val="en-US" w:eastAsia="zh-CN"/>
              </w:rPr>
              <w:t>t/a</w:t>
            </w:r>
            <w:r>
              <w:rPr>
                <w:rFonts w:hint="eastAsia" w:ascii="Times New Roman" w:hAnsi="Times New Roman" w:eastAsia="宋体" w:cs="Times New Roman"/>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主要</w:t>
            </w:r>
            <w:r>
              <w:rPr>
                <w:rFonts w:hint="default" w:ascii="Times New Roman" w:hAnsi="Times New Roman" w:eastAsia="宋体" w:cs="Times New Roman"/>
                <w:color w:val="auto"/>
                <w:sz w:val="21"/>
                <w:szCs w:val="21"/>
                <w:highlight w:val="none"/>
              </w:rPr>
              <w:t>污染物总量</w:t>
            </w:r>
            <w:r>
              <w:rPr>
                <w:rFonts w:hint="eastAsia" w:cs="Times New Roman"/>
                <w:color w:val="auto"/>
                <w:sz w:val="21"/>
                <w:szCs w:val="21"/>
                <w:highlight w:val="none"/>
                <w:lang w:val="en-US" w:eastAsia="zh-CN"/>
              </w:rPr>
              <w:t>控制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废水：</w:t>
            </w:r>
            <w:r>
              <w:rPr>
                <w:rFonts w:hint="eastAsia" w:ascii="Times New Roman" w:hAnsi="Times New Roman" w:eastAsia="宋体" w:cs="Times New Roman"/>
                <w:snapToGrid w:val="0"/>
                <w:color w:val="auto"/>
                <w:kern w:val="0"/>
                <w:sz w:val="21"/>
                <w:szCs w:val="21"/>
                <w:highlight w:val="none"/>
              </w:rPr>
              <w:t>本</w:t>
            </w:r>
            <w:r>
              <w:rPr>
                <w:rFonts w:hint="eastAsia" w:cs="Times New Roman"/>
                <w:snapToGrid w:val="0"/>
                <w:color w:val="auto"/>
                <w:kern w:val="0"/>
                <w:sz w:val="21"/>
                <w:szCs w:val="21"/>
                <w:highlight w:val="none"/>
                <w:lang w:val="en-US" w:eastAsia="zh-CN"/>
              </w:rPr>
              <w:t>项目水压试验</w:t>
            </w:r>
            <w:r>
              <w:rPr>
                <w:rFonts w:hint="eastAsia" w:ascii="Times New Roman" w:hAnsi="Times New Roman" w:eastAsia="宋体" w:cs="Times New Roman"/>
                <w:snapToGrid w:val="0"/>
                <w:color w:val="auto"/>
                <w:kern w:val="0"/>
                <w:sz w:val="21"/>
                <w:szCs w:val="21"/>
                <w:highlight w:val="none"/>
              </w:rPr>
              <w:t>用水循环使用，定期补充，无生产废水产生</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劳动定员不变，生活用水量不变</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故本项目总量控制指标为</w:t>
            </w:r>
            <w:r>
              <w:rPr>
                <w:rFonts w:hint="eastAsia" w:ascii="Times New Roman" w:hAnsi="Times New Roman" w:eastAsia="宋体" w:cs="Times New Roman"/>
                <w:color w:val="auto"/>
                <w:sz w:val="21"/>
                <w:szCs w:val="21"/>
                <w:highlight w:val="none"/>
                <w:lang w:val="en-US" w:eastAsia="zh-CN"/>
              </w:rPr>
              <w:t>COD：0t/a</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-N：0t/a。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废气：本项目无锅炉，无SO</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、NOx产生。</w:t>
            </w:r>
            <w:r>
              <w:rPr>
                <w:rFonts w:hint="eastAsia" w:cs="Times New Roman"/>
                <w:color w:val="auto"/>
                <w:sz w:val="21"/>
                <w:szCs w:val="21"/>
                <w:highlight w:val="none"/>
                <w:lang w:val="en-US" w:eastAsia="zh-CN"/>
              </w:rPr>
              <w:t>故本项目总量控制指标为</w:t>
            </w:r>
            <w:r>
              <w:rPr>
                <w:rFonts w:hint="eastAsia" w:ascii="Times New Roman" w:hAnsi="Times New Roman" w:eastAsia="宋体" w:cs="Times New Roman"/>
                <w:color w:val="auto"/>
                <w:sz w:val="21"/>
                <w:szCs w:val="21"/>
                <w:highlight w:val="none"/>
                <w:lang w:val="en-US" w:eastAsia="zh-CN"/>
              </w:rPr>
              <w:t>SO</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：0t/a；NOx：0t/a。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涉及总量控制的废气污染物为非甲烷总烃</w:t>
            </w:r>
            <w:r>
              <w:rPr>
                <w:rFonts w:hint="eastAsia" w:cs="Times New Roman"/>
                <w:color w:val="auto"/>
                <w:sz w:val="21"/>
                <w:szCs w:val="21"/>
                <w:highlight w:val="none"/>
                <w:lang w:val="en-US" w:eastAsia="zh-CN"/>
              </w:rPr>
              <w:t>、颗粒物：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lang w:val="en-US" w:eastAsia="zh-CN"/>
              </w:rPr>
            </w:pPr>
            <w:r>
              <w:rPr>
                <w:rFonts w:hint="eastAsia" w:cs="Times New Roman"/>
                <w:color w:val="auto"/>
                <w:sz w:val="21"/>
                <w:szCs w:val="21"/>
                <w:highlight w:val="none"/>
                <w:lang w:val="en-US" w:eastAsia="zh-CN"/>
              </w:rPr>
              <w:t>非甲烷总烃允许排放量=最大处理风量</w:t>
            </w:r>
            <w:r>
              <w:rPr>
                <w:rFonts w:hint="eastAsia"/>
                <w:color w:val="auto"/>
                <w:sz w:val="21"/>
                <w:szCs w:val="21"/>
                <w:highlight w:val="none"/>
                <w:lang w:val="en-US" w:eastAsia="zh-CN"/>
              </w:rPr>
              <w:t>×允许排放浓度×工作时间=3000m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/h×30mg/m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×1950h/a×10</w:t>
            </w:r>
            <w:r>
              <w:rPr>
                <w:rFonts w:hint="eastAsia"/>
                <w:color w:val="auto"/>
                <w:sz w:val="21"/>
                <w:szCs w:val="21"/>
                <w:highlight w:val="none"/>
                <w:vertAlign w:val="superscript"/>
                <w:lang w:val="en-US" w:eastAsia="zh-CN"/>
              </w:rPr>
              <w:t>-9</w:t>
            </w:r>
            <w:r>
              <w:rPr>
                <w:rFonts w:hint="eastAsia"/>
                <w:color w:val="auto"/>
                <w:sz w:val="21"/>
                <w:szCs w:val="21"/>
                <w:highlight w:val="none"/>
                <w:lang w:val="en-US" w:eastAsia="zh-CN"/>
              </w:rPr>
              <w:t>=0.1755t/a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lang w:val="en-US" w:eastAsia="zh-CN"/>
              </w:rPr>
            </w:pPr>
            <w:r>
              <w:rPr>
                <w:rFonts w:hint="eastAsia" w:cs="Times New Roman"/>
                <w:color w:val="auto"/>
                <w:sz w:val="21"/>
                <w:szCs w:val="21"/>
                <w:highlight w:val="none"/>
                <w:lang w:val="en-US" w:eastAsia="zh-CN"/>
              </w:rPr>
              <w:t>颗粒物允许排放量=最大处理风量</w:t>
            </w:r>
            <w:r>
              <w:rPr>
                <w:rFonts w:hint="eastAsia"/>
                <w:color w:val="auto"/>
                <w:sz w:val="21"/>
                <w:szCs w:val="21"/>
                <w:highlight w:val="none"/>
                <w:lang w:val="en-US" w:eastAsia="zh-CN"/>
              </w:rPr>
              <w:t>×允许排放浓度×工作时间=24000m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/h×18mg/m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×2400h/a×10</w:t>
            </w:r>
            <w:r>
              <w:rPr>
                <w:rFonts w:hint="eastAsia"/>
                <w:color w:val="auto"/>
                <w:sz w:val="21"/>
                <w:szCs w:val="21"/>
                <w:highlight w:val="none"/>
                <w:vertAlign w:val="superscript"/>
                <w:lang w:val="en-US" w:eastAsia="zh-CN"/>
              </w:rPr>
              <w:t>-9</w:t>
            </w:r>
            <w:r>
              <w:rPr>
                <w:rFonts w:hint="eastAsia"/>
                <w:color w:val="auto"/>
                <w:sz w:val="21"/>
                <w:szCs w:val="21"/>
                <w:highlight w:val="none"/>
                <w:lang w:val="en-US" w:eastAsia="zh-CN"/>
              </w:rPr>
              <w:t>=1.037t/a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技改后总量控制</w:t>
            </w:r>
            <w:r>
              <w:rPr>
                <w:rFonts w:hint="eastAsia" w:ascii="Times New Roman" w:hAnsi="Times New Roman" w:eastAsia="宋体" w:cs="Times New Roman"/>
                <w:color w:val="auto"/>
                <w:sz w:val="21"/>
                <w:szCs w:val="21"/>
                <w:highlight w:val="none"/>
                <w:lang w:val="en-US" w:eastAsia="zh-CN"/>
              </w:rPr>
              <w:t>指标为：</w:t>
            </w:r>
            <w:r>
              <w:rPr>
                <w:rFonts w:hint="default" w:ascii="Times New Roman" w:hAnsi="Times New Roman" w:cs="Times New Roman"/>
                <w:color w:val="auto"/>
                <w:sz w:val="21"/>
                <w:szCs w:val="21"/>
                <w:highlight w:val="none"/>
                <w:lang w:val="en-US" w:eastAsia="zh-CN"/>
              </w:rPr>
              <w:t>COD：</w:t>
            </w:r>
            <w:r>
              <w:rPr>
                <w:rFonts w:hint="eastAsia" w:cs="Times New Roman"/>
                <w:color w:val="auto"/>
                <w:sz w:val="21"/>
                <w:szCs w:val="21"/>
                <w:highlight w:val="none"/>
                <w:lang w:val="en-US" w:eastAsia="zh-CN"/>
              </w:rPr>
              <w:t>3.52</w:t>
            </w:r>
            <w:r>
              <w:rPr>
                <w:rFonts w:hint="default" w:ascii="Times New Roman" w:hAnsi="Times New Roman" w:cs="Times New Roman"/>
                <w:color w:val="auto"/>
                <w:sz w:val="21"/>
                <w:szCs w:val="21"/>
                <w:highlight w:val="none"/>
                <w:lang w:val="en-US" w:eastAsia="zh-CN"/>
              </w:rPr>
              <w:t>t/a、</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0.35</w:t>
            </w:r>
            <w:r>
              <w:rPr>
                <w:rFonts w:hint="default" w:ascii="Times New Roman" w:hAnsi="Times New Roman" w:cs="Times New Roman"/>
                <w:color w:val="auto"/>
                <w:sz w:val="21"/>
                <w:szCs w:val="21"/>
                <w:highlight w:val="none"/>
                <w:lang w:val="en-US" w:eastAsia="zh-CN"/>
              </w:rPr>
              <w:t>t/a</w:t>
            </w:r>
            <w:r>
              <w:rPr>
                <w:rFonts w:hint="eastAsia" w:ascii="Times New Roman" w:hAnsi="Times New Roman" w:eastAsia="宋体" w:cs="Times New Roman"/>
                <w:color w:val="auto"/>
                <w:sz w:val="21"/>
                <w:szCs w:val="21"/>
                <w:highlight w:val="none"/>
                <w:lang w:val="en-US" w:eastAsia="zh-CN"/>
              </w:rPr>
              <w:t>；SO</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：0t/a；NOx：0t/a</w:t>
            </w:r>
            <w:r>
              <w:rPr>
                <w:rFonts w:hint="eastAsia" w:cs="Times New Roman"/>
                <w:color w:val="auto"/>
                <w:sz w:val="21"/>
                <w:szCs w:val="21"/>
                <w:highlight w:val="none"/>
                <w:lang w:val="en-US" w:eastAsia="zh-CN"/>
              </w:rPr>
              <w:t>；非甲烷总烃</w:t>
            </w: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.1755</w:t>
            </w:r>
            <w:r>
              <w:rPr>
                <w:rFonts w:hint="eastAsia"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；颗粒物1.037</w:t>
            </w:r>
            <w:r>
              <w:rPr>
                <w:rFonts w:hint="eastAsia"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jc w:val="center"/>
              <w:rPr>
                <w:bCs/>
                <w:color w:val="auto"/>
                <w:szCs w:val="21"/>
                <w:highlight w:val="none"/>
              </w:rPr>
            </w:pPr>
            <w:r>
              <w:rPr>
                <w:bCs/>
                <w:color w:val="auto"/>
                <w:szCs w:val="21"/>
                <w:highlight w:val="none"/>
              </w:rPr>
              <w:t>表</w:t>
            </w:r>
            <w:r>
              <w:rPr>
                <w:rFonts w:hint="eastAsia"/>
                <w:bCs/>
                <w:color w:val="auto"/>
                <w:szCs w:val="21"/>
                <w:highlight w:val="none"/>
                <w:lang w:val="en-US" w:eastAsia="zh-CN"/>
              </w:rPr>
              <w:t>28</w:t>
            </w:r>
            <w:r>
              <w:rPr>
                <w:bCs/>
                <w:color w:val="auto"/>
                <w:szCs w:val="21"/>
                <w:highlight w:val="none"/>
              </w:rPr>
              <w:t xml:space="preserve">   </w:t>
            </w:r>
            <w:r>
              <w:rPr>
                <w:rFonts w:hint="eastAsia"/>
                <w:bCs/>
                <w:color w:val="auto"/>
                <w:szCs w:val="21"/>
                <w:highlight w:val="none"/>
              </w:rPr>
              <w:t>技改</w:t>
            </w:r>
            <w:r>
              <w:rPr>
                <w:bCs/>
                <w:color w:val="auto"/>
                <w:szCs w:val="21"/>
                <w:highlight w:val="none"/>
              </w:rPr>
              <w:t>前后</w:t>
            </w:r>
            <w:r>
              <w:rPr>
                <w:rFonts w:hint="eastAsia"/>
                <w:bCs/>
                <w:color w:val="auto"/>
                <w:szCs w:val="21"/>
                <w:highlight w:val="none"/>
              </w:rPr>
              <w:t>全厂</w:t>
            </w:r>
            <w:r>
              <w:rPr>
                <w:bCs/>
                <w:color w:val="auto"/>
                <w:szCs w:val="21"/>
                <w:highlight w:val="none"/>
              </w:rPr>
              <w:t>主要污染物</w:t>
            </w:r>
            <w:r>
              <w:rPr>
                <w:color w:val="auto"/>
                <w:szCs w:val="21"/>
                <w:highlight w:val="none"/>
              </w:rPr>
              <w:t>总量控制指标</w:t>
            </w:r>
            <w:r>
              <w:rPr>
                <w:bCs/>
                <w:color w:val="auto"/>
                <w:szCs w:val="21"/>
                <w:highlight w:val="none"/>
              </w:rPr>
              <w:t>变化一览表   单位：t/a</w:t>
            </w:r>
          </w:p>
          <w:tbl>
            <w:tblPr>
              <w:tblStyle w:val="35"/>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996"/>
              <w:gridCol w:w="996"/>
              <w:gridCol w:w="1001"/>
              <w:gridCol w:w="1199"/>
              <w:gridCol w:w="1448"/>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污染物</w:t>
                  </w:r>
                </w:p>
              </w:tc>
              <w:tc>
                <w:tcPr>
                  <w:tcW w:w="628"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现有工程</w:t>
                  </w:r>
                  <w:r>
                    <w:rPr>
                      <w:rFonts w:hint="eastAsia"/>
                      <w:color w:val="auto"/>
                      <w:szCs w:val="21"/>
                      <w:highlight w:val="none"/>
                    </w:rPr>
                    <w:t>总量</w:t>
                  </w:r>
                </w:p>
              </w:tc>
              <w:tc>
                <w:tcPr>
                  <w:tcW w:w="628" w:type="pct"/>
                  <w:noWrap w:val="0"/>
                  <w:vAlign w:val="center"/>
                </w:tcPr>
                <w:p>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在建工程新增总量</w:t>
                  </w:r>
                </w:p>
              </w:tc>
              <w:tc>
                <w:tcPr>
                  <w:tcW w:w="631"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技改</w:t>
                  </w:r>
                  <w:r>
                    <w:rPr>
                      <w:color w:val="auto"/>
                      <w:szCs w:val="21"/>
                      <w:highlight w:val="none"/>
                    </w:rPr>
                    <w:t>项目</w:t>
                  </w:r>
                  <w:r>
                    <w:rPr>
                      <w:rFonts w:hint="eastAsia"/>
                      <w:color w:val="auto"/>
                      <w:szCs w:val="21"/>
                      <w:highlight w:val="none"/>
                    </w:rPr>
                    <w:t>总量</w:t>
                  </w:r>
                </w:p>
              </w:tc>
              <w:tc>
                <w:tcPr>
                  <w:tcW w:w="756"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“以新带老”削减量</w:t>
                  </w:r>
                </w:p>
              </w:tc>
              <w:tc>
                <w:tcPr>
                  <w:tcW w:w="913"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技改</w:t>
                  </w:r>
                  <w:r>
                    <w:rPr>
                      <w:color w:val="auto"/>
                      <w:szCs w:val="21"/>
                      <w:highlight w:val="none"/>
                    </w:rPr>
                    <w:t>项目完成后</w:t>
                  </w:r>
                  <w:r>
                    <w:rPr>
                      <w:rFonts w:hint="eastAsia"/>
                      <w:color w:val="auto"/>
                      <w:szCs w:val="21"/>
                      <w:highlight w:val="none"/>
                    </w:rPr>
                    <w:t>全厂总量</w:t>
                  </w:r>
                </w:p>
              </w:tc>
              <w:tc>
                <w:tcPr>
                  <w:tcW w:w="614"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排放</w:t>
                  </w:r>
                </w:p>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增减量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COD</w:t>
                  </w:r>
                </w:p>
              </w:tc>
              <w:tc>
                <w:tcPr>
                  <w:tcW w:w="628"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lang w:val="en-US" w:eastAsia="zh-CN"/>
                    </w:rPr>
                    <w:t>3.52</w:t>
                  </w:r>
                </w:p>
              </w:tc>
              <w:tc>
                <w:tcPr>
                  <w:tcW w:w="628" w:type="pct"/>
                  <w:noWrap w:val="0"/>
                  <w:vAlign w:val="center"/>
                </w:tcPr>
                <w:p>
                  <w:pPr>
                    <w:keepNext w:val="0"/>
                    <w:keepLines w:val="0"/>
                    <w:suppressLineNumbers w:val="0"/>
                    <w:spacing w:before="0" w:beforeAutospacing="0" w:after="0" w:afterAutospacing="0"/>
                    <w:ind w:left="0" w:right="0"/>
                    <w:jc w:val="center"/>
                    <w:rPr>
                      <w:bCs/>
                      <w:color w:val="auto"/>
                      <w:szCs w:val="21"/>
                      <w:highlight w:val="none"/>
                    </w:rPr>
                  </w:pPr>
                  <w:r>
                    <w:rPr>
                      <w:rFonts w:hint="eastAsia"/>
                      <w:bCs/>
                      <w:color w:val="auto"/>
                      <w:szCs w:val="21"/>
                      <w:highlight w:val="none"/>
                    </w:rPr>
                    <w:t>0</w:t>
                  </w:r>
                </w:p>
              </w:tc>
              <w:tc>
                <w:tcPr>
                  <w:tcW w:w="631"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c>
                <w:tcPr>
                  <w:tcW w:w="756"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c>
                <w:tcPr>
                  <w:tcW w:w="9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3.52</w:t>
                  </w:r>
                </w:p>
              </w:tc>
              <w:tc>
                <w:tcPr>
                  <w:tcW w:w="614"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氨氮</w:t>
                  </w:r>
                </w:p>
              </w:tc>
              <w:tc>
                <w:tcPr>
                  <w:tcW w:w="628"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rPr>
                    <w:t>0</w:t>
                  </w:r>
                  <w:r>
                    <w:rPr>
                      <w:rFonts w:hint="eastAsia"/>
                      <w:bCs/>
                      <w:color w:val="auto"/>
                      <w:szCs w:val="21"/>
                      <w:highlight w:val="none"/>
                      <w:lang w:val="en-US" w:eastAsia="zh-CN"/>
                    </w:rPr>
                    <w:t>.35</w:t>
                  </w:r>
                </w:p>
              </w:tc>
              <w:tc>
                <w:tcPr>
                  <w:tcW w:w="628" w:type="pct"/>
                  <w:noWrap w:val="0"/>
                  <w:vAlign w:val="center"/>
                </w:tcPr>
                <w:p>
                  <w:pPr>
                    <w:keepNext w:val="0"/>
                    <w:keepLines w:val="0"/>
                    <w:suppressLineNumbers w:val="0"/>
                    <w:spacing w:before="0" w:beforeAutospacing="0" w:after="0" w:afterAutospacing="0"/>
                    <w:ind w:left="0" w:right="0"/>
                    <w:jc w:val="center"/>
                    <w:rPr>
                      <w:bCs/>
                      <w:color w:val="auto"/>
                      <w:szCs w:val="21"/>
                      <w:highlight w:val="none"/>
                    </w:rPr>
                  </w:pPr>
                  <w:r>
                    <w:rPr>
                      <w:rFonts w:hint="eastAsia"/>
                      <w:bCs/>
                      <w:color w:val="auto"/>
                      <w:szCs w:val="21"/>
                      <w:highlight w:val="none"/>
                    </w:rPr>
                    <w:t>0</w:t>
                  </w:r>
                </w:p>
              </w:tc>
              <w:tc>
                <w:tcPr>
                  <w:tcW w:w="631"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c>
                <w:tcPr>
                  <w:tcW w:w="756"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c>
                <w:tcPr>
                  <w:tcW w:w="9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r>
                    <w:rPr>
                      <w:rFonts w:hint="eastAsia"/>
                      <w:bCs/>
                      <w:color w:val="auto"/>
                      <w:szCs w:val="21"/>
                      <w:highlight w:val="none"/>
                      <w:lang w:val="en-US" w:eastAsia="zh-CN"/>
                    </w:rPr>
                    <w:t>.35</w:t>
                  </w:r>
                </w:p>
              </w:tc>
              <w:tc>
                <w:tcPr>
                  <w:tcW w:w="614"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SO</w:t>
                  </w:r>
                  <w:r>
                    <w:rPr>
                      <w:color w:val="auto"/>
                      <w:szCs w:val="21"/>
                      <w:highlight w:val="none"/>
                      <w:vertAlign w:val="subscript"/>
                    </w:rPr>
                    <w:t>2</w:t>
                  </w:r>
                </w:p>
              </w:tc>
              <w:tc>
                <w:tcPr>
                  <w:tcW w:w="628"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28"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31"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c>
                <w:tcPr>
                  <w:tcW w:w="756"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c>
                <w:tcPr>
                  <w:tcW w:w="913"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14"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NO</w:t>
                  </w:r>
                  <w:r>
                    <w:rPr>
                      <w:color w:val="auto"/>
                      <w:szCs w:val="21"/>
                      <w:highlight w:val="none"/>
                      <w:vertAlign w:val="subscript"/>
                    </w:rPr>
                    <w:t>X</w:t>
                  </w:r>
                </w:p>
              </w:tc>
              <w:tc>
                <w:tcPr>
                  <w:tcW w:w="628"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28"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31"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c>
                <w:tcPr>
                  <w:tcW w:w="756"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c>
                <w:tcPr>
                  <w:tcW w:w="913"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0</w:t>
                  </w:r>
                </w:p>
              </w:tc>
              <w:tc>
                <w:tcPr>
                  <w:tcW w:w="614" w:type="pct"/>
                  <w:noWrap w:val="0"/>
                  <w:vAlign w:val="center"/>
                </w:tcPr>
                <w:p>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非甲烷总烃</w:t>
                  </w:r>
                </w:p>
              </w:tc>
              <w:tc>
                <w:tcPr>
                  <w:tcW w:w="628" w:type="pct"/>
                  <w:noWrap w:val="0"/>
                  <w:vAlign w:val="center"/>
                </w:tcPr>
                <w:p>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0</w:t>
                  </w:r>
                </w:p>
              </w:tc>
              <w:tc>
                <w:tcPr>
                  <w:tcW w:w="628" w:type="pct"/>
                  <w:noWrap w:val="0"/>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p>
              </w:tc>
              <w:tc>
                <w:tcPr>
                  <w:tcW w:w="631"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lang w:val="en-US" w:eastAsia="zh-CN"/>
                    </w:rPr>
                    <w:t>0.1755</w:t>
                  </w:r>
                </w:p>
              </w:tc>
              <w:tc>
                <w:tcPr>
                  <w:tcW w:w="756" w:type="pct"/>
                  <w:noWrap w:val="0"/>
                  <w:vAlign w:val="center"/>
                </w:tcPr>
                <w:p>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0</w:t>
                  </w:r>
                </w:p>
              </w:tc>
              <w:tc>
                <w:tcPr>
                  <w:tcW w:w="913"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lang w:val="en-US" w:eastAsia="zh-CN"/>
                    </w:rPr>
                    <w:t>0.1755</w:t>
                  </w:r>
                </w:p>
              </w:tc>
              <w:tc>
                <w:tcPr>
                  <w:tcW w:w="614"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rPr>
                    <w:t>+</w:t>
                  </w:r>
                  <w:r>
                    <w:rPr>
                      <w:rFonts w:hint="eastAsia"/>
                      <w:bCs/>
                      <w:color w:val="auto"/>
                      <w:szCs w:val="21"/>
                      <w:highlight w:val="none"/>
                      <w:lang w:val="en-US" w:eastAsia="zh-CN"/>
                    </w:rPr>
                    <w:t>0.1755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noWrap w:val="0"/>
                  <w:vAlign w:val="center"/>
                </w:tcPr>
                <w:p>
                  <w:pPr>
                    <w:keepNext w:val="0"/>
                    <w:keepLines w:val="0"/>
                    <w:suppressLineNumbers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颗粒物</w:t>
                  </w:r>
                </w:p>
              </w:tc>
              <w:tc>
                <w:tcPr>
                  <w:tcW w:w="628" w:type="pct"/>
                  <w:noWrap w:val="0"/>
                  <w:vAlign w:val="center"/>
                </w:tcPr>
                <w:p>
                  <w:pPr>
                    <w:keepNext w:val="0"/>
                    <w:keepLines w:val="0"/>
                    <w:suppressLineNumbers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0.4</w:t>
                  </w:r>
                </w:p>
              </w:tc>
              <w:tc>
                <w:tcPr>
                  <w:tcW w:w="628" w:type="pct"/>
                  <w:noWrap w:val="0"/>
                  <w:vAlign w:val="center"/>
                </w:tcPr>
                <w:p>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0</w:t>
                  </w:r>
                </w:p>
              </w:tc>
              <w:tc>
                <w:tcPr>
                  <w:tcW w:w="631" w:type="pct"/>
                  <w:noWrap w:val="0"/>
                  <w:vAlign w:val="center"/>
                </w:tcPr>
                <w:p>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1.037</w:t>
                  </w:r>
                </w:p>
              </w:tc>
              <w:tc>
                <w:tcPr>
                  <w:tcW w:w="756" w:type="pct"/>
                  <w:noWrap w:val="0"/>
                  <w:vAlign w:val="center"/>
                </w:tcPr>
                <w:p>
                  <w:pPr>
                    <w:keepNext w:val="0"/>
                    <w:keepLines w:val="0"/>
                    <w:suppressLineNumbers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0</w:t>
                  </w:r>
                </w:p>
              </w:tc>
              <w:tc>
                <w:tcPr>
                  <w:tcW w:w="913" w:type="pct"/>
                  <w:noWrap w:val="0"/>
                  <w:vAlign w:val="center"/>
                </w:tcPr>
                <w:p>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1.437</w:t>
                  </w:r>
                </w:p>
              </w:tc>
              <w:tc>
                <w:tcPr>
                  <w:tcW w:w="614" w:type="pct"/>
                  <w:noWrap w:val="0"/>
                  <w:vAlign w:val="center"/>
                </w:tcPr>
                <w:p>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lang w:val="en-US" w:eastAsia="zh-CN"/>
                    </w:rPr>
                    <w:t>+1.037</w:t>
                  </w:r>
                </w:p>
              </w:tc>
            </w:tr>
          </w:tbl>
          <w:p>
            <w:pPr>
              <w:keepNext w:val="0"/>
              <w:keepLines w:val="0"/>
              <w:suppressLineNumbers w:val="0"/>
              <w:spacing w:before="0" w:beforeAutospacing="0" w:after="0" w:afterAutospacing="0" w:line="360" w:lineRule="auto"/>
              <w:ind w:left="0" w:right="0"/>
              <w:jc w:val="both"/>
              <w:rPr>
                <w:bCs/>
                <w:color w:val="auto"/>
                <w:szCs w:val="21"/>
                <w:highlight w:val="none"/>
              </w:rPr>
            </w:pPr>
            <w:r>
              <w:rPr>
                <w:rFonts w:hint="eastAsia"/>
                <w:color w:val="auto"/>
                <w:sz w:val="21"/>
                <w:szCs w:val="21"/>
                <w:highlight w:val="none"/>
                <w:lang w:val="en-US" w:eastAsia="zh-CN"/>
              </w:rPr>
              <w:t>注：现有的颗粒物允许排放总量</w:t>
            </w:r>
            <w:r>
              <w:rPr>
                <w:rFonts w:hint="eastAsia" w:cs="Times New Roman"/>
                <w:color w:val="auto"/>
                <w:sz w:val="21"/>
                <w:szCs w:val="21"/>
                <w:highlight w:val="none"/>
                <w:lang w:val="en-US" w:eastAsia="zh-CN"/>
              </w:rPr>
              <w:t>=最大处理风量</w:t>
            </w:r>
            <w:r>
              <w:rPr>
                <w:rFonts w:hint="eastAsia"/>
                <w:color w:val="auto"/>
                <w:sz w:val="21"/>
                <w:szCs w:val="21"/>
                <w:highlight w:val="none"/>
                <w:lang w:val="en-US" w:eastAsia="zh-CN"/>
              </w:rPr>
              <w:t>×允许排放浓度×工作时间=20000m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/h×10mg/m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×2000h×10</w:t>
            </w:r>
            <w:r>
              <w:rPr>
                <w:rFonts w:hint="eastAsia"/>
                <w:color w:val="auto"/>
                <w:sz w:val="21"/>
                <w:szCs w:val="21"/>
                <w:highlight w:val="none"/>
                <w:vertAlign w:val="superscript"/>
                <w:lang w:val="en-US" w:eastAsia="zh-CN"/>
              </w:rPr>
              <w:t>-9</w:t>
            </w:r>
            <w:r>
              <w:rPr>
                <w:rFonts w:hint="eastAsia"/>
                <w:color w:val="auto"/>
                <w:sz w:val="21"/>
                <w:szCs w:val="21"/>
                <w:highlight w:val="none"/>
                <w:lang w:val="en-US" w:eastAsia="zh-CN"/>
              </w:rPr>
              <w:t>=0.4t/a（数据来源补充环评）</w:t>
            </w: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suppressLineNumbers w:val="0"/>
              <w:spacing w:before="0" w:beforeAutospacing="0" w:after="0" w:afterAutospacing="0" w:line="360" w:lineRule="auto"/>
              <w:ind w:left="0" w:right="0"/>
              <w:jc w:val="center"/>
              <w:rPr>
                <w:bCs/>
                <w:color w:val="auto"/>
                <w:szCs w:val="21"/>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rPr>
            </w:pPr>
          </w:p>
        </w:tc>
      </w:tr>
    </w:tbl>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16" w:name="_Toc13996"/>
      <w:bookmarkStart w:id="20" w:name="_GoBack"/>
      <w:bookmarkEnd w:id="20"/>
      <w:r>
        <w:rPr>
          <w:rFonts w:hint="default" w:ascii="Times New Roman" w:hAnsi="Times New Roman" w:eastAsia="黑体" w:cs="Times New Roman"/>
          <w:snapToGrid w:val="0"/>
          <w:color w:val="auto"/>
          <w:sz w:val="30"/>
          <w:szCs w:val="30"/>
        </w:rPr>
        <w:t>四、主要环境影响和保护措施</w:t>
      </w:r>
      <w:bookmarkEnd w:id="16"/>
    </w:p>
    <w:tbl>
      <w:tblPr>
        <w:tblStyle w:val="35"/>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15" w:hRule="atLeast"/>
          <w:jc w:val="center"/>
        </w:trPr>
        <w:tc>
          <w:tcPr>
            <w:tcW w:w="746" w:type="dxa"/>
            <w:noWrap w:val="0"/>
            <w:tcMar>
              <w:left w:w="28" w:type="dxa"/>
              <w:right w:w="28" w:type="dxa"/>
            </w:tcMar>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施工</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期环</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境保</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护措</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rPr>
              <w:t>施</w:t>
            </w:r>
          </w:p>
        </w:tc>
        <w:tc>
          <w:tcPr>
            <w:tcW w:w="8162" w:type="dxa"/>
            <w:noWrap w:val="0"/>
            <w:vAlign w:val="top"/>
          </w:tcPr>
          <w:p>
            <w:pPr>
              <w:keepNext w:val="0"/>
              <w:keepLines w:val="0"/>
              <w:pageBreakBefore w:val="0"/>
              <w:suppressLineNumbers w:val="0"/>
              <w:kinsoku/>
              <w:wordWrap/>
              <w:overflowPunct/>
              <w:topLinePunct w:val="0"/>
              <w:bidi w:val="0"/>
              <w:snapToGrid/>
              <w:spacing w:before="0" w:beforeAutospacing="0" w:after="0" w:afterAutospacing="0" w:line="480" w:lineRule="exact"/>
              <w:ind w:left="0" w:right="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w:t>
            </w:r>
            <w:r>
              <w:rPr>
                <w:rFonts w:hint="eastAsia" w:cs="Times New Roman"/>
                <w:color w:val="auto"/>
                <w:sz w:val="21"/>
                <w:szCs w:val="21"/>
                <w:lang w:val="en-US" w:eastAsia="zh-CN"/>
              </w:rPr>
              <w:t>为技改项目，</w:t>
            </w:r>
            <w:r>
              <w:rPr>
                <w:rFonts w:hint="default" w:ascii="Times New Roman" w:hAnsi="Times New Roman" w:eastAsia="宋体" w:cs="Times New Roman"/>
                <w:color w:val="auto"/>
                <w:sz w:val="21"/>
                <w:szCs w:val="21"/>
              </w:rPr>
              <w:t>利用厂区内现有生产车间</w:t>
            </w:r>
            <w:r>
              <w:rPr>
                <w:rFonts w:hint="default" w:ascii="Times New Roman" w:hAnsi="Times New Roman" w:eastAsia="宋体" w:cs="Times New Roman"/>
                <w:color w:val="auto"/>
                <w:sz w:val="21"/>
                <w:szCs w:val="21"/>
                <w:lang w:eastAsia="zh-CN"/>
              </w:rPr>
              <w:t>，</w:t>
            </w:r>
            <w:r>
              <w:rPr>
                <w:rFonts w:hint="eastAsia" w:cs="Times New Roman"/>
                <w:color w:val="auto"/>
                <w:sz w:val="21"/>
                <w:szCs w:val="21"/>
                <w:lang w:val="en-US" w:eastAsia="zh-CN"/>
              </w:rPr>
              <w:t>涉及的建筑主要为喷粉房、危废间等，</w:t>
            </w:r>
            <w:r>
              <w:rPr>
                <w:rFonts w:hint="default" w:ascii="Times New Roman" w:hAnsi="Times New Roman" w:eastAsia="宋体" w:cs="Times New Roman"/>
                <w:color w:val="auto"/>
                <w:sz w:val="21"/>
                <w:szCs w:val="21"/>
              </w:rPr>
              <w:t>项目无</w:t>
            </w:r>
            <w:r>
              <w:rPr>
                <w:rFonts w:hint="eastAsia" w:cs="Times New Roman"/>
                <w:color w:val="auto"/>
                <w:sz w:val="21"/>
                <w:szCs w:val="21"/>
                <w:lang w:val="en-US" w:eastAsia="zh-CN"/>
              </w:rPr>
              <w:t>大型</w:t>
            </w:r>
            <w:r>
              <w:rPr>
                <w:rFonts w:hint="default" w:ascii="Times New Roman" w:hAnsi="Times New Roman" w:eastAsia="宋体" w:cs="Times New Roman"/>
                <w:color w:val="auto"/>
                <w:sz w:val="21"/>
                <w:szCs w:val="21"/>
              </w:rPr>
              <w:t>土建施工过程，施工期仅涉及生产设备、设施的安装过程。</w:t>
            </w:r>
          </w:p>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施工期环境影响主要为生产设备、设施安装过程产生的噪声以及废零部件等固体废物。设备安装过程均在厂房内进行，经过封闭车间</w:t>
            </w:r>
            <w:r>
              <w:rPr>
                <w:rFonts w:hint="eastAsia" w:cs="Times New Roman"/>
                <w:color w:val="auto"/>
                <w:sz w:val="21"/>
                <w:szCs w:val="21"/>
                <w:lang w:val="en-US" w:eastAsia="zh-CN"/>
              </w:rPr>
              <w:t>墙体</w:t>
            </w:r>
            <w:r>
              <w:rPr>
                <w:rFonts w:hint="default" w:ascii="Times New Roman" w:hAnsi="Times New Roman" w:eastAsia="宋体" w:cs="Times New Roman"/>
                <w:color w:val="auto"/>
                <w:sz w:val="21"/>
                <w:szCs w:val="21"/>
              </w:rPr>
              <w:t>隔声后，噪声对项目所在区域声环境影响较小</w:t>
            </w:r>
            <w:r>
              <w:rPr>
                <w:rFonts w:hint="eastAsia" w:cs="Times New Roman"/>
                <w:color w:val="auto"/>
                <w:sz w:val="21"/>
                <w:szCs w:val="21"/>
                <w:lang w:eastAsia="zh-CN"/>
              </w:rPr>
              <w:t>。建设单位应对各种机械设备加强检查、维护和保养，保持润滑、紧固各部件，以减少机械震动噪声。整体设备应安放稳固，并与地面保持良好接触，尽量使用减震机座，降低噪声。合理安排施工进度，避免夜间施工，对施工设备进行合理布局。采取以上措施后，</w:t>
            </w:r>
            <w:r>
              <w:rPr>
                <w:rFonts w:hint="default" w:ascii="Times New Roman" w:hAnsi="Times New Roman" w:eastAsia="宋体" w:cs="Times New Roman"/>
                <w:color w:val="auto"/>
                <w:sz w:val="21"/>
                <w:szCs w:val="21"/>
              </w:rPr>
              <w:t>施工噪声</w:t>
            </w:r>
            <w:r>
              <w:rPr>
                <w:rFonts w:hint="eastAsia" w:cs="Times New Roman"/>
                <w:color w:val="auto"/>
                <w:sz w:val="21"/>
                <w:szCs w:val="21"/>
                <w:lang w:val="en-US" w:eastAsia="zh-CN"/>
              </w:rPr>
              <w:t>能够满足</w:t>
            </w:r>
            <w:r>
              <w:rPr>
                <w:rFonts w:hint="default" w:ascii="Times New Roman" w:hAnsi="Times New Roman" w:eastAsia="宋体" w:cs="Times New Roman"/>
                <w:color w:val="auto"/>
                <w:sz w:val="21"/>
                <w:szCs w:val="21"/>
              </w:rPr>
              <w:t>《建筑施工场界环境噪声排放标准》（GB12523-2011）</w:t>
            </w:r>
            <w:r>
              <w:rPr>
                <w:rFonts w:hint="eastAsia" w:cs="Times New Roman"/>
                <w:color w:val="auto"/>
                <w:sz w:val="21"/>
                <w:szCs w:val="21"/>
                <w:lang w:val="en-US" w:eastAsia="zh-CN"/>
              </w:rPr>
              <w:t>标准</w:t>
            </w:r>
            <w:r>
              <w:rPr>
                <w:rFonts w:hint="eastAsia" w:cs="Times New Roman"/>
                <w:color w:val="auto"/>
                <w:sz w:val="21"/>
                <w:szCs w:val="21"/>
                <w:lang w:eastAsia="zh-CN"/>
              </w:rPr>
              <w:t>。</w:t>
            </w:r>
          </w:p>
          <w:p>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施工人员生活垃圾定时清运至环卫部门指定地点统一处理。</w:t>
            </w: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rPr>
            </w:pPr>
          </w:p>
          <w:p>
            <w:pPr>
              <w:pStyle w:val="43"/>
              <w:keepNext w:val="0"/>
              <w:keepLines w:val="0"/>
              <w:suppressLineNumbers w:val="0"/>
              <w:spacing w:before="0" w:beforeAutospacing="0" w:after="0" w:afterAutospacing="0"/>
              <w:ind w:left="0" w:right="0"/>
              <w:rPr>
                <w:rFonts w:hint="default"/>
                <w:sz w:val="21"/>
                <w:szCs w:val="21"/>
              </w:rPr>
            </w:pPr>
          </w:p>
          <w:p>
            <w:pPr>
              <w:pStyle w:val="43"/>
              <w:keepNext w:val="0"/>
              <w:keepLines w:val="0"/>
              <w:suppressLineNumbers w:val="0"/>
              <w:spacing w:before="0" w:beforeAutospacing="0" w:after="0" w:afterAutospacing="0"/>
              <w:ind w:left="0" w:right="0"/>
              <w:rPr>
                <w:rFonts w:hint="default"/>
                <w:sz w:val="21"/>
                <w:szCs w:val="21"/>
              </w:rPr>
            </w:pPr>
          </w:p>
          <w:p>
            <w:pPr>
              <w:pStyle w:val="43"/>
              <w:keepNext w:val="0"/>
              <w:keepLines w:val="0"/>
              <w:suppressLineNumbers w:val="0"/>
              <w:spacing w:before="0" w:beforeAutospacing="0" w:after="0" w:afterAutospacing="0"/>
              <w:ind w:left="0" w:right="0"/>
              <w:rPr>
                <w:rFonts w:hint="default"/>
                <w:sz w:val="21"/>
                <w:szCs w:val="21"/>
              </w:rPr>
            </w:pPr>
          </w:p>
          <w:p>
            <w:pPr>
              <w:pStyle w:val="17"/>
              <w:keepNext w:val="0"/>
              <w:keepLines w:val="0"/>
              <w:pageBreakBefore w:val="0"/>
              <w:suppressLineNumbers w:val="0"/>
              <w:kinsoku/>
              <w:wordWrap/>
              <w:overflowPunct/>
              <w:topLinePunct w:val="0"/>
              <w:bidi w:val="0"/>
              <w:snapToGrid/>
              <w:spacing w:before="0" w:beforeAutospacing="0" w:after="0" w:afterAutospacing="0" w:line="480" w:lineRule="exact"/>
              <w:ind w:left="0" w:right="0" w:firstLine="380" w:firstLineChars="200"/>
              <w:jc w:val="left"/>
              <w:textAlignment w:val="auto"/>
              <w:rPr>
                <w:rFonts w:hint="default" w:ascii="Times New Roman" w:hAnsi="Times New Roman" w:eastAsia="宋体" w:cs="Times New Roman"/>
                <w:bCs/>
                <w:color w:val="auto"/>
                <w:spacing w:val="-10"/>
                <w:sz w:val="21"/>
                <w:szCs w:val="21"/>
              </w:rPr>
            </w:pPr>
          </w:p>
        </w:tc>
      </w:tr>
    </w:tbl>
    <w:p>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2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2" w:hRule="atLeast"/>
          <w:jc w:val="center"/>
        </w:trPr>
        <w:tc>
          <w:tcPr>
            <w:tcW w:w="737" w:type="dxa"/>
            <w:noWrap w:val="0"/>
            <w:tcMar>
              <w:left w:w="28" w:type="dxa"/>
              <w:right w:w="28" w:type="dxa"/>
            </w:tcMar>
            <w:vAlign w:val="center"/>
          </w:tcPr>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运营</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期环</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境影</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响和</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保护</w:t>
            </w:r>
          </w:p>
          <w:p>
            <w:pPr>
              <w:pStyle w:val="31"/>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rPr>
              <w:t>措施</w:t>
            </w:r>
          </w:p>
        </w:tc>
        <w:tc>
          <w:tcPr>
            <w:tcW w:w="824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jc w:val="both"/>
              <w:textAlignment w:val="auto"/>
              <w:outlineLvl w:val="3"/>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1、大气环境影响及保护措施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（1）废气产生情况</w:t>
            </w:r>
          </w:p>
          <w:p>
            <w:pPr>
              <w:pStyle w:val="11"/>
              <w:keepNext w:val="0"/>
              <w:keepLines w:val="0"/>
              <w:suppressLineNumbers w:val="0"/>
              <w:spacing w:before="0" w:beforeAutospacing="0" w:after="0" w:afterAutospacing="0" w:line="360" w:lineRule="auto"/>
              <w:ind w:left="0" w:right="0" w:firstLine="0"/>
              <w:jc w:val="center"/>
              <w:rPr>
                <w:color w:val="auto"/>
              </w:rPr>
            </w:pPr>
            <w:r>
              <w:rPr>
                <w:rFonts w:hint="eastAsia"/>
                <w:color w:val="auto"/>
              </w:rPr>
              <w:t>表</w:t>
            </w:r>
            <w:r>
              <w:rPr>
                <w:rFonts w:hint="eastAsia"/>
                <w:color w:val="auto"/>
                <w:lang w:val="en-US" w:eastAsia="zh-CN"/>
              </w:rPr>
              <w:t>29</w:t>
            </w:r>
            <w:r>
              <w:rPr>
                <w:rFonts w:hint="eastAsia"/>
                <w:color w:val="auto"/>
              </w:rPr>
              <w:t xml:space="preserve">  项目产污情况一览表</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590"/>
              <w:gridCol w:w="1485"/>
              <w:gridCol w:w="1860"/>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64"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color w:val="auto"/>
                    </w:rPr>
                    <w:t>产污环节</w:t>
                  </w:r>
                </w:p>
              </w:tc>
              <w:tc>
                <w:tcPr>
                  <w:tcW w:w="992"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color w:val="auto"/>
                    </w:rPr>
                    <w:t>污染物种类</w:t>
                  </w:r>
                </w:p>
              </w:tc>
              <w:tc>
                <w:tcPr>
                  <w:tcW w:w="92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color w:val="auto"/>
                    </w:rPr>
                    <w:t>产生量（t/a）</w:t>
                  </w:r>
                </w:p>
              </w:tc>
              <w:tc>
                <w:tcPr>
                  <w:tcW w:w="1160"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color w:val="auto"/>
                    </w:rPr>
                    <w:t>产生浓度</w:t>
                  </w:r>
                  <w:r>
                    <w:rPr>
                      <w:rFonts w:hint="eastAsia"/>
                      <w:color w:val="auto"/>
                    </w:rPr>
                    <w:t>（mg/m</w:t>
                  </w:r>
                  <w:r>
                    <w:rPr>
                      <w:rFonts w:hint="eastAsia"/>
                      <w:color w:val="auto"/>
                      <w:vertAlign w:val="superscript"/>
                    </w:rPr>
                    <w:t>3</w:t>
                  </w:r>
                  <w:r>
                    <w:rPr>
                      <w:rFonts w:hint="eastAsia"/>
                      <w:color w:val="auto"/>
                    </w:rPr>
                    <w:t>）</w:t>
                  </w:r>
                </w:p>
              </w:tc>
              <w:tc>
                <w:tcPr>
                  <w:tcW w:w="95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color w:val="auto"/>
                    </w:rPr>
                    <w:t>排放方式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4" w:type="pct"/>
                  <w:vMerge w:val="restar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bCs/>
                      <w:color w:val="auto"/>
                      <w:szCs w:val="21"/>
                    </w:rPr>
                  </w:pPr>
                  <w:r>
                    <w:rPr>
                      <w:rFonts w:hint="eastAsia"/>
                      <w:color w:val="auto"/>
                      <w:szCs w:val="21"/>
                    </w:rPr>
                    <w:t>静电喷粉</w:t>
                  </w:r>
                  <w:r>
                    <w:rPr>
                      <w:rFonts w:hint="eastAsia"/>
                      <w:bCs/>
                      <w:color w:val="auto"/>
                      <w:szCs w:val="21"/>
                    </w:rPr>
                    <w:t>工序</w:t>
                  </w:r>
                </w:p>
              </w:tc>
              <w:tc>
                <w:tcPr>
                  <w:tcW w:w="992" w:type="pct"/>
                  <w:vMerge w:val="restar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rFonts w:hint="eastAsia"/>
                      <w:color w:val="auto"/>
                    </w:rPr>
                    <w:t>颗粒物</w:t>
                  </w:r>
                </w:p>
              </w:tc>
              <w:tc>
                <w:tcPr>
                  <w:tcW w:w="92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28.5</w:t>
                  </w:r>
                </w:p>
              </w:tc>
              <w:tc>
                <w:tcPr>
                  <w:tcW w:w="1160"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szCs w:val="21"/>
                      <w:highlight w:val="none"/>
                    </w:rPr>
                  </w:pPr>
                  <w:r>
                    <w:rPr>
                      <w:rFonts w:hint="eastAsia"/>
                      <w:color w:val="auto"/>
                      <w:szCs w:val="21"/>
                      <w:highlight w:val="none"/>
                    </w:rPr>
                    <w:t>494.792</w:t>
                  </w:r>
                </w:p>
              </w:tc>
              <w:tc>
                <w:tcPr>
                  <w:tcW w:w="95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rFonts w:hint="eastAsia"/>
                      <w:color w:val="auto"/>
                    </w:rPr>
                    <w:t>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4" w:type="pct"/>
                  <w:vMerge w:val="continue"/>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szCs w:val="21"/>
                    </w:rPr>
                  </w:pPr>
                </w:p>
              </w:tc>
              <w:tc>
                <w:tcPr>
                  <w:tcW w:w="992" w:type="pct"/>
                  <w:vMerge w:val="continue"/>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rPr>
                  </w:pPr>
                </w:p>
              </w:tc>
              <w:tc>
                <w:tcPr>
                  <w:tcW w:w="92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1.5</w:t>
                  </w:r>
                </w:p>
              </w:tc>
              <w:tc>
                <w:tcPr>
                  <w:tcW w:w="1160"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szCs w:val="21"/>
                      <w:highlight w:val="none"/>
                    </w:rPr>
                  </w:pPr>
                  <w:r>
                    <w:rPr>
                      <w:rFonts w:hint="eastAsia"/>
                      <w:color w:val="auto"/>
                      <w:szCs w:val="21"/>
                      <w:highlight w:val="none"/>
                    </w:rPr>
                    <w:t>--</w:t>
                  </w:r>
                </w:p>
              </w:tc>
              <w:tc>
                <w:tcPr>
                  <w:tcW w:w="95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rPr>
                  </w:pPr>
                  <w:r>
                    <w:rPr>
                      <w:rFonts w:hint="eastAsia"/>
                      <w:color w:val="auto"/>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4" w:type="pct"/>
                  <w:vMerge w:val="restar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rPr>
                  </w:pPr>
                  <w:r>
                    <w:rPr>
                      <w:rFonts w:hint="eastAsia"/>
                      <w:color w:val="auto"/>
                      <w:szCs w:val="21"/>
                    </w:rPr>
                    <w:t>固化</w:t>
                  </w:r>
                  <w:r>
                    <w:rPr>
                      <w:rFonts w:hint="eastAsia"/>
                      <w:color w:val="auto"/>
                    </w:rPr>
                    <w:t>工序</w:t>
                  </w:r>
                </w:p>
              </w:tc>
              <w:tc>
                <w:tcPr>
                  <w:tcW w:w="992"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rFonts w:hint="eastAsia"/>
                      <w:color w:val="auto"/>
                    </w:rPr>
                    <w:t>非甲烷总烃</w:t>
                  </w:r>
                </w:p>
              </w:tc>
              <w:tc>
                <w:tcPr>
                  <w:tcW w:w="92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108</w:t>
                  </w:r>
                </w:p>
              </w:tc>
              <w:tc>
                <w:tcPr>
                  <w:tcW w:w="1160"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18.5</w:t>
                  </w:r>
                </w:p>
              </w:tc>
              <w:tc>
                <w:tcPr>
                  <w:tcW w:w="95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rFonts w:hint="eastAsia"/>
                      <w:color w:val="auto"/>
                    </w:rPr>
                    <w:t>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4" w:type="pct"/>
                  <w:vMerge w:val="continue"/>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rPr>
                  </w:pPr>
                </w:p>
              </w:tc>
              <w:tc>
                <w:tcPr>
                  <w:tcW w:w="992" w:type="pct"/>
                  <w:noWrap/>
                  <w:vAlign w:val="center"/>
                </w:tcPr>
                <w:p>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rPr>
                      <w:rFonts w:hint="eastAsia"/>
                      <w:color w:val="auto"/>
                      <w:szCs w:val="21"/>
                    </w:rPr>
                  </w:pPr>
                  <w:r>
                    <w:rPr>
                      <w:rFonts w:hint="eastAsia"/>
                      <w:color w:val="auto"/>
                    </w:rPr>
                    <w:t>非甲烷总烃</w:t>
                  </w:r>
                </w:p>
              </w:tc>
              <w:tc>
                <w:tcPr>
                  <w:tcW w:w="92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012</w:t>
                  </w:r>
                </w:p>
              </w:tc>
              <w:tc>
                <w:tcPr>
                  <w:tcW w:w="1160"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rFonts w:hint="eastAsia"/>
                      <w:color w:val="auto"/>
                      <w:szCs w:val="21"/>
                      <w:highlight w:val="none"/>
                    </w:rPr>
                  </w:pPr>
                  <w:r>
                    <w:rPr>
                      <w:rFonts w:hint="eastAsia"/>
                      <w:color w:val="auto"/>
                      <w:szCs w:val="21"/>
                      <w:highlight w:val="none"/>
                    </w:rPr>
                    <w:t>--</w:t>
                  </w:r>
                </w:p>
              </w:tc>
              <w:tc>
                <w:tcPr>
                  <w:tcW w:w="956" w:type="pct"/>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firstLineChars="0"/>
                    <w:jc w:val="center"/>
                    <w:textAlignment w:val="center"/>
                    <w:rPr>
                      <w:color w:val="auto"/>
                    </w:rPr>
                  </w:pPr>
                  <w:r>
                    <w:rPr>
                      <w:rFonts w:hint="eastAsia"/>
                      <w:color w:val="auto"/>
                    </w:rPr>
                    <w:t>无组织排放</w:t>
                  </w:r>
                </w:p>
              </w:tc>
            </w:tr>
          </w:tbl>
          <w:p>
            <w:pPr>
              <w:pStyle w:val="11"/>
              <w:keepNext w:val="0"/>
              <w:keepLines w:val="0"/>
              <w:suppressLineNumbers w:val="0"/>
              <w:spacing w:before="0" w:beforeAutospacing="0" w:after="0" w:afterAutospacing="0" w:line="360" w:lineRule="auto"/>
              <w:ind w:left="0" w:right="0" w:firstLineChars="200"/>
              <w:rPr>
                <w:rFonts w:hint="eastAsia"/>
                <w:color w:val="auto"/>
                <w:szCs w:val="21"/>
              </w:rPr>
            </w:pPr>
            <w:r>
              <w:rPr>
                <w:rFonts w:hint="eastAsia"/>
                <w:color w:val="auto"/>
                <w:szCs w:val="21"/>
              </w:rPr>
              <w:t>（2）废气治理措施情况</w:t>
            </w:r>
          </w:p>
          <w:p>
            <w:pPr>
              <w:keepNext w:val="0"/>
              <w:keepLines w:val="0"/>
              <w:suppressLineNumbers w:val="0"/>
              <w:spacing w:before="0" w:beforeAutospacing="0" w:after="0" w:afterAutospacing="0" w:line="360" w:lineRule="auto"/>
              <w:ind w:left="0" w:right="0"/>
              <w:jc w:val="center"/>
              <w:rPr>
                <w:color w:val="auto"/>
                <w:szCs w:val="21"/>
              </w:rPr>
            </w:pPr>
            <w:r>
              <w:rPr>
                <w:rFonts w:hint="eastAsia"/>
                <w:color w:val="auto"/>
                <w:szCs w:val="21"/>
              </w:rPr>
              <w:t>表</w:t>
            </w:r>
            <w:r>
              <w:rPr>
                <w:rFonts w:hint="eastAsia"/>
                <w:color w:val="auto"/>
                <w:szCs w:val="21"/>
                <w:lang w:val="en-US" w:eastAsia="zh-CN"/>
              </w:rPr>
              <w:t>30</w:t>
            </w:r>
            <w:r>
              <w:rPr>
                <w:rFonts w:hint="eastAsia"/>
                <w:color w:val="auto"/>
                <w:szCs w:val="21"/>
              </w:rPr>
              <w:t xml:space="preserve">  废气治理措施一览表</w:t>
            </w:r>
          </w:p>
          <w:tbl>
            <w:tblPr>
              <w:tblStyle w:val="35"/>
              <w:tblW w:w="8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259"/>
              <w:gridCol w:w="1848"/>
              <w:gridCol w:w="786"/>
              <w:gridCol w:w="707"/>
              <w:gridCol w:w="668"/>
              <w:gridCol w:w="704"/>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3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产污环节</w:t>
                  </w:r>
                </w:p>
              </w:tc>
              <w:tc>
                <w:tcPr>
                  <w:tcW w:w="1286"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污染物</w:t>
                  </w:r>
                </w:p>
              </w:tc>
              <w:tc>
                <w:tcPr>
                  <w:tcW w:w="189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处理设施</w:t>
                  </w:r>
                </w:p>
              </w:tc>
              <w:tc>
                <w:tcPr>
                  <w:tcW w:w="80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处理能力</w:t>
                  </w:r>
                  <w:r>
                    <w:rPr>
                      <w:color w:val="auto"/>
                      <w:szCs w:val="21"/>
                    </w:rPr>
                    <w:t>m</w:t>
                  </w:r>
                  <w:r>
                    <w:rPr>
                      <w:color w:val="auto"/>
                      <w:szCs w:val="21"/>
                      <w:vertAlign w:val="superscript"/>
                    </w:rPr>
                    <w:t>3</w:t>
                  </w:r>
                  <w:r>
                    <w:rPr>
                      <w:color w:val="auto"/>
                      <w:szCs w:val="21"/>
                    </w:rPr>
                    <w:t>/h</w:t>
                  </w:r>
                </w:p>
              </w:tc>
              <w:tc>
                <w:tcPr>
                  <w:tcW w:w="72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收集效率%</w:t>
                  </w:r>
                </w:p>
              </w:tc>
              <w:tc>
                <w:tcPr>
                  <w:tcW w:w="68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去除效率%</w:t>
                  </w:r>
                </w:p>
              </w:tc>
              <w:tc>
                <w:tcPr>
                  <w:tcW w:w="716"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是否可行</w:t>
                  </w:r>
                </w:p>
              </w:tc>
              <w:tc>
                <w:tcPr>
                  <w:tcW w:w="856"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对应排污口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3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highlight w:val="none"/>
                    </w:rPr>
                  </w:pPr>
                  <w:r>
                    <w:rPr>
                      <w:rFonts w:hint="eastAsia"/>
                      <w:color w:val="auto"/>
                      <w:szCs w:val="21"/>
                      <w:highlight w:val="none"/>
                    </w:rPr>
                    <w:t>静电喷粉</w:t>
                  </w:r>
                  <w:r>
                    <w:rPr>
                      <w:rFonts w:hint="eastAsia"/>
                      <w:bCs/>
                      <w:color w:val="auto"/>
                      <w:szCs w:val="21"/>
                      <w:highlight w:val="none"/>
                    </w:rPr>
                    <w:t>工序</w:t>
                  </w:r>
                </w:p>
              </w:tc>
              <w:tc>
                <w:tcPr>
                  <w:tcW w:w="1286"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颗粒物</w:t>
                  </w:r>
                </w:p>
              </w:tc>
              <w:tc>
                <w:tcPr>
                  <w:tcW w:w="189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highlight w:val="none"/>
                    </w:rPr>
                  </w:pPr>
                  <w:r>
                    <w:rPr>
                      <w:rFonts w:hint="eastAsia"/>
                      <w:color w:val="auto"/>
                      <w:szCs w:val="21"/>
                      <w:highlight w:val="none"/>
                      <w:lang w:eastAsia="zh-CN"/>
                    </w:rPr>
                    <w:t>滤筒除尘器+布袋除尘器</w:t>
                  </w:r>
                  <w:r>
                    <w:rPr>
                      <w:rFonts w:hint="eastAsia"/>
                      <w:color w:val="auto"/>
                      <w:szCs w:val="21"/>
                      <w:highlight w:val="none"/>
                    </w:rPr>
                    <w:t>+</w:t>
                  </w:r>
                  <w:r>
                    <w:rPr>
                      <w:rFonts w:hint="eastAsia"/>
                      <w:color w:val="auto"/>
                      <w:szCs w:val="21"/>
                      <w:highlight w:val="none"/>
                      <w:lang w:val="en-US" w:eastAsia="zh-CN"/>
                    </w:rPr>
                    <w:t>30</w:t>
                  </w:r>
                  <w:r>
                    <w:rPr>
                      <w:rFonts w:hint="eastAsia"/>
                      <w:color w:val="auto"/>
                      <w:szCs w:val="21"/>
                      <w:highlight w:val="none"/>
                    </w:rPr>
                    <w:t>m高排气筒</w:t>
                  </w:r>
                </w:p>
              </w:tc>
              <w:tc>
                <w:tcPr>
                  <w:tcW w:w="80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24</w:t>
                  </w:r>
                  <w:r>
                    <w:rPr>
                      <w:rFonts w:hint="eastAsia"/>
                      <w:color w:val="auto"/>
                      <w:szCs w:val="21"/>
                      <w:highlight w:val="none"/>
                    </w:rPr>
                    <w:t>000</w:t>
                  </w:r>
                </w:p>
              </w:tc>
              <w:tc>
                <w:tcPr>
                  <w:tcW w:w="72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95</w:t>
                  </w:r>
                </w:p>
              </w:tc>
              <w:tc>
                <w:tcPr>
                  <w:tcW w:w="68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szCs w:val="21"/>
                      <w:highlight w:val="none"/>
                      <w:lang w:eastAsia="zh-CN"/>
                    </w:rPr>
                  </w:pPr>
                  <w:r>
                    <w:rPr>
                      <w:rFonts w:hint="eastAsia"/>
                      <w:color w:val="auto"/>
                      <w:szCs w:val="21"/>
                      <w:highlight w:val="none"/>
                    </w:rPr>
                    <w:t>9</w:t>
                  </w:r>
                  <w:r>
                    <w:rPr>
                      <w:rFonts w:hint="eastAsia"/>
                      <w:color w:val="auto"/>
                      <w:szCs w:val="21"/>
                      <w:highlight w:val="none"/>
                      <w:lang w:val="en-US" w:eastAsia="zh-CN"/>
                    </w:rPr>
                    <w:t>7</w:t>
                  </w:r>
                </w:p>
              </w:tc>
              <w:tc>
                <w:tcPr>
                  <w:tcW w:w="716"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是</w:t>
                  </w:r>
                </w:p>
              </w:tc>
              <w:tc>
                <w:tcPr>
                  <w:tcW w:w="856" w:type="dxa"/>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color w:val="auto"/>
                      <w:szCs w:val="21"/>
                      <w:highlight w:val="none"/>
                    </w:rPr>
                    <w:t>DA0</w:t>
                  </w:r>
                  <w:r>
                    <w:rPr>
                      <w:rFonts w:hint="eastAsia"/>
                      <w:color w:val="auto"/>
                      <w:szCs w:val="21"/>
                      <w:highlight w:val="no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30" w:type="dxa"/>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szCs w:val="21"/>
                    </w:rPr>
                    <w:t>固化</w:t>
                  </w:r>
                  <w:r>
                    <w:rPr>
                      <w:rFonts w:hint="eastAsia"/>
                      <w:color w:val="auto"/>
                    </w:rPr>
                    <w:t>工序</w:t>
                  </w:r>
                </w:p>
              </w:tc>
              <w:tc>
                <w:tcPr>
                  <w:tcW w:w="1286"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非甲烷总烃</w:t>
                  </w:r>
                </w:p>
              </w:tc>
              <w:tc>
                <w:tcPr>
                  <w:tcW w:w="189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s="Times New Roman"/>
                      <w:color w:val="auto"/>
                      <w:kern w:val="2"/>
                      <w:sz w:val="21"/>
                      <w:szCs w:val="21"/>
                      <w:highlight w:val="none"/>
                      <w:lang w:val="en-US" w:eastAsia="zh-CN" w:bidi="ar-SA"/>
                    </w:rPr>
                    <w:t>喷淋塔+干式过滤箱+活性炭吸附/脱附+催化燃烧装置</w:t>
                  </w:r>
                  <w:r>
                    <w:rPr>
                      <w:color w:val="auto"/>
                      <w:szCs w:val="21"/>
                    </w:rPr>
                    <w:t>+</w:t>
                  </w:r>
                  <w:r>
                    <w:rPr>
                      <w:rFonts w:hint="eastAsia"/>
                      <w:color w:val="auto"/>
                      <w:szCs w:val="21"/>
                      <w:lang w:val="en-US" w:eastAsia="zh-CN"/>
                    </w:rPr>
                    <w:t>30</w:t>
                  </w:r>
                  <w:r>
                    <w:rPr>
                      <w:color w:val="auto"/>
                      <w:szCs w:val="21"/>
                    </w:rPr>
                    <w:t>m高排气筒</w:t>
                  </w:r>
                </w:p>
              </w:tc>
              <w:tc>
                <w:tcPr>
                  <w:tcW w:w="80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lang w:val="en-US" w:eastAsia="zh-CN"/>
                    </w:rPr>
                    <w:t>3</w:t>
                  </w:r>
                  <w:r>
                    <w:rPr>
                      <w:rFonts w:hint="eastAsia"/>
                      <w:color w:val="auto"/>
                      <w:szCs w:val="21"/>
                    </w:rPr>
                    <w:t>000</w:t>
                  </w:r>
                </w:p>
              </w:tc>
              <w:tc>
                <w:tcPr>
                  <w:tcW w:w="72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90</w:t>
                  </w:r>
                </w:p>
              </w:tc>
              <w:tc>
                <w:tcPr>
                  <w:tcW w:w="680"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90</w:t>
                  </w:r>
                </w:p>
              </w:tc>
              <w:tc>
                <w:tcPr>
                  <w:tcW w:w="716" w:type="dxa"/>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是</w:t>
                  </w:r>
                </w:p>
              </w:tc>
              <w:tc>
                <w:tcPr>
                  <w:tcW w:w="856" w:type="dxa"/>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lang w:val="en-US" w:eastAsia="zh-CN"/>
                    </w:rPr>
                  </w:pPr>
                  <w:r>
                    <w:rPr>
                      <w:color w:val="auto"/>
                      <w:szCs w:val="21"/>
                    </w:rPr>
                    <w:t>DA0</w:t>
                  </w:r>
                  <w:r>
                    <w:rPr>
                      <w:rFonts w:hint="eastAsia"/>
                      <w:color w:val="auto"/>
                      <w:szCs w:val="21"/>
                      <w:lang w:val="en-US" w:eastAsia="zh-CN"/>
                    </w:rPr>
                    <w:t>03</w:t>
                  </w:r>
                </w:p>
              </w:tc>
            </w:tr>
          </w:tbl>
          <w:p>
            <w:pPr>
              <w:keepNext w:val="0"/>
              <w:keepLines w:val="0"/>
              <w:suppressLineNumbers w:val="0"/>
              <w:adjustRightInd w:val="0"/>
              <w:spacing w:before="0" w:beforeAutospacing="0" w:after="0" w:afterAutospacing="0" w:line="360" w:lineRule="auto"/>
              <w:ind w:left="0" w:right="0" w:firstLine="420" w:firstLineChars="200"/>
              <w:rPr>
                <w:rFonts w:hint="eastAsia"/>
                <w:color w:val="auto"/>
                <w:szCs w:val="21"/>
                <w:highlight w:val="none"/>
              </w:rPr>
            </w:pPr>
            <w:r>
              <w:rPr>
                <w:rFonts w:hint="eastAsia"/>
                <w:bCs/>
                <w:color w:val="auto"/>
                <w:szCs w:val="21"/>
                <w:lang w:val="en-US" w:eastAsia="zh-CN"/>
              </w:rPr>
              <w:t>注：企业排气筒高度应高出周围200m半径范围的建筑5以上，本企业最高建筑（重型车间，精锻车间）高度25m，因此本项目的排气筒高度为30m。</w:t>
            </w:r>
          </w:p>
          <w:p>
            <w:pPr>
              <w:keepNext w:val="0"/>
              <w:keepLines w:val="0"/>
              <w:suppressLineNumbers w:val="0"/>
              <w:spacing w:before="0" w:beforeAutospacing="0" w:after="0" w:afterAutospacing="0" w:line="360" w:lineRule="auto"/>
              <w:ind w:left="420" w:right="0"/>
              <w:rPr>
                <w:color w:val="auto"/>
              </w:rPr>
            </w:pPr>
            <w:r>
              <w:rPr>
                <w:color w:val="auto"/>
                <w:szCs w:val="21"/>
              </w:rPr>
              <w:t>（3）废气排放情况</w:t>
            </w:r>
          </w:p>
          <w:p>
            <w:pPr>
              <w:keepNext w:val="0"/>
              <w:keepLines w:val="0"/>
              <w:suppressLineNumbers w:val="0"/>
              <w:spacing w:before="0" w:beforeAutospacing="0" w:after="0" w:afterAutospacing="0" w:line="360" w:lineRule="auto"/>
              <w:ind w:left="0" w:right="0"/>
              <w:jc w:val="center"/>
              <w:rPr>
                <w:color w:val="auto"/>
              </w:rPr>
            </w:pPr>
            <w:r>
              <w:rPr>
                <w:rFonts w:hint="eastAsia"/>
                <w:color w:val="auto"/>
              </w:rPr>
              <w:t>表</w:t>
            </w:r>
            <w:r>
              <w:rPr>
                <w:rFonts w:hint="eastAsia"/>
                <w:color w:val="auto"/>
                <w:lang w:val="en-US" w:eastAsia="zh-CN"/>
              </w:rPr>
              <w:t>31</w:t>
            </w:r>
            <w:r>
              <w:rPr>
                <w:rFonts w:hint="eastAsia"/>
                <w:color w:val="auto"/>
              </w:rPr>
              <w:t xml:space="preserve">  废气有组织排放情况一览表</w:t>
            </w:r>
          </w:p>
          <w:tbl>
            <w:tblPr>
              <w:tblStyle w:val="35"/>
              <w:tblW w:w="499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307"/>
              <w:gridCol w:w="904"/>
              <w:gridCol w:w="1089"/>
              <w:gridCol w:w="956"/>
              <w:gridCol w:w="1078"/>
              <w:gridCol w:w="1089"/>
              <w:gridCol w:w="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57"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排污口编号</w:t>
                  </w:r>
                </w:p>
              </w:tc>
              <w:tc>
                <w:tcPr>
                  <w:tcW w:w="815"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污染物</w:t>
                  </w:r>
                </w:p>
              </w:tc>
              <w:tc>
                <w:tcPr>
                  <w:tcW w:w="564"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排放量</w:t>
                  </w:r>
                </w:p>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t/a</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排放速率</w:t>
                  </w:r>
                </w:p>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kg/h</w:t>
                  </w:r>
                </w:p>
              </w:tc>
              <w:tc>
                <w:tcPr>
                  <w:tcW w:w="596"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标准</w:t>
                  </w:r>
                </w:p>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要求</w:t>
                  </w:r>
                </w:p>
              </w:tc>
              <w:tc>
                <w:tcPr>
                  <w:tcW w:w="672"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排放浓度</w:t>
                  </w:r>
                </w:p>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mg/m</w:t>
                  </w:r>
                  <w:r>
                    <w:rPr>
                      <w:rFonts w:hint="eastAsia"/>
                      <w:color w:val="auto"/>
                      <w:vertAlign w:val="superscript"/>
                    </w:rPr>
                    <w:t>3</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标准要求</w:t>
                  </w:r>
                </w:p>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mg/m</w:t>
                  </w:r>
                  <w:r>
                    <w:rPr>
                      <w:rFonts w:hint="eastAsia"/>
                      <w:color w:val="auto"/>
                      <w:vertAlign w:val="superscript"/>
                    </w:rPr>
                    <w:t>3</w:t>
                  </w:r>
                </w:p>
              </w:tc>
              <w:tc>
                <w:tcPr>
                  <w:tcW w:w="433"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57" w:type="pct"/>
                  <w:noWrap/>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DA0</w:t>
                  </w:r>
                  <w:r>
                    <w:rPr>
                      <w:rFonts w:hint="eastAsia"/>
                      <w:color w:val="auto"/>
                      <w:szCs w:val="21"/>
                      <w:highlight w:val="none"/>
                      <w:lang w:val="en-US" w:eastAsia="zh-CN"/>
                    </w:rPr>
                    <w:t>02</w:t>
                  </w:r>
                </w:p>
              </w:tc>
              <w:tc>
                <w:tcPr>
                  <w:tcW w:w="815"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highlight w:val="none"/>
                    </w:rPr>
                  </w:pPr>
                  <w:r>
                    <w:rPr>
                      <w:rFonts w:hint="eastAsia"/>
                      <w:color w:val="auto"/>
                      <w:szCs w:val="21"/>
                      <w:highlight w:val="none"/>
                    </w:rPr>
                    <w:t>颗粒物</w:t>
                  </w:r>
                </w:p>
              </w:tc>
              <w:tc>
                <w:tcPr>
                  <w:tcW w:w="564"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855</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356</w:t>
                  </w:r>
                </w:p>
              </w:tc>
              <w:tc>
                <w:tcPr>
                  <w:tcW w:w="596"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rFonts w:hint="eastAsia"/>
                      <w:color w:val="auto"/>
                      <w:kern w:val="0"/>
                      <w:szCs w:val="21"/>
                      <w:highlight w:val="none"/>
                      <w:lang w:val="en-US" w:eastAsia="zh-CN" w:bidi="ar"/>
                    </w:rPr>
                    <w:t>3.4</w:t>
                  </w:r>
                  <w:r>
                    <w:rPr>
                      <w:rFonts w:hint="eastAsia"/>
                      <w:color w:val="auto"/>
                      <w:kern w:val="0"/>
                      <w:szCs w:val="21"/>
                      <w:highlight w:val="none"/>
                      <w:lang w:bidi="ar"/>
                    </w:rPr>
                    <w:t>kg/h</w:t>
                  </w:r>
                </w:p>
              </w:tc>
              <w:tc>
                <w:tcPr>
                  <w:tcW w:w="672"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14.844</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highlight w:val="none"/>
                    </w:rPr>
                    <w:t>18</w:t>
                  </w:r>
                </w:p>
              </w:tc>
              <w:tc>
                <w:tcPr>
                  <w:tcW w:w="433"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highlight w:val="none"/>
                    </w:rPr>
                  </w:pPr>
                  <w:r>
                    <w:rPr>
                      <w:rFonts w:hint="eastAsia"/>
                      <w:color w:val="auto"/>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57" w:type="pct"/>
                  <w:noWrap/>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color w:val="auto"/>
                      <w:szCs w:val="21"/>
                      <w:highlight w:val="none"/>
                    </w:rPr>
                    <w:t>DA0</w:t>
                  </w:r>
                  <w:r>
                    <w:rPr>
                      <w:rFonts w:hint="eastAsia"/>
                      <w:color w:val="auto"/>
                      <w:szCs w:val="21"/>
                      <w:highlight w:val="none"/>
                      <w:lang w:val="en-US" w:eastAsia="zh-CN"/>
                    </w:rPr>
                    <w:t>03</w:t>
                  </w:r>
                </w:p>
              </w:tc>
              <w:tc>
                <w:tcPr>
                  <w:tcW w:w="815"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highlight w:val="none"/>
                    </w:rPr>
                  </w:pPr>
                  <w:r>
                    <w:rPr>
                      <w:rFonts w:hint="eastAsia"/>
                      <w:color w:val="auto"/>
                      <w:szCs w:val="21"/>
                      <w:highlight w:val="none"/>
                    </w:rPr>
                    <w:t>非甲烷总烃</w:t>
                  </w:r>
                </w:p>
              </w:tc>
              <w:tc>
                <w:tcPr>
                  <w:tcW w:w="564"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011</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szCs w:val="21"/>
                      <w:highlight w:val="none"/>
                      <w:lang w:eastAsia="zh-CN"/>
                    </w:rPr>
                  </w:pPr>
                  <w:r>
                    <w:rPr>
                      <w:rFonts w:hint="eastAsia"/>
                      <w:color w:val="auto"/>
                      <w:szCs w:val="21"/>
                      <w:highlight w:val="none"/>
                    </w:rPr>
                    <w:t>0.0</w:t>
                  </w:r>
                  <w:r>
                    <w:rPr>
                      <w:rFonts w:hint="eastAsia"/>
                      <w:color w:val="auto"/>
                      <w:szCs w:val="21"/>
                      <w:highlight w:val="none"/>
                      <w:lang w:val="en-US" w:eastAsia="zh-CN"/>
                    </w:rPr>
                    <w:t>06</w:t>
                  </w:r>
                </w:p>
              </w:tc>
              <w:tc>
                <w:tcPr>
                  <w:tcW w:w="596"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highlight w:val="none"/>
                    </w:rPr>
                  </w:pPr>
                  <w:r>
                    <w:rPr>
                      <w:color w:val="auto"/>
                      <w:kern w:val="0"/>
                      <w:szCs w:val="21"/>
                      <w:highlight w:val="none"/>
                      <w:lang w:bidi="ar"/>
                    </w:rPr>
                    <w:t>/</w:t>
                  </w:r>
                </w:p>
              </w:tc>
              <w:tc>
                <w:tcPr>
                  <w:tcW w:w="672"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1.88</w:t>
                  </w:r>
                </w:p>
              </w:tc>
              <w:tc>
                <w:tcPr>
                  <w:tcW w:w="679"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30</w:t>
                  </w:r>
                </w:p>
              </w:tc>
              <w:tc>
                <w:tcPr>
                  <w:tcW w:w="433"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highlight w:val="none"/>
                    </w:rPr>
                  </w:pPr>
                  <w:r>
                    <w:rPr>
                      <w:rFonts w:hint="eastAsia"/>
                      <w:color w:val="auto"/>
                      <w:highlight w:val="none"/>
                    </w:rPr>
                    <w:t>达标</w:t>
                  </w:r>
                </w:p>
              </w:tc>
            </w:tr>
          </w:tbl>
          <w:p>
            <w:pPr>
              <w:keepNext w:val="0"/>
              <w:keepLines w:val="0"/>
              <w:suppressLineNumbers w:val="0"/>
              <w:spacing w:before="0" w:beforeAutospacing="0" w:after="0" w:afterAutospacing="0" w:line="360" w:lineRule="auto"/>
              <w:ind w:left="0" w:right="0"/>
              <w:jc w:val="center"/>
              <w:rPr>
                <w:color w:val="auto"/>
              </w:rPr>
            </w:pPr>
            <w:r>
              <w:rPr>
                <w:rFonts w:hint="eastAsia"/>
                <w:color w:val="auto"/>
              </w:rPr>
              <w:t>表</w:t>
            </w:r>
            <w:r>
              <w:rPr>
                <w:rFonts w:hint="eastAsia"/>
                <w:color w:val="auto"/>
                <w:lang w:val="en-US" w:eastAsia="zh-CN"/>
              </w:rPr>
              <w:t>32</w:t>
            </w:r>
            <w:r>
              <w:rPr>
                <w:rFonts w:hint="eastAsia"/>
                <w:color w:val="auto"/>
              </w:rPr>
              <w:t xml:space="preserve">  废气无组织排放情况一览表</w:t>
            </w:r>
          </w:p>
          <w:tbl>
            <w:tblPr>
              <w:tblStyle w:val="3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802"/>
              <w:gridCol w:w="2296"/>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24"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排污口编号</w:t>
                  </w:r>
                </w:p>
              </w:tc>
              <w:tc>
                <w:tcPr>
                  <w:tcW w:w="1124"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污染物</w:t>
                  </w:r>
                </w:p>
              </w:tc>
              <w:tc>
                <w:tcPr>
                  <w:tcW w:w="1432"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排放量t/a</w:t>
                  </w:r>
                </w:p>
              </w:tc>
              <w:tc>
                <w:tcPr>
                  <w:tcW w:w="1318"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124" w:type="pct"/>
                  <w:vMerge w:val="restart"/>
                  <w:noWrap/>
                  <w:vAlign w:val="center"/>
                </w:tcPr>
                <w:p>
                  <w:pPr>
                    <w:keepNext w:val="0"/>
                    <w:keepLines w:val="0"/>
                    <w:widowControl/>
                    <w:suppressLineNumbers w:val="0"/>
                    <w:spacing w:before="0" w:beforeAutospacing="0" w:after="0" w:afterAutospacing="0"/>
                    <w:ind w:left="0" w:right="0"/>
                    <w:jc w:val="center"/>
                    <w:textAlignment w:val="center"/>
                    <w:rPr>
                      <w:color w:val="auto"/>
                    </w:rPr>
                  </w:pPr>
                  <w:r>
                    <w:rPr>
                      <w:rFonts w:hint="eastAsia"/>
                      <w:color w:val="auto"/>
                      <w:lang w:val="en-US" w:eastAsia="zh-CN"/>
                    </w:rPr>
                    <w:t>重型</w:t>
                  </w:r>
                  <w:r>
                    <w:rPr>
                      <w:rFonts w:hint="eastAsia"/>
                      <w:color w:val="auto"/>
                    </w:rPr>
                    <w:t>车间</w:t>
                  </w:r>
                </w:p>
              </w:tc>
              <w:tc>
                <w:tcPr>
                  <w:tcW w:w="1124"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szCs w:val="21"/>
                    </w:rPr>
                    <w:t>颗粒物</w:t>
                  </w:r>
                </w:p>
              </w:tc>
              <w:tc>
                <w:tcPr>
                  <w:tcW w:w="1432"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1.5</w:t>
                  </w:r>
                </w:p>
              </w:tc>
              <w:tc>
                <w:tcPr>
                  <w:tcW w:w="1318"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rPr>
                    <w:t>0.</w:t>
                  </w:r>
                  <w:r>
                    <w:rPr>
                      <w:rFonts w:hint="eastAsia"/>
                      <w:color w:val="auto"/>
                      <w:szCs w:val="21"/>
                      <w:highlight w:val="none"/>
                      <w:lang w:val="en-US" w:eastAsia="zh-CN"/>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124" w:type="pct"/>
                  <w:vMerge w:val="continue"/>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p>
              </w:tc>
              <w:tc>
                <w:tcPr>
                  <w:tcW w:w="1124" w:type="pct"/>
                  <w:noWrap/>
                  <w:vAlign w:val="center"/>
                </w:tcPr>
                <w:p>
                  <w:pPr>
                    <w:keepNext w:val="0"/>
                    <w:keepLines w:val="0"/>
                    <w:widowControl/>
                    <w:suppressLineNumbers w:val="0"/>
                    <w:spacing w:before="0" w:beforeAutospacing="0" w:after="0" w:afterAutospacing="0"/>
                    <w:ind w:left="0" w:right="0"/>
                    <w:jc w:val="center"/>
                    <w:textAlignment w:val="center"/>
                    <w:rPr>
                      <w:color w:val="auto"/>
                    </w:rPr>
                  </w:pPr>
                  <w:r>
                    <w:rPr>
                      <w:rFonts w:hint="eastAsia"/>
                      <w:color w:val="auto"/>
                      <w:szCs w:val="21"/>
                    </w:rPr>
                    <w:t>非甲烷总烃</w:t>
                  </w:r>
                </w:p>
              </w:tc>
              <w:tc>
                <w:tcPr>
                  <w:tcW w:w="1432" w:type="pct"/>
                  <w:noWrap/>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szCs w:val="21"/>
                      <w:highlight w:val="none"/>
                      <w:lang w:eastAsia="zh-CN"/>
                    </w:rPr>
                  </w:pPr>
                  <w:r>
                    <w:rPr>
                      <w:rFonts w:hint="eastAsia"/>
                      <w:color w:val="auto"/>
                      <w:szCs w:val="21"/>
                      <w:highlight w:val="none"/>
                    </w:rPr>
                    <w:t>0.01</w:t>
                  </w:r>
                  <w:r>
                    <w:rPr>
                      <w:rFonts w:hint="eastAsia"/>
                      <w:color w:val="auto"/>
                      <w:szCs w:val="21"/>
                      <w:highlight w:val="none"/>
                      <w:lang w:val="en-US" w:eastAsia="zh-CN"/>
                    </w:rPr>
                    <w:t>2</w:t>
                  </w:r>
                </w:p>
              </w:tc>
              <w:tc>
                <w:tcPr>
                  <w:tcW w:w="1318" w:type="pct"/>
                  <w:noWrap/>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szCs w:val="21"/>
                      <w:highlight w:val="none"/>
                      <w:lang w:eastAsia="zh-CN"/>
                    </w:rPr>
                  </w:pPr>
                  <w:r>
                    <w:rPr>
                      <w:rFonts w:hint="eastAsia"/>
                      <w:color w:val="auto"/>
                      <w:szCs w:val="21"/>
                      <w:highlight w:val="none"/>
                    </w:rPr>
                    <w:t>0.00</w:t>
                  </w:r>
                  <w:r>
                    <w:rPr>
                      <w:rFonts w:hint="eastAsia"/>
                      <w:color w:val="auto"/>
                      <w:szCs w:val="21"/>
                      <w:highlight w:val="none"/>
                      <w:lang w:val="en-US" w:eastAsia="zh-CN"/>
                    </w:rPr>
                    <w:t>6</w:t>
                  </w:r>
                </w:p>
              </w:tc>
            </w:tr>
          </w:tbl>
          <w:p>
            <w:pPr>
              <w:pStyle w:val="11"/>
              <w:keepNext w:val="0"/>
              <w:keepLines w:val="0"/>
              <w:suppressLineNumbers w:val="0"/>
              <w:adjustRightInd w:val="0"/>
              <w:snapToGrid w:val="0"/>
              <w:spacing w:before="0" w:beforeAutospacing="0" w:after="0" w:afterAutospacing="0" w:line="360" w:lineRule="auto"/>
              <w:ind w:left="0" w:right="0"/>
              <w:rPr>
                <w:rFonts w:hint="eastAsia"/>
                <w:b/>
                <w:bCs/>
                <w:color w:val="auto"/>
                <w:szCs w:val="21"/>
              </w:rPr>
            </w:pPr>
            <w:r>
              <w:rPr>
                <w:rFonts w:hint="eastAsia"/>
                <w:b/>
                <w:bCs/>
                <w:color w:val="auto"/>
                <w:szCs w:val="21"/>
              </w:rPr>
              <w:t>源强核算过程</w:t>
            </w:r>
          </w:p>
          <w:p>
            <w:pPr>
              <w:pStyle w:val="11"/>
              <w:keepNext w:val="0"/>
              <w:keepLines w:val="0"/>
              <w:suppressLineNumbers w:val="0"/>
              <w:adjustRightInd w:val="0"/>
              <w:snapToGrid w:val="0"/>
              <w:spacing w:before="0" w:beforeAutospacing="0" w:after="0" w:afterAutospacing="0" w:line="360" w:lineRule="auto"/>
              <w:ind w:left="0" w:right="0"/>
              <w:rPr>
                <w:color w:val="auto"/>
                <w:szCs w:val="21"/>
              </w:rPr>
            </w:pPr>
            <w:r>
              <w:rPr>
                <w:rFonts w:hint="eastAsia"/>
                <w:color w:val="auto"/>
                <w:szCs w:val="21"/>
              </w:rPr>
              <w:t>本项目运营期废气包括：静电喷粉废气、固化废气。</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rFonts w:hint="eastAsia"/>
                <w:color w:val="auto"/>
                <w:szCs w:val="21"/>
                <w:lang w:val="en-US" w:eastAsia="zh-CN"/>
              </w:rPr>
              <w:t>①</w:t>
            </w:r>
            <w:r>
              <w:rPr>
                <w:rFonts w:hint="eastAsia"/>
                <w:color w:val="auto"/>
                <w:szCs w:val="21"/>
              </w:rPr>
              <w:t>静电喷粉废气</w:t>
            </w:r>
          </w:p>
          <w:p>
            <w:pPr>
              <w:keepNext w:val="0"/>
              <w:keepLines w:val="0"/>
              <w:suppressLineNumbers w:val="0"/>
              <w:adjustRightInd w:val="0"/>
              <w:spacing w:before="0" w:beforeAutospacing="0" w:after="0" w:afterAutospacing="0" w:line="360" w:lineRule="auto"/>
              <w:ind w:left="0" w:right="0" w:firstLine="420" w:firstLineChars="200"/>
              <w:rPr>
                <w:rFonts w:hint="eastAsia" w:eastAsia="宋体"/>
                <w:bCs/>
                <w:color w:val="auto"/>
                <w:szCs w:val="21"/>
                <w:lang w:eastAsia="zh-CN"/>
              </w:rPr>
            </w:pPr>
            <w:r>
              <w:rPr>
                <w:rFonts w:hint="eastAsia"/>
                <w:color w:val="auto"/>
                <w:szCs w:val="21"/>
              </w:rPr>
              <w:t>静电喷粉工序在喷粉房内进行，静电喷粉</w:t>
            </w:r>
            <w:r>
              <w:rPr>
                <w:color w:val="auto"/>
                <w:szCs w:val="21"/>
              </w:rPr>
              <w:t>过程中会产生塑粉尘</w:t>
            </w:r>
            <w:r>
              <w:rPr>
                <w:rFonts w:hint="eastAsia"/>
                <w:color w:val="auto"/>
                <w:szCs w:val="21"/>
              </w:rPr>
              <w:t>，静电喷粉废气经</w:t>
            </w:r>
            <w:r>
              <w:rPr>
                <w:rFonts w:hint="eastAsia"/>
                <w:color w:val="auto"/>
                <w:szCs w:val="21"/>
                <w:lang w:eastAsia="zh-CN"/>
              </w:rPr>
              <w:t>滤筒除尘器+布袋除尘器</w:t>
            </w:r>
            <w:r>
              <w:rPr>
                <w:rFonts w:hint="eastAsia"/>
                <w:color w:val="auto"/>
                <w:szCs w:val="21"/>
              </w:rPr>
              <w:t>处理后通过1根</w:t>
            </w:r>
            <w:r>
              <w:rPr>
                <w:rFonts w:hint="eastAsia"/>
                <w:color w:val="auto"/>
                <w:szCs w:val="21"/>
                <w:lang w:val="en-US" w:eastAsia="zh-CN"/>
              </w:rPr>
              <w:t>30</w:t>
            </w:r>
            <w:r>
              <w:rPr>
                <w:color w:val="auto"/>
                <w:szCs w:val="21"/>
              </w:rPr>
              <w:t>m</w:t>
            </w:r>
            <w:r>
              <w:rPr>
                <w:rFonts w:hint="eastAsia"/>
                <w:color w:val="auto"/>
                <w:szCs w:val="21"/>
              </w:rPr>
              <w:t>高</w:t>
            </w:r>
            <w:r>
              <w:rPr>
                <w:color w:val="auto"/>
                <w:szCs w:val="21"/>
              </w:rPr>
              <w:t>排气筒</w:t>
            </w:r>
            <w:r>
              <w:rPr>
                <w:rFonts w:hint="eastAsia" w:cs="Times New Roman"/>
                <w:color w:val="auto"/>
                <w:kern w:val="2"/>
                <w:sz w:val="21"/>
                <w:szCs w:val="21"/>
                <w:highlight w:val="none"/>
                <w:lang w:val="en-US" w:eastAsia="zh-CN" w:bidi="ar-SA"/>
              </w:rPr>
              <w:t>（DA002）</w:t>
            </w:r>
            <w:r>
              <w:rPr>
                <w:rFonts w:hint="eastAsia"/>
                <w:color w:val="auto"/>
                <w:szCs w:val="21"/>
              </w:rPr>
              <w:t>排放，</w:t>
            </w:r>
            <w:r>
              <w:rPr>
                <w:rFonts w:hint="eastAsia"/>
                <w:color w:val="auto"/>
                <w:szCs w:val="21"/>
                <w:lang w:val="en-US" w:eastAsia="zh-CN"/>
              </w:rPr>
              <w:t>本项目静电喷粉上方设置收集开口，开口横截面积为10m</w:t>
            </w:r>
            <w:r>
              <w:rPr>
                <w:rFonts w:hint="eastAsia"/>
                <w:color w:val="auto"/>
                <w:szCs w:val="21"/>
                <w:vertAlign w:val="superscript"/>
                <w:lang w:val="en-US" w:eastAsia="zh-CN"/>
              </w:rPr>
              <w:t>2</w:t>
            </w:r>
            <w:r>
              <w:rPr>
                <w:rFonts w:hint="eastAsia"/>
                <w:color w:val="auto"/>
                <w:szCs w:val="21"/>
                <w:lang w:val="en-US" w:eastAsia="zh-CN"/>
              </w:rPr>
              <w:t>，风速按照0.6m/s计算，则风量=横截面积*风速*3600=10*0.6*3600=21600</w:t>
            </w:r>
            <w:r>
              <w:rPr>
                <w:color w:val="auto"/>
                <w:szCs w:val="21"/>
                <w:highlight w:val="none"/>
              </w:rPr>
              <w:t>m</w:t>
            </w:r>
            <w:r>
              <w:rPr>
                <w:color w:val="auto"/>
                <w:szCs w:val="21"/>
                <w:highlight w:val="none"/>
                <w:vertAlign w:val="superscript"/>
              </w:rPr>
              <w:t>3</w:t>
            </w:r>
            <w:r>
              <w:rPr>
                <w:color w:val="auto"/>
                <w:szCs w:val="21"/>
                <w:highlight w:val="none"/>
              </w:rPr>
              <w:t>/h</w:t>
            </w:r>
            <w:r>
              <w:rPr>
                <w:rFonts w:hint="eastAsia"/>
                <w:color w:val="auto"/>
                <w:szCs w:val="21"/>
                <w:highlight w:val="none"/>
              </w:rPr>
              <w:t>，</w:t>
            </w:r>
            <w:r>
              <w:rPr>
                <w:rFonts w:hint="eastAsia"/>
                <w:color w:val="auto"/>
                <w:szCs w:val="21"/>
                <w:highlight w:val="none"/>
                <w:lang w:val="en-US" w:eastAsia="zh-CN"/>
              </w:rPr>
              <w:t>考虑风量损失，本项目设计风量为24000</w:t>
            </w:r>
            <w:r>
              <w:rPr>
                <w:color w:val="auto"/>
                <w:szCs w:val="21"/>
                <w:highlight w:val="none"/>
              </w:rPr>
              <w:t>m</w:t>
            </w:r>
            <w:r>
              <w:rPr>
                <w:color w:val="auto"/>
                <w:szCs w:val="21"/>
                <w:highlight w:val="none"/>
                <w:vertAlign w:val="superscript"/>
              </w:rPr>
              <w:t>3</w:t>
            </w:r>
            <w:r>
              <w:rPr>
                <w:color w:val="auto"/>
                <w:szCs w:val="21"/>
                <w:highlight w:val="none"/>
              </w:rPr>
              <w:t>/h</w:t>
            </w:r>
            <w:r>
              <w:rPr>
                <w:rFonts w:hint="eastAsia"/>
                <w:color w:val="auto"/>
                <w:szCs w:val="21"/>
                <w:lang w:val="en-US" w:eastAsia="zh-CN"/>
              </w:rPr>
              <w:t>。本项目</w:t>
            </w:r>
            <w:r>
              <w:rPr>
                <w:rFonts w:hint="eastAsia"/>
                <w:color w:val="auto"/>
                <w:szCs w:val="21"/>
              </w:rPr>
              <w:t>收集效率约为95%，</w:t>
            </w:r>
            <w:r>
              <w:rPr>
                <w:rFonts w:hint="eastAsia"/>
                <w:color w:val="auto"/>
                <w:szCs w:val="21"/>
                <w:lang w:eastAsia="zh-CN"/>
              </w:rPr>
              <w:t>滤筒除尘器+布袋除尘器</w:t>
            </w:r>
            <w:r>
              <w:rPr>
                <w:rFonts w:hint="eastAsia"/>
                <w:color w:val="auto"/>
                <w:szCs w:val="21"/>
              </w:rPr>
              <w:t>的去除效率约为97%</w:t>
            </w:r>
            <w:r>
              <w:rPr>
                <w:rFonts w:hint="eastAsia"/>
                <w:color w:val="auto"/>
                <w:szCs w:val="21"/>
                <w:highlight w:val="none"/>
              </w:rPr>
              <w:t>，</w:t>
            </w:r>
            <w:r>
              <w:rPr>
                <w:rFonts w:hint="eastAsia"/>
                <w:color w:val="auto"/>
                <w:szCs w:val="21"/>
                <w:highlight w:val="none"/>
                <w:lang w:val="en-US" w:eastAsia="zh-CN"/>
              </w:rPr>
              <w:t>根据企业提供的资料，</w:t>
            </w:r>
            <w:r>
              <w:rPr>
                <w:rFonts w:hint="eastAsia"/>
                <w:color w:val="auto"/>
                <w:szCs w:val="21"/>
              </w:rPr>
              <w:t>静电喷粉工序</w:t>
            </w:r>
            <w:r>
              <w:rPr>
                <w:rFonts w:hint="eastAsia"/>
                <w:color w:val="auto"/>
                <w:szCs w:val="21"/>
                <w:highlight w:val="none"/>
              </w:rPr>
              <w:t>年运行时间为2400h</w:t>
            </w:r>
            <w:r>
              <w:rPr>
                <w:rFonts w:hint="eastAsia"/>
                <w:color w:val="auto"/>
                <w:szCs w:val="21"/>
                <w:highlight w:val="none"/>
                <w:lang w:eastAsia="zh-CN"/>
              </w:rPr>
              <w:t>（</w:t>
            </w:r>
            <w:r>
              <w:rPr>
                <w:rFonts w:hint="eastAsia"/>
                <w:color w:val="auto"/>
                <w:szCs w:val="21"/>
                <w:highlight w:val="none"/>
                <w:lang w:val="en-US" w:eastAsia="zh-CN"/>
              </w:rPr>
              <w:t>企业喷塑工序时间为8h/d，生产时间为300d/a</w:t>
            </w:r>
            <w:r>
              <w:rPr>
                <w:rFonts w:hint="eastAsia"/>
                <w:color w:val="auto"/>
                <w:szCs w:val="21"/>
                <w:highlight w:val="none"/>
                <w:lang w:eastAsia="zh-CN"/>
              </w:rPr>
              <w:t>）</w:t>
            </w:r>
            <w:r>
              <w:rPr>
                <w:rFonts w:hint="eastAsia"/>
                <w:color w:val="auto"/>
                <w:szCs w:val="21"/>
                <w:highlight w:val="none"/>
              </w:rPr>
              <w:t>。</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rFonts w:hint="eastAsia"/>
                <w:color w:val="auto"/>
                <w:szCs w:val="21"/>
              </w:rPr>
              <w:t>静电喷粉废气污染物</w:t>
            </w:r>
            <w:r>
              <w:rPr>
                <w:rFonts w:hint="eastAsia"/>
                <w:color w:val="auto"/>
                <w:szCs w:val="21"/>
                <w:highlight w:val="none"/>
              </w:rPr>
              <w:t>排放参照《排放源统计调查产排污核算方法和系数手册 机械行业系数手册</w:t>
            </w:r>
            <w:r>
              <w:rPr>
                <w:rFonts w:hint="eastAsia"/>
                <w:color w:val="auto"/>
                <w:szCs w:val="21"/>
              </w:rPr>
              <w:t>》，14涂装工段喷塑工艺颗粒物产污系数300kg/t-原料（粉末涂料），本项目粉末涂料年用量为</w:t>
            </w:r>
            <w:r>
              <w:rPr>
                <w:rFonts w:hint="eastAsia"/>
                <w:color w:val="auto"/>
                <w:szCs w:val="21"/>
                <w:highlight w:val="none"/>
                <w:lang w:val="en-US" w:eastAsia="zh-CN"/>
              </w:rPr>
              <w:t>10</w:t>
            </w:r>
            <w:r>
              <w:rPr>
                <w:rFonts w:hint="eastAsia"/>
                <w:color w:val="auto"/>
                <w:szCs w:val="21"/>
                <w:highlight w:val="none"/>
              </w:rPr>
              <w:t>0</w:t>
            </w:r>
            <w:r>
              <w:rPr>
                <w:color w:val="auto"/>
                <w:szCs w:val="21"/>
                <w:highlight w:val="none"/>
              </w:rPr>
              <w:t>t</w:t>
            </w:r>
            <w:r>
              <w:rPr>
                <w:rFonts w:hint="eastAsia"/>
                <w:color w:val="auto"/>
                <w:szCs w:val="21"/>
                <w:highlight w:val="none"/>
              </w:rPr>
              <w:t>，则颗粒物的产生量约为</w:t>
            </w:r>
            <w:r>
              <w:rPr>
                <w:rFonts w:hint="eastAsia"/>
                <w:color w:val="auto"/>
                <w:szCs w:val="21"/>
                <w:highlight w:val="none"/>
                <w:lang w:val="en-US" w:eastAsia="zh-CN"/>
              </w:rPr>
              <w:t>30</w:t>
            </w:r>
            <w:r>
              <w:rPr>
                <w:rFonts w:hint="eastAsia"/>
                <w:color w:val="auto"/>
                <w:szCs w:val="21"/>
                <w:highlight w:val="none"/>
              </w:rPr>
              <w:t>t/a，颗粒物的收集量为</w:t>
            </w:r>
            <w:r>
              <w:rPr>
                <w:rFonts w:hint="eastAsia"/>
                <w:color w:val="auto"/>
                <w:szCs w:val="21"/>
                <w:highlight w:val="none"/>
                <w:lang w:val="en-US" w:eastAsia="zh-CN"/>
              </w:rPr>
              <w:t>28.5</w:t>
            </w:r>
            <w:r>
              <w:rPr>
                <w:rFonts w:hint="eastAsia"/>
                <w:color w:val="auto"/>
                <w:szCs w:val="21"/>
                <w:highlight w:val="none"/>
              </w:rPr>
              <w:t>t/a，浓度为494.792</w:t>
            </w:r>
            <w:r>
              <w:rPr>
                <w:color w:val="auto"/>
                <w:szCs w:val="21"/>
                <w:highlight w:val="none"/>
              </w:rPr>
              <w:t>mg/m</w:t>
            </w:r>
            <w:r>
              <w:rPr>
                <w:color w:val="auto"/>
                <w:szCs w:val="21"/>
                <w:highlight w:val="none"/>
                <w:vertAlign w:val="superscript"/>
              </w:rPr>
              <w:t>3</w:t>
            </w:r>
            <w:r>
              <w:rPr>
                <w:rFonts w:hint="eastAsia"/>
                <w:color w:val="auto"/>
                <w:szCs w:val="21"/>
                <w:highlight w:val="none"/>
              </w:rPr>
              <w:t>，经过处理后，颗粒物的排放量为0.</w:t>
            </w:r>
            <w:r>
              <w:rPr>
                <w:rFonts w:hint="eastAsia"/>
                <w:color w:val="auto"/>
                <w:szCs w:val="21"/>
                <w:highlight w:val="none"/>
                <w:lang w:val="en-US" w:eastAsia="zh-CN"/>
              </w:rPr>
              <w:t>855</w:t>
            </w:r>
            <w:r>
              <w:rPr>
                <w:rFonts w:hint="eastAsia"/>
                <w:color w:val="auto"/>
                <w:szCs w:val="21"/>
                <w:highlight w:val="none"/>
              </w:rPr>
              <w:t>t/a，浓度为14.844</w:t>
            </w:r>
            <w:r>
              <w:rPr>
                <w:color w:val="auto"/>
                <w:szCs w:val="21"/>
                <w:highlight w:val="none"/>
              </w:rPr>
              <w:t>mg/m</w:t>
            </w:r>
            <w:r>
              <w:rPr>
                <w:color w:val="auto"/>
                <w:szCs w:val="21"/>
                <w:highlight w:val="none"/>
                <w:vertAlign w:val="superscript"/>
              </w:rPr>
              <w:t>3</w:t>
            </w:r>
            <w:r>
              <w:rPr>
                <w:color w:val="auto"/>
                <w:szCs w:val="21"/>
                <w:highlight w:val="none"/>
              </w:rPr>
              <w:t>，排放速率为</w:t>
            </w:r>
            <w:r>
              <w:rPr>
                <w:rFonts w:hint="eastAsia"/>
                <w:color w:val="auto"/>
                <w:szCs w:val="21"/>
                <w:highlight w:val="none"/>
              </w:rPr>
              <w:t>0.</w:t>
            </w:r>
            <w:r>
              <w:rPr>
                <w:rFonts w:hint="eastAsia"/>
                <w:color w:val="auto"/>
                <w:szCs w:val="21"/>
                <w:highlight w:val="none"/>
                <w:lang w:val="en-US" w:eastAsia="zh-CN"/>
              </w:rPr>
              <w:t>356</w:t>
            </w:r>
            <w:r>
              <w:rPr>
                <w:color w:val="auto"/>
                <w:szCs w:val="21"/>
                <w:highlight w:val="none"/>
              </w:rPr>
              <w:t>kg/h</w:t>
            </w:r>
            <w:r>
              <w:rPr>
                <w:rFonts w:hint="eastAsia"/>
                <w:color w:val="auto"/>
                <w:szCs w:val="21"/>
                <w:highlight w:val="none"/>
              </w:rPr>
              <w:t>，</w:t>
            </w:r>
            <w:r>
              <w:rPr>
                <w:rFonts w:hint="eastAsia"/>
                <w:color w:val="auto"/>
                <w:szCs w:val="21"/>
              </w:rPr>
              <w:t>满足</w:t>
            </w:r>
            <w:r>
              <w:rPr>
                <w:color w:val="auto"/>
                <w:szCs w:val="21"/>
              </w:rPr>
              <w:t>《大气污染物综合排放标准》(GB16297-1996)表2碳黑尘、染料尘二级标准要求</w:t>
            </w:r>
            <w:r>
              <w:rPr>
                <w:rFonts w:hint="eastAsia"/>
                <w:color w:val="auto"/>
                <w:szCs w:val="21"/>
              </w:rPr>
              <w:t>。</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color w:val="auto"/>
                <w:szCs w:val="21"/>
              </w:rPr>
              <w:t>未被收集的颗粒物</w:t>
            </w:r>
            <w:r>
              <w:rPr>
                <w:rFonts w:hint="eastAsia"/>
                <w:color w:val="auto"/>
                <w:szCs w:val="21"/>
              </w:rPr>
              <w:t>在车间内</w:t>
            </w:r>
            <w:r>
              <w:rPr>
                <w:color w:val="auto"/>
                <w:szCs w:val="21"/>
              </w:rPr>
              <w:t>无组织排放，</w:t>
            </w:r>
            <w:r>
              <w:rPr>
                <w:color w:val="auto"/>
                <w:szCs w:val="21"/>
                <w:highlight w:val="none"/>
              </w:rPr>
              <w:t>排放量为</w:t>
            </w:r>
            <w:r>
              <w:rPr>
                <w:rFonts w:hint="eastAsia"/>
                <w:color w:val="auto"/>
                <w:szCs w:val="21"/>
                <w:highlight w:val="none"/>
                <w:lang w:val="en-US" w:eastAsia="zh-CN"/>
              </w:rPr>
              <w:t>1.</w:t>
            </w:r>
            <w:r>
              <w:rPr>
                <w:rFonts w:hint="eastAsia"/>
                <w:color w:val="auto"/>
                <w:szCs w:val="21"/>
                <w:highlight w:val="none"/>
              </w:rPr>
              <w:t>5</w:t>
            </w:r>
            <w:r>
              <w:rPr>
                <w:color w:val="auto"/>
                <w:szCs w:val="21"/>
                <w:highlight w:val="none"/>
              </w:rPr>
              <w:t>t/a，排放速率为</w:t>
            </w:r>
            <w:r>
              <w:rPr>
                <w:rFonts w:hint="eastAsia"/>
                <w:color w:val="auto"/>
                <w:szCs w:val="21"/>
                <w:highlight w:val="none"/>
              </w:rPr>
              <w:t>0.</w:t>
            </w:r>
            <w:r>
              <w:rPr>
                <w:rFonts w:hint="eastAsia"/>
                <w:color w:val="auto"/>
                <w:szCs w:val="21"/>
                <w:highlight w:val="none"/>
                <w:lang w:val="en-US" w:eastAsia="zh-CN"/>
              </w:rPr>
              <w:t>625</w:t>
            </w:r>
            <w:r>
              <w:rPr>
                <w:color w:val="auto"/>
                <w:szCs w:val="21"/>
                <w:highlight w:val="none"/>
              </w:rPr>
              <w:t>kg/h</w:t>
            </w:r>
            <w:r>
              <w:rPr>
                <w:rFonts w:hint="eastAsia"/>
                <w:color w:val="auto"/>
                <w:szCs w:val="21"/>
              </w:rPr>
              <w:t>，满足</w:t>
            </w:r>
            <w:r>
              <w:rPr>
                <w:color w:val="auto"/>
                <w:szCs w:val="21"/>
              </w:rPr>
              <w:t>《大气污染物综合排放标准》(GB16297-1996)表2</w:t>
            </w:r>
            <w:r>
              <w:rPr>
                <w:rFonts w:hint="eastAsia"/>
                <w:color w:val="auto"/>
                <w:szCs w:val="21"/>
              </w:rPr>
              <w:t>颗粒物</w:t>
            </w:r>
            <w:r>
              <w:rPr>
                <w:color w:val="auto"/>
                <w:szCs w:val="21"/>
              </w:rPr>
              <w:t>无组织排放监控浓度限值要求。</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rFonts w:hint="eastAsia"/>
                <w:bCs/>
                <w:color w:val="auto"/>
                <w:szCs w:val="21"/>
                <w:lang w:val="en-US" w:eastAsia="zh-CN"/>
              </w:rPr>
              <w:t>②</w:t>
            </w:r>
            <w:r>
              <w:rPr>
                <w:rFonts w:hint="eastAsia"/>
                <w:bCs/>
                <w:color w:val="auto"/>
                <w:szCs w:val="21"/>
              </w:rPr>
              <w:t>固化</w:t>
            </w:r>
            <w:r>
              <w:rPr>
                <w:rFonts w:hint="eastAsia"/>
                <w:color w:val="auto"/>
                <w:szCs w:val="21"/>
              </w:rPr>
              <w:t>废气</w:t>
            </w:r>
          </w:p>
          <w:p>
            <w:pPr>
              <w:keepNext w:val="0"/>
              <w:keepLines w:val="0"/>
              <w:suppressLineNumbers w:val="0"/>
              <w:adjustRightInd w:val="0"/>
              <w:spacing w:before="0" w:beforeAutospacing="0" w:after="0" w:afterAutospacing="0" w:line="360" w:lineRule="auto"/>
              <w:ind w:left="0" w:right="0" w:firstLine="420" w:firstLineChars="200"/>
              <w:rPr>
                <w:bCs/>
                <w:color w:val="auto"/>
                <w:szCs w:val="21"/>
              </w:rPr>
            </w:pPr>
            <w:r>
              <w:rPr>
                <w:rFonts w:hint="eastAsia"/>
                <w:bCs/>
                <w:color w:val="auto"/>
                <w:szCs w:val="21"/>
              </w:rPr>
              <w:t>本项目设置1台固化炉，</w:t>
            </w:r>
            <w:r>
              <w:rPr>
                <w:rFonts w:hint="eastAsia"/>
                <w:color w:val="auto"/>
                <w:szCs w:val="21"/>
              </w:rPr>
              <w:t>以</w:t>
            </w:r>
            <w:r>
              <w:rPr>
                <w:rFonts w:hint="eastAsia"/>
                <w:color w:val="auto"/>
                <w:szCs w:val="21"/>
                <w:lang w:val="en-US" w:eastAsia="zh-CN"/>
              </w:rPr>
              <w:t>电</w:t>
            </w:r>
            <w:r>
              <w:rPr>
                <w:rFonts w:hint="eastAsia"/>
                <w:color w:val="auto"/>
                <w:szCs w:val="21"/>
              </w:rPr>
              <w:t>为固化</w:t>
            </w:r>
            <w:r>
              <w:rPr>
                <w:rFonts w:hint="eastAsia"/>
                <w:bCs/>
                <w:color w:val="auto"/>
                <w:szCs w:val="21"/>
              </w:rPr>
              <w:t>工序提供热源</w:t>
            </w:r>
            <w:r>
              <w:rPr>
                <w:rFonts w:hint="eastAsia"/>
                <w:bCs/>
                <w:color w:val="auto"/>
                <w:szCs w:val="21"/>
                <w:highlight w:val="none"/>
              </w:rPr>
              <w:t>，</w:t>
            </w:r>
            <w:r>
              <w:rPr>
                <w:rFonts w:hint="eastAsia"/>
                <w:color w:val="auto"/>
                <w:szCs w:val="21"/>
                <w:highlight w:val="none"/>
                <w:lang w:val="en-US" w:eastAsia="zh-CN"/>
              </w:rPr>
              <w:t>根据企业提供的资料，固化工序</w:t>
            </w:r>
            <w:r>
              <w:rPr>
                <w:rFonts w:hint="eastAsia"/>
                <w:color w:val="auto"/>
                <w:szCs w:val="21"/>
                <w:highlight w:val="none"/>
              </w:rPr>
              <w:t>年运行时间为2400h</w:t>
            </w:r>
            <w:r>
              <w:rPr>
                <w:rFonts w:hint="eastAsia"/>
                <w:color w:val="auto"/>
                <w:szCs w:val="21"/>
                <w:highlight w:val="none"/>
                <w:lang w:eastAsia="zh-CN"/>
              </w:rPr>
              <w:t>（</w:t>
            </w:r>
            <w:r>
              <w:rPr>
                <w:rFonts w:hint="eastAsia"/>
                <w:color w:val="auto"/>
                <w:szCs w:val="21"/>
                <w:highlight w:val="none"/>
                <w:lang w:val="en-US" w:eastAsia="zh-CN"/>
              </w:rPr>
              <w:t>每天8小时</w:t>
            </w:r>
            <w:r>
              <w:rPr>
                <w:rFonts w:hint="eastAsia"/>
                <w:color w:val="auto"/>
                <w:szCs w:val="21"/>
                <w:highlight w:val="none"/>
                <w:lang w:eastAsia="zh-CN"/>
              </w:rPr>
              <w:t>）</w:t>
            </w:r>
            <w:r>
              <w:rPr>
                <w:rFonts w:hint="eastAsia"/>
                <w:color w:val="auto"/>
                <w:szCs w:val="21"/>
                <w:highlight w:val="none"/>
              </w:rPr>
              <w:t>。固化炉进出口设有风机，以防止固化炉内废气从进出口处逸散，循环热风经过循环风机送入固化炉的送风管道后再经过出风口送入炉体内，出风口布置在炉体的下部；回风釆用炉体上部回风形式。送风均匀，不吹落粉末</w:t>
            </w:r>
            <w:r>
              <w:rPr>
                <w:rFonts w:hint="eastAsia"/>
                <w:color w:val="auto"/>
                <w:szCs w:val="21"/>
                <w:highlight w:val="none"/>
                <w:lang w:eastAsia="zh-CN"/>
              </w:rPr>
              <w:t>。</w:t>
            </w:r>
            <w:r>
              <w:rPr>
                <w:rFonts w:hint="eastAsia"/>
                <w:color w:val="auto"/>
                <w:szCs w:val="21"/>
                <w:highlight w:val="none"/>
              </w:rPr>
              <w:t>废气经</w:t>
            </w:r>
            <w:r>
              <w:rPr>
                <w:rFonts w:hint="eastAsia" w:cs="Times New Roman"/>
                <w:color w:val="auto"/>
                <w:kern w:val="2"/>
                <w:sz w:val="21"/>
                <w:szCs w:val="21"/>
                <w:highlight w:val="none"/>
                <w:lang w:val="en-US" w:eastAsia="zh-CN" w:bidi="ar-SA"/>
              </w:rPr>
              <w:t>喷淋塔+干式过滤箱+活性炭吸附/脱附+催化燃烧装置</w:t>
            </w:r>
            <w:r>
              <w:rPr>
                <w:rFonts w:hint="eastAsia"/>
                <w:color w:val="auto"/>
                <w:szCs w:val="21"/>
                <w:highlight w:val="none"/>
              </w:rPr>
              <w:t>处理后通过1根</w:t>
            </w:r>
            <w:r>
              <w:rPr>
                <w:rFonts w:hint="eastAsia"/>
                <w:color w:val="auto"/>
                <w:szCs w:val="21"/>
                <w:highlight w:val="none"/>
                <w:lang w:val="en-US" w:eastAsia="zh-CN"/>
              </w:rPr>
              <w:t>30</w:t>
            </w:r>
            <w:r>
              <w:rPr>
                <w:rFonts w:hint="eastAsia"/>
                <w:color w:val="auto"/>
                <w:szCs w:val="21"/>
                <w:highlight w:val="none"/>
              </w:rPr>
              <w:t>m高排气筒（</w:t>
            </w:r>
            <w:r>
              <w:rPr>
                <w:color w:val="auto"/>
                <w:szCs w:val="21"/>
                <w:highlight w:val="none"/>
              </w:rPr>
              <w:t>DA0</w:t>
            </w:r>
            <w:r>
              <w:rPr>
                <w:rFonts w:hint="eastAsia"/>
                <w:color w:val="auto"/>
                <w:szCs w:val="21"/>
                <w:highlight w:val="none"/>
                <w:lang w:val="en-US" w:eastAsia="zh-CN"/>
              </w:rPr>
              <w:t>03</w:t>
            </w:r>
            <w:r>
              <w:rPr>
                <w:rFonts w:hint="eastAsia"/>
                <w:color w:val="auto"/>
                <w:szCs w:val="21"/>
                <w:highlight w:val="none"/>
              </w:rPr>
              <w:t>）排放，本项目收集效率约为90%，处理效率约为90%，</w:t>
            </w:r>
            <w:r>
              <w:rPr>
                <w:color w:val="auto"/>
                <w:szCs w:val="21"/>
                <w:highlight w:val="none"/>
              </w:rPr>
              <w:t>风量为</w:t>
            </w:r>
            <w:r>
              <w:rPr>
                <w:rFonts w:hint="eastAsia"/>
                <w:color w:val="auto"/>
                <w:szCs w:val="21"/>
                <w:highlight w:val="none"/>
                <w:lang w:val="en-US" w:eastAsia="zh-CN"/>
              </w:rPr>
              <w:t>3</w:t>
            </w:r>
            <w:r>
              <w:rPr>
                <w:color w:val="auto"/>
                <w:szCs w:val="21"/>
                <w:highlight w:val="none"/>
              </w:rPr>
              <w:t>000m</w:t>
            </w:r>
            <w:r>
              <w:rPr>
                <w:color w:val="auto"/>
                <w:szCs w:val="21"/>
                <w:highlight w:val="none"/>
                <w:vertAlign w:val="superscript"/>
              </w:rPr>
              <w:t>3</w:t>
            </w:r>
            <w:r>
              <w:rPr>
                <w:color w:val="auto"/>
                <w:szCs w:val="21"/>
                <w:highlight w:val="none"/>
              </w:rPr>
              <w:t>/h</w:t>
            </w:r>
            <w:r>
              <w:rPr>
                <w:rFonts w:hint="eastAsia"/>
                <w:color w:val="auto"/>
                <w:szCs w:val="21"/>
                <w:highlight w:val="none"/>
              </w:rPr>
              <w:t>，</w:t>
            </w:r>
            <w:r>
              <w:rPr>
                <w:rFonts w:hint="eastAsia"/>
                <w:color w:val="auto"/>
                <w:szCs w:val="21"/>
                <w:highlight w:val="none"/>
                <w:lang w:val="en-US" w:eastAsia="zh-CN"/>
              </w:rPr>
              <w:t>根据企业提供的资料，固化工序</w:t>
            </w:r>
            <w:r>
              <w:rPr>
                <w:rFonts w:hint="eastAsia"/>
                <w:color w:val="auto"/>
                <w:szCs w:val="21"/>
                <w:highlight w:val="none"/>
              </w:rPr>
              <w:t>年运行时间为</w:t>
            </w:r>
            <w:r>
              <w:rPr>
                <w:rFonts w:hint="eastAsia"/>
                <w:color w:val="auto"/>
                <w:szCs w:val="21"/>
                <w:highlight w:val="none"/>
                <w:lang w:val="en-US" w:eastAsia="zh-CN"/>
              </w:rPr>
              <w:t>1950h</w:t>
            </w:r>
            <w:r>
              <w:rPr>
                <w:rFonts w:hint="eastAsia"/>
                <w:color w:val="auto"/>
                <w:szCs w:val="21"/>
                <w:highlight w:val="none"/>
                <w:lang w:eastAsia="zh-CN"/>
              </w:rPr>
              <w:t>（</w:t>
            </w:r>
            <w:r>
              <w:rPr>
                <w:rFonts w:hint="eastAsia"/>
                <w:color w:val="auto"/>
                <w:szCs w:val="21"/>
                <w:highlight w:val="none"/>
                <w:lang w:val="en-US" w:eastAsia="zh-CN"/>
              </w:rPr>
              <w:t>根据企业提供的资料，工件需要送进固化室，结束后取出，每次合计需0.5h，13次/d，合计6.5h/d，生产时间为300d/a</w:t>
            </w:r>
            <w:r>
              <w:rPr>
                <w:rFonts w:hint="eastAsia"/>
                <w:color w:val="auto"/>
                <w:szCs w:val="21"/>
                <w:highlight w:val="none"/>
                <w:lang w:eastAsia="zh-CN"/>
              </w:rPr>
              <w:t>）</w:t>
            </w:r>
            <w:r>
              <w:rPr>
                <w:rFonts w:hint="eastAsia"/>
                <w:color w:val="auto"/>
                <w:szCs w:val="21"/>
              </w:rPr>
              <w:t>。</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rFonts w:hint="eastAsia"/>
                <w:color w:val="auto"/>
                <w:szCs w:val="21"/>
              </w:rPr>
              <w:t>固化炉的尺寸约为</w:t>
            </w:r>
            <w:r>
              <w:rPr>
                <w:rFonts w:hint="eastAsia"/>
                <w:color w:val="auto"/>
                <w:szCs w:val="21"/>
                <w:lang w:val="en-US" w:eastAsia="zh-CN"/>
              </w:rPr>
              <w:t>10</w:t>
            </w:r>
            <w:r>
              <w:rPr>
                <w:rFonts w:hint="eastAsia"/>
                <w:color w:val="auto"/>
                <w:szCs w:val="21"/>
              </w:rPr>
              <w:t>m×</w:t>
            </w:r>
            <w:r>
              <w:rPr>
                <w:rFonts w:hint="eastAsia"/>
                <w:color w:val="auto"/>
                <w:szCs w:val="21"/>
                <w:lang w:val="en-US" w:eastAsia="zh-CN"/>
              </w:rPr>
              <w:t>5</w:t>
            </w:r>
            <w:r>
              <w:rPr>
                <w:rFonts w:hint="eastAsia"/>
                <w:color w:val="auto"/>
                <w:szCs w:val="21"/>
              </w:rPr>
              <w:t>m×</w:t>
            </w:r>
            <w:r>
              <w:rPr>
                <w:rFonts w:hint="eastAsia"/>
                <w:color w:val="auto"/>
                <w:szCs w:val="21"/>
                <w:lang w:val="en-US" w:eastAsia="zh-CN"/>
              </w:rPr>
              <w:t>4</w:t>
            </w:r>
            <w:r>
              <w:rPr>
                <w:rFonts w:hint="eastAsia"/>
                <w:color w:val="auto"/>
                <w:szCs w:val="21"/>
              </w:rPr>
              <w:t>m（V=</w:t>
            </w:r>
            <w:r>
              <w:rPr>
                <w:rFonts w:hint="eastAsia"/>
                <w:color w:val="auto"/>
                <w:szCs w:val="21"/>
                <w:lang w:val="en-US" w:eastAsia="zh-CN"/>
              </w:rPr>
              <w:t>200</w:t>
            </w:r>
            <w:r>
              <w:rPr>
                <w:rFonts w:hint="eastAsia"/>
                <w:color w:val="auto"/>
                <w:szCs w:val="21"/>
              </w:rPr>
              <w:t>m</w:t>
            </w:r>
            <w:r>
              <w:rPr>
                <w:rFonts w:hint="eastAsia"/>
                <w:color w:val="auto"/>
                <w:szCs w:val="21"/>
                <w:vertAlign w:val="superscript"/>
              </w:rPr>
              <w:t>3</w:t>
            </w:r>
            <w:r>
              <w:rPr>
                <w:rFonts w:hint="eastAsia"/>
                <w:color w:val="auto"/>
                <w:szCs w:val="21"/>
              </w:rPr>
              <w:t>），根据《环境工程技术手册 废气处理工程技术手册》计算：Q=nV（m</w:t>
            </w:r>
            <w:r>
              <w:rPr>
                <w:rFonts w:hint="eastAsia"/>
                <w:color w:val="auto"/>
                <w:szCs w:val="21"/>
                <w:vertAlign w:val="superscript"/>
              </w:rPr>
              <w:t>3</w:t>
            </w:r>
            <w:r>
              <w:rPr>
                <w:rFonts w:hint="eastAsia"/>
                <w:color w:val="auto"/>
                <w:szCs w:val="21"/>
              </w:rPr>
              <w:t>/h）（Q为全面通风换气量，m</w:t>
            </w:r>
            <w:r>
              <w:rPr>
                <w:rFonts w:hint="eastAsia"/>
                <w:color w:val="auto"/>
                <w:szCs w:val="21"/>
                <w:vertAlign w:val="superscript"/>
              </w:rPr>
              <w:t>3</w:t>
            </w:r>
            <w:r>
              <w:rPr>
                <w:rFonts w:hint="eastAsia"/>
                <w:color w:val="auto"/>
                <w:szCs w:val="21"/>
              </w:rPr>
              <w:t>/h；n为换气次数，次/h，工厂涂装室为</w:t>
            </w:r>
            <w:r>
              <w:rPr>
                <w:rFonts w:hint="eastAsia"/>
                <w:color w:val="auto"/>
                <w:szCs w:val="21"/>
                <w:lang w:val="en-US" w:eastAsia="zh-CN"/>
              </w:rPr>
              <w:t>15</w:t>
            </w:r>
            <w:r>
              <w:rPr>
                <w:rFonts w:hint="eastAsia"/>
                <w:color w:val="auto"/>
                <w:szCs w:val="21"/>
              </w:rPr>
              <w:t>次/h；V为通风房间的体积，</w:t>
            </w:r>
            <w:r>
              <w:rPr>
                <w:color w:val="auto"/>
                <w:szCs w:val="21"/>
              </w:rPr>
              <w:t>m</w:t>
            </w:r>
            <w:r>
              <w:rPr>
                <w:color w:val="auto"/>
                <w:szCs w:val="21"/>
                <w:vertAlign w:val="superscript"/>
              </w:rPr>
              <w:t>3</w:t>
            </w:r>
            <w:r>
              <w:rPr>
                <w:rFonts w:hint="eastAsia"/>
                <w:color w:val="auto"/>
                <w:szCs w:val="21"/>
              </w:rPr>
              <w:t>，本项目为固化炉体积</w:t>
            </w:r>
            <w:r>
              <w:rPr>
                <w:rFonts w:hint="eastAsia"/>
                <w:color w:val="auto"/>
                <w:szCs w:val="21"/>
                <w:lang w:val="en-US" w:eastAsia="zh-CN"/>
              </w:rPr>
              <w:t>200</w:t>
            </w:r>
            <w:r>
              <w:rPr>
                <w:rFonts w:hint="eastAsia"/>
                <w:color w:val="auto"/>
                <w:szCs w:val="21"/>
              </w:rPr>
              <w:t>m</w:t>
            </w:r>
            <w:r>
              <w:rPr>
                <w:rFonts w:hint="eastAsia"/>
                <w:color w:val="auto"/>
                <w:szCs w:val="21"/>
                <w:vertAlign w:val="superscript"/>
              </w:rPr>
              <w:t>3</w:t>
            </w:r>
            <w:r>
              <w:rPr>
                <w:rFonts w:hint="eastAsia"/>
                <w:color w:val="auto"/>
                <w:szCs w:val="21"/>
              </w:rPr>
              <w:t>），经计算，本项目全面通风换气量为</w:t>
            </w:r>
            <w:r>
              <w:rPr>
                <w:rFonts w:hint="eastAsia"/>
                <w:color w:val="auto"/>
                <w:szCs w:val="21"/>
                <w:lang w:val="en-US" w:eastAsia="zh-CN"/>
              </w:rPr>
              <w:t>3000</w:t>
            </w:r>
            <w:r>
              <w:rPr>
                <w:rFonts w:hint="eastAsia"/>
                <w:color w:val="auto"/>
                <w:szCs w:val="21"/>
              </w:rPr>
              <w:t>m</w:t>
            </w:r>
            <w:r>
              <w:rPr>
                <w:rFonts w:hint="eastAsia"/>
                <w:color w:val="auto"/>
                <w:szCs w:val="21"/>
                <w:vertAlign w:val="superscript"/>
              </w:rPr>
              <w:t>3</w:t>
            </w:r>
            <w:r>
              <w:rPr>
                <w:rFonts w:hint="eastAsia"/>
                <w:color w:val="auto"/>
                <w:szCs w:val="21"/>
              </w:rPr>
              <w:t>/h</w:t>
            </w:r>
            <w:r>
              <w:rPr>
                <w:rFonts w:hint="eastAsia"/>
                <w:bCs/>
                <w:color w:val="auto"/>
                <w:szCs w:val="21"/>
              </w:rPr>
              <w:t>。</w:t>
            </w:r>
          </w:p>
          <w:p>
            <w:pPr>
              <w:keepNext w:val="0"/>
              <w:keepLines w:val="0"/>
              <w:suppressLineNumbers w:val="0"/>
              <w:adjustRightInd w:val="0"/>
              <w:spacing w:before="0" w:beforeAutospacing="0" w:after="0" w:afterAutospacing="0" w:line="360" w:lineRule="auto"/>
              <w:ind w:left="0" w:right="0" w:firstLine="420" w:firstLineChars="200"/>
              <w:rPr>
                <w:rFonts w:hint="eastAsia" w:eastAsia="宋体"/>
                <w:bCs/>
                <w:color w:val="auto"/>
                <w:szCs w:val="21"/>
                <w:highlight w:val="none"/>
                <w:lang w:eastAsia="zh-CN"/>
              </w:rPr>
            </w:pPr>
            <w:r>
              <w:rPr>
                <w:rFonts w:hint="eastAsia"/>
                <w:bCs/>
                <w:color w:val="auto"/>
                <w:szCs w:val="21"/>
              </w:rPr>
              <w:t>固化</w:t>
            </w:r>
            <w:r>
              <w:rPr>
                <w:rFonts w:hint="eastAsia"/>
                <w:color w:val="auto"/>
                <w:szCs w:val="21"/>
              </w:rPr>
              <w:t>废气非甲烷总烃排放参照《排放源统计调查产排污核算方法和系数手册 3</w:t>
            </w:r>
            <w:r>
              <w:rPr>
                <w:rFonts w:hint="eastAsia"/>
                <w:color w:val="auto"/>
                <w:szCs w:val="21"/>
                <w:lang w:val="en-US" w:eastAsia="zh-CN"/>
              </w:rPr>
              <w:t>4</w:t>
            </w:r>
            <w:r>
              <w:rPr>
                <w:rFonts w:hint="eastAsia"/>
                <w:color w:val="auto"/>
                <w:szCs w:val="21"/>
              </w:rPr>
              <w:t>通用设备制造业 行业系数手册》，14涂装工段喷塑后烘干工艺挥发性有机物产污系数1.20kg/t-原料（粉末涂料），本项目粉末涂料年用量为</w:t>
            </w:r>
            <w:r>
              <w:rPr>
                <w:rFonts w:hint="eastAsia"/>
                <w:color w:val="auto"/>
                <w:szCs w:val="21"/>
                <w:lang w:val="en-US" w:eastAsia="zh-CN"/>
              </w:rPr>
              <w:t>100</w:t>
            </w:r>
            <w:r>
              <w:rPr>
                <w:color w:val="auto"/>
                <w:szCs w:val="21"/>
              </w:rPr>
              <w:t>t</w:t>
            </w:r>
            <w:r>
              <w:rPr>
                <w:rFonts w:hint="eastAsia"/>
                <w:color w:val="auto"/>
                <w:szCs w:val="21"/>
              </w:rPr>
              <w:t>，则非甲烷总烃的产生量约为0.</w:t>
            </w:r>
            <w:r>
              <w:rPr>
                <w:rFonts w:hint="eastAsia"/>
                <w:color w:val="auto"/>
                <w:szCs w:val="21"/>
                <w:lang w:val="en-US" w:eastAsia="zh-CN"/>
              </w:rPr>
              <w:t>12</w:t>
            </w:r>
            <w:r>
              <w:rPr>
                <w:color w:val="auto"/>
                <w:szCs w:val="21"/>
              </w:rPr>
              <w:t>t</w:t>
            </w:r>
            <w:r>
              <w:rPr>
                <w:rFonts w:hint="eastAsia"/>
                <w:color w:val="auto"/>
                <w:szCs w:val="21"/>
              </w:rPr>
              <w:t>/a，非甲烷总烃的收集量为0.</w:t>
            </w:r>
            <w:r>
              <w:rPr>
                <w:rFonts w:hint="eastAsia"/>
                <w:color w:val="auto"/>
                <w:szCs w:val="21"/>
                <w:lang w:val="en-US" w:eastAsia="zh-CN"/>
              </w:rPr>
              <w:t>108</w:t>
            </w:r>
            <w:r>
              <w:rPr>
                <w:rFonts w:hint="eastAsia"/>
                <w:color w:val="auto"/>
                <w:szCs w:val="21"/>
              </w:rPr>
              <w:t>t/a，</w:t>
            </w:r>
            <w:r>
              <w:rPr>
                <w:rFonts w:hint="eastAsia"/>
                <w:color w:val="auto"/>
                <w:szCs w:val="21"/>
                <w:highlight w:val="none"/>
              </w:rPr>
              <w:t>浓度为</w:t>
            </w:r>
            <w:r>
              <w:rPr>
                <w:rFonts w:hint="eastAsia"/>
                <w:color w:val="auto"/>
                <w:szCs w:val="21"/>
                <w:highlight w:val="none"/>
                <w:lang w:val="en-US" w:eastAsia="zh-CN"/>
              </w:rPr>
              <w:t>18.5</w:t>
            </w:r>
            <w:r>
              <w:rPr>
                <w:color w:val="auto"/>
                <w:szCs w:val="21"/>
                <w:highlight w:val="none"/>
              </w:rPr>
              <w:t>mg/m</w:t>
            </w:r>
            <w:r>
              <w:rPr>
                <w:color w:val="auto"/>
                <w:szCs w:val="21"/>
                <w:highlight w:val="none"/>
                <w:vertAlign w:val="superscript"/>
              </w:rPr>
              <w:t>3</w:t>
            </w:r>
            <w:r>
              <w:rPr>
                <w:rFonts w:hint="eastAsia"/>
                <w:color w:val="auto"/>
                <w:szCs w:val="21"/>
                <w:highlight w:val="none"/>
              </w:rPr>
              <w:t>，经过处理后，非甲烷总烃的排放量为0.0</w:t>
            </w:r>
            <w:r>
              <w:rPr>
                <w:rFonts w:hint="eastAsia"/>
                <w:color w:val="auto"/>
                <w:szCs w:val="21"/>
                <w:highlight w:val="none"/>
                <w:lang w:val="en-US" w:eastAsia="zh-CN"/>
              </w:rPr>
              <w:t>11</w:t>
            </w:r>
            <w:r>
              <w:rPr>
                <w:rFonts w:hint="eastAsia"/>
                <w:color w:val="auto"/>
                <w:szCs w:val="21"/>
                <w:highlight w:val="none"/>
              </w:rPr>
              <w:t>t/a，</w:t>
            </w:r>
            <w:r>
              <w:rPr>
                <w:color w:val="auto"/>
                <w:szCs w:val="21"/>
                <w:highlight w:val="none"/>
              </w:rPr>
              <w:t>排放速率为</w:t>
            </w:r>
            <w:r>
              <w:rPr>
                <w:rFonts w:hint="eastAsia"/>
                <w:color w:val="auto"/>
                <w:szCs w:val="21"/>
                <w:highlight w:val="none"/>
              </w:rPr>
              <w:t>0.00</w:t>
            </w:r>
            <w:r>
              <w:rPr>
                <w:rFonts w:hint="eastAsia"/>
                <w:color w:val="auto"/>
                <w:szCs w:val="21"/>
                <w:highlight w:val="none"/>
                <w:lang w:val="en-US" w:eastAsia="zh-CN"/>
              </w:rPr>
              <w:t>6</w:t>
            </w:r>
            <w:r>
              <w:rPr>
                <w:color w:val="auto"/>
                <w:szCs w:val="21"/>
                <w:highlight w:val="none"/>
              </w:rPr>
              <w:t>kg/h</w:t>
            </w:r>
            <w:r>
              <w:rPr>
                <w:rFonts w:hint="eastAsia"/>
                <w:color w:val="auto"/>
                <w:szCs w:val="21"/>
                <w:highlight w:val="none"/>
              </w:rPr>
              <w:t>，</w:t>
            </w:r>
            <w:r>
              <w:rPr>
                <w:rFonts w:hint="eastAsia"/>
                <w:color w:val="auto"/>
                <w:szCs w:val="21"/>
                <w:highlight w:val="none"/>
                <w:lang w:val="en-US" w:eastAsia="zh-CN"/>
              </w:rPr>
              <w:t>排放</w:t>
            </w:r>
            <w:r>
              <w:rPr>
                <w:rFonts w:hint="eastAsia"/>
                <w:color w:val="auto"/>
                <w:szCs w:val="21"/>
                <w:highlight w:val="none"/>
              </w:rPr>
              <w:t>浓度为</w:t>
            </w:r>
            <w:r>
              <w:rPr>
                <w:rFonts w:hint="eastAsia"/>
                <w:color w:val="auto"/>
                <w:szCs w:val="21"/>
                <w:highlight w:val="none"/>
                <w:lang w:val="en-US" w:eastAsia="zh-CN"/>
              </w:rPr>
              <w:t>1.88</w:t>
            </w:r>
            <w:r>
              <w:rPr>
                <w:color w:val="auto"/>
                <w:szCs w:val="21"/>
                <w:highlight w:val="none"/>
              </w:rPr>
              <w:t>mg/m</w:t>
            </w:r>
            <w:r>
              <w:rPr>
                <w:color w:val="auto"/>
                <w:szCs w:val="21"/>
                <w:highlight w:val="none"/>
                <w:vertAlign w:val="superscript"/>
              </w:rPr>
              <w:t>3</w:t>
            </w:r>
            <w:r>
              <w:rPr>
                <w:rFonts w:hint="eastAsia"/>
                <w:color w:val="auto"/>
                <w:szCs w:val="21"/>
                <w:highlight w:val="none"/>
              </w:rPr>
              <w:t>。满足</w:t>
            </w:r>
            <w:r>
              <w:rPr>
                <w:color w:val="auto"/>
                <w:szCs w:val="21"/>
              </w:rPr>
              <w:t>《工业企业挥发性有机物排放控制标准》（DB13/2322-2016）表1</w:t>
            </w:r>
            <w:r>
              <w:rPr>
                <w:rFonts w:hint="eastAsia"/>
                <w:color w:val="auto"/>
                <w:szCs w:val="21"/>
                <w:lang w:eastAsia="zh-CN"/>
              </w:rPr>
              <w:t>表面涂装业</w:t>
            </w:r>
            <w:r>
              <w:rPr>
                <w:color w:val="auto"/>
                <w:szCs w:val="21"/>
              </w:rPr>
              <w:t>大气污染物排放限值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r>
              <w:rPr>
                <w:color w:val="auto"/>
                <w:szCs w:val="21"/>
                <w:highlight w:val="none"/>
              </w:rPr>
              <w:t>非甲烷总烃</w:t>
            </w:r>
            <w:r>
              <w:rPr>
                <w:rFonts w:hint="default" w:ascii="Arial" w:hAnsi="Arial" w:cs="Arial"/>
                <w:color w:val="auto"/>
                <w:szCs w:val="21"/>
                <w:highlight w:val="none"/>
              </w:rPr>
              <w:t>≤</w:t>
            </w:r>
            <w:r>
              <w:rPr>
                <w:rFonts w:hint="eastAsia"/>
                <w:color w:val="auto"/>
                <w:szCs w:val="21"/>
                <w:highlight w:val="none"/>
              </w:rPr>
              <w:t>30mg/m</w:t>
            </w:r>
            <w:r>
              <w:rPr>
                <w:rFonts w:hint="eastAsia"/>
                <w:color w:val="auto"/>
                <w:szCs w:val="21"/>
                <w:highlight w:val="none"/>
                <w:vertAlign w:val="superscript"/>
              </w:rPr>
              <w:t>3</w:t>
            </w:r>
            <w:r>
              <w:rPr>
                <w:rFonts w:hint="eastAsia"/>
                <w:color w:val="auto"/>
                <w:szCs w:val="21"/>
                <w:highlight w:val="none"/>
              </w:rPr>
              <w:t>，最低去除效率70%</w:t>
            </w:r>
            <w:r>
              <w:rPr>
                <w:rFonts w:hint="eastAsia"/>
                <w:lang w:val="en-US" w:eastAsia="zh-CN"/>
              </w:rPr>
              <w:t>）</w:t>
            </w:r>
            <w:r>
              <w:rPr>
                <w:rFonts w:hint="eastAsia"/>
                <w:color w:val="auto"/>
                <w:szCs w:val="21"/>
                <w:lang w:eastAsia="zh-CN"/>
              </w:rPr>
              <w:t>。</w:t>
            </w:r>
          </w:p>
          <w:p>
            <w:pPr>
              <w:keepNext w:val="0"/>
              <w:keepLines w:val="0"/>
              <w:suppressLineNumbers w:val="0"/>
              <w:adjustRightInd w:val="0"/>
              <w:spacing w:before="0" w:beforeAutospacing="0" w:after="0" w:afterAutospacing="0" w:line="360" w:lineRule="auto"/>
              <w:ind w:left="0" w:right="0" w:firstLine="420" w:firstLineChars="200"/>
              <w:rPr>
                <w:rFonts w:hint="eastAsia"/>
                <w:bCs/>
                <w:color w:val="auto"/>
                <w:szCs w:val="21"/>
              </w:rPr>
            </w:pPr>
            <w:r>
              <w:rPr>
                <w:color w:val="auto"/>
                <w:szCs w:val="21"/>
                <w:highlight w:val="none"/>
              </w:rPr>
              <w:t>未被收集的</w:t>
            </w:r>
            <w:r>
              <w:rPr>
                <w:rFonts w:hint="eastAsia"/>
                <w:color w:val="auto"/>
                <w:szCs w:val="21"/>
                <w:highlight w:val="none"/>
              </w:rPr>
              <w:t>非甲烷总烃在车间内</w:t>
            </w:r>
            <w:r>
              <w:rPr>
                <w:color w:val="auto"/>
                <w:szCs w:val="21"/>
                <w:highlight w:val="none"/>
              </w:rPr>
              <w:t>无组织排放，排放量为</w:t>
            </w:r>
            <w:r>
              <w:rPr>
                <w:rFonts w:hint="eastAsia"/>
                <w:color w:val="auto"/>
                <w:szCs w:val="21"/>
                <w:highlight w:val="none"/>
              </w:rPr>
              <w:t>0.0</w:t>
            </w:r>
            <w:r>
              <w:rPr>
                <w:rFonts w:hint="eastAsia"/>
                <w:color w:val="auto"/>
                <w:szCs w:val="21"/>
                <w:highlight w:val="none"/>
                <w:lang w:val="en-US" w:eastAsia="zh-CN"/>
              </w:rPr>
              <w:t>12</w:t>
            </w:r>
            <w:r>
              <w:rPr>
                <w:color w:val="auto"/>
                <w:szCs w:val="21"/>
                <w:highlight w:val="none"/>
              </w:rPr>
              <w:t>t/a，排放速率为</w:t>
            </w:r>
            <w:r>
              <w:rPr>
                <w:rFonts w:hint="eastAsia"/>
                <w:color w:val="auto"/>
                <w:szCs w:val="21"/>
                <w:highlight w:val="none"/>
              </w:rPr>
              <w:t>0.00</w:t>
            </w:r>
            <w:r>
              <w:rPr>
                <w:rFonts w:hint="eastAsia"/>
                <w:color w:val="auto"/>
                <w:szCs w:val="21"/>
                <w:highlight w:val="none"/>
                <w:lang w:val="en-US" w:eastAsia="zh-CN"/>
              </w:rPr>
              <w:t>6</w:t>
            </w:r>
            <w:r>
              <w:rPr>
                <w:color w:val="auto"/>
                <w:szCs w:val="21"/>
                <w:highlight w:val="none"/>
              </w:rPr>
              <w:t>kg/h</w:t>
            </w:r>
            <w:r>
              <w:rPr>
                <w:rFonts w:hint="eastAsia"/>
                <w:color w:val="auto"/>
                <w:szCs w:val="21"/>
                <w:highlight w:val="none"/>
              </w:rPr>
              <w:t>，</w:t>
            </w:r>
            <w:r>
              <w:rPr>
                <w:rFonts w:hint="eastAsia"/>
                <w:color w:val="auto"/>
                <w:szCs w:val="21"/>
              </w:rPr>
              <w:t>满足</w:t>
            </w:r>
            <w:r>
              <w:rPr>
                <w:color w:val="auto"/>
                <w:szCs w:val="21"/>
              </w:rPr>
              <w:t>《工业企业挥发性有机物排放控制标准》（DB13/2322-2016）</w:t>
            </w:r>
            <w:r>
              <w:rPr>
                <w:bCs/>
                <w:color w:val="auto"/>
                <w:szCs w:val="21"/>
              </w:rPr>
              <w:t>表2其他企业边界大气污染物浓度限值</w:t>
            </w:r>
            <w:r>
              <w:rPr>
                <w:rFonts w:hint="eastAsia"/>
                <w:bCs/>
                <w:color w:val="auto"/>
                <w:szCs w:val="21"/>
              </w:rPr>
              <w:t>要求</w:t>
            </w:r>
            <w:r>
              <w:rPr>
                <w:color w:val="auto"/>
                <w:szCs w:val="21"/>
              </w:rPr>
              <w:t>。</w:t>
            </w:r>
          </w:p>
          <w:p>
            <w:pPr>
              <w:pStyle w:val="11"/>
              <w:keepNext w:val="0"/>
              <w:keepLines w:val="0"/>
              <w:suppressLineNumbers w:val="0"/>
              <w:adjustRightInd w:val="0"/>
              <w:spacing w:before="0" w:beforeAutospacing="0" w:after="0" w:afterAutospacing="0" w:line="360" w:lineRule="auto"/>
              <w:ind w:left="0" w:right="0"/>
              <w:rPr>
                <w:color w:val="auto"/>
                <w:szCs w:val="21"/>
              </w:rPr>
            </w:pPr>
            <w:r>
              <w:rPr>
                <w:rFonts w:hint="eastAsia"/>
                <w:color w:val="auto"/>
                <w:szCs w:val="21"/>
              </w:rPr>
              <w:t>经计算可知，本项目废气排放满足相应标准，可达标排放。</w:t>
            </w:r>
          </w:p>
          <w:p>
            <w:pPr>
              <w:pStyle w:val="11"/>
              <w:keepNext w:val="0"/>
              <w:keepLines w:val="0"/>
              <w:suppressLineNumbers w:val="0"/>
              <w:spacing w:before="0" w:beforeAutospacing="0" w:after="0" w:afterAutospacing="0" w:line="360" w:lineRule="auto"/>
              <w:ind w:left="0" w:right="0"/>
              <w:rPr>
                <w:rFonts w:hint="eastAsia"/>
                <w:color w:val="auto"/>
              </w:rPr>
            </w:pPr>
            <w:r>
              <w:rPr>
                <w:rFonts w:hint="eastAsia"/>
                <w:color w:val="auto"/>
              </w:rPr>
              <w:t>（4）排污口基本情况</w:t>
            </w:r>
          </w:p>
          <w:p>
            <w:pPr>
              <w:pStyle w:val="11"/>
              <w:keepNext w:val="0"/>
              <w:keepLines w:val="0"/>
              <w:suppressLineNumbers w:val="0"/>
              <w:spacing w:before="0" w:beforeAutospacing="0" w:after="0" w:afterAutospacing="0" w:line="360" w:lineRule="auto"/>
              <w:ind w:left="0" w:right="0"/>
              <w:jc w:val="center"/>
              <w:rPr>
                <w:color w:val="auto"/>
              </w:rPr>
            </w:pPr>
            <w:r>
              <w:rPr>
                <w:rFonts w:hint="eastAsia"/>
                <w:color w:val="auto"/>
              </w:rPr>
              <w:t>表</w:t>
            </w:r>
            <w:r>
              <w:rPr>
                <w:rFonts w:hint="eastAsia"/>
                <w:color w:val="auto"/>
                <w:lang w:val="en-US" w:eastAsia="zh-CN"/>
              </w:rPr>
              <w:t>33</w:t>
            </w:r>
            <w:r>
              <w:rPr>
                <w:rFonts w:hint="eastAsia"/>
                <w:color w:val="auto"/>
              </w:rPr>
              <w:t xml:space="preserve">  排污口基本情况一览表</w:t>
            </w:r>
          </w:p>
          <w:tbl>
            <w:tblPr>
              <w:tblStyle w:val="35"/>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350"/>
              <w:gridCol w:w="855"/>
              <w:gridCol w:w="840"/>
              <w:gridCol w:w="720"/>
              <w:gridCol w:w="1440"/>
              <w:gridCol w:w="960"/>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排污口编号</w:t>
                  </w:r>
                </w:p>
              </w:tc>
              <w:tc>
                <w:tcPr>
                  <w:tcW w:w="843"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名称</w:t>
                  </w:r>
                </w:p>
              </w:tc>
              <w:tc>
                <w:tcPr>
                  <w:tcW w:w="534"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类型</w:t>
                  </w:r>
                </w:p>
              </w:tc>
              <w:tc>
                <w:tcPr>
                  <w:tcW w:w="525"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高度</w:t>
                  </w:r>
                </w:p>
              </w:tc>
              <w:tc>
                <w:tcPr>
                  <w:tcW w:w="45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内径</w:t>
                  </w:r>
                </w:p>
              </w:tc>
              <w:tc>
                <w:tcPr>
                  <w:tcW w:w="9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温度</w:t>
                  </w:r>
                </w:p>
              </w:tc>
              <w:tc>
                <w:tcPr>
                  <w:tcW w:w="6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经度</w:t>
                  </w:r>
                </w:p>
              </w:tc>
              <w:tc>
                <w:tcPr>
                  <w:tcW w:w="61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纬度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8"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kern w:val="0"/>
                      <w:szCs w:val="21"/>
                      <w:lang w:val="en-US" w:eastAsia="zh-CN" w:bidi="ar"/>
                    </w:rPr>
                  </w:pPr>
                  <w:r>
                    <w:rPr>
                      <w:color w:val="auto"/>
                      <w:szCs w:val="21"/>
                    </w:rPr>
                    <w:t>DA0</w:t>
                  </w:r>
                  <w:r>
                    <w:rPr>
                      <w:rFonts w:hint="eastAsia"/>
                      <w:color w:val="auto"/>
                      <w:szCs w:val="21"/>
                      <w:lang w:val="en-US" w:eastAsia="zh-CN"/>
                    </w:rPr>
                    <w:t>02</w:t>
                  </w:r>
                </w:p>
              </w:tc>
              <w:tc>
                <w:tcPr>
                  <w:tcW w:w="843"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lang w:bidi="ar"/>
                    </w:rPr>
                  </w:pPr>
                  <w:r>
                    <w:rPr>
                      <w:rFonts w:hint="eastAsia"/>
                      <w:color w:val="auto"/>
                      <w:szCs w:val="21"/>
                    </w:rPr>
                    <w:t>静电喷粉</w:t>
                  </w:r>
                  <w:r>
                    <w:rPr>
                      <w:color w:val="auto"/>
                      <w:kern w:val="0"/>
                      <w:szCs w:val="21"/>
                      <w:lang w:bidi="ar"/>
                    </w:rPr>
                    <w:t>废气排气筒</w:t>
                  </w:r>
                </w:p>
              </w:tc>
              <w:tc>
                <w:tcPr>
                  <w:tcW w:w="534"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一般排</w:t>
                  </w:r>
                  <w:r>
                    <w:rPr>
                      <w:rFonts w:hint="eastAsia"/>
                      <w:color w:val="auto"/>
                      <w:kern w:val="0"/>
                      <w:szCs w:val="21"/>
                      <w:highlight w:val="none"/>
                      <w:lang w:bidi="ar"/>
                    </w:rPr>
                    <w:t>放</w:t>
                  </w:r>
                  <w:r>
                    <w:rPr>
                      <w:color w:val="auto"/>
                      <w:kern w:val="0"/>
                      <w:szCs w:val="21"/>
                      <w:highlight w:val="none"/>
                      <w:lang w:bidi="ar"/>
                    </w:rPr>
                    <w:t>口</w:t>
                  </w:r>
                </w:p>
              </w:tc>
              <w:tc>
                <w:tcPr>
                  <w:tcW w:w="525"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rFonts w:hint="eastAsia"/>
                      <w:color w:val="auto"/>
                      <w:kern w:val="0"/>
                      <w:szCs w:val="21"/>
                      <w:highlight w:val="none"/>
                      <w:lang w:val="en-US" w:eastAsia="zh-CN" w:bidi="ar"/>
                    </w:rPr>
                    <w:t>30</w:t>
                  </w:r>
                  <w:r>
                    <w:rPr>
                      <w:rFonts w:hint="eastAsia"/>
                      <w:color w:val="auto"/>
                      <w:kern w:val="0"/>
                      <w:szCs w:val="21"/>
                      <w:highlight w:val="none"/>
                      <w:lang w:bidi="ar"/>
                    </w:rPr>
                    <w:t>m</w:t>
                  </w:r>
                </w:p>
              </w:tc>
              <w:tc>
                <w:tcPr>
                  <w:tcW w:w="450"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r>
                    <w:rPr>
                      <w:rFonts w:hint="eastAsia"/>
                      <w:color w:val="auto"/>
                      <w:szCs w:val="21"/>
                      <w:highlight w:val="none"/>
                      <w:lang w:val="en-US" w:eastAsia="zh-CN"/>
                    </w:rPr>
                    <w:t>8</w:t>
                  </w:r>
                  <w:r>
                    <w:rPr>
                      <w:rFonts w:hint="eastAsia"/>
                      <w:color w:val="auto"/>
                      <w:szCs w:val="21"/>
                      <w:highlight w:val="none"/>
                    </w:rPr>
                    <w:t>m</w:t>
                  </w:r>
                </w:p>
              </w:tc>
              <w:tc>
                <w:tcPr>
                  <w:tcW w:w="900" w:type="pct"/>
                  <w:noWrap/>
                  <w:vAlign w:val="center"/>
                </w:tcPr>
                <w:p>
                  <w:pPr>
                    <w:keepNext w:val="0"/>
                    <w:keepLines w:val="0"/>
                    <w:suppressLineNumbers w:val="0"/>
                    <w:spacing w:before="0" w:beforeAutospacing="0" w:after="0" w:afterAutospacing="0"/>
                    <w:ind w:left="0" w:right="0"/>
                    <w:jc w:val="center"/>
                    <w:rPr>
                      <w:rFonts w:hint="eastAsia"/>
                      <w:color w:val="auto"/>
                      <w:kern w:val="0"/>
                      <w:szCs w:val="21"/>
                      <w:highlight w:val="none"/>
                      <w:lang w:bidi="ar"/>
                    </w:rPr>
                  </w:pPr>
                  <w:r>
                    <w:rPr>
                      <w:rFonts w:hint="eastAsia"/>
                      <w:color w:val="auto"/>
                      <w:szCs w:val="21"/>
                      <w:highlight w:val="none"/>
                    </w:rPr>
                    <w:t>25</w:t>
                  </w:r>
                  <w:r>
                    <w:rPr>
                      <w:color w:val="auto"/>
                      <w:kern w:val="0"/>
                      <w:szCs w:val="21"/>
                      <w:highlight w:val="none"/>
                      <w:lang w:bidi="ar"/>
                    </w:rPr>
                    <w:t>℃</w:t>
                  </w:r>
                </w:p>
              </w:tc>
              <w:tc>
                <w:tcPr>
                  <w:tcW w:w="600"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118.14728</w:t>
                  </w:r>
                  <w:r>
                    <w:rPr>
                      <w:color w:val="auto"/>
                      <w:szCs w:val="21"/>
                      <w:highlight w:val="none"/>
                    </w:rPr>
                    <w:t>°</w:t>
                  </w:r>
                </w:p>
              </w:tc>
              <w:tc>
                <w:tcPr>
                  <w:tcW w:w="618"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39.69236</w:t>
                  </w:r>
                  <w:r>
                    <w:rPr>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8"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kern w:val="0"/>
                      <w:szCs w:val="21"/>
                      <w:lang w:val="en-US" w:eastAsia="zh-CN" w:bidi="ar"/>
                    </w:rPr>
                  </w:pPr>
                  <w:r>
                    <w:rPr>
                      <w:color w:val="auto"/>
                      <w:szCs w:val="21"/>
                    </w:rPr>
                    <w:t>DA0</w:t>
                  </w:r>
                  <w:r>
                    <w:rPr>
                      <w:rFonts w:hint="eastAsia"/>
                      <w:color w:val="auto"/>
                      <w:szCs w:val="21"/>
                      <w:lang w:val="en-US" w:eastAsia="zh-CN"/>
                    </w:rPr>
                    <w:t>03</w:t>
                  </w:r>
                </w:p>
              </w:tc>
              <w:tc>
                <w:tcPr>
                  <w:tcW w:w="843"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rPr>
                  </w:pPr>
                  <w:r>
                    <w:rPr>
                      <w:rFonts w:hint="eastAsia"/>
                      <w:color w:val="auto"/>
                      <w:szCs w:val="21"/>
                    </w:rPr>
                    <w:t>固化</w:t>
                  </w:r>
                  <w:r>
                    <w:rPr>
                      <w:color w:val="auto"/>
                      <w:kern w:val="0"/>
                      <w:szCs w:val="21"/>
                      <w:lang w:bidi="ar"/>
                    </w:rPr>
                    <w:t>废气排气筒</w:t>
                  </w:r>
                </w:p>
              </w:tc>
              <w:tc>
                <w:tcPr>
                  <w:tcW w:w="534"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一般排</w:t>
                  </w:r>
                  <w:r>
                    <w:rPr>
                      <w:rFonts w:hint="eastAsia"/>
                      <w:color w:val="auto"/>
                      <w:kern w:val="0"/>
                      <w:szCs w:val="21"/>
                      <w:highlight w:val="none"/>
                      <w:lang w:bidi="ar"/>
                    </w:rPr>
                    <w:t>放</w:t>
                  </w:r>
                  <w:r>
                    <w:rPr>
                      <w:color w:val="auto"/>
                      <w:kern w:val="0"/>
                      <w:szCs w:val="21"/>
                      <w:highlight w:val="none"/>
                      <w:lang w:bidi="ar"/>
                    </w:rPr>
                    <w:t>口</w:t>
                  </w:r>
                </w:p>
              </w:tc>
              <w:tc>
                <w:tcPr>
                  <w:tcW w:w="525"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rFonts w:hint="eastAsia"/>
                      <w:color w:val="auto"/>
                      <w:kern w:val="0"/>
                      <w:szCs w:val="21"/>
                      <w:highlight w:val="none"/>
                      <w:lang w:val="en-US" w:eastAsia="zh-CN" w:bidi="ar"/>
                    </w:rPr>
                    <w:t>30</w:t>
                  </w:r>
                  <w:r>
                    <w:rPr>
                      <w:rFonts w:hint="eastAsia"/>
                      <w:color w:val="auto"/>
                      <w:kern w:val="0"/>
                      <w:szCs w:val="21"/>
                      <w:highlight w:val="none"/>
                      <w:lang w:bidi="ar"/>
                    </w:rPr>
                    <w:t>m</w:t>
                  </w:r>
                </w:p>
              </w:tc>
              <w:tc>
                <w:tcPr>
                  <w:tcW w:w="450"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w:t>
                  </w:r>
                  <w:r>
                    <w:rPr>
                      <w:rFonts w:hint="eastAsia"/>
                      <w:color w:val="auto"/>
                      <w:szCs w:val="21"/>
                      <w:highlight w:val="none"/>
                      <w:lang w:val="en-US" w:eastAsia="zh-CN"/>
                    </w:rPr>
                    <w:t>3</w:t>
                  </w:r>
                  <w:r>
                    <w:rPr>
                      <w:rFonts w:hint="eastAsia"/>
                      <w:color w:val="auto"/>
                      <w:szCs w:val="21"/>
                      <w:highlight w:val="none"/>
                    </w:rPr>
                    <w:t>m</w:t>
                  </w:r>
                </w:p>
              </w:tc>
              <w:tc>
                <w:tcPr>
                  <w:tcW w:w="900" w:type="pct"/>
                  <w:noWrap/>
                  <w:vAlign w:val="center"/>
                </w:tcPr>
                <w:p>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kern w:val="0"/>
                      <w:szCs w:val="21"/>
                      <w:highlight w:val="none"/>
                      <w:lang w:val="en-US" w:eastAsia="zh-CN" w:bidi="ar"/>
                    </w:rPr>
                    <w:t>60</w:t>
                  </w:r>
                  <w:r>
                    <w:rPr>
                      <w:color w:val="auto"/>
                      <w:kern w:val="0"/>
                      <w:szCs w:val="21"/>
                      <w:highlight w:val="none"/>
                      <w:lang w:bidi="ar"/>
                    </w:rPr>
                    <w:t>℃</w:t>
                  </w:r>
                  <w:r>
                    <w:rPr>
                      <w:rFonts w:hint="eastAsia"/>
                      <w:color w:val="auto"/>
                      <w:kern w:val="0"/>
                      <w:szCs w:val="21"/>
                      <w:highlight w:val="none"/>
                      <w:lang w:eastAsia="zh-CN" w:bidi="ar"/>
                    </w:rPr>
                    <w:t>（催化燃烧运行时的温度</w:t>
                  </w:r>
                  <w:r>
                    <w:rPr>
                      <w:rFonts w:hint="eastAsia"/>
                      <w:color w:val="auto"/>
                      <w:kern w:val="0"/>
                      <w:szCs w:val="21"/>
                      <w:highlight w:val="none"/>
                      <w:lang w:val="en-US" w:eastAsia="zh-CN" w:bidi="ar"/>
                    </w:rPr>
                    <w:t>280</w:t>
                  </w:r>
                  <w:r>
                    <w:rPr>
                      <w:color w:val="auto"/>
                      <w:kern w:val="0"/>
                      <w:szCs w:val="21"/>
                      <w:highlight w:val="none"/>
                      <w:lang w:bidi="ar"/>
                    </w:rPr>
                    <w:t>℃</w:t>
                  </w:r>
                  <w:r>
                    <w:rPr>
                      <w:rFonts w:hint="eastAsia"/>
                      <w:color w:val="auto"/>
                      <w:kern w:val="0"/>
                      <w:szCs w:val="21"/>
                      <w:highlight w:val="none"/>
                      <w:lang w:eastAsia="zh-CN" w:bidi="ar"/>
                    </w:rPr>
                    <w:t>）</w:t>
                  </w:r>
                </w:p>
              </w:tc>
              <w:tc>
                <w:tcPr>
                  <w:tcW w:w="600"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118.14728</w:t>
                  </w:r>
                  <w:r>
                    <w:rPr>
                      <w:color w:val="auto"/>
                      <w:szCs w:val="21"/>
                      <w:highlight w:val="none"/>
                    </w:rPr>
                    <w:t>°</w:t>
                  </w:r>
                </w:p>
              </w:tc>
              <w:tc>
                <w:tcPr>
                  <w:tcW w:w="618" w:type="pct"/>
                  <w:noWrap/>
                  <w:vAlign w:val="center"/>
                </w:tcPr>
                <w:p>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39.6923</w:t>
                  </w:r>
                  <w:r>
                    <w:rPr>
                      <w:rFonts w:hint="eastAsia"/>
                      <w:color w:val="auto"/>
                      <w:szCs w:val="21"/>
                      <w:highlight w:val="none"/>
                      <w:lang w:val="en-US" w:eastAsia="zh-CN"/>
                    </w:rPr>
                    <w:t>1</w:t>
                  </w:r>
                  <w:r>
                    <w:rPr>
                      <w:color w:val="auto"/>
                      <w:szCs w:val="21"/>
                      <w:highlight w:val="none"/>
                    </w:rPr>
                    <w:t>°</w:t>
                  </w:r>
                </w:p>
              </w:tc>
            </w:tr>
          </w:tbl>
          <w:p>
            <w:pPr>
              <w:pStyle w:val="11"/>
              <w:keepNext w:val="0"/>
              <w:keepLines w:val="0"/>
              <w:numPr>
                <w:ilvl w:val="0"/>
                <w:numId w:val="2"/>
              </w:numPr>
              <w:suppressLineNumbers w:val="0"/>
              <w:spacing w:before="0" w:beforeAutospacing="0" w:after="0" w:afterAutospacing="0" w:line="360" w:lineRule="auto"/>
              <w:ind w:left="0" w:right="0"/>
              <w:jc w:val="left"/>
              <w:rPr>
                <w:rFonts w:hint="eastAsia"/>
                <w:color w:val="auto"/>
              </w:rPr>
            </w:pPr>
            <w:r>
              <w:rPr>
                <w:rFonts w:hint="eastAsia"/>
                <w:color w:val="auto"/>
              </w:rPr>
              <w:t>监测方案</w:t>
            </w:r>
          </w:p>
          <w:p>
            <w:pPr>
              <w:pStyle w:val="11"/>
              <w:keepNext w:val="0"/>
              <w:keepLines w:val="0"/>
              <w:suppressLineNumbers w:val="0"/>
              <w:spacing w:before="0" w:beforeAutospacing="0" w:after="0" w:afterAutospacing="0" w:line="360" w:lineRule="auto"/>
              <w:ind w:left="0" w:right="0" w:firstLine="0"/>
              <w:jc w:val="center"/>
              <w:rPr>
                <w:color w:val="auto"/>
                <w:szCs w:val="21"/>
              </w:rPr>
            </w:pPr>
            <w:r>
              <w:rPr>
                <w:color w:val="auto"/>
                <w:szCs w:val="21"/>
              </w:rPr>
              <w:t>表</w:t>
            </w:r>
            <w:r>
              <w:rPr>
                <w:rFonts w:hint="eastAsia"/>
                <w:color w:val="auto"/>
                <w:szCs w:val="21"/>
                <w:lang w:val="en-US" w:eastAsia="zh-CN"/>
              </w:rPr>
              <w:t>34</w:t>
            </w:r>
            <w:r>
              <w:rPr>
                <w:color w:val="auto"/>
                <w:szCs w:val="21"/>
              </w:rPr>
              <w:t xml:space="preserve">  监测方案一览表</w:t>
            </w:r>
          </w:p>
          <w:tbl>
            <w:tblPr>
              <w:tblStyle w:val="3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1905"/>
              <w:gridCol w:w="1331"/>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监测点位</w:t>
                  </w: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监测因子</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监测频次</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kern w:val="0"/>
                      <w:szCs w:val="21"/>
                      <w:lang w:bidi="ar"/>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lang w:val="en-US" w:eastAsia="zh-CN"/>
                    </w:rPr>
                  </w:pPr>
                  <w:r>
                    <w:rPr>
                      <w:rFonts w:hint="eastAsia"/>
                      <w:color w:val="auto"/>
                      <w:szCs w:val="21"/>
                    </w:rPr>
                    <w:t>静电喷粉</w:t>
                  </w:r>
                  <w:r>
                    <w:rPr>
                      <w:color w:val="auto"/>
                      <w:kern w:val="0"/>
                      <w:szCs w:val="21"/>
                      <w:lang w:bidi="ar"/>
                    </w:rPr>
                    <w:t>废气排气筒DA0</w:t>
                  </w:r>
                  <w:r>
                    <w:rPr>
                      <w:rFonts w:hint="eastAsia"/>
                      <w:color w:val="auto"/>
                      <w:kern w:val="0"/>
                      <w:szCs w:val="21"/>
                      <w:lang w:val="en-US" w:eastAsia="zh-CN" w:bidi="ar"/>
                    </w:rPr>
                    <w:t>02</w:t>
                  </w: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颗粒物</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1次/</w:t>
                  </w:r>
                  <w:r>
                    <w:rPr>
                      <w:rFonts w:hint="eastAsia"/>
                      <w:color w:val="auto"/>
                      <w:kern w:val="0"/>
                      <w:szCs w:val="21"/>
                      <w:highlight w:val="none"/>
                      <w:lang w:bidi="ar"/>
                    </w:rPr>
                    <w:t>年</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szCs w:val="21"/>
                    </w:rPr>
                    <w:t>GB16297-1996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noWrap/>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szCs w:val="21"/>
                      <w:lang w:val="en-US" w:eastAsia="zh-CN"/>
                    </w:rPr>
                  </w:pPr>
                  <w:r>
                    <w:rPr>
                      <w:rFonts w:hint="eastAsia"/>
                      <w:color w:val="auto"/>
                      <w:szCs w:val="21"/>
                    </w:rPr>
                    <w:t>固化</w:t>
                  </w:r>
                  <w:r>
                    <w:rPr>
                      <w:color w:val="auto"/>
                      <w:kern w:val="0"/>
                      <w:szCs w:val="21"/>
                      <w:lang w:bidi="ar"/>
                    </w:rPr>
                    <w:t>废气排气筒DA0</w:t>
                  </w:r>
                  <w:r>
                    <w:rPr>
                      <w:rFonts w:hint="eastAsia"/>
                      <w:color w:val="auto"/>
                      <w:kern w:val="0"/>
                      <w:szCs w:val="21"/>
                      <w:lang w:val="en-US" w:eastAsia="zh-CN" w:bidi="ar"/>
                    </w:rPr>
                    <w:t>03</w:t>
                  </w: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szCs w:val="21"/>
                    </w:rPr>
                  </w:pPr>
                  <w:r>
                    <w:rPr>
                      <w:rFonts w:hint="eastAsia"/>
                      <w:color w:val="auto"/>
                      <w:szCs w:val="21"/>
                    </w:rPr>
                    <w:t>非甲烷总烃</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kern w:val="0"/>
                      <w:szCs w:val="21"/>
                      <w:highlight w:val="none"/>
                      <w:lang w:eastAsia="zh-CN" w:bidi="ar"/>
                    </w:rPr>
                  </w:pPr>
                  <w:r>
                    <w:rPr>
                      <w:color w:val="auto"/>
                      <w:kern w:val="0"/>
                      <w:szCs w:val="21"/>
                      <w:highlight w:val="none"/>
                      <w:lang w:bidi="ar"/>
                    </w:rPr>
                    <w:t>1次/</w:t>
                  </w:r>
                  <w:r>
                    <w:rPr>
                      <w:rFonts w:hint="eastAsia"/>
                      <w:color w:val="auto"/>
                      <w:kern w:val="0"/>
                      <w:szCs w:val="21"/>
                      <w:highlight w:val="none"/>
                      <w:lang w:val="en-US" w:eastAsia="zh-CN" w:bidi="ar"/>
                    </w:rPr>
                    <w:t>半年</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szCs w:val="21"/>
                    </w:rPr>
                    <w:t>DB13/2322-2016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vMerge w:val="restar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lang w:bidi="ar"/>
                    </w:rPr>
                  </w:pPr>
                  <w:r>
                    <w:rPr>
                      <w:rFonts w:hint="eastAsia"/>
                      <w:color w:val="auto"/>
                      <w:kern w:val="0"/>
                      <w:szCs w:val="21"/>
                      <w:lang w:bidi="ar"/>
                    </w:rPr>
                    <w:t>厂界</w:t>
                  </w: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颗粒物</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1次/</w:t>
                  </w:r>
                  <w:r>
                    <w:rPr>
                      <w:rFonts w:hint="eastAsia"/>
                      <w:color w:val="auto"/>
                      <w:kern w:val="0"/>
                      <w:szCs w:val="21"/>
                      <w:highlight w:val="none"/>
                      <w:lang w:bidi="ar"/>
                    </w:rPr>
                    <w:t>年</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szCs w:val="21"/>
                    </w:rPr>
                    <w:t>GB16297-1996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vMerge w:val="continue"/>
                  <w:noWrap/>
                  <w:vAlign w:val="center"/>
                </w:tcPr>
                <w:p>
                  <w:pPr>
                    <w:keepNext w:val="0"/>
                    <w:keepLines w:val="0"/>
                    <w:widowControl/>
                    <w:suppressLineNumbers w:val="0"/>
                    <w:spacing w:before="0" w:beforeAutospacing="0" w:after="0" w:afterAutospacing="0"/>
                    <w:ind w:left="0" w:right="0"/>
                    <w:jc w:val="center"/>
                    <w:textAlignment w:val="center"/>
                    <w:rPr>
                      <w:rFonts w:hint="eastAsia"/>
                      <w:color w:val="auto"/>
                      <w:kern w:val="0"/>
                      <w:szCs w:val="21"/>
                      <w:lang w:bidi="ar"/>
                    </w:rPr>
                  </w:pP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rFonts w:hint="eastAsia"/>
                      <w:color w:val="auto"/>
                      <w:szCs w:val="21"/>
                    </w:rPr>
                    <w:t>非甲烷总烃</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1次/</w:t>
                  </w:r>
                  <w:r>
                    <w:rPr>
                      <w:rFonts w:hint="eastAsia"/>
                      <w:color w:val="auto"/>
                      <w:kern w:val="0"/>
                      <w:szCs w:val="21"/>
                      <w:highlight w:val="none"/>
                      <w:lang w:bidi="ar"/>
                    </w:rPr>
                    <w:t>年</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szCs w:val="21"/>
                    </w:rPr>
                  </w:pPr>
                  <w:r>
                    <w:rPr>
                      <w:color w:val="auto"/>
                      <w:szCs w:val="21"/>
                    </w:rPr>
                    <w:t>DB13/2322-2016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88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lang w:bidi="ar"/>
                    </w:rPr>
                  </w:pPr>
                  <w:r>
                    <w:rPr>
                      <w:rFonts w:hint="eastAsia"/>
                      <w:color w:val="auto"/>
                      <w:kern w:val="0"/>
                      <w:szCs w:val="21"/>
                      <w:lang w:bidi="ar"/>
                    </w:rPr>
                    <w:t>厂区内</w:t>
                  </w:r>
                </w:p>
              </w:tc>
              <w:tc>
                <w:tcPr>
                  <w:tcW w:w="1188"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lang w:bidi="ar"/>
                    </w:rPr>
                  </w:pPr>
                  <w:r>
                    <w:rPr>
                      <w:rFonts w:hint="eastAsia"/>
                      <w:color w:val="auto"/>
                      <w:kern w:val="0"/>
                      <w:szCs w:val="21"/>
                      <w:lang w:bidi="ar"/>
                    </w:rPr>
                    <w:t>非甲烷总烃</w:t>
                  </w:r>
                </w:p>
              </w:tc>
              <w:tc>
                <w:tcPr>
                  <w:tcW w:w="83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highlight w:val="none"/>
                      <w:lang w:bidi="ar"/>
                    </w:rPr>
                  </w:pPr>
                  <w:r>
                    <w:rPr>
                      <w:color w:val="auto"/>
                      <w:kern w:val="0"/>
                      <w:szCs w:val="21"/>
                      <w:highlight w:val="none"/>
                      <w:lang w:bidi="ar"/>
                    </w:rPr>
                    <w:t>1次/</w:t>
                  </w:r>
                  <w:r>
                    <w:rPr>
                      <w:rFonts w:hint="eastAsia"/>
                      <w:color w:val="auto"/>
                      <w:kern w:val="0"/>
                      <w:szCs w:val="21"/>
                      <w:highlight w:val="none"/>
                      <w:lang w:bidi="ar"/>
                    </w:rPr>
                    <w:t>年</w:t>
                  </w:r>
                </w:p>
              </w:tc>
              <w:tc>
                <w:tcPr>
                  <w:tcW w:w="1100" w:type="pct"/>
                  <w:noWrap/>
                  <w:vAlign w:val="center"/>
                </w:tcPr>
                <w:p>
                  <w:pPr>
                    <w:keepNext w:val="0"/>
                    <w:keepLines w:val="0"/>
                    <w:widowControl/>
                    <w:suppressLineNumbers w:val="0"/>
                    <w:spacing w:before="0" w:beforeAutospacing="0" w:after="0" w:afterAutospacing="0"/>
                    <w:ind w:left="0" w:right="0"/>
                    <w:jc w:val="center"/>
                    <w:textAlignment w:val="center"/>
                    <w:rPr>
                      <w:color w:val="auto"/>
                      <w:kern w:val="0"/>
                      <w:szCs w:val="21"/>
                      <w:lang w:bidi="ar"/>
                    </w:rPr>
                  </w:pPr>
                  <w:r>
                    <w:rPr>
                      <w:color w:val="auto"/>
                      <w:szCs w:val="21"/>
                    </w:rPr>
                    <w:t>GB37822-2019</w:t>
                  </w:r>
                </w:p>
              </w:tc>
            </w:tr>
          </w:tbl>
          <w:p>
            <w:pPr>
              <w:pStyle w:val="11"/>
              <w:keepNext w:val="0"/>
              <w:keepLines w:val="0"/>
              <w:numPr>
                <w:ilvl w:val="0"/>
                <w:numId w:val="2"/>
              </w:numPr>
              <w:suppressLineNumbers w:val="0"/>
              <w:adjustRightInd w:val="0"/>
              <w:spacing w:before="0" w:beforeAutospacing="0" w:after="0" w:afterAutospacing="0" w:line="360" w:lineRule="auto"/>
              <w:ind w:left="0" w:right="0"/>
              <w:jc w:val="left"/>
              <w:rPr>
                <w:color w:val="auto"/>
                <w:szCs w:val="21"/>
              </w:rPr>
            </w:pPr>
            <w:r>
              <w:rPr>
                <w:color w:val="auto"/>
                <w:szCs w:val="21"/>
              </w:rPr>
              <w:t>非正常排放情况</w:t>
            </w:r>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cs="宋体"/>
                <w:color w:val="auto"/>
                <w:szCs w:val="21"/>
              </w:rPr>
            </w:pPr>
            <w:r>
              <w:rPr>
                <w:rFonts w:hint="eastAsia" w:ascii="宋体" w:hAnsi="宋体" w:cs="宋体"/>
                <w:color w:val="auto"/>
                <w:kern w:val="0"/>
                <w:szCs w:val="21"/>
                <w:lang w:bidi="ar"/>
              </w:rPr>
              <w:t>非正常生产情况是指系统开停车、停电、设备检修、系统出现异常以及管道泄漏、密封环损坏等情况。项目采用的生产工艺和治理设施较为先进、成熟可靠，因此在正常条件下，只要严格科学管理、精心操作，可避免污染事故的发生。</w:t>
            </w:r>
          </w:p>
          <w:p>
            <w:pPr>
              <w:pStyle w:val="11"/>
              <w:keepNext w:val="0"/>
              <w:keepLines w:val="0"/>
              <w:suppressLineNumbers w:val="0"/>
              <w:adjustRightInd w:val="0"/>
              <w:spacing w:before="0" w:beforeAutospacing="0" w:after="0" w:afterAutospacing="0" w:line="360" w:lineRule="auto"/>
              <w:ind w:left="0" w:right="0" w:firstLine="0"/>
              <w:jc w:val="center"/>
              <w:rPr>
                <w:rFonts w:hint="eastAsia"/>
                <w:color w:val="auto"/>
                <w:kern w:val="0"/>
                <w:szCs w:val="21"/>
              </w:rPr>
            </w:pPr>
            <w:r>
              <w:rPr>
                <w:rFonts w:hint="eastAsia"/>
                <w:color w:val="auto"/>
                <w:kern w:val="0"/>
                <w:szCs w:val="21"/>
              </w:rPr>
              <w:t>表</w:t>
            </w:r>
            <w:r>
              <w:rPr>
                <w:rFonts w:hint="eastAsia"/>
                <w:color w:val="auto"/>
                <w:kern w:val="0"/>
                <w:szCs w:val="21"/>
                <w:lang w:val="en-US" w:eastAsia="zh-CN"/>
              </w:rPr>
              <w:t>35</w:t>
            </w:r>
            <w:r>
              <w:rPr>
                <w:rFonts w:hint="eastAsia"/>
                <w:color w:val="auto"/>
                <w:kern w:val="0"/>
                <w:szCs w:val="21"/>
              </w:rPr>
              <w:t xml:space="preserve">  大气污染物非正常排放量核算表</w:t>
            </w:r>
          </w:p>
          <w:tbl>
            <w:tblPr>
              <w:tblStyle w:val="35"/>
              <w:tblW w:w="49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913"/>
              <w:gridCol w:w="1653"/>
              <w:gridCol w:w="810"/>
              <w:gridCol w:w="1050"/>
              <w:gridCol w:w="885"/>
              <w:gridCol w:w="735"/>
              <w:gridCol w:w="750"/>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序号</w:t>
                  </w:r>
                </w:p>
              </w:tc>
              <w:tc>
                <w:tcPr>
                  <w:tcW w:w="571"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污染源</w:t>
                  </w:r>
                </w:p>
              </w:tc>
              <w:tc>
                <w:tcPr>
                  <w:tcW w:w="1034"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非正常排放原因</w:t>
                  </w:r>
                </w:p>
              </w:tc>
              <w:tc>
                <w:tcPr>
                  <w:tcW w:w="506"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污染物</w:t>
                  </w:r>
                </w:p>
              </w:tc>
              <w:tc>
                <w:tcPr>
                  <w:tcW w:w="657"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非正常排放浓度(</w:t>
                  </w:r>
                  <w:r>
                    <w:rPr>
                      <w:color w:val="auto"/>
                      <w:szCs w:val="21"/>
                    </w:rPr>
                    <w:t>mg/m</w:t>
                  </w:r>
                  <w:r>
                    <w:rPr>
                      <w:color w:val="auto"/>
                      <w:szCs w:val="21"/>
                      <w:vertAlign w:val="superscript"/>
                    </w:rPr>
                    <w:t>3</w:t>
                  </w:r>
                  <w:r>
                    <w:rPr>
                      <w:bCs/>
                      <w:color w:val="auto"/>
                      <w:szCs w:val="21"/>
                    </w:rPr>
                    <w:t>)</w:t>
                  </w:r>
                </w:p>
              </w:tc>
              <w:tc>
                <w:tcPr>
                  <w:tcW w:w="553"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非正常排放速率(kg/h)</w:t>
                  </w:r>
                </w:p>
              </w:tc>
              <w:tc>
                <w:tcPr>
                  <w:tcW w:w="460"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单次持续时间(h)</w:t>
                  </w:r>
                </w:p>
              </w:tc>
              <w:tc>
                <w:tcPr>
                  <w:tcW w:w="469"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年发生频次（次）</w:t>
                  </w:r>
                </w:p>
              </w:tc>
              <w:tc>
                <w:tcPr>
                  <w:tcW w:w="463"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bCs/>
                      <w:color w:val="auto"/>
                      <w:szCs w:val="21"/>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82"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rFonts w:hint="eastAsia"/>
                      <w:bCs/>
                      <w:color w:val="auto"/>
                      <w:szCs w:val="21"/>
                    </w:rPr>
                    <w:t>1</w:t>
                  </w:r>
                </w:p>
              </w:tc>
              <w:tc>
                <w:tcPr>
                  <w:tcW w:w="571"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auto"/>
                      <w:kern w:val="0"/>
                      <w:szCs w:val="21"/>
                      <w:lang w:val="en-US" w:eastAsia="zh-CN"/>
                    </w:rPr>
                  </w:pPr>
                  <w:r>
                    <w:rPr>
                      <w:rFonts w:hint="eastAsia"/>
                      <w:color w:val="auto"/>
                      <w:szCs w:val="21"/>
                    </w:rPr>
                    <w:t>静电喷粉</w:t>
                  </w:r>
                  <w:r>
                    <w:rPr>
                      <w:color w:val="auto"/>
                      <w:kern w:val="0"/>
                      <w:szCs w:val="21"/>
                      <w:lang w:bidi="ar"/>
                    </w:rPr>
                    <w:t>废气排气筒</w:t>
                  </w:r>
                  <w:r>
                    <w:rPr>
                      <w:color w:val="auto"/>
                      <w:szCs w:val="21"/>
                    </w:rPr>
                    <w:t>DA0</w:t>
                  </w:r>
                  <w:r>
                    <w:rPr>
                      <w:rFonts w:hint="eastAsia"/>
                      <w:color w:val="auto"/>
                      <w:szCs w:val="21"/>
                      <w:lang w:val="en-US" w:eastAsia="zh-CN"/>
                    </w:rPr>
                    <w:t>02</w:t>
                  </w:r>
                </w:p>
              </w:tc>
              <w:tc>
                <w:tcPr>
                  <w:tcW w:w="1034" w:type="pct"/>
                  <w:noWrap w:val="0"/>
                  <w:vAlign w:val="center"/>
                </w:tcPr>
                <w:p>
                  <w:pPr>
                    <w:keepNext w:val="0"/>
                    <w:keepLines w:val="0"/>
                    <w:suppressLineNumbers w:val="0"/>
                    <w:snapToGrid w:val="0"/>
                    <w:spacing w:before="0" w:beforeAutospacing="0" w:after="0" w:afterAutospacing="0"/>
                    <w:ind w:left="0" w:right="0"/>
                    <w:jc w:val="center"/>
                    <w:rPr>
                      <w:color w:val="auto"/>
                      <w:kern w:val="0"/>
                      <w:szCs w:val="21"/>
                    </w:rPr>
                  </w:pPr>
                  <w:r>
                    <w:rPr>
                      <w:rFonts w:hint="eastAsia"/>
                      <w:color w:val="auto"/>
                      <w:szCs w:val="21"/>
                      <w:highlight w:val="none"/>
                      <w:lang w:eastAsia="zh-CN"/>
                    </w:rPr>
                    <w:t>滤筒除尘器+布袋除尘器</w:t>
                  </w:r>
                  <w:r>
                    <w:rPr>
                      <w:rFonts w:hint="eastAsia"/>
                      <w:color w:val="auto"/>
                      <w:szCs w:val="21"/>
                      <w:highlight w:val="none"/>
                    </w:rPr>
                    <w:t>+</w:t>
                  </w:r>
                  <w:r>
                    <w:rPr>
                      <w:rFonts w:hint="eastAsia"/>
                      <w:color w:val="auto"/>
                      <w:szCs w:val="21"/>
                      <w:highlight w:val="none"/>
                      <w:lang w:val="en-US" w:eastAsia="zh-CN"/>
                    </w:rPr>
                    <w:t>30</w:t>
                  </w:r>
                  <w:r>
                    <w:rPr>
                      <w:rFonts w:hint="eastAsia"/>
                      <w:color w:val="auto"/>
                      <w:szCs w:val="21"/>
                      <w:highlight w:val="none"/>
                    </w:rPr>
                    <w:t>m高排气筒</w:t>
                  </w:r>
                </w:p>
              </w:tc>
              <w:tc>
                <w:tcPr>
                  <w:tcW w:w="506"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eastAsia="宋体"/>
                      <w:color w:val="auto"/>
                      <w:lang w:val="en-US" w:eastAsia="zh-CN"/>
                    </w:rPr>
                  </w:pPr>
                  <w:r>
                    <w:rPr>
                      <w:rFonts w:hint="eastAsia"/>
                      <w:color w:val="auto"/>
                      <w:lang w:val="en-US" w:eastAsia="zh-CN"/>
                    </w:rPr>
                    <w:t>颗粒物</w:t>
                  </w:r>
                </w:p>
              </w:tc>
              <w:tc>
                <w:tcPr>
                  <w:tcW w:w="657" w:type="pct"/>
                  <w:noWrap w:val="0"/>
                  <w:vAlign w:val="center"/>
                </w:tcPr>
                <w:p>
                  <w:pPr>
                    <w:keepNext w:val="0"/>
                    <w:keepLines w:val="0"/>
                    <w:suppressLineNumbers w:val="0"/>
                    <w:snapToGrid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247.396</w:t>
                  </w:r>
                </w:p>
              </w:tc>
              <w:tc>
                <w:tcPr>
                  <w:tcW w:w="553" w:type="pct"/>
                  <w:noWrap w:val="0"/>
                  <w:vAlign w:val="center"/>
                </w:tcPr>
                <w:p>
                  <w:pPr>
                    <w:keepNext w:val="0"/>
                    <w:keepLines w:val="0"/>
                    <w:suppressLineNumbers w:val="0"/>
                    <w:snapToGrid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5.94</w:t>
                  </w:r>
                </w:p>
              </w:tc>
              <w:tc>
                <w:tcPr>
                  <w:tcW w:w="460"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bCs/>
                      <w:color w:val="auto"/>
                      <w:szCs w:val="21"/>
                      <w:highlight w:val="none"/>
                    </w:rPr>
                    <w:t>0.5</w:t>
                  </w:r>
                </w:p>
              </w:tc>
              <w:tc>
                <w:tcPr>
                  <w:tcW w:w="469"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bCs/>
                      <w:color w:val="auto"/>
                      <w:szCs w:val="21"/>
                      <w:highlight w:val="none"/>
                    </w:rPr>
                    <w:t>1</w:t>
                  </w:r>
                </w:p>
              </w:tc>
              <w:tc>
                <w:tcPr>
                  <w:tcW w:w="463" w:type="pct"/>
                  <w:vMerge w:val="restar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lang w:val="en-US" w:eastAsia="zh-CN" w:bidi="ar-SA"/>
                    </w:rPr>
                  </w:pPr>
                  <w:r>
                    <w:rPr>
                      <w:bCs/>
                      <w:color w:val="auto"/>
                      <w:szCs w:val="21"/>
                    </w:rPr>
                    <w:t>加强日常</w:t>
                  </w:r>
                  <w:r>
                    <w:rPr>
                      <w:rFonts w:hint="eastAsia"/>
                      <w:bCs/>
                      <w:color w:val="auto"/>
                      <w:szCs w:val="21"/>
                    </w:rPr>
                    <w:t>巡检，发现故障及时停运生产设备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82" w:type="pct"/>
                  <w:noWrap w:val="0"/>
                  <w:vAlign w:val="center"/>
                </w:tcPr>
                <w:p>
                  <w:pPr>
                    <w:keepNext w:val="0"/>
                    <w:keepLines w:val="0"/>
                    <w:suppressLineNumbers w:val="0"/>
                    <w:snapToGrid w:val="0"/>
                    <w:spacing w:before="0" w:beforeAutospacing="0" w:after="0" w:afterAutospacing="0"/>
                    <w:ind w:left="0" w:right="0"/>
                    <w:jc w:val="center"/>
                    <w:rPr>
                      <w:rFonts w:hint="eastAsia" w:eastAsia="宋体"/>
                      <w:bCs/>
                      <w:color w:val="auto"/>
                      <w:szCs w:val="21"/>
                      <w:lang w:val="en-US" w:eastAsia="zh-CN"/>
                    </w:rPr>
                  </w:pPr>
                  <w:r>
                    <w:rPr>
                      <w:rFonts w:hint="eastAsia"/>
                      <w:bCs/>
                      <w:color w:val="auto"/>
                      <w:szCs w:val="21"/>
                      <w:lang w:val="en-US" w:eastAsia="zh-CN"/>
                    </w:rPr>
                    <w:t>2</w:t>
                  </w:r>
                </w:p>
              </w:tc>
              <w:tc>
                <w:tcPr>
                  <w:tcW w:w="571"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0"/>
                      <w:sz w:val="21"/>
                      <w:szCs w:val="21"/>
                      <w:lang w:val="en-US" w:eastAsia="zh-CN" w:bidi="ar-SA"/>
                    </w:rPr>
                  </w:pPr>
                  <w:r>
                    <w:rPr>
                      <w:rFonts w:hint="eastAsia"/>
                      <w:color w:val="auto"/>
                      <w:szCs w:val="21"/>
                    </w:rPr>
                    <w:t>固化</w:t>
                  </w:r>
                  <w:r>
                    <w:rPr>
                      <w:color w:val="auto"/>
                      <w:kern w:val="0"/>
                      <w:szCs w:val="21"/>
                      <w:lang w:bidi="ar"/>
                    </w:rPr>
                    <w:t>废气排气筒DA0</w:t>
                  </w:r>
                  <w:r>
                    <w:rPr>
                      <w:rFonts w:hint="eastAsia"/>
                      <w:color w:val="auto"/>
                      <w:kern w:val="0"/>
                      <w:szCs w:val="21"/>
                      <w:lang w:val="en-US" w:eastAsia="zh-CN" w:bidi="ar"/>
                    </w:rPr>
                    <w:t>03</w:t>
                  </w:r>
                </w:p>
              </w:tc>
              <w:tc>
                <w:tcPr>
                  <w:tcW w:w="1034"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lang w:val="en-US" w:eastAsia="zh-CN" w:bidi="ar-SA"/>
                    </w:rPr>
                  </w:pPr>
                  <w:r>
                    <w:rPr>
                      <w:rFonts w:hint="eastAsia"/>
                      <w:color w:val="auto"/>
                      <w:szCs w:val="21"/>
                      <w:lang w:eastAsia="zh-CN"/>
                    </w:rPr>
                    <w:t>喷淋塔+干式过滤箱+活性炭吸附/脱附+催化燃烧装置</w:t>
                  </w:r>
                  <w:r>
                    <w:rPr>
                      <w:rFonts w:hint="eastAsia"/>
                      <w:bCs/>
                      <w:color w:val="auto"/>
                      <w:szCs w:val="21"/>
                    </w:rPr>
                    <w:t>故障，有机废气去除效率降低为50%</w:t>
                  </w:r>
                </w:p>
              </w:tc>
              <w:tc>
                <w:tcPr>
                  <w:tcW w:w="506" w:type="pct"/>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4"/>
                      <w:lang w:val="en-US" w:eastAsia="zh-CN" w:bidi="ar-SA"/>
                    </w:rPr>
                  </w:pPr>
                  <w:r>
                    <w:rPr>
                      <w:color w:val="auto"/>
                    </w:rPr>
                    <w:t>非甲烷总烃</w:t>
                  </w:r>
                </w:p>
              </w:tc>
              <w:tc>
                <w:tcPr>
                  <w:tcW w:w="657" w:type="pct"/>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9.2</w:t>
                  </w:r>
                </w:p>
              </w:tc>
              <w:tc>
                <w:tcPr>
                  <w:tcW w:w="553" w:type="pct"/>
                  <w:noWrap w:val="0"/>
                  <w:vAlign w:val="center"/>
                </w:tcPr>
                <w:p>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0.</w:t>
                  </w:r>
                  <w:r>
                    <w:rPr>
                      <w:rFonts w:hint="eastAsia"/>
                      <w:color w:val="auto"/>
                      <w:kern w:val="0"/>
                      <w:szCs w:val="21"/>
                      <w:highlight w:val="none"/>
                      <w:lang w:val="en-US" w:eastAsia="zh-CN"/>
                    </w:rPr>
                    <w:t>055</w:t>
                  </w:r>
                </w:p>
              </w:tc>
              <w:tc>
                <w:tcPr>
                  <w:tcW w:w="460"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bCs/>
                      <w:color w:val="auto"/>
                      <w:szCs w:val="21"/>
                      <w:highlight w:val="none"/>
                    </w:rPr>
                    <w:t>0.5</w:t>
                  </w:r>
                </w:p>
              </w:tc>
              <w:tc>
                <w:tcPr>
                  <w:tcW w:w="469"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bCs/>
                      <w:color w:val="auto"/>
                      <w:szCs w:val="21"/>
                      <w:highlight w:val="none"/>
                    </w:rPr>
                    <w:t>1</w:t>
                  </w:r>
                </w:p>
              </w:tc>
              <w:tc>
                <w:tcPr>
                  <w:tcW w:w="463" w:type="pct"/>
                  <w:vMerge w:val="continue"/>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lang w:val="en-US" w:eastAsia="zh-CN" w:bidi="ar-SA"/>
                    </w:rPr>
                  </w:pPr>
                </w:p>
              </w:tc>
            </w:tr>
          </w:tbl>
          <w:p>
            <w:pPr>
              <w:pStyle w:val="11"/>
              <w:keepNext w:val="0"/>
              <w:keepLines w:val="0"/>
              <w:suppressLineNumbers w:val="0"/>
              <w:adjustRightInd w:val="0"/>
              <w:snapToGrid w:val="0"/>
              <w:spacing w:before="0" w:beforeAutospacing="0" w:after="0" w:afterAutospacing="0" w:line="360" w:lineRule="auto"/>
              <w:ind w:left="0" w:right="0"/>
              <w:rPr>
                <w:rFonts w:hint="eastAsia"/>
                <w:color w:val="auto"/>
                <w:szCs w:val="21"/>
              </w:rPr>
            </w:pPr>
            <w:r>
              <w:rPr>
                <w:rFonts w:hint="eastAsia"/>
                <w:color w:val="auto"/>
                <w:szCs w:val="21"/>
              </w:rPr>
              <w:t>综上，废气经处理后可达标排放。</w:t>
            </w:r>
          </w:p>
          <w:p>
            <w:pPr>
              <w:pStyle w:val="11"/>
              <w:keepNext w:val="0"/>
              <w:keepLines w:val="0"/>
              <w:numPr>
                <w:ilvl w:val="0"/>
                <w:numId w:val="2"/>
              </w:numPr>
              <w:suppressLineNumbers w:val="0"/>
              <w:adjustRightInd w:val="0"/>
              <w:spacing w:before="0" w:beforeAutospacing="0" w:after="0" w:afterAutospacing="0" w:line="360" w:lineRule="auto"/>
              <w:ind w:left="0" w:right="0"/>
              <w:jc w:val="left"/>
              <w:rPr>
                <w:rFonts w:hint="default"/>
                <w:color w:val="auto"/>
                <w:szCs w:val="21"/>
                <w:lang w:val="en-US" w:eastAsia="zh-CN"/>
              </w:rPr>
            </w:pPr>
            <w:r>
              <w:rPr>
                <w:rFonts w:hint="eastAsia"/>
                <w:color w:val="auto"/>
                <w:szCs w:val="21"/>
                <w:lang w:val="en-US" w:eastAsia="zh-CN"/>
              </w:rPr>
              <w:t>有机废气治理设施分析</w:t>
            </w:r>
          </w:p>
          <w:p>
            <w:pPr>
              <w:pStyle w:val="11"/>
              <w:keepNext w:val="0"/>
              <w:keepLines w:val="0"/>
              <w:suppressLineNumbers w:val="0"/>
              <w:adjustRightInd w:val="0"/>
              <w:snapToGrid w:val="0"/>
              <w:spacing w:before="0" w:beforeAutospacing="0" w:after="0" w:afterAutospacing="0" w:line="360" w:lineRule="auto"/>
              <w:ind w:left="0" w:right="0"/>
              <w:rPr>
                <w:rFonts w:hint="default"/>
                <w:color w:val="auto"/>
                <w:szCs w:val="21"/>
                <w:highlight w:val="none"/>
                <w:lang w:val="en-US" w:eastAsia="zh-CN"/>
              </w:rPr>
            </w:pPr>
            <w:r>
              <w:rPr>
                <w:rFonts w:hint="eastAsia" w:ascii="Times New Roman" w:hAnsi="Times New Roman" w:eastAsia="宋体" w:cs="Times New Roman"/>
                <w:color w:val="auto"/>
                <w:szCs w:val="21"/>
              </w:rPr>
              <w:t>本项目以</w:t>
            </w:r>
            <w:r>
              <w:rPr>
                <w:rFonts w:hint="eastAsia" w:ascii="Times New Roman" w:hAnsi="Times New Roman" w:eastAsia="宋体" w:cs="Times New Roman"/>
                <w:color w:val="auto"/>
                <w:szCs w:val="21"/>
                <w:lang w:val="en-US" w:eastAsia="zh-CN"/>
              </w:rPr>
              <w:t>电</w:t>
            </w:r>
            <w:r>
              <w:rPr>
                <w:rFonts w:hint="eastAsia" w:ascii="Times New Roman" w:hAnsi="Times New Roman" w:eastAsia="宋体" w:cs="Times New Roman"/>
                <w:color w:val="auto"/>
                <w:szCs w:val="21"/>
              </w:rPr>
              <w:t>为固化工序提供热源，</w:t>
            </w:r>
            <w:r>
              <w:rPr>
                <w:rFonts w:hint="eastAsia" w:ascii="Times New Roman" w:hAnsi="Times New Roman" w:eastAsia="宋体" w:cs="Times New Roman"/>
                <w:color w:val="auto"/>
                <w:szCs w:val="21"/>
                <w:lang w:val="en-US" w:eastAsia="zh-CN"/>
              </w:rPr>
              <w:t>固化工序</w:t>
            </w:r>
            <w:r>
              <w:rPr>
                <w:rFonts w:hint="eastAsia" w:ascii="Times New Roman" w:hAnsi="Times New Roman" w:eastAsia="宋体" w:cs="Times New Roman"/>
                <w:color w:val="auto"/>
                <w:szCs w:val="21"/>
              </w:rPr>
              <w:t>废气经</w:t>
            </w:r>
            <w:r>
              <w:rPr>
                <w:rFonts w:hint="eastAsia" w:ascii="Times New Roman" w:hAnsi="Times New Roman" w:eastAsia="宋体" w:cs="Times New Roman"/>
                <w:color w:val="auto"/>
                <w:szCs w:val="21"/>
                <w:lang w:val="en-US" w:eastAsia="zh-CN"/>
              </w:rPr>
              <w:t>喷淋塔+干式过滤箱+活性炭吸附/脱附+催化燃烧装置</w:t>
            </w:r>
            <w:r>
              <w:rPr>
                <w:rFonts w:hint="eastAsia" w:ascii="Times New Roman" w:hAnsi="Times New Roman" w:eastAsia="宋体" w:cs="Times New Roman"/>
                <w:color w:val="auto"/>
                <w:szCs w:val="21"/>
              </w:rPr>
              <w:t>处理后通过1根</w:t>
            </w:r>
            <w:r>
              <w:rPr>
                <w:rFonts w:hint="eastAsia" w:ascii="Times New Roman" w:hAnsi="Times New Roman" w:eastAsia="宋体" w:cs="Times New Roman"/>
                <w:color w:val="auto"/>
                <w:szCs w:val="21"/>
                <w:lang w:val="en-US" w:eastAsia="zh-CN"/>
              </w:rPr>
              <w:t>30</w:t>
            </w:r>
            <w:r>
              <w:rPr>
                <w:rFonts w:hint="eastAsia" w:ascii="Times New Roman" w:hAnsi="Times New Roman" w:eastAsia="宋体" w:cs="Times New Roman"/>
                <w:color w:val="auto"/>
                <w:szCs w:val="21"/>
              </w:rPr>
              <w:t>m高排气筒（DA0</w:t>
            </w:r>
            <w:r>
              <w:rPr>
                <w:rFonts w:hint="eastAsia" w:ascii="Times New Roman" w:hAnsi="Times New Roman" w:eastAsia="宋体" w:cs="Times New Roman"/>
                <w:color w:val="auto"/>
                <w:szCs w:val="21"/>
                <w:lang w:val="en-US" w:eastAsia="zh-CN"/>
              </w:rPr>
              <w:t>03</w:t>
            </w:r>
            <w:r>
              <w:rPr>
                <w:rFonts w:hint="eastAsia" w:ascii="Times New Roman" w:hAnsi="Times New Roman" w:eastAsia="宋体" w:cs="Times New Roman"/>
                <w:color w:val="auto"/>
                <w:szCs w:val="21"/>
              </w:rPr>
              <w:t>）排放</w:t>
            </w:r>
            <w:r>
              <w:rPr>
                <w:rFonts w:hint="eastAsia"/>
                <w:color w:val="auto"/>
                <w:szCs w:val="21"/>
                <w:highlight w:val="none"/>
                <w:lang w:eastAsia="zh-CN"/>
              </w:rPr>
              <w:t>。</w:t>
            </w:r>
            <w:r>
              <w:rPr>
                <w:rFonts w:hint="eastAsia"/>
                <w:color w:val="auto"/>
                <w:szCs w:val="21"/>
                <w:highlight w:val="none"/>
                <w:lang w:val="en-US" w:eastAsia="zh-CN"/>
              </w:rPr>
              <w:t>根据《催化燃烧法工业有机废气治理工程技术规范》，本项目催化燃烧后高温气体与空气进行热交换，</w:t>
            </w:r>
            <w:r>
              <w:rPr>
                <w:rFonts w:hint="eastAsia" w:ascii="Times New Roman" w:hAnsi="Times New Roman" w:eastAsia="宋体" w:cs="Times New Roman"/>
                <w:sz w:val="21"/>
                <w:szCs w:val="21"/>
              </w:rPr>
              <w:t>有机废气催化燃烧处理工艺流程</w:t>
            </w:r>
            <w:r>
              <w:rPr>
                <w:rFonts w:hint="eastAsia"/>
                <w:color w:val="auto"/>
                <w:szCs w:val="21"/>
                <w:highlight w:val="none"/>
                <w:lang w:eastAsia="zh-CN"/>
              </w:rPr>
              <w:t>图</w:t>
            </w:r>
            <w:r>
              <w:rPr>
                <w:rFonts w:hint="eastAsia"/>
                <w:color w:val="auto"/>
                <w:szCs w:val="21"/>
                <w:highlight w:val="none"/>
                <w:lang w:val="en-US" w:eastAsia="zh-CN"/>
              </w:rPr>
              <w:t>如下：</w:t>
            </w:r>
          </w:p>
          <w:p>
            <w:pPr>
              <w:pStyle w:val="11"/>
              <w:keepNext w:val="0"/>
              <w:keepLines w:val="0"/>
              <w:suppressLineNumbers w:val="0"/>
              <w:adjustRightInd w:val="0"/>
              <w:snapToGrid w:val="0"/>
              <w:spacing w:before="0" w:beforeAutospacing="0" w:after="0" w:afterAutospacing="0" w:line="360" w:lineRule="auto"/>
              <w:ind w:left="0" w:leftChars="0" w:right="0" w:firstLine="0" w:firstLineChars="0"/>
              <w:rPr>
                <w:rFonts w:hint="eastAsia" w:ascii="Times New Roman" w:hAnsi="Times New Roman" w:eastAsia="宋体" w:cs="Times New Roman"/>
                <w:color w:val="auto"/>
                <w:szCs w:val="21"/>
                <w:lang w:val="en-US" w:eastAsia="zh-CN"/>
              </w:rPr>
            </w:pPr>
            <w:r>
              <w:drawing>
                <wp:inline distT="0" distB="0" distL="114300" distR="114300">
                  <wp:extent cx="5093970" cy="1423670"/>
                  <wp:effectExtent l="0" t="0" r="11430" b="5080"/>
                  <wp:docPr id="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0"/>
                          <pic:cNvPicPr>
                            <a:picLocks noChangeAspect="1"/>
                          </pic:cNvPicPr>
                        </pic:nvPicPr>
                        <pic:blipFill>
                          <a:blip r:embed="rId21"/>
                          <a:stretch>
                            <a:fillRect/>
                          </a:stretch>
                        </pic:blipFill>
                        <pic:spPr>
                          <a:xfrm>
                            <a:off x="0" y="0"/>
                            <a:ext cx="5093970" cy="1423670"/>
                          </a:xfrm>
                          <a:prstGeom prst="rect">
                            <a:avLst/>
                          </a:prstGeom>
                          <a:noFill/>
                          <a:ln>
                            <a:noFill/>
                          </a:ln>
                        </pic:spPr>
                      </pic:pic>
                    </a:graphicData>
                  </a:graphic>
                </wp:inline>
              </w:drawing>
            </w:r>
          </w:p>
          <w:p>
            <w:pPr>
              <w:pStyle w:val="11"/>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sz w:val="21"/>
                <w:szCs w:val="21"/>
                <w:lang w:val="en-US" w:eastAsia="zh-CN"/>
              </w:rPr>
              <w:t xml:space="preserve">图8 </w:t>
            </w:r>
            <w:r>
              <w:rPr>
                <w:rFonts w:hint="eastAsia" w:ascii="Times New Roman" w:hAnsi="Times New Roman" w:eastAsia="宋体" w:cs="Times New Roman"/>
                <w:sz w:val="21"/>
                <w:szCs w:val="21"/>
              </w:rPr>
              <w:t>有机废气催化燃烧处理工艺流程图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根据《</w:t>
            </w:r>
            <w:r>
              <w:rPr>
                <w:rFonts w:hint="eastAsia" w:ascii="Times New Roman" w:hAnsi="Times New Roman" w:eastAsia="宋体" w:cs="Times New Roman"/>
                <w:color w:val="auto"/>
                <w:kern w:val="2"/>
                <w:sz w:val="21"/>
                <w:szCs w:val="21"/>
                <w:lang w:val="en-US" w:eastAsia="zh-CN" w:bidi="ar-SA"/>
              </w:rPr>
              <w:t>河北省涉VOCs工业企业常用治理技术指南</w:t>
            </w:r>
            <w:r>
              <w:rPr>
                <w:rFonts w:hint="eastAsia" w:cs="Times New Roman"/>
                <w:color w:val="auto"/>
                <w:kern w:val="2"/>
                <w:sz w:val="21"/>
                <w:szCs w:val="21"/>
                <w:lang w:val="en-US" w:eastAsia="zh-CN" w:bidi="ar-SA"/>
              </w:rPr>
              <w:t>》要求：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②蜂窝状活性炭吸附单元：a.蜂窝活性炭层表观流速宜&lt;1.2m/s；b.吸附装置设计的总压力损失宜&lt;600Pa；c.蜂窝活性炭碘值&gt;650mg/g的，比表面积应不低于750m</w:t>
            </w:r>
            <w:r>
              <w:rPr>
                <w:rFonts w:hint="eastAsia" w:cs="Times New Roman"/>
                <w:color w:val="auto"/>
                <w:kern w:val="2"/>
                <w:sz w:val="21"/>
                <w:szCs w:val="21"/>
                <w:vertAlign w:val="superscript"/>
                <w:lang w:val="en-US" w:eastAsia="zh-CN" w:bidi="ar-SA"/>
              </w:rPr>
              <w:t>2</w:t>
            </w:r>
            <w:r>
              <w:rPr>
                <w:rFonts w:hint="eastAsia" w:cs="Times New Roman"/>
                <w:color w:val="auto"/>
                <w:kern w:val="2"/>
                <w:sz w:val="21"/>
                <w:szCs w:val="21"/>
                <w:lang w:val="en-US" w:eastAsia="zh-CN" w:bidi="ar-SA"/>
              </w:rPr>
              <w:t>/g；d.蜂窝状活性炭的横向强度不应&lt;0.3MPa,纵向强度不应低于0.8MPa；e.蜂窝活性炭填充量与每小时处理废气量体积之比应不小于1:5000，每1万Nm</w:t>
            </w:r>
            <w:r>
              <w:rPr>
                <w:rFonts w:hint="eastAsia" w:cs="Times New Roman"/>
                <w:color w:val="auto"/>
                <w:kern w:val="2"/>
                <w:sz w:val="21"/>
                <w:szCs w:val="21"/>
                <w:vertAlign w:val="superscript"/>
                <w:lang w:val="en-US" w:eastAsia="zh-CN" w:bidi="ar-SA"/>
              </w:rPr>
              <w:t>3</w:t>
            </w:r>
            <w:r>
              <w:rPr>
                <w:rFonts w:hint="eastAsia" w:cs="Times New Roman"/>
                <w:color w:val="auto"/>
                <w:kern w:val="2"/>
                <w:sz w:val="21"/>
                <w:szCs w:val="21"/>
                <w:lang w:val="en-US" w:eastAsia="zh-CN" w:bidi="ar-SA"/>
              </w:rPr>
              <w:t>/h废气处理蜂窝活性炭吸附截面积宜不小于2.3m</w:t>
            </w:r>
            <w:r>
              <w:rPr>
                <w:rFonts w:hint="eastAsia" w:cs="Times New Roman"/>
                <w:color w:val="auto"/>
                <w:kern w:val="2"/>
                <w:sz w:val="21"/>
                <w:szCs w:val="21"/>
                <w:vertAlign w:val="superscript"/>
                <w:lang w:val="en-US" w:eastAsia="zh-CN" w:bidi="ar-SA"/>
              </w:rPr>
              <w:t>2</w:t>
            </w:r>
            <w:r>
              <w:rPr>
                <w:rFonts w:hint="eastAsia" w:cs="Times New Roman"/>
                <w:color w:val="auto"/>
                <w:kern w:val="2"/>
                <w:sz w:val="21"/>
                <w:szCs w:val="21"/>
                <w:lang w:val="en-US" w:eastAsia="zh-CN" w:bidi="ar-SA"/>
              </w:rPr>
              <w:t>；f.活性炭层穿透厚度宜&gt;500mm。</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④催化燃烧炉：a.催化燃烧设备应具有保温措施，保证设备表面温度不高于60℃，并设置高温警示标识；b.催化剂应有质检部门出具的合格证明；c.使用温度不低于300℃,不宜超过450℃，并能承受900℃短期高温冲击；d.设计空速&gt;10000h</w:t>
            </w:r>
            <w:r>
              <w:rPr>
                <w:rFonts w:hint="eastAsia" w:cs="Times New Roman"/>
                <w:color w:val="auto"/>
                <w:kern w:val="2"/>
                <w:sz w:val="21"/>
                <w:szCs w:val="21"/>
                <w:vertAlign w:val="superscript"/>
                <w:lang w:val="en-US" w:eastAsia="zh-CN" w:bidi="ar-SA"/>
              </w:rPr>
              <w:t>-1</w:t>
            </w:r>
            <w:r>
              <w:rPr>
                <w:rFonts w:hint="eastAsia" w:cs="Times New Roman"/>
                <w:color w:val="auto"/>
                <w:kern w:val="2"/>
                <w:sz w:val="21"/>
                <w:szCs w:val="21"/>
                <w:lang w:val="en-US" w:eastAsia="zh-CN" w:bidi="ar-SA"/>
              </w:rPr>
              <w:t>，但不应&gt;40000h</w:t>
            </w:r>
            <w:r>
              <w:rPr>
                <w:rFonts w:hint="eastAsia" w:cs="Times New Roman"/>
                <w:color w:val="auto"/>
                <w:kern w:val="2"/>
                <w:sz w:val="21"/>
                <w:szCs w:val="21"/>
                <w:vertAlign w:val="superscript"/>
                <w:lang w:val="en-US" w:eastAsia="zh-CN" w:bidi="ar-SA"/>
              </w:rPr>
              <w:t>-1</w:t>
            </w:r>
            <w:r>
              <w:rPr>
                <w:rFonts w:hint="eastAsia" w:cs="Times New Roman"/>
                <w:color w:val="auto"/>
                <w:kern w:val="2"/>
                <w:sz w:val="21"/>
                <w:szCs w:val="21"/>
                <w:lang w:val="en-US" w:eastAsia="zh-CN" w:bidi="ar-SA"/>
              </w:rPr>
              <w:t>；e.使用贵金属(铂、钯等)催化剂时活性组分的含量≥0.1%，使用金属氧化物(铜、铬、锰等)催化剂时活性组含量≥5%；f.正常工况下，催化剂使用寿命不小于8500h；g.催化燃烧设备宜具有换热功能，换热效率不宜低于50%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jc w:val="both"/>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Cs w:val="21"/>
                <w:highlight w:val="none"/>
                <w:lang w:val="en-US" w:eastAsia="zh-CN"/>
              </w:rPr>
              <w:t>本项目</w:t>
            </w:r>
            <w:r>
              <w:rPr>
                <w:rFonts w:hint="eastAsia"/>
                <w:color w:val="auto"/>
                <w:szCs w:val="21"/>
                <w:highlight w:val="none"/>
                <w:lang w:eastAsia="zh-CN"/>
              </w:rPr>
              <w:t>有机废气处理</w:t>
            </w:r>
            <w:r>
              <w:rPr>
                <w:rFonts w:hint="eastAsia" w:ascii="Times New Roman" w:hAnsi="Times New Roman" w:eastAsia="宋体" w:cs="Times New Roman"/>
                <w:color w:val="auto"/>
                <w:kern w:val="2"/>
                <w:sz w:val="21"/>
                <w:szCs w:val="21"/>
                <w:lang w:val="en-US" w:eastAsia="zh-CN" w:bidi="ar-SA"/>
              </w:rPr>
              <w:t>工艺参数</w:t>
            </w:r>
            <w:r>
              <w:rPr>
                <w:rFonts w:hint="eastAsia" w:cs="Times New Roman"/>
                <w:color w:val="auto"/>
                <w:kern w:val="2"/>
                <w:sz w:val="21"/>
                <w:szCs w:val="21"/>
                <w:lang w:val="en-US" w:eastAsia="zh-CN" w:bidi="ar-SA"/>
              </w:rPr>
              <w:t>见表36，其中</w:t>
            </w:r>
            <w:r>
              <w:rPr>
                <w:rFonts w:hint="eastAsia" w:ascii="Times New Roman" w:hAnsi="Times New Roman" w:eastAsia="宋体" w:cs="Times New Roman"/>
                <w:color w:val="auto"/>
                <w:kern w:val="2"/>
                <w:sz w:val="21"/>
                <w:szCs w:val="21"/>
                <w:lang w:val="en-US" w:eastAsia="zh-CN" w:bidi="ar-SA"/>
              </w:rPr>
              <w:t>活性炭的性能指标</w:t>
            </w:r>
            <w:r>
              <w:rPr>
                <w:rFonts w:hint="eastAsia" w:cs="Times New Roman"/>
                <w:color w:val="auto"/>
                <w:kern w:val="2"/>
                <w:sz w:val="21"/>
                <w:szCs w:val="21"/>
                <w:lang w:val="en-US" w:eastAsia="zh-CN" w:bidi="ar-SA"/>
              </w:rPr>
              <w:t>为蜂窝状活性炭，碘值800，外形尺寸100*100*100，装填体积1立方米/每个箱体</w:t>
            </w:r>
            <w:r>
              <w:rPr>
                <w:rFonts w:hint="eastAsia" w:ascii="Times New Roman" w:hAnsi="Times New Roman" w:eastAsia="宋体" w:cs="Times New Roman"/>
                <w:color w:val="auto"/>
                <w:kern w:val="2"/>
                <w:sz w:val="21"/>
                <w:szCs w:val="21"/>
                <w:lang w:val="en-US" w:eastAsia="zh-CN" w:bidi="ar-SA"/>
              </w:rPr>
              <w:t>，更换周期</w:t>
            </w:r>
            <w:r>
              <w:rPr>
                <w:rFonts w:hint="eastAsia" w:cs="Times New Roman"/>
                <w:color w:val="auto"/>
                <w:kern w:val="2"/>
                <w:sz w:val="21"/>
                <w:szCs w:val="21"/>
                <w:lang w:val="en-US" w:eastAsia="zh-CN" w:bidi="ar-SA"/>
              </w:rPr>
              <w:t>为1次/年</w:t>
            </w:r>
            <w:r>
              <w:rPr>
                <w:rFonts w:hint="eastAsia" w:ascii="Times New Roman" w:hAnsi="Times New Roman" w:eastAsia="宋体" w:cs="Times New Roman"/>
                <w:color w:val="auto"/>
                <w:kern w:val="2"/>
                <w:sz w:val="21"/>
                <w:szCs w:val="21"/>
                <w:lang w:val="en-US" w:eastAsia="zh-CN" w:bidi="ar-SA"/>
              </w:rPr>
              <w:t>，辅助热源采用电加热，脱附风量</w:t>
            </w:r>
            <w:r>
              <w:rPr>
                <w:rFonts w:hint="eastAsia" w:cs="Times New Roman"/>
                <w:color w:val="auto"/>
                <w:kern w:val="2"/>
                <w:sz w:val="21"/>
                <w:szCs w:val="21"/>
                <w:lang w:val="en-US" w:eastAsia="zh-CN" w:bidi="ar-SA"/>
              </w:rPr>
              <w:t>为</w:t>
            </w:r>
            <w:r>
              <w:rPr>
                <w:rStyle w:val="95"/>
                <w:rFonts w:hint="eastAsia" w:ascii="Times New Roman" w:hAnsi="Times New Roman"/>
                <w:szCs w:val="21"/>
              </w:rPr>
              <w:t>20</w:t>
            </w:r>
            <w:r>
              <w:rPr>
                <w:rStyle w:val="95"/>
                <w:rFonts w:ascii="Times New Roman" w:hAnsi="Times New Roman" w:eastAsia="宋体"/>
                <w:szCs w:val="21"/>
              </w:rPr>
              <w:t>00m</w:t>
            </w:r>
            <w:r>
              <w:rPr>
                <w:rStyle w:val="95"/>
                <w:rFonts w:ascii="Times New Roman" w:hAnsi="Times New Roman" w:eastAsia="宋体"/>
                <w:szCs w:val="21"/>
                <w:vertAlign w:val="superscript"/>
              </w:rPr>
              <w:t>3</w:t>
            </w:r>
            <w:r>
              <w:rPr>
                <w:rStyle w:val="95"/>
                <w:rFonts w:ascii="Times New Roman" w:hAnsi="Times New Roman" w:eastAsia="宋体"/>
                <w:szCs w:val="21"/>
              </w:rPr>
              <w:t>/h</w:t>
            </w:r>
            <w:r>
              <w:rPr>
                <w:rFonts w:hint="eastAsia" w:cs="Times New Roman"/>
                <w:color w:val="auto"/>
                <w:kern w:val="2"/>
                <w:sz w:val="21"/>
                <w:szCs w:val="21"/>
                <w:lang w:val="en-US" w:eastAsia="zh-CN" w:bidi="ar-SA"/>
              </w:rPr>
              <w:t>。</w:t>
            </w:r>
          </w:p>
          <w:p>
            <w:pPr>
              <w:keepNext w:val="0"/>
              <w:keepLines w:val="0"/>
              <w:suppressLineNumbers w:val="0"/>
              <w:spacing w:before="0" w:beforeAutospacing="0" w:after="0" w:afterAutospacing="0"/>
              <w:ind w:left="0" w:right="0"/>
              <w:jc w:val="center"/>
              <w:rPr>
                <w:rFonts w:hint="eastAsia"/>
                <w:color w:val="auto"/>
                <w:szCs w:val="21"/>
                <w:highlight w:val="none"/>
                <w:lang w:eastAsia="zh-CN"/>
              </w:rPr>
            </w:pPr>
            <w:r>
              <w:rPr>
                <w:rFonts w:hint="eastAsia"/>
                <w:color w:val="auto"/>
                <w:szCs w:val="21"/>
                <w:highlight w:val="none"/>
                <w:lang w:val="en-US" w:eastAsia="zh-CN"/>
              </w:rPr>
              <w:t xml:space="preserve">表36  </w:t>
            </w:r>
            <w:r>
              <w:rPr>
                <w:rFonts w:hint="eastAsia"/>
                <w:color w:val="auto"/>
                <w:szCs w:val="21"/>
                <w:highlight w:val="none"/>
                <w:lang w:eastAsia="zh-CN"/>
              </w:rPr>
              <w:t>RCO催化燃烧在线装置明细表</w:t>
            </w:r>
          </w:p>
          <w:tbl>
            <w:tblPr>
              <w:tblStyle w:val="36"/>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770"/>
              <w:gridCol w:w="4920"/>
              <w:gridCol w:w="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color w:val="000000"/>
                      <w:kern w:val="2"/>
                      <w:sz w:val="21"/>
                      <w:szCs w:val="21"/>
                      <w:lang w:val="en-US" w:eastAsia="zh-CN" w:bidi="ar-SA"/>
                    </w:rPr>
                  </w:pPr>
                  <w:r>
                    <w:rPr>
                      <w:rStyle w:val="95"/>
                      <w:b/>
                      <w:color w:val="000000"/>
                      <w:sz w:val="21"/>
                      <w:szCs w:val="21"/>
                    </w:rPr>
                    <w:t>序号</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color w:val="000000"/>
                      <w:kern w:val="2"/>
                      <w:sz w:val="21"/>
                      <w:szCs w:val="21"/>
                      <w:lang w:val="en-US" w:eastAsia="zh-CN" w:bidi="ar-SA"/>
                    </w:rPr>
                  </w:pPr>
                  <w:r>
                    <w:rPr>
                      <w:rStyle w:val="95"/>
                      <w:b/>
                      <w:color w:val="000000"/>
                      <w:sz w:val="21"/>
                      <w:szCs w:val="21"/>
                    </w:rPr>
                    <w:t>设备名称</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color w:val="000000"/>
                      <w:kern w:val="2"/>
                      <w:sz w:val="21"/>
                      <w:szCs w:val="21"/>
                      <w:lang w:val="en-US" w:eastAsia="zh-CN" w:bidi="ar-SA"/>
                    </w:rPr>
                  </w:pPr>
                  <w:r>
                    <w:rPr>
                      <w:rStyle w:val="95"/>
                      <w:b/>
                      <w:color w:val="000000"/>
                      <w:sz w:val="21"/>
                      <w:szCs w:val="21"/>
                    </w:rPr>
                    <w:t>规格要求</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color w:val="000000"/>
                      <w:kern w:val="2"/>
                      <w:sz w:val="21"/>
                      <w:szCs w:val="21"/>
                      <w:lang w:val="en-US" w:eastAsia="zh-CN" w:bidi="ar-SA"/>
                    </w:rPr>
                  </w:pPr>
                  <w:r>
                    <w:rPr>
                      <w:rStyle w:val="95"/>
                      <w:b/>
                      <w:color w:val="000000"/>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1</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喷淋塔</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Φ1200×3500mm</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废气处理系统</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3000风量</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干式过滤箱</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Style w:val="95"/>
                      <w:color w:val="000000"/>
                      <w:kern w:val="0"/>
                      <w:szCs w:val="21"/>
                    </w:rPr>
                  </w:pPr>
                  <w:r>
                    <w:rPr>
                      <w:rStyle w:val="95"/>
                      <w:rFonts w:hint="eastAsia"/>
                      <w:color w:val="000000"/>
                      <w:kern w:val="0"/>
                      <w:szCs w:val="21"/>
                    </w:rPr>
                    <w:t>外形尺寸：1200*1000*1000</w:t>
                  </w:r>
                </w:p>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风量：</w:t>
                  </w:r>
                  <w:r>
                    <w:rPr>
                      <w:rStyle w:val="95"/>
                      <w:rFonts w:hint="eastAsia"/>
                      <w:color w:val="000000"/>
                      <w:kern w:val="0"/>
                      <w:szCs w:val="21"/>
                    </w:rPr>
                    <w:t>3000</w:t>
                  </w:r>
                  <w:r>
                    <w:rPr>
                      <w:rStyle w:val="95"/>
                      <w:color w:val="000000"/>
                      <w:kern w:val="0"/>
                      <w:szCs w:val="21"/>
                    </w:rPr>
                    <w:t>m</w:t>
                  </w:r>
                  <w:r>
                    <w:rPr>
                      <w:rStyle w:val="95"/>
                      <w:color w:val="000000"/>
                      <w:kern w:val="0"/>
                      <w:szCs w:val="21"/>
                      <w:vertAlign w:val="superscript"/>
                    </w:rPr>
                    <w:t>3</w:t>
                  </w:r>
                  <w:r>
                    <w:rPr>
                      <w:rStyle w:val="95"/>
                      <w:color w:val="000000"/>
                      <w:kern w:val="0"/>
                      <w:szCs w:val="21"/>
                    </w:rPr>
                    <w:t>/h  两级过滤</w:t>
                  </w:r>
                  <w:r>
                    <w:rPr>
                      <w:rStyle w:val="95"/>
                      <w:rFonts w:hint="eastAsia"/>
                      <w:color w:val="000000"/>
                      <w:kern w:val="0"/>
                      <w:szCs w:val="21"/>
                    </w:rPr>
                    <w:t>：一层G4玻纤过滤棉，一层F 7纤维过滤棉过滤</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4</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活性炭吸附床</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Style w:val="95"/>
                      <w:color w:val="000000"/>
                      <w:kern w:val="0"/>
                      <w:szCs w:val="21"/>
                    </w:rPr>
                  </w:pPr>
                  <w:r>
                    <w:rPr>
                      <w:rStyle w:val="95"/>
                      <w:rFonts w:hint="eastAsia"/>
                      <w:color w:val="000000"/>
                      <w:kern w:val="0"/>
                      <w:szCs w:val="21"/>
                    </w:rPr>
                    <w:t>外形尺寸：1500*1500</w:t>
                  </w:r>
                </w:p>
                <w:p>
                  <w:pPr>
                    <w:keepNext w:val="0"/>
                    <w:keepLines w:val="0"/>
                    <w:widowControl/>
                    <w:suppressLineNumbers w:val="0"/>
                    <w:spacing w:before="0" w:beforeAutospacing="0" w:after="0" w:afterAutospacing="0"/>
                    <w:ind w:left="0" w:right="0"/>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A3板静电喷涂，内衬为</w:t>
                  </w:r>
                  <w:r>
                    <w:rPr>
                      <w:rStyle w:val="95"/>
                      <w:rFonts w:hint="eastAsia"/>
                      <w:color w:val="000000"/>
                      <w:kern w:val="0"/>
                      <w:szCs w:val="21"/>
                    </w:rPr>
                    <w:t>T0.7mm</w:t>
                  </w:r>
                  <w:r>
                    <w:rPr>
                      <w:rStyle w:val="95"/>
                      <w:color w:val="000000"/>
                      <w:kern w:val="0"/>
                      <w:szCs w:val="21"/>
                    </w:rPr>
                    <w:t>镀锌板，热电偶1个</w:t>
                  </w:r>
                  <w:r>
                    <w:rPr>
                      <w:rStyle w:val="95"/>
                      <w:rFonts w:hint="eastAsia"/>
                      <w:color w:val="000000"/>
                      <w:kern w:val="0"/>
                      <w:szCs w:val="21"/>
                    </w:rPr>
                    <w:t>，</w:t>
                  </w:r>
                  <w:r>
                    <w:rPr>
                      <w:rStyle w:val="95"/>
                      <w:color w:val="000000"/>
                      <w:kern w:val="0"/>
                      <w:szCs w:val="21"/>
                    </w:rPr>
                    <w:t>保温岩棉厚度不低于50mm</w:t>
                  </w:r>
                  <w:r>
                    <w:rPr>
                      <w:rStyle w:val="95"/>
                      <w:rFonts w:hint="eastAsia"/>
                      <w:color w:val="000000"/>
                      <w:kern w:val="0"/>
                      <w:szCs w:val="21"/>
                    </w:rPr>
                    <w:t>，材质为高效岩棉。</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5</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蜂窝状活性炭</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蜂窝状活性炭，碘值800，外形尺寸100*100*100，</w:t>
                  </w:r>
                  <w:r>
                    <w:rPr>
                      <w:rStyle w:val="95"/>
                      <w:color w:val="000000"/>
                      <w:kern w:val="0"/>
                      <w:szCs w:val="21"/>
                    </w:rPr>
                    <w:t>装填体积1立方米</w:t>
                  </w:r>
                  <w:r>
                    <w:rPr>
                      <w:rStyle w:val="95"/>
                      <w:rFonts w:hint="eastAsia"/>
                      <w:color w:val="000000"/>
                      <w:kern w:val="0"/>
                      <w:szCs w:val="21"/>
                    </w:rPr>
                    <w:t>/每个箱体</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6</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吸附箱支架</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7</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平台</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8</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CO催化燃烧炉</w:t>
                  </w:r>
                  <w:r>
                    <w:rPr>
                      <w:rStyle w:val="95"/>
                      <w:rFonts w:hint="eastAsia"/>
                      <w:color w:val="000000"/>
                      <w:kern w:val="0"/>
                      <w:szCs w:val="21"/>
                    </w:rPr>
                    <w:t>1</w:t>
                  </w:r>
                  <w:r>
                    <w:rPr>
                      <w:rStyle w:val="95"/>
                      <w:color w:val="000000"/>
                      <w:kern w:val="0"/>
                      <w:szCs w:val="21"/>
                    </w:rPr>
                    <w:t>000m</w:t>
                  </w:r>
                  <w:r>
                    <w:rPr>
                      <w:rStyle w:val="95"/>
                      <w:color w:val="000000"/>
                      <w:kern w:val="0"/>
                      <w:szCs w:val="21"/>
                      <w:vertAlign w:val="superscript"/>
                    </w:rPr>
                    <w:t>3</w:t>
                  </w:r>
                  <w:r>
                    <w:rPr>
                      <w:rStyle w:val="95"/>
                      <w:color w:val="000000"/>
                      <w:kern w:val="0"/>
                      <w:szCs w:val="21"/>
                    </w:rPr>
                    <w:t>/h</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处理风量</w:t>
                  </w:r>
                  <w:r>
                    <w:rPr>
                      <w:rStyle w:val="95"/>
                      <w:rFonts w:hint="eastAsia"/>
                      <w:color w:val="000000"/>
                      <w:kern w:val="0"/>
                      <w:szCs w:val="21"/>
                    </w:rPr>
                    <w:t>1</w:t>
                  </w:r>
                  <w:r>
                    <w:rPr>
                      <w:rStyle w:val="95"/>
                      <w:color w:val="000000"/>
                      <w:kern w:val="0"/>
                      <w:szCs w:val="21"/>
                    </w:rPr>
                    <w:t>000m</w:t>
                  </w:r>
                  <w:r>
                    <w:rPr>
                      <w:rStyle w:val="95"/>
                      <w:rFonts w:hint="eastAsia"/>
                      <w:color w:val="000000"/>
                      <w:kern w:val="0"/>
                      <w:szCs w:val="21"/>
                      <w:vertAlign w:val="superscript"/>
                      <w:lang w:val="en-US" w:eastAsia="zh-CN"/>
                    </w:rPr>
                    <w:t>3</w:t>
                  </w:r>
                  <w:r>
                    <w:rPr>
                      <w:rStyle w:val="95"/>
                      <w:color w:val="000000"/>
                      <w:kern w:val="0"/>
                      <w:szCs w:val="21"/>
                    </w:rPr>
                    <w:t>/h；净化率95%；采用电加热，加热功率</w:t>
                  </w:r>
                  <w:r>
                    <w:rPr>
                      <w:rStyle w:val="95"/>
                      <w:rFonts w:hint="eastAsia"/>
                      <w:color w:val="000000"/>
                      <w:kern w:val="0"/>
                      <w:szCs w:val="21"/>
                    </w:rPr>
                    <w:t>42</w:t>
                  </w:r>
                  <w:r>
                    <w:rPr>
                      <w:rStyle w:val="95"/>
                      <w:color w:val="000000"/>
                      <w:kern w:val="0"/>
                      <w:szCs w:val="21"/>
                    </w:rPr>
                    <w:t>kW；外壳A3板静电喷涂，内保温岩棉厚度不少于100mm；</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9</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催化燃烧室预热换热器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1</w:t>
                  </w:r>
                  <w:r>
                    <w:rPr>
                      <w:rStyle w:val="95"/>
                      <w:rFonts w:hint="eastAsia"/>
                      <w:color w:val="000000"/>
                      <w:kern w:val="0"/>
                      <w:szCs w:val="21"/>
                    </w:rPr>
                    <w:t>0</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催化剂</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催化剂采用贵金属催化剂，</w:t>
                  </w:r>
                  <w:r>
                    <w:rPr>
                      <w:rStyle w:val="95"/>
                      <w:rFonts w:hint="eastAsia"/>
                      <w:color w:val="000000"/>
                      <w:kern w:val="0"/>
                      <w:szCs w:val="21"/>
                    </w:rPr>
                    <w:t>外形尺寸：100*100*50，</w:t>
                  </w:r>
                  <w:r>
                    <w:rPr>
                      <w:rStyle w:val="95"/>
                      <w:color w:val="000000"/>
                      <w:kern w:val="0"/>
                      <w:szCs w:val="21"/>
                    </w:rPr>
                    <w:t>催化剂装填量为0.</w:t>
                  </w:r>
                  <w:r>
                    <w:rPr>
                      <w:rStyle w:val="95"/>
                      <w:rFonts w:hint="eastAsia"/>
                      <w:color w:val="000000"/>
                      <w:kern w:val="0"/>
                      <w:szCs w:val="21"/>
                    </w:rPr>
                    <w:t>2</w:t>
                  </w:r>
                  <w:r>
                    <w:rPr>
                      <w:rStyle w:val="95"/>
                      <w:color w:val="000000"/>
                      <w:kern w:val="0"/>
                      <w:szCs w:val="21"/>
                    </w:rPr>
                    <w:t>m</w:t>
                  </w:r>
                  <w:r>
                    <w:rPr>
                      <w:rStyle w:val="95"/>
                      <w:rFonts w:hint="eastAsia"/>
                      <w:color w:val="000000"/>
                      <w:kern w:val="0"/>
                      <w:szCs w:val="21"/>
                      <w:vertAlign w:val="superscript"/>
                      <w:lang w:val="en-US" w:eastAsia="zh-CN"/>
                    </w:rPr>
                    <w:t>3</w:t>
                  </w:r>
                  <w:r>
                    <w:rPr>
                      <w:rStyle w:val="95"/>
                      <w:color w:val="000000"/>
                      <w:kern w:val="0"/>
                      <w:szCs w:val="21"/>
                    </w:rPr>
                    <w:t>；</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11</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防爆吸附</w:t>
                  </w:r>
                  <w:r>
                    <w:rPr>
                      <w:rStyle w:val="95"/>
                      <w:color w:val="000000"/>
                      <w:kern w:val="0"/>
                      <w:szCs w:val="21"/>
                    </w:rPr>
                    <w:t>风机</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离心风机，</w:t>
                  </w:r>
                  <w:r>
                    <w:rPr>
                      <w:rStyle w:val="95"/>
                      <w:color w:val="000000"/>
                      <w:kern w:val="0"/>
                      <w:szCs w:val="21"/>
                    </w:rPr>
                    <w:t>处理风量：Q=</w:t>
                  </w:r>
                  <w:r>
                    <w:rPr>
                      <w:rStyle w:val="95"/>
                      <w:rFonts w:hint="eastAsia"/>
                      <w:color w:val="000000"/>
                      <w:kern w:val="0"/>
                      <w:szCs w:val="21"/>
                    </w:rPr>
                    <w:t>3000</w:t>
                  </w:r>
                  <w:r>
                    <w:rPr>
                      <w:rStyle w:val="95"/>
                      <w:color w:val="000000"/>
                      <w:kern w:val="0"/>
                      <w:szCs w:val="21"/>
                    </w:rPr>
                    <w:t>m³/h 功率：</w:t>
                  </w:r>
                  <w:r>
                    <w:rPr>
                      <w:rStyle w:val="95"/>
                      <w:rFonts w:hint="eastAsia"/>
                      <w:color w:val="000000"/>
                      <w:kern w:val="0"/>
                      <w:szCs w:val="21"/>
                    </w:rPr>
                    <w:t>11</w:t>
                  </w:r>
                  <w:r>
                    <w:rPr>
                      <w:rStyle w:val="95"/>
                      <w:color w:val="000000"/>
                      <w:kern w:val="0"/>
                      <w:szCs w:val="21"/>
                    </w:rPr>
                    <w:t>kW</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eastAsia="宋体" w:cs="Times New Roman"/>
                      <w:color w:val="000000"/>
                      <w:kern w:val="0"/>
                      <w:szCs w:val="21"/>
                    </w:rPr>
                  </w:pPr>
                  <w:r>
                    <w:rPr>
                      <w:rStyle w:val="95"/>
                      <w:rFonts w:hint="eastAsia"/>
                      <w:color w:val="000000"/>
                      <w:kern w:val="0"/>
                      <w:szCs w:val="21"/>
                    </w:rPr>
                    <w:t>12</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Style w:val="95"/>
                      <w:rFonts w:hint="eastAsia"/>
                      <w:color w:val="000000"/>
                      <w:kern w:val="0"/>
                      <w:szCs w:val="21"/>
                    </w:rPr>
                  </w:pPr>
                  <w:r>
                    <w:rPr>
                      <w:rStyle w:val="95"/>
                      <w:rFonts w:hint="eastAsia"/>
                      <w:color w:val="000000"/>
                      <w:kern w:val="0"/>
                      <w:szCs w:val="21"/>
                    </w:rPr>
                    <w:t>防爆</w:t>
                  </w:r>
                  <w:r>
                    <w:rPr>
                      <w:rStyle w:val="95"/>
                      <w:color w:val="000000"/>
                      <w:kern w:val="0"/>
                      <w:szCs w:val="21"/>
                    </w:rPr>
                    <w:t>脱附风机</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Style w:val="95"/>
                      <w:rFonts w:hint="eastAsia"/>
                      <w:color w:val="000000"/>
                      <w:kern w:val="0"/>
                      <w:szCs w:val="21"/>
                    </w:rPr>
                  </w:pPr>
                  <w:r>
                    <w:rPr>
                      <w:rStyle w:val="95"/>
                      <w:rFonts w:ascii="Times New Roman" w:hAnsi="Times New Roman" w:eastAsia="宋体"/>
                      <w:szCs w:val="21"/>
                    </w:rPr>
                    <w:t>风压：</w:t>
                  </w:r>
                  <w:r>
                    <w:rPr>
                      <w:rStyle w:val="95"/>
                      <w:rFonts w:hint="eastAsia" w:ascii="Times New Roman" w:hAnsi="Times New Roman"/>
                      <w:szCs w:val="21"/>
                    </w:rPr>
                    <w:t>20</w:t>
                  </w:r>
                  <w:r>
                    <w:rPr>
                      <w:rStyle w:val="95"/>
                      <w:rFonts w:ascii="Times New Roman" w:hAnsi="Times New Roman" w:eastAsia="宋体"/>
                      <w:szCs w:val="21"/>
                    </w:rPr>
                    <w:t>00m</w:t>
                  </w:r>
                  <w:r>
                    <w:rPr>
                      <w:rStyle w:val="95"/>
                      <w:rFonts w:ascii="Times New Roman" w:hAnsi="Times New Roman" w:eastAsia="宋体"/>
                      <w:szCs w:val="21"/>
                      <w:vertAlign w:val="superscript"/>
                    </w:rPr>
                    <w:t>3</w:t>
                  </w:r>
                  <w:r>
                    <w:rPr>
                      <w:rStyle w:val="95"/>
                      <w:rFonts w:ascii="Times New Roman" w:hAnsi="Times New Roman" w:eastAsia="宋体"/>
                      <w:szCs w:val="21"/>
                    </w:rPr>
                    <w:t>/h 功率：≥</w:t>
                  </w:r>
                  <w:r>
                    <w:rPr>
                      <w:rStyle w:val="95"/>
                      <w:rFonts w:hint="eastAsia" w:ascii="Times New Roman" w:hAnsi="Times New Roman"/>
                      <w:szCs w:val="21"/>
                    </w:rPr>
                    <w:t>3</w:t>
                  </w:r>
                  <w:r>
                    <w:rPr>
                      <w:rStyle w:val="95"/>
                      <w:rFonts w:ascii="Times New Roman" w:hAnsi="Times New Roman" w:eastAsia="宋体"/>
                      <w:szCs w:val="21"/>
                    </w:rPr>
                    <w:t>kW</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Style w:val="95"/>
                      <w:rFonts w:hint="eastAsia"/>
                      <w:color w:val="000000"/>
                      <w:kern w:val="0"/>
                      <w:szCs w:val="21"/>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13</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Cs w:val="21"/>
                    </w:rPr>
                    <w:t>防爆补冷风机</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ascii="Times New Roman" w:hAnsi="Times New Roman" w:eastAsia="宋体" w:cs="Times New Roman"/>
                      <w:szCs w:val="21"/>
                    </w:rPr>
                    <w:t>风量：</w:t>
                  </w:r>
                  <w:r>
                    <w:rPr>
                      <w:rFonts w:hint="eastAsia" w:ascii="Times New Roman" w:hAnsi="Times New Roman" w:cs="Times New Roman"/>
                      <w:szCs w:val="21"/>
                    </w:rPr>
                    <w:t>20</w:t>
                  </w:r>
                  <w:r>
                    <w:rPr>
                      <w:rFonts w:ascii="Times New Roman" w:hAnsi="Times New Roman" w:eastAsia="宋体" w:cs="Times New Roman"/>
                      <w:szCs w:val="21"/>
                    </w:rPr>
                    <w:t>00m</w:t>
                  </w:r>
                  <w:r>
                    <w:rPr>
                      <w:rFonts w:ascii="Times New Roman" w:hAnsi="Times New Roman" w:eastAsia="宋体" w:cs="Times New Roman"/>
                      <w:szCs w:val="21"/>
                      <w:vertAlign w:val="superscript"/>
                    </w:rPr>
                    <w:t>3</w:t>
                  </w:r>
                  <w:r>
                    <w:rPr>
                      <w:rFonts w:ascii="Times New Roman" w:hAnsi="Times New Roman" w:eastAsia="宋体" w:cs="Times New Roman"/>
                      <w:szCs w:val="21"/>
                    </w:rPr>
                    <w:t>/h 功率：≥</w:t>
                  </w:r>
                  <w:r>
                    <w:rPr>
                      <w:rFonts w:hint="eastAsia" w:ascii="Times New Roman" w:hAnsi="Times New Roman" w:eastAsia="宋体" w:cs="Times New Roman"/>
                      <w:szCs w:val="21"/>
                    </w:rPr>
                    <w:t>2.2</w:t>
                  </w:r>
                  <w:r>
                    <w:rPr>
                      <w:rFonts w:hint="eastAsia" w:ascii="Times New Roman" w:hAnsi="Times New Roman" w:cs="Times New Roman"/>
                      <w:szCs w:val="21"/>
                    </w:rPr>
                    <w:t>kW</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eastAsia="宋体" w:cs="Times New Roman"/>
                      <w:color w:val="000000"/>
                      <w:kern w:val="0"/>
                      <w:szCs w:val="21"/>
                    </w:rPr>
                  </w:pPr>
                  <w:r>
                    <w:rPr>
                      <w:rFonts w:hint="eastAsia" w:eastAsia="宋体" w:cs="Times New Roman"/>
                      <w:color w:val="000000"/>
                      <w:kern w:val="0"/>
                      <w:szCs w:val="21"/>
                    </w:rPr>
                    <w:t>14</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Cs w:val="21"/>
                    </w:rPr>
                  </w:pPr>
                  <w:r>
                    <w:rPr>
                      <w:rStyle w:val="95"/>
                      <w:rFonts w:hint="eastAsia"/>
                      <w:color w:val="000000"/>
                      <w:kern w:val="0"/>
                      <w:szCs w:val="21"/>
                    </w:rPr>
                    <w:t>风机转换接口箱</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szCs w:val="21"/>
                    </w:rPr>
                  </w:pPr>
                  <w:r>
                    <w:rPr>
                      <w:rStyle w:val="95"/>
                      <w:rFonts w:hint="eastAsia" w:ascii="Times New Roman" w:hAnsi="Times New Roman"/>
                      <w:color w:val="000000"/>
                      <w:kern w:val="0"/>
                      <w:szCs w:val="21"/>
                    </w:rPr>
                    <w:t>尺寸按风机标准配置</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Cs w:val="21"/>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15</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仪表阀门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标准</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16</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防爆吸附</w:t>
                  </w:r>
                  <w:r>
                    <w:rPr>
                      <w:rStyle w:val="95"/>
                      <w:color w:val="000000"/>
                      <w:kern w:val="0"/>
                      <w:szCs w:val="21"/>
                    </w:rPr>
                    <w:t>阀门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500*500</w:t>
                  </w:r>
                  <w:r>
                    <w:rPr>
                      <w:rStyle w:val="95"/>
                      <w:color w:val="000000"/>
                      <w:kern w:val="0"/>
                      <w:szCs w:val="21"/>
                    </w:rPr>
                    <w:t>开关量蝶阀、品牌执行器</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17</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防爆脱附</w:t>
                  </w:r>
                  <w:r>
                    <w:rPr>
                      <w:rStyle w:val="95"/>
                      <w:color w:val="000000"/>
                      <w:kern w:val="0"/>
                      <w:szCs w:val="21"/>
                    </w:rPr>
                    <w:t>阀门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Φ</w:t>
                  </w:r>
                  <w:r>
                    <w:rPr>
                      <w:rStyle w:val="95"/>
                      <w:rFonts w:hint="eastAsia"/>
                      <w:color w:val="000000"/>
                      <w:kern w:val="0"/>
                      <w:szCs w:val="21"/>
                    </w:rPr>
                    <w:t>165</w:t>
                  </w:r>
                  <w:r>
                    <w:rPr>
                      <w:rStyle w:val="95"/>
                      <w:color w:val="000000"/>
                      <w:kern w:val="0"/>
                      <w:szCs w:val="21"/>
                    </w:rPr>
                    <w:t>开关量蝶阀、品牌执行器</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18</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w:t>
                  </w:r>
                  <w:r>
                    <w:rPr>
                      <w:rStyle w:val="95"/>
                      <w:color w:val="000000"/>
                      <w:kern w:val="0"/>
                      <w:szCs w:val="21"/>
                    </w:rPr>
                    <w:t>电动阀门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模拟量蝶阀、品牌执行器</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19</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脱附管道</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采用</w:t>
                  </w:r>
                  <w:r>
                    <w:rPr>
                      <w:rStyle w:val="95"/>
                      <w:rFonts w:hint="eastAsia"/>
                      <w:color w:val="000000"/>
                      <w:kern w:val="0"/>
                      <w:szCs w:val="21"/>
                    </w:rPr>
                    <w:t>1</w:t>
                  </w:r>
                  <w:r>
                    <w:rPr>
                      <w:rStyle w:val="95"/>
                      <w:color w:val="000000"/>
                      <w:kern w:val="0"/>
                      <w:szCs w:val="21"/>
                    </w:rPr>
                    <w:t>.</w:t>
                  </w:r>
                  <w:r>
                    <w:rPr>
                      <w:rStyle w:val="95"/>
                      <w:rFonts w:hint="eastAsia"/>
                      <w:color w:val="000000"/>
                      <w:kern w:val="0"/>
                      <w:szCs w:val="21"/>
                    </w:rPr>
                    <w:t>5</w:t>
                  </w:r>
                  <w:r>
                    <w:rPr>
                      <w:rStyle w:val="95"/>
                      <w:color w:val="000000"/>
                      <w:kern w:val="0"/>
                      <w:szCs w:val="21"/>
                    </w:rPr>
                    <w:t>厚Q235碳钢管</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20</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阻火器</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直径250</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21</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热电偶</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高温热电偶（量程0~800℃）</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5</w:t>
                  </w:r>
                  <w:r>
                    <w:rPr>
                      <w:rStyle w:val="95"/>
                      <w:color w:val="000000"/>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22</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触摸屏</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7寸</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23</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防爆片</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DN50</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24</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喷淋头</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高效</w:t>
                  </w:r>
                  <w:r>
                    <w:rPr>
                      <w:rStyle w:val="95"/>
                      <w:color w:val="000000"/>
                      <w:kern w:val="0"/>
                      <w:szCs w:val="21"/>
                    </w:rPr>
                    <w:t>消防喷头</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25</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控制系统</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26</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防爆控制柜</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控制</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27</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PLC 控制系统</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电子元器</w:t>
                  </w:r>
                  <w:r>
                    <w:rPr>
                      <w:rStyle w:val="95"/>
                      <w:rFonts w:hint="eastAsia"/>
                      <w:color w:val="000000"/>
                      <w:kern w:val="0"/>
                      <w:szCs w:val="21"/>
                    </w:rPr>
                    <w:t>采用：</w:t>
                  </w:r>
                  <w:r>
                    <w:rPr>
                      <w:rStyle w:val="95"/>
                      <w:color w:val="000000"/>
                      <w:kern w:val="0"/>
                      <w:szCs w:val="21"/>
                    </w:rPr>
                    <w:t>正泰</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28</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低压元器件</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电子元器</w:t>
                  </w:r>
                  <w:r>
                    <w:rPr>
                      <w:rStyle w:val="95"/>
                      <w:rFonts w:hint="eastAsia"/>
                      <w:color w:val="000000"/>
                      <w:kern w:val="0"/>
                      <w:szCs w:val="21"/>
                    </w:rPr>
                    <w:t>采用：</w:t>
                  </w:r>
                  <w:r>
                    <w:rPr>
                      <w:rStyle w:val="95"/>
                      <w:color w:val="000000"/>
                      <w:kern w:val="0"/>
                      <w:szCs w:val="21"/>
                    </w:rPr>
                    <w:t>正泰</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29</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电缆</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动力线缆及信号线缆</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30</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电气辅件</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包含各种配套设备用软管，软管接头，软管端子等</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31</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桥架及固定</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配套设备用</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32</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color w:val="000000"/>
                      <w:kern w:val="0"/>
                      <w:szCs w:val="21"/>
                    </w:rPr>
                    <w:t>吸附管道</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3000</w:t>
                  </w:r>
                  <w:r>
                    <w:rPr>
                      <w:rStyle w:val="95"/>
                      <w:color w:val="000000"/>
                      <w:kern w:val="0"/>
                      <w:szCs w:val="21"/>
                    </w:rPr>
                    <w:t>m³/h 采用2.0厚Q235</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Style w:val="95"/>
                      <w:rFonts w:hint="eastAsia"/>
                      <w:color w:val="000000"/>
                      <w:kern w:val="0"/>
                      <w:szCs w:val="21"/>
                    </w:rPr>
                    <w:t>1</w:t>
                  </w:r>
                  <w:r>
                    <w:rPr>
                      <w:rStyle w:val="95"/>
                      <w:color w:val="000000"/>
                      <w:kern w:val="0"/>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33</w:t>
                  </w:r>
                </w:p>
              </w:tc>
              <w:tc>
                <w:tcPr>
                  <w:tcW w:w="177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脱附管道</w:t>
                  </w:r>
                </w:p>
              </w:tc>
              <w:tc>
                <w:tcPr>
                  <w:tcW w:w="4920"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直径165</w:t>
                  </w:r>
                </w:p>
              </w:tc>
              <w:tc>
                <w:tcPr>
                  <w:tcW w:w="664" w:type="dxa"/>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eastAsia="宋体" w:cs="Times New Roman"/>
                      <w:color w:val="000000"/>
                      <w:kern w:val="0"/>
                      <w:szCs w:val="21"/>
                    </w:rPr>
                    <w:t>1套</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jc w:val="both"/>
              <w:textAlignment w:val="auto"/>
              <w:outlineLvl w:val="3"/>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2、水环境影响及保护措施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snapToGrid w:val="0"/>
                <w:color w:val="auto"/>
                <w:kern w:val="0"/>
                <w:sz w:val="21"/>
                <w:szCs w:val="21"/>
              </w:rPr>
            </w:pPr>
            <w:r>
              <w:rPr>
                <w:rFonts w:hint="eastAsia" w:ascii="Times New Roman" w:hAnsi="Times New Roman" w:eastAsia="宋体" w:cs="Times New Roman"/>
                <w:snapToGrid w:val="0"/>
                <w:color w:val="auto"/>
                <w:kern w:val="0"/>
                <w:sz w:val="21"/>
                <w:szCs w:val="21"/>
              </w:rPr>
              <w:t>本</w:t>
            </w:r>
            <w:r>
              <w:rPr>
                <w:rFonts w:hint="eastAsia" w:cs="Times New Roman"/>
                <w:snapToGrid w:val="0"/>
                <w:color w:val="auto"/>
                <w:kern w:val="0"/>
                <w:sz w:val="21"/>
                <w:szCs w:val="21"/>
                <w:lang w:val="en-US" w:eastAsia="zh-CN"/>
              </w:rPr>
              <w:t>项目水压试验</w:t>
            </w:r>
            <w:r>
              <w:rPr>
                <w:rFonts w:hint="eastAsia" w:ascii="Times New Roman" w:hAnsi="Times New Roman" w:eastAsia="宋体" w:cs="Times New Roman"/>
                <w:snapToGrid w:val="0"/>
                <w:color w:val="auto"/>
                <w:kern w:val="0"/>
                <w:sz w:val="21"/>
                <w:szCs w:val="21"/>
                <w:highlight w:val="none"/>
              </w:rPr>
              <w:t>用水</w:t>
            </w:r>
            <w:r>
              <w:rPr>
                <w:rFonts w:hint="eastAsia" w:cs="Times New Roman"/>
                <w:snapToGrid w:val="0"/>
                <w:color w:val="auto"/>
                <w:kern w:val="0"/>
                <w:sz w:val="21"/>
                <w:szCs w:val="21"/>
                <w:highlight w:val="none"/>
                <w:lang w:eastAsia="zh-CN"/>
              </w:rPr>
              <w:t>、</w:t>
            </w:r>
            <w:r>
              <w:rPr>
                <w:rFonts w:hint="eastAsia" w:cs="Times New Roman"/>
                <w:snapToGrid w:val="0"/>
                <w:color w:val="auto"/>
                <w:kern w:val="0"/>
                <w:sz w:val="21"/>
                <w:szCs w:val="21"/>
                <w:highlight w:val="none"/>
                <w:lang w:val="en-US" w:eastAsia="zh-CN"/>
              </w:rPr>
              <w:t>喷淋塔用水</w:t>
            </w:r>
            <w:r>
              <w:rPr>
                <w:rFonts w:hint="eastAsia" w:ascii="Times New Roman" w:hAnsi="Times New Roman" w:eastAsia="宋体" w:cs="Times New Roman"/>
                <w:snapToGrid w:val="0"/>
                <w:color w:val="auto"/>
                <w:kern w:val="0"/>
                <w:sz w:val="21"/>
                <w:szCs w:val="21"/>
                <w:highlight w:val="none"/>
              </w:rPr>
              <w:t>循环使用，定期补充，</w:t>
            </w:r>
            <w:r>
              <w:rPr>
                <w:rFonts w:hint="eastAsia" w:cs="Times New Roman"/>
                <w:snapToGrid w:val="0"/>
                <w:color w:val="auto"/>
                <w:kern w:val="0"/>
                <w:sz w:val="21"/>
                <w:szCs w:val="21"/>
                <w:highlight w:val="none"/>
                <w:lang w:val="en-US" w:eastAsia="zh-CN"/>
              </w:rPr>
              <w:t>不外排</w:t>
            </w:r>
            <w:r>
              <w:rPr>
                <w:rFonts w:hint="eastAsia" w:ascii="Times New Roman" w:hAnsi="Times New Roman" w:eastAsia="宋体" w:cs="Times New Roman"/>
                <w:snapToGrid w:val="0"/>
                <w:color w:val="auto"/>
                <w:kern w:val="0"/>
                <w:sz w:val="21"/>
                <w:szCs w:val="21"/>
                <w:highlight w:val="none"/>
              </w:rPr>
              <w:t>；</w:t>
            </w:r>
            <w:r>
              <w:rPr>
                <w:rFonts w:hint="eastAsia" w:ascii="Times New Roman" w:hAnsi="Times New Roman" w:eastAsia="宋体" w:cs="Times New Roman"/>
                <w:snapToGrid w:val="0"/>
                <w:color w:val="auto"/>
                <w:kern w:val="0"/>
                <w:sz w:val="21"/>
                <w:szCs w:val="21"/>
              </w:rPr>
              <w:t>项目不新增劳动定员，无生活污水产生，因此项目无废水外排。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综上，本项目对周围地表水环境的影响可接受。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jc w:val="both"/>
              <w:textAlignment w:val="auto"/>
              <w:outlineLvl w:val="3"/>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3、声环境影响及保护措施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snapToGrid w:val="0"/>
                <w:color w:val="auto"/>
                <w:sz w:val="21"/>
                <w:szCs w:val="21"/>
                <w:lang w:val="en-US" w:eastAsia="zh-CN" w:bidi="ar-SA"/>
              </w:rPr>
            </w:pPr>
            <w:r>
              <w:rPr>
                <w:rFonts w:hint="eastAsia" w:cs="Times New Roman"/>
                <w:color w:val="auto"/>
                <w:sz w:val="21"/>
                <w:szCs w:val="21"/>
                <w:lang w:val="en-US" w:eastAsia="zh-CN" w:bidi="ar-SA"/>
              </w:rPr>
              <w:t>本项目主</w:t>
            </w:r>
            <w:r>
              <w:rPr>
                <w:rFonts w:hint="eastAsia" w:cs="Times New Roman"/>
                <w:color w:val="auto"/>
                <w:sz w:val="21"/>
                <w:szCs w:val="21"/>
                <w:highlight w:val="none"/>
                <w:lang w:val="en-US" w:eastAsia="zh-CN" w:bidi="ar-SA"/>
              </w:rPr>
              <w:t>要增加了带锯床、雕刻机、布料机、车床、静电喷涂设备、切割机、钻床、普通车床、数控车床等设备，采用低噪声设备、密闭车间、安装减震基础等措施。</w:t>
            </w:r>
            <w:r>
              <w:rPr>
                <w:rFonts w:hint="default" w:ascii="Times New Roman" w:hAnsi="Times New Roman" w:eastAsia="宋体" w:cs="Times New Roman"/>
                <w:color w:val="auto"/>
                <w:sz w:val="21"/>
                <w:szCs w:val="21"/>
                <w:highlight w:val="none"/>
                <w:lang w:val="en-US" w:eastAsia="zh-CN" w:bidi="ar-SA"/>
              </w:rPr>
              <w:t>噪声源主要为</w:t>
            </w:r>
            <w:r>
              <w:rPr>
                <w:rFonts w:hint="eastAsia" w:cs="Times New Roman"/>
                <w:color w:val="auto"/>
                <w:sz w:val="21"/>
                <w:szCs w:val="21"/>
                <w:highlight w:val="none"/>
                <w:lang w:val="en-US" w:eastAsia="zh-CN" w:bidi="ar-SA"/>
              </w:rPr>
              <w:t>生产设备运行产生的噪声</w:t>
            </w:r>
            <w:r>
              <w:rPr>
                <w:rFonts w:hint="default" w:ascii="Times New Roman" w:hAnsi="Times New Roman" w:eastAsia="宋体" w:cs="Times New Roman"/>
                <w:color w:val="auto"/>
                <w:sz w:val="21"/>
                <w:szCs w:val="21"/>
                <w:highlight w:val="none"/>
                <w:lang w:val="en-US" w:eastAsia="zh-CN" w:bidi="ar-SA"/>
              </w:rPr>
              <w:t>，噪声源强</w:t>
            </w:r>
            <w:r>
              <w:rPr>
                <w:rFonts w:hint="eastAsia" w:cs="Times New Roman"/>
                <w:color w:val="auto"/>
                <w:sz w:val="21"/>
                <w:szCs w:val="21"/>
                <w:highlight w:val="none"/>
                <w:lang w:val="en-US" w:eastAsia="zh-CN" w:bidi="ar-SA"/>
              </w:rPr>
              <w:t>75</w:t>
            </w:r>
            <w:r>
              <w:rPr>
                <w:rFonts w:hint="default" w:ascii="Times New Roman" w:hAnsi="Times New Roman" w:eastAsia="宋体" w:cs="Times New Roman"/>
                <w:color w:val="auto"/>
                <w:sz w:val="21"/>
                <w:szCs w:val="21"/>
                <w:highlight w:val="none"/>
                <w:lang w:val="en-US" w:eastAsia="zh-CN" w:bidi="ar-SA"/>
              </w:rPr>
              <w:t>-</w:t>
            </w:r>
            <w:r>
              <w:rPr>
                <w:rFonts w:hint="eastAsia" w:cs="Times New Roman"/>
                <w:color w:val="auto"/>
                <w:sz w:val="21"/>
                <w:szCs w:val="21"/>
                <w:highlight w:val="none"/>
                <w:lang w:val="en-US" w:eastAsia="zh-CN" w:bidi="ar-SA"/>
              </w:rPr>
              <w:t>90</w:t>
            </w:r>
            <w:r>
              <w:rPr>
                <w:rFonts w:hint="default" w:ascii="Times New Roman" w:hAnsi="Times New Roman" w:eastAsia="宋体" w:cs="Times New Roman"/>
                <w:color w:val="auto"/>
                <w:sz w:val="21"/>
                <w:szCs w:val="21"/>
                <w:highlight w:val="none"/>
                <w:lang w:val="en-US" w:eastAsia="zh-CN" w:bidi="ar-SA"/>
              </w:rPr>
              <w:t>dB（A）</w:t>
            </w:r>
            <w:r>
              <w:rPr>
                <w:rFonts w:hint="default" w:ascii="Times New Roman" w:hAnsi="Times New Roman" w:eastAsia="宋体" w:cs="Times New Roman"/>
                <w:snapToGrid w:val="0"/>
                <w:color w:val="auto"/>
                <w:sz w:val="21"/>
                <w:szCs w:val="21"/>
                <w:lang w:val="en-US"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rPr>
            </w:pPr>
            <w:r>
              <w:rPr>
                <w:rFonts w:hint="eastAsia" w:cs="Times New Roman"/>
                <w:snapToGrid w:val="0"/>
                <w:color w:val="auto"/>
                <w:sz w:val="21"/>
                <w:szCs w:val="21"/>
                <w:lang w:val="en-US" w:eastAsia="zh-CN" w:bidi="ar-SA"/>
              </w:rPr>
              <w:t>本</w:t>
            </w:r>
            <w:r>
              <w:rPr>
                <w:rFonts w:hint="eastAsia" w:cs="Times New Roman"/>
                <w:color w:val="auto"/>
                <w:sz w:val="21"/>
                <w:szCs w:val="21"/>
                <w:lang w:val="en-US" w:eastAsia="zh-CN"/>
              </w:rPr>
              <w:t>项目主要新增产噪设备</w:t>
            </w:r>
            <w:r>
              <w:rPr>
                <w:rFonts w:hint="default" w:cs="Times New Roman"/>
                <w:color w:val="auto"/>
                <w:sz w:val="21"/>
                <w:szCs w:val="21"/>
                <w:lang w:val="en-US" w:eastAsia="zh-CN"/>
              </w:rPr>
              <w:t>噪声源</w:t>
            </w:r>
            <w:r>
              <w:rPr>
                <w:rFonts w:hint="eastAsia" w:cs="Times New Roman"/>
                <w:color w:val="auto"/>
                <w:sz w:val="21"/>
                <w:szCs w:val="21"/>
                <w:lang w:val="en-US" w:eastAsia="zh-CN"/>
              </w:rPr>
              <w:t>见下表，以厂界西南角为坐标原点</w:t>
            </w:r>
            <w:r>
              <w:rPr>
                <w:rFonts w:hint="default" w:cs="Times New Roman"/>
                <w:color w:val="auto"/>
                <w:sz w:val="21"/>
                <w:szCs w:val="21"/>
                <w:lang w:val="en-US" w:eastAsia="zh-CN"/>
              </w:rPr>
              <w:t>。</w:t>
            </w:r>
          </w:p>
          <w:p>
            <w:pPr>
              <w:pStyle w:val="11"/>
              <w:keepNext w:val="0"/>
              <w:keepLines w:val="0"/>
              <w:pageBreakBefore w:val="0"/>
              <w:widowControl w:val="0"/>
              <w:suppressLineNumbers w:val="0"/>
              <w:tabs>
                <w:tab w:val="left" w:pos="3465"/>
              </w:tabs>
              <w:kinsoku/>
              <w:wordWrap/>
              <w:overflowPunct/>
              <w:topLinePunct w:val="0"/>
              <w:autoSpaceDE/>
              <w:autoSpaceDN/>
              <w:bidi w:val="0"/>
              <w:adjustRightInd/>
              <w:snapToGrid/>
              <w:spacing w:before="157" w:beforeLines="50" w:beforeAutospacing="0" w:after="0" w:afterAutospacing="0"/>
              <w:ind w:left="0" w:right="0" w:firstLine="482"/>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表</w:t>
            </w:r>
            <w:r>
              <w:rPr>
                <w:rFonts w:hint="eastAsia" w:cs="Times New Roman"/>
                <w:color w:val="auto"/>
                <w:sz w:val="21"/>
                <w:szCs w:val="21"/>
                <w:lang w:val="en-US" w:eastAsia="zh-CN"/>
              </w:rPr>
              <w:t>37</w:t>
            </w:r>
            <w:r>
              <w:rPr>
                <w:rFonts w:hint="default"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lang w:val="en-US" w:eastAsia="zh-CN"/>
              </w:rPr>
              <w:t>新增室内主要设备噪声源强及降噪效果</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400"/>
              <w:gridCol w:w="705"/>
              <w:gridCol w:w="576"/>
              <w:gridCol w:w="456"/>
              <w:gridCol w:w="517"/>
              <w:gridCol w:w="636"/>
              <w:gridCol w:w="636"/>
              <w:gridCol w:w="300"/>
              <w:gridCol w:w="636"/>
              <w:gridCol w:w="649"/>
              <w:gridCol w:w="360"/>
              <w:gridCol w:w="649"/>
              <w:gridCol w:w="540"/>
              <w:gridCol w:w="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序号</w:t>
                  </w:r>
                </w:p>
              </w:tc>
              <w:tc>
                <w:tcPr>
                  <w:tcW w:w="24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建筑物名称</w:t>
                  </w:r>
                </w:p>
              </w:tc>
              <w:tc>
                <w:tcPr>
                  <w:tcW w:w="43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声源名称</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型号</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声源源强/</w:t>
                  </w:r>
                  <w:r>
                    <w:rPr>
                      <w:rFonts w:hint="default" w:ascii="Times New Roman" w:hAnsi="Times New Roman" w:eastAsia="宋体" w:cs="Times New Roman"/>
                      <w:b w:val="0"/>
                      <w:bCs/>
                      <w:color w:val="auto"/>
                      <w:sz w:val="21"/>
                      <w:szCs w:val="21"/>
                      <w:highlight w:val="none"/>
                      <w:lang w:val="en-US" w:eastAsia="zh-CN"/>
                    </w:rPr>
                    <w:t>dB(A)</w:t>
                  </w:r>
                </w:p>
              </w:tc>
              <w:tc>
                <w:tcPr>
                  <w:tcW w:w="322"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声源控制</w:t>
                  </w:r>
                  <w:r>
                    <w:rPr>
                      <w:rFonts w:hint="default" w:ascii="Times New Roman" w:hAnsi="Times New Roman" w:eastAsia="宋体" w:cs="Times New Roman"/>
                      <w:b w:val="0"/>
                      <w:bCs/>
                      <w:color w:val="auto"/>
                      <w:sz w:val="21"/>
                      <w:szCs w:val="21"/>
                      <w:highlight w:val="none"/>
                      <w:lang w:val="en-US" w:eastAsia="zh-CN"/>
                    </w:rPr>
                    <w:t>措施</w:t>
                  </w:r>
                </w:p>
              </w:tc>
              <w:tc>
                <w:tcPr>
                  <w:tcW w:w="980"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空间相对位置</w:t>
                  </w:r>
                  <w:r>
                    <w:rPr>
                      <w:rFonts w:hint="default" w:ascii="Times New Roman" w:hAnsi="Times New Roman" w:cs="Times New Roman"/>
                      <w:b w:val="0"/>
                      <w:bCs/>
                      <w:color w:val="auto"/>
                      <w:sz w:val="21"/>
                      <w:szCs w:val="21"/>
                      <w:highlight w:val="none"/>
                      <w:lang w:val="en-US" w:eastAsia="zh-CN"/>
                    </w:rPr>
                    <w:t>/m</w:t>
                  </w:r>
                </w:p>
              </w:tc>
              <w:tc>
                <w:tcPr>
                  <w:tcW w:w="396"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距室内边界距离/m</w:t>
                  </w:r>
                </w:p>
              </w:tc>
              <w:tc>
                <w:tcPr>
                  <w:tcW w:w="40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室内边界声级/dB(A)</w:t>
                  </w:r>
                </w:p>
              </w:tc>
              <w:tc>
                <w:tcPr>
                  <w:tcW w:w="22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运行时段</w:t>
                  </w:r>
                </w:p>
              </w:tc>
              <w:tc>
                <w:tcPr>
                  <w:tcW w:w="40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建筑物插入损失/dB(A)</w:t>
                  </w:r>
                </w:p>
              </w:tc>
              <w:tc>
                <w:tcPr>
                  <w:tcW w:w="634"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建筑物外噪声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color w:val="auto"/>
                      <w:sz w:val="21"/>
                      <w:szCs w:val="21"/>
                      <w:lang w:val="en-US" w:eastAsia="zh-CN"/>
                    </w:rPr>
                    <w:t>X</w:t>
                  </w:r>
                </w:p>
              </w:tc>
              <w:tc>
                <w:tcPr>
                  <w:tcW w:w="396"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color w:val="auto"/>
                      <w:sz w:val="21"/>
                      <w:szCs w:val="21"/>
                      <w:lang w:val="en-US" w:eastAsia="zh-CN"/>
                    </w:rPr>
                    <w:t>Y</w:t>
                  </w:r>
                </w:p>
              </w:tc>
              <w:tc>
                <w:tcPr>
                  <w:tcW w:w="187"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color w:val="auto"/>
                      <w:sz w:val="21"/>
                      <w:szCs w:val="21"/>
                      <w:lang w:val="en-US" w:eastAsia="zh-CN"/>
                    </w:rPr>
                    <w:t>Z</w:t>
                  </w: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40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40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336"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声压级/dB(A)</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建筑物外距离/m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24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精锻</w:t>
                  </w:r>
                  <w:r>
                    <w:rPr>
                      <w:rFonts w:hint="default" w:ascii="Times New Roman" w:hAnsi="Times New Roman" w:eastAsia="宋体" w:cs="Times New Roman"/>
                      <w:color w:val="auto"/>
                      <w:sz w:val="21"/>
                      <w:szCs w:val="21"/>
                      <w:highlight w:val="none"/>
                    </w:rPr>
                    <w:t>车间</w:t>
                  </w:r>
                </w:p>
              </w:tc>
              <w:tc>
                <w:tcPr>
                  <w:tcW w:w="43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全自动数控双立柱卧式带锯床</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3"/>
                      <w:sz w:val="21"/>
                      <w:szCs w:val="21"/>
                    </w:rPr>
                  </w:pPr>
                  <w:r>
                    <w:rPr>
                      <w:rFonts w:hint="default" w:ascii="Times New Roman" w:hAnsi="Times New Roman" w:eastAsia="宋体" w:cs="Times New Roman"/>
                      <w:color w:val="auto"/>
                      <w:spacing w:val="3"/>
                      <w:sz w:val="21"/>
                      <w:szCs w:val="21"/>
                    </w:rPr>
                    <w:t>晨龙</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75</w:t>
                  </w:r>
                </w:p>
              </w:tc>
              <w:tc>
                <w:tcPr>
                  <w:tcW w:w="322"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单层彩钢</w:t>
                  </w:r>
                  <w:r>
                    <w:rPr>
                      <w:rFonts w:hint="eastAsia" w:cs="Times New Roman"/>
                      <w:b w:val="0"/>
                      <w:bCs/>
                      <w:color w:val="auto"/>
                      <w:sz w:val="21"/>
                      <w:szCs w:val="21"/>
                      <w:highlight w:val="none"/>
                      <w:lang w:val="en-US" w:eastAsia="zh-CN"/>
                    </w:rPr>
                    <w:t>，采用低噪声设备、密闭车间、安装减震基础等措施</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329.01</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111.07</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8.49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49.22</w:t>
                  </w:r>
                </w:p>
              </w:tc>
              <w:tc>
                <w:tcPr>
                  <w:tcW w:w="22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昼</w:t>
                  </w:r>
                  <w:r>
                    <w:rPr>
                      <w:rFonts w:hint="eastAsia" w:cs="Times New Roman"/>
                      <w:b w:val="0"/>
                      <w:bCs/>
                      <w:color w:val="auto"/>
                      <w:sz w:val="21"/>
                      <w:szCs w:val="21"/>
                      <w:highlight w:val="none"/>
                      <w:lang w:val="en-US" w:eastAsia="zh-CN"/>
                    </w:rPr>
                    <w:t>夜24</w:t>
                  </w:r>
                  <w:r>
                    <w:rPr>
                      <w:rFonts w:hint="default" w:ascii="Times New Roman" w:hAnsi="Times New Roman" w:cs="Times New Roman"/>
                      <w:b w:val="0"/>
                      <w:bCs/>
                      <w:color w:val="auto"/>
                      <w:sz w:val="21"/>
                      <w:szCs w:val="21"/>
                      <w:highlight w:val="none"/>
                      <w:lang w:val="en-US" w:eastAsia="zh-CN"/>
                    </w:rPr>
                    <w:t>小时</w:t>
                  </w: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28.22</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203.95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46.87</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25.87</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11.01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48.41</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27.41</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41.94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46.99</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25.99</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电阻炉</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85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346.29</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117.62</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15.04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57.76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36.76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186.67</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56.87</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35.87</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4.46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62.43</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41.43</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59.22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56.93</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z w:val="21"/>
                      <w:szCs w:val="21"/>
                      <w:highlight w:val="none"/>
                      <w:lang w:val="en-US" w:eastAsia="zh-CN"/>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35.93</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雕刻机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85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322.01</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110.97</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8.39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59.26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38.26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210.95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56.87</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35.87</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11.11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58.39</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37.39</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34.94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57.04</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36.04</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4</w:t>
                  </w:r>
                </w:p>
              </w:tc>
              <w:tc>
                <w:tcPr>
                  <w:tcW w:w="24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重型车间</w:t>
                  </w: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布料机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80</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464.04</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181.84</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41.84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49.76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28.76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2"/>
                      <w:sz w:val="21"/>
                      <w:szCs w:val="21"/>
                      <w:u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67.56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49.63</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28.63</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8.02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53.3</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32.3</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178.71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49.56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28.56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5</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数控车床</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80型50型</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442.19</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182.13</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42.08</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44.76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23.76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89.41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44.59</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23.59</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7.75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48.47</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27.47</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156.86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44.56</w:t>
                  </w:r>
                </w:p>
              </w:tc>
              <w:tc>
                <w:tcPr>
                  <w:tcW w:w="22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23.56</w:t>
                  </w:r>
                </w:p>
              </w:tc>
              <w:tc>
                <w:tcPr>
                  <w:tcW w:w="298" w:type="pc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静电喷涂设备</w:t>
                  </w:r>
                </w:p>
              </w:tc>
              <w:tc>
                <w:tcPr>
                  <w:tcW w:w="35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85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304.53</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145.9</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60.48</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39.48</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226.84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54.55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33.55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44.16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54.74</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33.74</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55.48</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34.48</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新型材料切割机</w:t>
                  </w:r>
                </w:p>
              </w:tc>
              <w:tc>
                <w:tcPr>
                  <w:tcW w:w="35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5*20</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90</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453.37</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147.32</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7.29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63.8</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42.8</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78.01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59.61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38.61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42.55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59.75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38.75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168.04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59.56</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38.56</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激光切割机</w:t>
                  </w:r>
                </w:p>
              </w:tc>
              <w:tc>
                <w:tcPr>
                  <w:tcW w:w="35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5*20</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90</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464.04</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147.16</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7.16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63.9</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67.34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59.63</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38.63</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59.75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38.75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178.71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59.56</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38.56</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数控折弯机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483.91</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158.92</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18.97</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47.55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44.71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23.71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30.91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44.93</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23.93</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198.58</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23.55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风机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24000m</w:t>
                  </w:r>
                  <w:r>
                    <w:rPr>
                      <w:rFonts w:hint="default" w:ascii="Times New Roman" w:hAnsi="Times New Roman" w:eastAsia="宋体" w:cs="Times New Roman"/>
                      <w:b w:val="0"/>
                      <w:bCs/>
                      <w:color w:val="auto"/>
                      <w:kern w:val="2"/>
                      <w:sz w:val="21"/>
                      <w:szCs w:val="21"/>
                      <w:highlight w:val="none"/>
                      <w:vertAlign w:val="superscript"/>
                      <w:lang w:val="en-US" w:eastAsia="zh-CN" w:bidi="ar-SA"/>
                    </w:rPr>
                    <w:t>3</w:t>
                  </w:r>
                  <w:r>
                    <w:rPr>
                      <w:rFonts w:hint="default" w:ascii="Times New Roman" w:hAnsi="Times New Roman" w:eastAsia="宋体" w:cs="Times New Roman"/>
                      <w:b w:val="0"/>
                      <w:bCs/>
                      <w:color w:val="auto"/>
                      <w:kern w:val="2"/>
                      <w:sz w:val="21"/>
                      <w:szCs w:val="21"/>
                      <w:highlight w:val="none"/>
                      <w:lang w:val="en-US" w:eastAsia="zh-CN" w:bidi="ar-SA"/>
                    </w:rPr>
                    <w:t>/h</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90</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322.27</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144.9</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61.78</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40.78</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209.1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54.55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33.55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45.13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54.73</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33.73</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36.94</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54.82</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33.82</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11</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风机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3000m</w:t>
                  </w:r>
                  <w:r>
                    <w:rPr>
                      <w:rFonts w:hint="default" w:ascii="Times New Roman" w:hAnsi="Times New Roman" w:eastAsia="宋体" w:cs="Times New Roman"/>
                      <w:b w:val="0"/>
                      <w:bCs/>
                      <w:color w:val="auto"/>
                      <w:kern w:val="2"/>
                      <w:sz w:val="21"/>
                      <w:szCs w:val="21"/>
                      <w:highlight w:val="none"/>
                      <w:vertAlign w:val="superscript"/>
                      <w:lang w:val="en-US" w:eastAsia="zh-CN" w:bidi="ar-SA"/>
                    </w:rPr>
                    <w:t>3</w:t>
                  </w:r>
                  <w:r>
                    <w:rPr>
                      <w:rFonts w:hint="default" w:ascii="Times New Roman" w:hAnsi="Times New Roman" w:eastAsia="宋体" w:cs="Times New Roman"/>
                      <w:b w:val="0"/>
                      <w:bCs/>
                      <w:color w:val="auto"/>
                      <w:kern w:val="2"/>
                      <w:sz w:val="21"/>
                      <w:szCs w:val="21"/>
                      <w:highlight w:val="none"/>
                      <w:lang w:val="en-US" w:eastAsia="zh-CN" w:bidi="ar-SA"/>
                    </w:rPr>
                    <w:t>/h</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85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300.5</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144.34</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3.93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67.82</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46.82</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230.86</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59.55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38.55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45.72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59.72</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38.72</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15.17</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60.96</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39.96</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24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管汇车间</w:t>
                  </w: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钻床</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134.42</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212.5</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55.05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34.05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78.7</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46.12</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25.12</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46.21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25.21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111.01</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99" w:type="pct"/>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13</w:t>
                  </w:r>
                </w:p>
              </w:tc>
              <w:tc>
                <w:tcPr>
                  <w:tcW w:w="249" w:type="pct"/>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普通车床</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141.3</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212.5</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55.05</w:t>
                  </w:r>
                </w:p>
              </w:tc>
              <w:tc>
                <w:tcPr>
                  <w:tcW w:w="22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昼间8小时</w:t>
                  </w: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34.05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43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71.82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46.13</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25.13</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46.21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25.21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117.89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kern w:val="2"/>
                      <w:sz w:val="21"/>
                      <w:szCs w:val="21"/>
                      <w:highlight w:val="none"/>
                      <w:lang w:val="en-US" w:eastAsia="zh-CN" w:bidi="ar-SA"/>
                    </w:rPr>
                    <w:t>14</w:t>
                  </w: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数控车床</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151.6</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212.5</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55.05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34.05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61.52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46.21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25.21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128.19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kern w:val="2"/>
                      <w:sz w:val="21"/>
                      <w:szCs w:val="21"/>
                      <w:highlight w:val="none"/>
                      <w:lang w:val="en-US" w:eastAsia="zh-CN" w:bidi="ar-SA"/>
                    </w:rPr>
                    <w:t>15</w:t>
                  </w: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注脂机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75</w:t>
                  </w: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146.03</w:t>
                  </w:r>
                </w:p>
              </w:tc>
              <w:tc>
                <w:tcPr>
                  <w:tcW w:w="39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212.5</w:t>
                  </w:r>
                </w:p>
              </w:tc>
              <w:tc>
                <w:tcPr>
                  <w:tcW w:w="18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55.05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34.05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sz w:val="21"/>
                      <w:szCs w:val="21"/>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67.09</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46.14</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25.14</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44.52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46.21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25.21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9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284"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22"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187"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122.62</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46.1</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9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16</w:t>
                  </w:r>
                </w:p>
              </w:tc>
              <w:tc>
                <w:tcPr>
                  <w:tcW w:w="24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p>
              </w:tc>
              <w:tc>
                <w:tcPr>
                  <w:tcW w:w="43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空压机</w:t>
                  </w:r>
                </w:p>
              </w:tc>
              <w:tc>
                <w:tcPr>
                  <w:tcW w:w="35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永磁变频空压机50A-0.8</w:t>
                  </w:r>
                </w:p>
              </w:tc>
              <w:tc>
                <w:tcPr>
                  <w:tcW w:w="284"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80</w:t>
                  </w:r>
                </w:p>
              </w:tc>
              <w:tc>
                <w:tcPr>
                  <w:tcW w:w="322"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w:t>
                  </w:r>
                </w:p>
              </w:tc>
              <w:tc>
                <w:tcPr>
                  <w:tcW w:w="396"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i w:val="0"/>
                      <w:iCs w:val="0"/>
                      <w:color w:val="000000"/>
                      <w:kern w:val="0"/>
                      <w:sz w:val="21"/>
                      <w:szCs w:val="21"/>
                      <w:u w:val="none"/>
                      <w:lang w:val="en-US" w:eastAsia="zh-CN" w:bidi="ar"/>
                    </w:rPr>
                    <w:t>21.75</w:t>
                  </w:r>
                </w:p>
              </w:tc>
              <w:tc>
                <w:tcPr>
                  <w:tcW w:w="396"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232.05</w:t>
                  </w:r>
                </w:p>
              </w:tc>
              <w:tc>
                <w:tcPr>
                  <w:tcW w:w="187"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1</w:t>
                  </w: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84.70</w:t>
                  </w:r>
                </w:p>
              </w:tc>
              <w:tc>
                <w:tcPr>
                  <w:tcW w:w="22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昼间8小时</w:t>
                  </w: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63.70</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9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24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43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3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28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32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187"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1.38</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84.65</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63.65</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9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4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3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8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2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87"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1.13</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84.68</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63.68</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9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4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3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28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2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87"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9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0.75</w:t>
                  </w:r>
                </w:p>
              </w:tc>
              <w:tc>
                <w:tcPr>
                  <w:tcW w:w="40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84.79</w:t>
                  </w:r>
                </w:p>
              </w:tc>
              <w:tc>
                <w:tcPr>
                  <w:tcW w:w="22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4" w:type="pct"/>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33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63.79</w:t>
                  </w:r>
                </w:p>
              </w:tc>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rPr>
            </w:pPr>
            <w:r>
              <w:rPr>
                <w:rFonts w:hint="eastAsia" w:hAnsi="宋体"/>
                <w:color w:val="auto"/>
              </w:rPr>
              <w:t>预测模式采用《环境影响评价技术导则-声环境》（HJ2.4-2021）中推荐的工业噪声预测模式。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rPr>
            </w:pPr>
            <w:r>
              <w:rPr>
                <w:rFonts w:hint="eastAsia" w:hAnsi="宋体"/>
                <w:color w:val="auto"/>
              </w:rPr>
              <w:t>(1)单个室外点声源在预测点产生的声级计算基本公式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rPr>
            </w:pPr>
            <w:r>
              <w:rPr>
                <w:rFonts w:hint="eastAsia" w:hAnsi="宋体"/>
                <w:color w:val="auto"/>
              </w:rPr>
              <w:t>已知声源的倍频带声功率级(从63Hz到8000Hz标称频带中心频率的8个倍频带)，预测点位置的倍频带声压级</w:t>
            </w:r>
            <w:r>
              <w:rPr>
                <w:color w:val="auto"/>
                <w:position w:val="-14"/>
              </w:rPr>
              <w:object>
                <v:shape id="_x0000_i1031" o:spt="75" type="#_x0000_t75" style="height:19pt;width:30pt;" o:ole="t" filled="f" stroked="f" coordsize="21600,21600">
                  <v:path/>
                  <v:fill on="f" focussize="0,0"/>
                  <v:stroke on="f"/>
                  <v:imagedata r:id="rId23" o:title=""/>
                  <o:lock v:ext="edit" aspectratio="t"/>
                  <w10:wrap type="none"/>
                  <w10:anchorlock/>
                </v:shape>
                <o:OLEObject Type="Embed" ProgID="Equation.3" ShapeID="_x0000_i1031" DrawAspect="Content" ObjectID="_1468075731" r:id="rId22">
                  <o:LockedField>false</o:LockedField>
                </o:OLEObject>
              </w:object>
            </w:r>
            <w:r>
              <w:rPr>
                <w:rFonts w:hint="eastAsia" w:hAnsi="宋体"/>
                <w:color w:val="auto"/>
              </w:rPr>
              <w:t>可按下式计算：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945" w:firstLineChars="450"/>
              <w:textAlignment w:val="auto"/>
              <w:rPr>
                <w:rFonts w:hint="eastAsia" w:hAnsi="宋体"/>
                <w:color w:val="auto"/>
                <w:lang w:val="pt-BR"/>
              </w:rPr>
            </w:pPr>
            <w:r>
              <w:rPr>
                <w:rFonts w:hAnsi="宋体"/>
                <w:color w:val="auto"/>
                <w:position w:val="-14"/>
                <w:lang w:val="pt-BR"/>
              </w:rPr>
              <w:object>
                <v:shape id="_x0000_i1032" o:spt="75" type="#_x0000_t75" style="height:19pt;width:103.95pt;" o:ole="t" filled="f" o:preferrelative="t" stroked="f" coordsize="21600,21600">
                  <v:path/>
                  <v:fill on="f" alignshape="1" focussize="0,0"/>
                  <v:stroke on="f"/>
                  <v:imagedata r:id="rId25" o:title=""/>
                  <o:lock v:ext="edit" aspectratio="t"/>
                  <w10:wrap type="none"/>
                  <w10:anchorlock/>
                </v:shape>
                <o:OLEObject Type="Embed" ProgID="Equation.3" ShapeID="_x0000_i1032" DrawAspect="Content" ObjectID="_1468075732" r:id="rId24">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945" w:firstLineChars="450"/>
              <w:textAlignment w:val="auto"/>
              <w:rPr>
                <w:rFonts w:hint="eastAsia" w:hAnsi="宋体"/>
                <w:color w:val="auto"/>
                <w:lang w:val="pt-BR"/>
              </w:rPr>
            </w:pPr>
            <w:r>
              <w:rPr>
                <w:rFonts w:hAnsi="宋体"/>
                <w:color w:val="auto"/>
                <w:position w:val="-14"/>
                <w:lang w:val="pt-BR"/>
              </w:rPr>
              <w:object>
                <v:shape id="_x0000_i1033" o:spt="75" type="#_x0000_t75" style="height:19pt;width:166pt;" o:ole="t" filled="f" o:preferrelative="t" stroked="f" coordsize="21600,21600">
                  <v:path/>
                  <v:fill on="f" alignshape="1" focussize="0,0"/>
                  <v:stroke on="f"/>
                  <v:imagedata r:id="rId27" o:title=""/>
                  <o:lock v:ext="edit" aspectratio="t"/>
                  <w10:wrap type="none"/>
                  <w10:anchorlock/>
                </v:shape>
                <o:OLEObject Type="Embed" ProgID="Equation.3" ShapeID="_x0000_i1033" DrawAspect="Content" ObjectID="_1468075733" r:id="rId26">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hAnsi="宋体"/>
                <w:color w:val="auto"/>
              </w:rPr>
              <w:t>式中</w:t>
            </w:r>
            <w:r>
              <w:rPr>
                <w:rFonts w:hint="eastAsia" w:hAnsi="宋体"/>
                <w:color w:val="auto"/>
                <w:lang w:val="pt-BR"/>
              </w:rPr>
              <w:t>：</w:t>
            </w:r>
            <w:r>
              <w:rPr>
                <w:rFonts w:hAnsi="宋体"/>
                <w:color w:val="auto"/>
                <w:position w:val="-14"/>
                <w:lang w:val="pt-BR"/>
              </w:rPr>
              <w:object>
                <v:shape id="_x0000_i1034" o:spt="75" type="#_x0000_t75" style="height:19pt;width:31pt;" o:ole="t" filled="f" o:preferrelative="t" stroked="f" coordsize="21600,21600">
                  <v:path/>
                  <v:fill on="f" alignshape="1" focussize="0,0"/>
                  <v:stroke on="f"/>
                  <v:imagedata r:id="rId29" o:title=""/>
                  <o:lock v:ext="edit" aspectratio="t"/>
                  <w10:wrap type="none"/>
                  <w10:anchorlock/>
                </v:shape>
                <o:OLEObject Type="Embed" ProgID="Equation.3" ShapeID="_x0000_i1034" DrawAspect="Content" ObjectID="_1468075734" r:id="rId28">
                  <o:LockedField>false</o:LockedField>
                </o:OLEObject>
              </w:object>
            </w:r>
            <w:r>
              <w:rPr>
                <w:rFonts w:hint="eastAsia" w:hAnsi="宋体"/>
                <w:color w:val="auto"/>
                <w:lang w:val="pt-BR"/>
              </w:rPr>
              <w:t>——</w:t>
            </w:r>
            <w:r>
              <w:rPr>
                <w:rFonts w:hint="eastAsia" w:hAnsi="宋体"/>
                <w:color w:val="auto"/>
              </w:rPr>
              <w:t>距离声源</w:t>
            </w:r>
            <w:r>
              <w:rPr>
                <w:rFonts w:hint="eastAsia" w:hAnsi="宋体"/>
                <w:color w:val="auto"/>
                <w:lang w:val="pt-BR"/>
              </w:rPr>
              <w:t>r</w:t>
            </w:r>
            <w:r>
              <w:rPr>
                <w:rFonts w:hint="eastAsia" w:hAnsi="宋体"/>
                <w:color w:val="auto"/>
              </w:rPr>
              <w:t>处的</w:t>
            </w:r>
            <w:r>
              <w:rPr>
                <w:rFonts w:hint="eastAsia" w:hAnsi="宋体"/>
                <w:color w:val="auto"/>
                <w:lang w:val="pt-BR"/>
              </w:rPr>
              <w:t>倍频带声压级，dB；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hAnsi="宋体"/>
                <w:color w:val="auto"/>
                <w:lang w:val="pt-BR"/>
              </w:rPr>
              <w:t xml:space="preserve">      </w:t>
            </w:r>
            <w:r>
              <w:rPr>
                <w:rFonts w:hAnsi="宋体"/>
                <w:color w:val="auto"/>
                <w:position w:val="-12"/>
                <w:lang w:val="pt-BR"/>
              </w:rPr>
              <w:object>
                <v:shape id="_x0000_i1035" o:spt="75" type="#_x0000_t75" style="height:18pt;width:16pt;" o:ole="t" filled="f" o:preferrelative="t" stroked="f" coordsize="21600,21600">
                  <v:path/>
                  <v:fill on="f" alignshape="1" focussize="0,0"/>
                  <v:stroke on="f"/>
                  <v:imagedata r:id="rId31" o:title=""/>
                  <o:lock v:ext="edit" aspectratio="t"/>
                  <w10:wrap type="none"/>
                  <w10:anchorlock/>
                </v:shape>
                <o:OLEObject Type="Embed" ProgID="Equation.3" ShapeID="_x0000_i1035" DrawAspect="Content" ObjectID="_1468075735" r:id="rId30">
                  <o:LockedField>false</o:LockedField>
                </o:OLEObject>
              </w:object>
            </w:r>
            <w:r>
              <w:rPr>
                <w:rFonts w:hint="eastAsia" w:hAnsi="宋体"/>
                <w:color w:val="auto"/>
                <w:lang w:val="pt-BR"/>
              </w:rPr>
              <w:t>——指向性校正，dB；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hAnsi="宋体"/>
                <w:color w:val="auto"/>
                <w:lang w:val="pt-BR"/>
              </w:rPr>
              <w:t xml:space="preserve">      </w:t>
            </w:r>
            <w:r>
              <w:rPr>
                <w:rFonts w:hAnsi="宋体"/>
                <w:color w:val="auto"/>
                <w:position w:val="-4"/>
                <w:lang w:val="pt-BR"/>
              </w:rPr>
              <w:object>
                <v:shape id="_x0000_i1036" o:spt="75" type="#_x0000_t75" style="height:13pt;width:12pt;" o:ole="t" filled="f" o:preferrelative="t" stroked="f" coordsize="21600,21600">
                  <v:path/>
                  <v:fill on="f" alignshape="1" focussize="0,0"/>
                  <v:stroke on="f"/>
                  <v:imagedata r:id="rId33" o:title=""/>
                  <o:lock v:ext="edit" aspectratio="t"/>
                  <w10:wrap type="none"/>
                  <w10:anchorlock/>
                </v:shape>
                <o:OLEObject Type="Embed" ProgID="Equation.3" ShapeID="_x0000_i1036" DrawAspect="Content" ObjectID="_1468075736" r:id="rId32">
                  <o:LockedField>false</o:LockedField>
                </o:OLEObject>
              </w:object>
            </w:r>
            <w:r>
              <w:rPr>
                <w:rFonts w:hint="eastAsia" w:hAnsi="宋体"/>
                <w:color w:val="auto"/>
                <w:lang w:val="pt-BR"/>
              </w:rPr>
              <w:t>——倍频带衰减，dB；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rPr>
            </w:pPr>
            <w:r>
              <w:rPr>
                <w:rFonts w:hint="eastAsia" w:hAnsi="宋体"/>
                <w:color w:val="auto"/>
                <w:lang w:val="pt-BR"/>
              </w:rPr>
              <w:t xml:space="preserve">      </w:t>
            </w:r>
            <w:r>
              <w:rPr>
                <w:rFonts w:hAnsi="宋体"/>
                <w:color w:val="auto"/>
                <w:position w:val="-12"/>
                <w:lang w:val="pt-BR"/>
              </w:rPr>
              <w:object>
                <v:shape id="_x0000_i1037" o:spt="75" type="#_x0000_t75" style="height:18pt;width:21pt;" o:ole="t" filled="f" o:preferrelative="t" stroked="f" coordsize="21600,21600">
                  <v:path/>
                  <v:fill on="f" alignshape="1" focussize="0,0"/>
                  <v:stroke on="f"/>
                  <v:imagedata r:id="rId35" o:title=""/>
                  <o:lock v:ext="edit" aspectratio="t"/>
                  <w10:wrap type="none"/>
                  <w10:anchorlock/>
                </v:shape>
                <o:OLEObject Type="Embed" ProgID="Equation.3" ShapeID="_x0000_i1037" DrawAspect="Content" ObjectID="_1468075737" r:id="rId34">
                  <o:LockedField>false</o:LockedField>
                </o:OLEObject>
              </w:object>
            </w:r>
            <w:r>
              <w:rPr>
                <w:rFonts w:hint="eastAsia" w:hAnsi="宋体"/>
                <w:color w:val="auto"/>
              </w:rPr>
              <w:t>——几何发散引起的倍频带衰减，</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hAnsi="宋体"/>
                <w:color w:val="auto"/>
              </w:rPr>
              <w:t xml:space="preserve">      </w:t>
            </w:r>
            <w:r>
              <w:rPr>
                <w:rFonts w:hAnsi="宋体"/>
                <w:color w:val="auto"/>
                <w:position w:val="-14"/>
                <w:lang w:val="pt-BR"/>
              </w:rPr>
              <w:object>
                <v:shape id="_x0000_i1038" o:spt="75" type="#_x0000_t75" style="height:19.95pt;width:19pt;" o:ole="t" filled="f" o:preferrelative="t" stroked="f" coordsize="21600,21600">
                  <v:path/>
                  <v:fill on="f" alignshape="1" focussize="0,0"/>
                  <v:stroke on="f"/>
                  <v:imagedata r:id="rId37" o:title=""/>
                  <o:lock v:ext="edit" aspectratio="t"/>
                  <w10:wrap type="none"/>
                  <w10:anchorlock/>
                </v:shape>
                <o:OLEObject Type="Embed" ProgID="Equation.3" ShapeID="_x0000_i1038" DrawAspect="Content" ObjectID="_1468075738" r:id="rId36">
                  <o:LockedField>false</o:LockedField>
                </o:OLEObject>
              </w:object>
            </w:r>
            <w:r>
              <w:rPr>
                <w:rFonts w:hint="eastAsia" w:hAnsi="宋体"/>
                <w:color w:val="auto"/>
              </w:rPr>
              <w:t>——地面效应引起的倍频带衰减，</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rPr>
            </w:pPr>
            <w:r>
              <w:rPr>
                <w:rFonts w:hint="eastAsia" w:hAnsi="宋体"/>
                <w:color w:val="auto"/>
              </w:rPr>
              <w:t xml:space="preserve">      </w:t>
            </w:r>
            <w:r>
              <w:rPr>
                <w:rFonts w:hAnsi="宋体"/>
                <w:color w:val="auto"/>
                <w:position w:val="-12"/>
                <w:lang w:val="pt-BR"/>
              </w:rPr>
              <w:object>
                <v:shape id="_x0000_i1039" o:spt="75" type="#_x0000_t75" style="height:18pt;width:22pt;" o:ole="t" filled="f" o:preferrelative="t" stroked="f" coordsize="21600,21600">
                  <v:path/>
                  <v:fill on="f" alignshape="1" focussize="0,0"/>
                  <v:stroke on="f"/>
                  <v:imagedata r:id="rId39" o:title=""/>
                  <o:lock v:ext="edit" aspectratio="t"/>
                  <w10:wrap type="none"/>
                  <w10:anchorlock/>
                </v:shape>
                <o:OLEObject Type="Embed" ProgID="Equation.3" ShapeID="_x0000_i1039" DrawAspect="Content" ObjectID="_1468075739" r:id="rId38">
                  <o:LockedField>false</o:LockedField>
                </o:OLEObject>
              </w:object>
            </w:r>
            <w:r>
              <w:rPr>
                <w:rFonts w:hint="eastAsia" w:hAnsi="宋体"/>
                <w:color w:val="auto"/>
              </w:rPr>
              <w:t>——大气吸收引起的倍频带衰减，</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050" w:firstLineChars="500"/>
              <w:textAlignment w:val="auto"/>
              <w:rPr>
                <w:rFonts w:hint="eastAsia" w:hAnsi="宋体"/>
                <w:color w:val="auto"/>
                <w:lang w:val="pt-BR"/>
              </w:rPr>
            </w:pPr>
            <w:r>
              <w:rPr>
                <w:rFonts w:hAnsi="宋体"/>
                <w:color w:val="auto"/>
                <w:position w:val="-12"/>
                <w:lang w:val="pt-BR"/>
              </w:rPr>
              <w:object>
                <v:shape id="_x0000_i1040" o:spt="75" type="#_x0000_t75" style="height:18pt;width:22pt;" o:ole="t" filled="f" o:preferrelative="t" stroked="f" coordsize="21600,21600">
                  <v:path/>
                  <v:fill on="f" alignshape="1" focussize="0,0"/>
                  <v:stroke on="f"/>
                  <v:imagedata r:id="rId41" o:title=""/>
                  <o:lock v:ext="edit" aspectratio="t"/>
                  <w10:wrap type="none"/>
                  <w10:anchorlock/>
                </v:shape>
                <o:OLEObject Type="Embed" ProgID="Equation.3" ShapeID="_x0000_i1040" DrawAspect="Content" ObjectID="_1468075740" r:id="rId40">
                  <o:LockedField>false</o:LockedField>
                </o:OLEObject>
              </w:object>
            </w:r>
            <w:r>
              <w:rPr>
                <w:rFonts w:hint="eastAsia" w:hAnsi="宋体"/>
                <w:color w:val="auto"/>
                <w:lang w:val="pt-BR"/>
              </w:rPr>
              <w:t>——声</w:t>
            </w:r>
            <w:r>
              <w:rPr>
                <w:rFonts w:hint="eastAsia" w:hAnsi="宋体"/>
                <w:color w:val="auto"/>
              </w:rPr>
              <w:t>屏障引起的倍频带衰减，</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050" w:firstLineChars="500"/>
              <w:textAlignment w:val="auto"/>
              <w:rPr>
                <w:rFonts w:hint="eastAsia" w:hAnsi="宋体"/>
                <w:color w:val="auto"/>
              </w:rPr>
            </w:pPr>
            <w:r>
              <w:rPr>
                <w:rFonts w:hAnsi="宋体"/>
                <w:color w:val="auto"/>
                <w:position w:val="-12"/>
                <w:lang w:val="pt-BR"/>
              </w:rPr>
              <w:object>
                <v:shape id="_x0000_i1041" o:spt="75" type="#_x0000_t75" style="height:18pt;width:24.95pt;" o:ole="t" filled="f" o:preferrelative="t" stroked="f" coordsize="21600,21600">
                  <v:path/>
                  <v:fill on="f" alignshape="1" focussize="0,0"/>
                  <v:stroke on="f"/>
                  <v:imagedata r:id="rId43" o:title=""/>
                  <o:lock v:ext="edit" aspectratio="t"/>
                  <w10:wrap type="none"/>
                  <w10:anchorlock/>
                </v:shape>
                <o:OLEObject Type="Embed" ProgID="Equation.3" ShapeID="_x0000_i1041" DrawAspect="Content" ObjectID="_1468075741" r:id="rId42">
                  <o:LockedField>false</o:LockedField>
                </o:OLEObject>
              </w:object>
            </w:r>
            <w:r>
              <w:rPr>
                <w:rFonts w:hint="eastAsia" w:hAnsi="宋体"/>
                <w:color w:val="auto"/>
                <w:lang w:val="pt-BR"/>
              </w:rPr>
              <w:t>——</w:t>
            </w:r>
            <w:r>
              <w:rPr>
                <w:rFonts w:hint="eastAsia" w:hAnsi="宋体"/>
                <w:color w:val="auto"/>
              </w:rPr>
              <w:t>其他多方面效应引起的倍频带衰减，</w:t>
            </w:r>
            <w:r>
              <w:rPr>
                <w:rFonts w:hint="eastAsia" w:hAnsi="宋体"/>
                <w:color w:val="auto"/>
                <w:lang w:val="pt-BR"/>
              </w:rPr>
              <w:t>dB</w:t>
            </w:r>
            <w:r>
              <w:rPr>
                <w:rFonts w:hint="eastAsia" w:hAnsi="宋体"/>
                <w:color w:val="auto"/>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(2)室内点声源对厂界噪声预测点贡献值预测模式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室内声源首先换算为等效室外声源，再按各类声源模式计算。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①首先计算出某个室内声源靠近围护结构处的倍频带声压级：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24"/>
              </w:rPr>
              <w:object>
                <v:shape id="_x0000_i1042" o:spt="75" type="#_x0000_t75" style="height:31pt;width:134pt;" o:ole="t" filled="f" o:preferrelative="t" stroked="f" coordsize="21600,21600">
                  <v:path/>
                  <v:fill on="f" alignshape="1" focussize="0,0"/>
                  <v:stroke on="f"/>
                  <v:imagedata r:id="rId45" o:title=""/>
                  <o:lock v:ext="edit" aspectratio="t"/>
                  <w10:wrap type="none"/>
                  <w10:anchorlock/>
                </v:shape>
                <o:OLEObject Type="Embed" ProgID="Equation.3" ShapeID="_x0000_i1042" DrawAspect="Content" ObjectID="_1468075742" r:id="rId44">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式中：</w:t>
            </w:r>
            <w:r>
              <w:rPr>
                <w:color w:val="auto"/>
                <w:vertAlign w:val="subscript"/>
              </w:rPr>
              <w:t xml:space="preserve"> </w:t>
            </w:r>
            <w:r>
              <w:rPr>
                <w:color w:val="auto"/>
                <w:position w:val="-14"/>
                <w:vertAlign w:val="subscript"/>
              </w:rPr>
              <w:object>
                <v:shape id="_x0000_i1043" o:spt="75" type="#_x0000_t75" style="height:19pt;width:18pt;" o:ole="t" filled="f" o:preferrelative="t" stroked="f" coordsize="21600,21600">
                  <v:path/>
                  <v:fill on="f" alignshape="1" focussize="0,0"/>
                  <v:stroke on="f"/>
                  <v:imagedata r:id="rId47" o:title=""/>
                  <o:lock v:ext="edit" aspectratio="t"/>
                  <w10:wrap type="none"/>
                  <w10:anchorlock/>
                </v:shape>
                <o:OLEObject Type="Embed" ProgID="Equation.3" ShapeID="_x0000_i1043" DrawAspect="Content" ObjectID="_1468075743" r:id="rId46">
                  <o:LockedField>false</o:LockedField>
                </o:OLEObject>
              </w:object>
            </w:r>
            <w:r>
              <w:rPr>
                <w:rFonts w:hint="eastAsia" w:hAnsi="宋体"/>
                <w:color w:val="auto"/>
                <w:lang w:val="pt-BR"/>
              </w:rPr>
              <w:t>——</w:t>
            </w:r>
            <w:r>
              <w:rPr>
                <w:rFonts w:hint="eastAsia"/>
                <w:color w:val="auto"/>
              </w:rPr>
              <w:t>室内声源在靠近围护结构处产生的倍频带声压级，</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131" w:firstLineChars="539"/>
              <w:textAlignment w:val="auto"/>
              <w:rPr>
                <w:rFonts w:hint="eastAsia"/>
                <w:color w:val="auto"/>
              </w:rPr>
            </w:pPr>
            <w:r>
              <w:rPr>
                <w:color w:val="auto"/>
                <w:position w:val="-12"/>
                <w:vertAlign w:val="subscript"/>
              </w:rPr>
              <w:object>
                <v:shape id="_x0000_i1044" o:spt="75" type="#_x0000_t75" style="height:18pt;width:16pt;" o:ole="t" filled="f" o:preferrelative="t" stroked="f" coordsize="21600,21600">
                  <v:path/>
                  <v:fill on="f" alignshape="1" focussize="0,0"/>
                  <v:stroke on="f"/>
                  <v:imagedata r:id="rId49" o:title=""/>
                  <o:lock v:ext="edit" aspectratio="t"/>
                  <w10:wrap type="none"/>
                  <w10:anchorlock/>
                </v:shape>
                <o:OLEObject Type="Embed" ProgID="Equation.3" ShapeID="_x0000_i1044" DrawAspect="Content" ObjectID="_1468075744" r:id="rId48">
                  <o:LockedField>false</o:LockedField>
                </o:OLEObject>
              </w:object>
            </w:r>
            <w:r>
              <w:rPr>
                <w:rFonts w:hint="eastAsia" w:hAnsi="宋体"/>
                <w:color w:val="auto"/>
                <w:lang w:val="pt-BR"/>
              </w:rPr>
              <w:t>——</w:t>
            </w:r>
            <w:r>
              <w:rPr>
                <w:rFonts w:hint="eastAsia"/>
                <w:color w:val="auto"/>
              </w:rPr>
              <w:t>声源的倍频带声功率级，</w:t>
            </w:r>
            <w:r>
              <w:rPr>
                <w:rFonts w:hint="eastAsia" w:hAnsi="宋体"/>
                <w:color w:val="auto"/>
                <w:lang w:val="pt-BR"/>
              </w:rPr>
              <w:t>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131" w:firstLineChars="539"/>
              <w:textAlignment w:val="auto"/>
              <w:rPr>
                <w:rFonts w:hint="eastAsia"/>
                <w:color w:val="auto"/>
              </w:rPr>
            </w:pPr>
            <w:r>
              <w:rPr>
                <w:color w:val="auto"/>
                <w:position w:val="-4"/>
                <w:vertAlign w:val="subscript"/>
              </w:rPr>
              <w:object>
                <v:shape id="_x0000_i1045" o:spt="75" type="#_x0000_t75" style="height:10pt;width:9pt;" o:ole="t" filled="f" o:preferrelative="t" stroked="f" coordsize="21600,21600">
                  <v:path/>
                  <v:fill on="f" alignshape="1" focussize="0,0"/>
                  <v:stroke on="f"/>
                  <v:imagedata r:id="rId51" o:title=""/>
                  <o:lock v:ext="edit" aspectratio="t"/>
                  <w10:wrap type="none"/>
                  <w10:anchorlock/>
                </v:shape>
                <o:OLEObject Type="Embed" ProgID="Equation.3" ShapeID="_x0000_i1045" DrawAspect="Content" ObjectID="_1468075745" r:id="rId50">
                  <o:LockedField>false</o:LockedField>
                </o:OLEObject>
              </w:object>
            </w:r>
            <w:r>
              <w:rPr>
                <w:rFonts w:hint="eastAsia" w:hAnsi="宋体"/>
                <w:color w:val="auto"/>
                <w:lang w:val="pt-BR"/>
              </w:rPr>
              <w:t>——</w:t>
            </w:r>
            <w:r>
              <w:rPr>
                <w:rFonts w:hint="eastAsia"/>
                <w:color w:val="auto"/>
              </w:rPr>
              <w:t>声源到靠近围护结构某点处的距离，m；</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131" w:firstLineChars="539"/>
              <w:textAlignment w:val="auto"/>
              <w:rPr>
                <w:rFonts w:hint="eastAsia"/>
                <w:color w:val="auto"/>
              </w:rPr>
            </w:pPr>
            <w:r>
              <w:rPr>
                <w:color w:val="auto"/>
                <w:position w:val="-10"/>
                <w:vertAlign w:val="subscript"/>
              </w:rPr>
              <w:object>
                <v:shape id="_x0000_i1046" o:spt="75" type="#_x0000_t75" style="height:16pt;width:12pt;" o:ole="t" filled="f" o:preferrelative="t" stroked="f" coordsize="21600,21600">
                  <v:path/>
                  <v:fill on="f" alignshape="1" focussize="0,0"/>
                  <v:stroke on="f"/>
                  <v:imagedata r:id="rId53" o:title=""/>
                  <o:lock v:ext="edit" aspectratio="t"/>
                  <w10:wrap type="none"/>
                  <w10:anchorlock/>
                </v:shape>
                <o:OLEObject Type="Embed" ProgID="Equation.3" ShapeID="_x0000_i1046" DrawAspect="Content" ObjectID="_1468075746" r:id="rId52">
                  <o:LockedField>false</o:LockedField>
                </o:OLEObject>
              </w:object>
            </w:r>
            <w:r>
              <w:rPr>
                <w:rFonts w:hint="eastAsia" w:hAnsi="宋体"/>
                <w:color w:val="auto"/>
                <w:lang w:val="pt-BR"/>
              </w:rPr>
              <w:t>——</w:t>
            </w:r>
            <w:r>
              <w:rPr>
                <w:rFonts w:hint="eastAsia"/>
                <w:color w:val="auto"/>
              </w:rPr>
              <w:t>指向性因子；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131" w:firstLineChars="539"/>
              <w:textAlignment w:val="auto"/>
              <w:rPr>
                <w:rFonts w:hint="eastAsia"/>
                <w:color w:val="auto"/>
              </w:rPr>
            </w:pPr>
            <w:r>
              <w:rPr>
                <w:color w:val="auto"/>
                <w:position w:val="-4"/>
                <w:vertAlign w:val="subscript"/>
              </w:rPr>
              <w:object>
                <v:shape id="_x0000_i1047" o:spt="75" type="#_x0000_t75" style="height:13pt;width:12pt;" o:ole="t" filled="f" o:preferrelative="t" stroked="f" coordsize="21600,21600">
                  <v:path/>
                  <v:fill on="f" alignshape="1" focussize="0,0"/>
                  <v:stroke on="f"/>
                  <v:imagedata r:id="rId55" o:title=""/>
                  <o:lock v:ext="edit" aspectratio="t"/>
                  <w10:wrap type="none"/>
                  <w10:anchorlock/>
                </v:shape>
                <o:OLEObject Type="Embed" ProgID="Equation.3" ShapeID="_x0000_i1047" DrawAspect="Content" ObjectID="_1468075747" r:id="rId54">
                  <o:LockedField>false</o:LockedField>
                </o:OLEObject>
              </w:object>
            </w:r>
            <w:r>
              <w:rPr>
                <w:rFonts w:hint="eastAsia" w:hAnsi="宋体"/>
                <w:color w:val="auto"/>
                <w:lang w:val="pt-BR"/>
              </w:rPr>
              <w:t>——</w:t>
            </w:r>
            <w:r>
              <w:rPr>
                <w:rFonts w:hint="eastAsia"/>
                <w:color w:val="auto"/>
              </w:rPr>
              <w:t>房间常数，</w:t>
            </w:r>
            <w:r>
              <w:rPr>
                <w:color w:val="auto"/>
                <w:position w:val="-10"/>
                <w:vertAlign w:val="subscript"/>
              </w:rPr>
              <w:object>
                <v:shape id="_x0000_i1048" o:spt="75" type="#_x0000_t75" style="height:16pt;width:76pt;" o:ole="t" filled="f" o:preferrelative="t" stroked="f" coordsize="21600,21600">
                  <v:path/>
                  <v:fill on="f" alignshape="1" focussize="0,0"/>
                  <v:stroke on="f"/>
                  <v:imagedata r:id="rId57" o:title=""/>
                  <o:lock v:ext="edit" aspectratio="t"/>
                  <w10:wrap type="none"/>
                  <w10:anchorlock/>
                </v:shape>
                <o:OLEObject Type="Embed" ProgID="Equation.3" ShapeID="_x0000_i1048" DrawAspect="Content" ObjectID="_1468075748" r:id="rId56">
                  <o:LockedField>false</o:LockedField>
                </o:OLEObject>
              </w:object>
            </w:r>
            <w:r>
              <w:rPr>
                <w:rFonts w:hint="eastAsia"/>
                <w:color w:val="auto"/>
              </w:rPr>
              <w:t>，</w:t>
            </w:r>
            <w:r>
              <w:rPr>
                <w:color w:val="auto"/>
                <w:position w:val="-6"/>
              </w:rPr>
              <w:object>
                <v:shape id="_x0000_i1049" o:spt="75" type="#_x0000_t75" style="height:13.95pt;width:11pt;" o:ole="t" filled="f" o:preferrelative="t" stroked="f" coordsize="21600,21600">
                  <v:path/>
                  <v:fill on="f" alignshape="1" focussize="0,0"/>
                  <v:stroke on="f"/>
                  <v:imagedata r:id="rId59" o:title=""/>
                  <o:lock v:ext="edit" aspectratio="t"/>
                  <w10:wrap type="none"/>
                  <w10:anchorlock/>
                </v:shape>
                <o:OLEObject Type="Embed" ProgID="Equation.3" ShapeID="_x0000_i1049" DrawAspect="Content" ObjectID="_1468075749" r:id="rId58">
                  <o:LockedField>false</o:LockedField>
                </o:OLEObject>
              </w:object>
            </w:r>
            <w:r>
              <w:rPr>
                <w:rFonts w:hint="eastAsia"/>
                <w:color w:val="auto"/>
              </w:rPr>
              <w:t>为房间内表面面积，m</w:t>
            </w:r>
            <w:r>
              <w:rPr>
                <w:rFonts w:hint="eastAsia"/>
                <w:color w:val="auto"/>
                <w:vertAlign w:val="superscript"/>
              </w:rPr>
              <w:t>2</w:t>
            </w:r>
            <w:r>
              <w:rPr>
                <w:rFonts w:hint="eastAsia"/>
                <w:color w:val="auto"/>
              </w:rPr>
              <w:t>，</w:t>
            </w:r>
            <w:r>
              <w:rPr>
                <w:color w:val="auto"/>
                <w:position w:val="-6"/>
              </w:rPr>
              <w:object>
                <v:shape id="_x0000_i1050" o:spt="75" type="#_x0000_t75" style="height:11pt;width:12pt;" o:ole="t" filled="f" o:preferrelative="t" stroked="f" coordsize="21600,21600">
                  <v:path/>
                  <v:fill on="f" alignshape="1" focussize="0,0"/>
                  <v:stroke on="f"/>
                  <v:imagedata r:id="rId61" o:title=""/>
                  <o:lock v:ext="edit" aspectratio="t"/>
                  <w10:wrap type="none"/>
                  <w10:anchorlock/>
                </v:shape>
                <o:OLEObject Type="Embed" ProgID="Equation.3" ShapeID="_x0000_i1050" DrawAspect="Content" ObjectID="_1468075750" r:id="rId60">
                  <o:LockedField>false</o:LockedField>
                </o:OLEObject>
              </w:object>
            </w:r>
            <w:r>
              <w:rPr>
                <w:rFonts w:hint="eastAsia"/>
                <w:color w:val="auto"/>
              </w:rPr>
              <w:t>为平均吸声系数。</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②计算出所有室内声源在靠近围护结构处产生的</w:t>
            </w:r>
            <w:r>
              <w:rPr>
                <w:color w:val="auto"/>
                <w:position w:val="-6"/>
              </w:rPr>
              <w:object>
                <v:shape id="_x0000_i1051" o:spt="75" type="#_x0000_t75" style="height:13pt;width:6.95pt;" o:ole="t" filled="f" o:preferrelative="t" stroked="f" coordsize="21600,21600">
                  <v:path/>
                  <v:fill on="f" alignshape="1" focussize="0,0"/>
                  <v:stroke on="f"/>
                  <v:imagedata r:id="rId63" o:title=""/>
                  <o:lock v:ext="edit" aspectratio="t"/>
                  <w10:wrap type="none"/>
                  <w10:anchorlock/>
                </v:shape>
                <o:OLEObject Type="Embed" ProgID="Equation.3" ShapeID="_x0000_i1051" DrawAspect="Content" ObjectID="_1468075751" r:id="rId62">
                  <o:LockedField>false</o:LockedField>
                </o:OLEObject>
              </w:object>
            </w:r>
            <w:r>
              <w:rPr>
                <w:rFonts w:hint="eastAsia"/>
                <w:color w:val="auto"/>
              </w:rPr>
              <w:t>倍频带叠加声压级：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30"/>
              </w:rPr>
              <w:object>
                <v:shape id="_x0000_i1052" o:spt="75" type="#_x0000_t75" style="height:35pt;width:131.1pt;" o:ole="t" filled="f" o:preferrelative="t" stroked="f" coordsize="21600,21600">
                  <v:path/>
                  <v:fill on="f" focussize="0,0"/>
                  <v:stroke on="f"/>
                  <v:imagedata r:id="rId65" o:title=""/>
                  <o:lock v:ext="edit" aspectratio="t"/>
                  <w10:wrap type="none"/>
                  <w10:anchorlock/>
                </v:shape>
                <o:OLEObject Type="Embed" ProgID="Equation.3" ShapeID="_x0000_i1052" DrawAspect="Content" ObjectID="_1468075752" r:id="rId64">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color w:val="auto"/>
              </w:rPr>
              <w:t>式中：</w:t>
            </w:r>
            <w:r>
              <w:rPr>
                <w:color w:val="auto"/>
                <w:position w:val="-14"/>
              </w:rPr>
              <w:object>
                <v:shape id="_x0000_i1053" o:spt="75" type="#_x0000_t75" style="height:19pt;width:37pt;" o:ole="t" filled="f" stroked="f" coordsize="21600,21600">
                  <v:path/>
                  <v:fill on="f" focussize="0,0"/>
                  <v:stroke on="f"/>
                  <v:imagedata r:id="rId67" o:title=""/>
                  <o:lock v:ext="edit" aspectratio="t"/>
                  <w10:wrap type="none"/>
                  <w10:anchorlock/>
                </v:shape>
                <o:OLEObject Type="Embed" ProgID="Equation.3" ShapeID="_x0000_i1053" DrawAspect="Content" ObjectID="_1468075753" r:id="rId66">
                  <o:LockedField>false</o:LockedField>
                </o:OLEObject>
              </w:object>
            </w:r>
            <w:r>
              <w:rPr>
                <w:rFonts w:hint="eastAsia" w:hAnsi="宋体"/>
                <w:color w:val="auto"/>
                <w:lang w:val="pt-BR"/>
              </w:rPr>
              <w:t>——靠近围护结构处室内N个声源</w:t>
            </w:r>
            <w:r>
              <w:rPr>
                <w:color w:val="auto"/>
                <w:position w:val="-6"/>
              </w:rPr>
              <w:object>
                <v:shape id="_x0000_i1054" o:spt="75" type="#_x0000_t75" style="height:13pt;width:6.95pt;" o:ole="t" filled="f" o:preferrelative="t" stroked="f" coordsize="21600,21600">
                  <v:path/>
                  <v:fill on="f" alignshape="1" focussize="0,0"/>
                  <v:stroke on="f"/>
                  <v:imagedata r:id="rId69" o:title=""/>
                  <o:lock v:ext="edit" aspectratio="t"/>
                  <w10:wrap type="none"/>
                  <w10:anchorlock/>
                </v:shape>
                <o:OLEObject Type="Embed" ProgID="Equation.3" ShapeID="_x0000_i1054" DrawAspect="Content" ObjectID="_1468075754" r:id="rId68">
                  <o:LockedField>false</o:LockedField>
                </o:OLEObject>
              </w:object>
            </w:r>
            <w:r>
              <w:rPr>
                <w:rFonts w:hint="eastAsia" w:hAnsi="宋体"/>
                <w:color w:val="auto"/>
                <w:lang w:val="pt-BR"/>
              </w:rPr>
              <w:t>倍频带的叠加声压级，dB；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037" w:firstLineChars="494"/>
              <w:textAlignment w:val="auto"/>
              <w:rPr>
                <w:rFonts w:hint="eastAsia" w:hAnsi="宋体"/>
                <w:color w:val="auto"/>
                <w:lang w:val="pt-BR"/>
              </w:rPr>
            </w:pPr>
            <w:r>
              <w:rPr>
                <w:color w:val="auto"/>
                <w:position w:val="-14"/>
              </w:rPr>
              <w:object>
                <v:shape id="_x0000_i1055" o:spt="75" type="#_x0000_t75" style="height:19pt;width:23pt;" o:ole="t" filled="f" o:preferrelative="t" stroked="f" coordsize="21600,21600">
                  <v:path/>
                  <v:fill on="f" alignshape="1" focussize="0,0"/>
                  <v:stroke on="f"/>
                  <v:imagedata r:id="rId71" o:title=""/>
                  <o:lock v:ext="edit" aspectratio="t"/>
                  <w10:wrap type="none"/>
                  <w10:anchorlock/>
                </v:shape>
                <o:OLEObject Type="Embed" ProgID="Equation.3" ShapeID="_x0000_i1055" DrawAspect="Content" ObjectID="_1468075755" r:id="rId70">
                  <o:LockedField>false</o:LockedField>
                </o:OLEObject>
              </w:object>
            </w:r>
            <w:r>
              <w:rPr>
                <w:rFonts w:hint="eastAsia" w:hAnsi="宋体"/>
                <w:color w:val="auto"/>
                <w:lang w:val="pt-BR"/>
              </w:rPr>
              <w:t>——室内</w:t>
            </w:r>
            <w:r>
              <w:rPr>
                <w:color w:val="auto"/>
                <w:position w:val="-10"/>
              </w:rPr>
              <w:object>
                <v:shape id="_x0000_i1056" o:spt="75" type="#_x0000_t75" style="height:15pt;width:10pt;" o:ole="t" filled="f" o:preferrelative="t" stroked="f" coordsize="21600,21600">
                  <v:path/>
                  <v:fill on="f" alignshape="1" focussize="0,0"/>
                  <v:stroke on="f"/>
                  <v:imagedata r:id="rId73" o:title=""/>
                  <o:lock v:ext="edit" aspectratio="t"/>
                  <w10:wrap type="none"/>
                  <w10:anchorlock/>
                </v:shape>
                <o:OLEObject Type="Embed" ProgID="Equation.3" ShapeID="_x0000_i1056" DrawAspect="Content" ObjectID="_1468075756" r:id="rId72">
                  <o:LockedField>false</o:LockedField>
                </o:OLEObject>
              </w:object>
            </w:r>
            <w:r>
              <w:rPr>
                <w:rFonts w:hint="eastAsia" w:hAnsi="宋体"/>
                <w:color w:val="auto"/>
                <w:lang w:val="pt-BR"/>
              </w:rPr>
              <w:t>声源</w:t>
            </w:r>
            <w:r>
              <w:rPr>
                <w:color w:val="auto"/>
                <w:position w:val="-6"/>
              </w:rPr>
              <w:object>
                <v:shape id="_x0000_i1057" o:spt="75" type="#_x0000_t75" style="height:13pt;width:6.95pt;" o:ole="t" filled="f" o:preferrelative="t" stroked="f" coordsize="21600,21600">
                  <v:path/>
                  <v:fill on="f" alignshape="1" focussize="0,0"/>
                  <v:stroke on="f"/>
                  <v:imagedata r:id="rId69" o:title=""/>
                  <o:lock v:ext="edit" aspectratio="t"/>
                  <w10:wrap type="none"/>
                  <w10:anchorlock/>
                </v:shape>
                <o:OLEObject Type="Embed" ProgID="Equation.3" ShapeID="_x0000_i1057" DrawAspect="Content" ObjectID="_1468075757" r:id="rId74">
                  <o:LockedField>false</o:LockedField>
                </o:OLEObject>
              </w:object>
            </w:r>
            <w:r>
              <w:rPr>
                <w:rFonts w:hint="eastAsia" w:hAnsi="宋体"/>
                <w:color w:val="auto"/>
                <w:lang w:val="pt-BR"/>
              </w:rPr>
              <w:t>倍频带的声压级，dB；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037" w:firstLineChars="494"/>
              <w:textAlignment w:val="auto"/>
              <w:rPr>
                <w:rFonts w:hint="eastAsia"/>
                <w:color w:val="auto"/>
              </w:rPr>
            </w:pPr>
            <w:r>
              <w:rPr>
                <w:color w:val="auto"/>
                <w:position w:val="-6"/>
              </w:rPr>
              <w:object>
                <v:shape id="_x0000_i1058" o:spt="75" type="#_x0000_t75" style="height:13.95pt;width:13.95pt;" o:ole="t" filled="f" o:preferrelative="t" stroked="f" coordsize="21600,21600">
                  <v:path/>
                  <v:fill on="f" alignshape="1" focussize="0,0"/>
                  <v:stroke on="f"/>
                  <v:imagedata r:id="rId76" o:title=""/>
                  <o:lock v:ext="edit" aspectratio="t"/>
                  <w10:wrap type="none"/>
                  <w10:anchorlock/>
                </v:shape>
                <o:OLEObject Type="Embed" ProgID="Equation.3" ShapeID="_x0000_i1058" DrawAspect="Content" ObjectID="_1468075758" r:id="rId75">
                  <o:LockedField>false</o:LockedField>
                </o:OLEObject>
              </w:object>
            </w:r>
            <w:r>
              <w:rPr>
                <w:rFonts w:hint="eastAsia" w:hAnsi="宋体"/>
                <w:color w:val="auto"/>
                <w:lang w:val="pt-BR"/>
              </w:rPr>
              <w:t>——室内声源总数。</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③计算出室外靠近围护结构处的声压级：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14"/>
              </w:rPr>
              <w:object>
                <v:shape id="_x0000_i1059" o:spt="75" type="#_x0000_t75" style="height:19pt;width:139.95pt;" o:ole="t" filled="f" o:preferrelative="t" stroked="f" coordsize="21600,21600">
                  <v:path/>
                  <v:fill on="f" alignshape="1" focussize="0,0"/>
                  <v:stroke on="f"/>
                  <v:imagedata r:id="rId78" o:title=""/>
                  <o:lock v:ext="edit" aspectratio="t"/>
                  <w10:wrap type="none"/>
                  <w10:anchorlock/>
                </v:shape>
                <o:OLEObject Type="Embed" ProgID="Equation.3" ShapeID="_x0000_i1059" DrawAspect="Content" ObjectID="_1468075759" r:id="rId77">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color w:val="auto"/>
              </w:rPr>
              <w:t>式中：</w:t>
            </w:r>
            <w:r>
              <w:rPr>
                <w:color w:val="auto"/>
                <w:position w:val="-14"/>
              </w:rPr>
              <w:object>
                <v:shape id="_x0000_i1060" o:spt="75" type="#_x0000_t75" style="height:19pt;width:40pt;" o:ole="t" filled="f" o:preferrelative="t" stroked="f" coordsize="21600,21600">
                  <v:path/>
                  <v:fill on="f" alignshape="1" focussize="0,0"/>
                  <v:stroke on="f"/>
                  <v:imagedata r:id="rId80" o:title=""/>
                  <o:lock v:ext="edit" aspectratio="t"/>
                  <w10:wrap type="none"/>
                  <w10:anchorlock/>
                </v:shape>
                <o:OLEObject Type="Embed" ProgID="Equation.3" ShapeID="_x0000_i1060" DrawAspect="Content" ObjectID="_1468075760" r:id="rId79">
                  <o:LockedField>false</o:LockedField>
                </o:OLEObject>
              </w:object>
            </w:r>
            <w:r>
              <w:rPr>
                <w:rFonts w:hint="eastAsia" w:hAnsi="宋体"/>
                <w:color w:val="auto"/>
                <w:lang w:val="pt-BR"/>
              </w:rPr>
              <w:t>——靠近围护结构处室外N个声源</w:t>
            </w:r>
            <w:r>
              <w:rPr>
                <w:color w:val="auto"/>
                <w:position w:val="-6"/>
              </w:rPr>
              <w:object>
                <v:shape id="_x0000_i1061" o:spt="75" type="#_x0000_t75" style="height:13pt;width:6.95pt;" o:ole="t" filled="f" o:preferrelative="t" stroked="f" coordsize="21600,21600">
                  <v:path/>
                  <v:fill on="f" alignshape="1" focussize="0,0"/>
                  <v:stroke on="f"/>
                  <v:imagedata r:id="rId69" o:title=""/>
                  <o:lock v:ext="edit" aspectratio="t"/>
                  <w10:wrap type="none"/>
                  <w10:anchorlock/>
                </v:shape>
                <o:OLEObject Type="Embed" ProgID="Equation.3" ShapeID="_x0000_i1061" DrawAspect="Content" ObjectID="_1468075761" r:id="rId81">
                  <o:LockedField>false</o:LockedField>
                </o:OLEObject>
              </w:object>
            </w:r>
            <w:r>
              <w:rPr>
                <w:rFonts w:hint="eastAsia" w:hAnsi="宋体"/>
                <w:color w:val="auto"/>
                <w:lang w:val="pt-BR"/>
              </w:rPr>
              <w:t>倍频带的叠加声压级，dB；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1037" w:firstLineChars="494"/>
              <w:textAlignment w:val="auto"/>
              <w:rPr>
                <w:rFonts w:hint="eastAsia"/>
                <w:color w:val="auto"/>
              </w:rPr>
            </w:pPr>
            <w:r>
              <w:rPr>
                <w:color w:val="auto"/>
                <w:position w:val="-12"/>
              </w:rPr>
              <w:object>
                <v:shape id="_x0000_i1062" o:spt="75" type="#_x0000_t75" style="height:18pt;width:19pt;" o:ole="t" filled="f" o:preferrelative="t" stroked="f" coordsize="21600,21600">
                  <v:path/>
                  <v:fill on="f" alignshape="1" focussize="0,0"/>
                  <v:stroke on="f"/>
                  <v:imagedata r:id="rId83" o:title=""/>
                  <o:lock v:ext="edit" aspectratio="t"/>
                  <w10:wrap type="none"/>
                  <w10:anchorlock/>
                </v:shape>
                <o:OLEObject Type="Embed" ProgID="Equation.3" ShapeID="_x0000_i1062" DrawAspect="Content" ObjectID="_1468075762" r:id="rId82">
                  <o:LockedField>false</o:LockedField>
                </o:OLEObject>
              </w:object>
            </w:r>
            <w:r>
              <w:rPr>
                <w:rFonts w:hint="eastAsia" w:hAnsi="宋体"/>
                <w:color w:val="auto"/>
                <w:lang w:val="pt-BR"/>
              </w:rPr>
              <w:t>——围护结构</w:t>
            </w:r>
            <w:r>
              <w:rPr>
                <w:color w:val="auto"/>
                <w:position w:val="-6"/>
              </w:rPr>
              <w:object>
                <v:shape id="_x0000_i1063" o:spt="75" type="#_x0000_t75" style="height:13pt;width:6.95pt;" o:ole="t" filled="f" o:preferrelative="t" stroked="f" coordsize="21600,21600">
                  <v:path/>
                  <v:fill on="f" alignshape="1" focussize="0,0"/>
                  <v:stroke on="f"/>
                  <v:imagedata r:id="rId69" o:title=""/>
                  <o:lock v:ext="edit" aspectratio="t"/>
                  <w10:wrap type="none"/>
                  <w10:anchorlock/>
                </v:shape>
                <o:OLEObject Type="Embed" ProgID="Equation.3" ShapeID="_x0000_i1063" DrawAspect="Content" ObjectID="_1468075763" r:id="rId84">
                  <o:LockedField>false</o:LockedField>
                </o:OLEObject>
              </w:object>
            </w:r>
            <w:r>
              <w:rPr>
                <w:rFonts w:hint="eastAsia" w:hAnsi="宋体"/>
                <w:color w:val="auto"/>
                <w:lang w:val="pt-BR"/>
              </w:rPr>
              <w:t>倍频带的隔声量，dB；</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④将室外声源的声压级和透过面积换算成等效的室外声源，计算出中心位置位于透声面积(S)处的等效声源的倍频带声功率级。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14"/>
              </w:rPr>
              <w:object>
                <v:shape id="_x0000_i1064" o:spt="75" type="#_x0000_t75" style="height:19pt;width:105pt;" o:ole="t" filled="f" o:preferrelative="t" stroked="f" coordsize="21600,21600">
                  <v:path/>
                  <v:fill on="f" alignshape="1" focussize="0,0"/>
                  <v:stroke on="f"/>
                  <v:imagedata r:id="rId86" o:title=""/>
                  <o:lock v:ext="edit" aspectratio="t"/>
                  <w10:wrap type="none"/>
                  <w10:anchorlock/>
                </v:shape>
                <o:OLEObject Type="Embed" ProgID="Equation.3" ShapeID="_x0000_i1064" DrawAspect="Content" ObjectID="_1468075764" r:id="rId85">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⑤等效室外声源的位置为围护结构的位置，其倍频带声功率级为</w:t>
            </w:r>
            <w:r>
              <w:rPr>
                <w:color w:val="auto"/>
                <w:position w:val="-12"/>
              </w:rPr>
              <w:object>
                <v:shape id="_x0000_i1065" o:spt="75" type="#_x0000_t75" style="height:18pt;width:16pt;" o:ole="t" filled="f" o:preferrelative="t" stroked="f" coordsize="21600,21600">
                  <v:path/>
                  <v:fill on="f" alignshape="1" focussize="0,0"/>
                  <v:stroke on="f"/>
                  <v:imagedata r:id="rId88" o:title=""/>
                  <o:lock v:ext="edit" aspectratio="t"/>
                  <w10:wrap type="none"/>
                  <w10:anchorlock/>
                </v:shape>
                <o:OLEObject Type="Embed" ProgID="Equation.3" ShapeID="_x0000_i1065" DrawAspect="Content" ObjectID="_1468075765" r:id="rId87">
                  <o:LockedField>false</o:LockedField>
                </o:OLEObject>
              </w:object>
            </w:r>
            <w:r>
              <w:rPr>
                <w:rFonts w:hint="eastAsia"/>
                <w:color w:val="auto"/>
              </w:rPr>
              <w:t>，根据厂房结构(门、窗)和预测点的位置关系，分别按照面声源、线声源和点声源的衰减模式，计算预测点处的声级。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假设窗户的宽度为a，高度为b，窗户个数为n；预测点距墙中心的距离为</w:t>
            </w:r>
            <w:r>
              <w:rPr>
                <w:color w:val="auto"/>
                <w:position w:val="-4"/>
              </w:rPr>
              <w:object>
                <v:shape id="_x0000_i1066" o:spt="75" type="#_x0000_t75" style="height:10pt;width:9pt;" o:ole="t" filled="f" o:preferrelative="t" stroked="f" coordsize="21600,21600">
                  <v:path/>
                  <v:fill on="f" alignshape="1" focussize="0,0"/>
                  <v:stroke on="f"/>
                  <v:imagedata r:id="rId90" o:title=""/>
                  <o:lock v:ext="edit" aspectratio="t"/>
                  <w10:wrap type="none"/>
                  <w10:anchorlock/>
                </v:shape>
                <o:OLEObject Type="Embed" ProgID="Equation.3" ShapeID="_x0000_i1066" DrawAspect="Content" ObjectID="_1468075766" r:id="rId89">
                  <o:LockedField>false</o:LockedField>
                </o:OLEObject>
              </w:object>
            </w:r>
            <w:r>
              <w:rPr>
                <w:rFonts w:hint="eastAsia"/>
                <w:color w:val="auto"/>
              </w:rPr>
              <w:t>。预测点的声级按照下述公式进行预测：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当</w:t>
            </w:r>
            <w:r>
              <w:rPr>
                <w:color w:val="auto"/>
                <w:position w:val="-24"/>
                <w:vertAlign w:val="subscript"/>
              </w:rPr>
              <w:object>
                <v:shape id="_x0000_i1067" o:spt="75" type="#_x0000_t75" style="height:31pt;width:31pt;" o:ole="t" filled="f" o:preferrelative="t" stroked="f" coordsize="21600,21600">
                  <v:path/>
                  <v:fill on="f" alignshape="1" focussize="0,0"/>
                  <v:stroke on="f"/>
                  <v:imagedata r:id="rId92" o:title=""/>
                  <o:lock v:ext="edit" aspectratio="t"/>
                  <w10:wrap type="none"/>
                  <w10:anchorlock/>
                </v:shape>
                <o:OLEObject Type="Embed" ProgID="Equation.3" ShapeID="_x0000_i1067" DrawAspect="Content" ObjectID="_1468075767" r:id="rId91">
                  <o:LockedField>false</o:LockedField>
                </o:OLEObject>
              </w:object>
            </w:r>
            <w:r>
              <w:rPr>
                <w:rFonts w:hint="eastAsia"/>
                <w:color w:val="auto"/>
              </w:rPr>
              <w:t>时，</w:t>
            </w:r>
            <w:r>
              <w:rPr>
                <w:color w:val="auto"/>
                <w:position w:val="-10"/>
              </w:rPr>
              <w:object>
                <v:shape id="_x0000_i1068" o:spt="75" type="#_x0000_t75" style="height:17pt;width:55pt;" o:ole="t" filled="f" o:preferrelative="t" stroked="f" coordsize="21600,21600">
                  <v:path/>
                  <v:fill on="f" alignshape="1" focussize="0,0"/>
                  <v:stroke on="f"/>
                  <v:imagedata r:id="rId94" o:title=""/>
                  <o:lock v:ext="edit" aspectratio="t"/>
                  <w10:wrap type="none"/>
                  <w10:anchorlock/>
                </v:shape>
                <o:OLEObject Type="Embed" ProgID="Equation.3" ShapeID="_x0000_i1068" DrawAspect="Content" ObjectID="_1468075768" r:id="rId93">
                  <o:LockedField>false</o:LockedField>
                </o:OLEObject>
              </w:object>
            </w:r>
            <w:r>
              <w:rPr>
                <w:rFonts w:hint="eastAsia"/>
                <w:color w:val="auto"/>
              </w:rPr>
              <w:t>(即按面声源处理)；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当</w:t>
            </w:r>
            <w:r>
              <w:rPr>
                <w:color w:val="auto"/>
                <w:position w:val="-24"/>
                <w:vertAlign w:val="subscript"/>
              </w:rPr>
              <w:object>
                <v:shape id="_x0000_i1069" o:spt="75" type="#_x0000_t75" style="height:31pt;width:58pt;" o:ole="t" filled="f" o:preferrelative="t" stroked="f" coordsize="21600,21600">
                  <v:path/>
                  <v:fill on="f" alignshape="1" focussize="0,0"/>
                  <v:stroke on="f"/>
                  <v:imagedata r:id="rId96" o:title=""/>
                  <o:lock v:ext="edit" aspectratio="t"/>
                  <w10:wrap type="none"/>
                  <w10:anchorlock/>
                </v:shape>
                <o:OLEObject Type="Embed" ProgID="Equation.3" ShapeID="_x0000_i1069" DrawAspect="Content" ObjectID="_1468075769" r:id="rId95">
                  <o:LockedField>false</o:LockedField>
                </o:OLEObject>
              </w:object>
            </w:r>
            <w:r>
              <w:rPr>
                <w:rFonts w:hint="eastAsia"/>
                <w:color w:val="auto"/>
              </w:rPr>
              <w:t>时，</w:t>
            </w:r>
            <w:r>
              <w:rPr>
                <w:color w:val="auto"/>
                <w:position w:val="-24"/>
              </w:rPr>
              <w:object>
                <v:shape id="_x0000_i1070" o:spt="75" type="#_x0000_t75" style="height:31pt;width:98pt;" o:ole="t" filled="f" o:preferrelative="t" stroked="f" coordsize="21600,21600">
                  <v:path/>
                  <v:fill on="f" alignshape="1" focussize="0,0"/>
                  <v:stroke on="f"/>
                  <v:imagedata r:id="rId98" o:title=""/>
                  <o:lock v:ext="edit" aspectratio="t"/>
                  <w10:wrap type="none"/>
                  <w10:anchorlock/>
                </v:shape>
                <o:OLEObject Type="Embed" ProgID="Equation.3" ShapeID="_x0000_i1070" DrawAspect="Content" ObjectID="_1468075770" r:id="rId97">
                  <o:LockedField>false</o:LockedField>
                </o:OLEObject>
              </w:object>
            </w:r>
            <w:r>
              <w:rPr>
                <w:rFonts w:hint="eastAsia"/>
                <w:color w:val="auto"/>
              </w:rPr>
              <w:t>(即按线声源处理)；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当</w:t>
            </w:r>
            <w:r>
              <w:rPr>
                <w:color w:val="auto"/>
                <w:position w:val="-24"/>
                <w:vertAlign w:val="subscript"/>
              </w:rPr>
              <w:object>
                <v:shape id="_x0000_i1071" o:spt="75" type="#_x0000_t75" style="height:31pt;width:36pt;" o:ole="t" filled="f" o:preferrelative="t" stroked="f" coordsize="21600,21600">
                  <v:path/>
                  <v:fill on="f" alignshape="1" focussize="0,0"/>
                  <v:stroke on="f"/>
                  <v:imagedata r:id="rId100" o:title=""/>
                  <o:lock v:ext="edit" aspectratio="t"/>
                  <w10:wrap type="none"/>
                  <w10:anchorlock/>
                </v:shape>
                <o:OLEObject Type="Embed" ProgID="Equation.3" ShapeID="_x0000_i1071" DrawAspect="Content" ObjectID="_1468075771" r:id="rId99">
                  <o:LockedField>false</o:LockedField>
                </o:OLEObject>
              </w:object>
            </w:r>
            <w:r>
              <w:rPr>
                <w:rFonts w:hint="eastAsia"/>
                <w:color w:val="auto"/>
              </w:rPr>
              <w:t>时，</w:t>
            </w:r>
            <w:r>
              <w:rPr>
                <w:color w:val="auto"/>
                <w:position w:val="-24"/>
              </w:rPr>
              <w:object>
                <v:shape id="_x0000_i1072" o:spt="75" type="#_x0000_t75" style="height:31pt;width:106pt;" o:ole="t" filled="f" o:preferrelative="t" stroked="f" coordsize="21600,21600">
                  <v:path/>
                  <v:fill on="f" alignshape="1" focussize="0,0"/>
                  <v:stroke on="f"/>
                  <v:imagedata r:id="rId102" o:title=""/>
                  <o:lock v:ext="edit" aspectratio="t"/>
                  <w10:wrap type="none"/>
                  <w10:anchorlock/>
                </v:shape>
                <o:OLEObject Type="Embed" ProgID="Equation.3" ShapeID="_x0000_i1072" DrawAspect="Content" ObjectID="_1468075772" r:id="rId101">
                  <o:LockedField>false</o:LockedField>
                </o:OLEObject>
              </w:object>
            </w:r>
            <w:r>
              <w:rPr>
                <w:rFonts w:hint="eastAsia"/>
                <w:color w:val="auto"/>
              </w:rPr>
              <w:t>(即按点声源处理)；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(3)计算总声压级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①计算本工程各室外噪声源和各含噪声源厂房对各预测点噪声贡献值</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设第</w:t>
            </w:r>
            <w:r>
              <w:rPr>
                <w:color w:val="auto"/>
                <w:position w:val="-6"/>
              </w:rPr>
              <w:object>
                <v:shape id="_x0000_i1073" o:spt="75" type="#_x0000_t75" style="height:13pt;width:6.95pt;" o:ole="t" filled="f" o:preferrelative="t" stroked="f" coordsize="21600,21600">
                  <v:path/>
                  <v:fill on="f" alignshape="1" focussize="0,0"/>
                  <v:stroke on="f"/>
                  <v:imagedata r:id="rId69" o:title=""/>
                  <o:lock v:ext="edit" aspectratio="t"/>
                  <w10:wrap type="none"/>
                  <w10:anchorlock/>
                </v:shape>
                <o:OLEObject Type="Embed" ProgID="Equation.3" ShapeID="_x0000_i1073" DrawAspect="Content" ObjectID="_1468075773" r:id="rId103">
                  <o:LockedField>false</o:LockedField>
                </o:OLEObject>
              </w:object>
            </w:r>
            <w:r>
              <w:rPr>
                <w:rFonts w:hint="eastAsia"/>
                <w:color w:val="auto"/>
              </w:rPr>
              <w:t>个室外声源在预测点产生的A声级为</w:t>
            </w:r>
            <w:r>
              <w:rPr>
                <w:color w:val="auto"/>
                <w:position w:val="-12"/>
              </w:rPr>
              <w:object>
                <v:shape id="_x0000_i1074" o:spt="75" type="#_x0000_t75" style="height:18pt;width:18pt;" o:ole="t" filled="f" o:preferrelative="t" stroked="f" coordsize="21600,21600">
                  <v:path/>
                  <v:fill on="f" alignshape="1" focussize="0,0"/>
                  <v:stroke on="f"/>
                  <v:imagedata r:id="rId105" o:title=""/>
                  <o:lock v:ext="edit" aspectratio="t"/>
                  <w10:wrap type="none"/>
                  <w10:anchorlock/>
                </v:shape>
                <o:OLEObject Type="Embed" ProgID="Equation.3" ShapeID="_x0000_i1074" DrawAspect="Content" ObjectID="_1468075774" r:id="rId104">
                  <o:LockedField>false</o:LockedField>
                </o:OLEObject>
              </w:object>
            </w:r>
            <w:r>
              <w:rPr>
                <w:rFonts w:hint="eastAsia"/>
                <w:color w:val="auto"/>
              </w:rPr>
              <w:t>，在T时间内该声源工作时间为</w:t>
            </w:r>
            <w:r>
              <w:rPr>
                <w:color w:val="auto"/>
                <w:position w:val="-12"/>
              </w:rPr>
              <w:object>
                <v:shape id="_x0000_i1075" o:spt="75" type="#_x0000_t75" style="height:18pt;width:10pt;" o:ole="t" filled="f" o:preferrelative="t" stroked="f" coordsize="21600,21600">
                  <v:path/>
                  <v:fill on="f" alignshape="1" focussize="0,0"/>
                  <v:stroke on="f"/>
                  <v:imagedata r:id="rId107" o:title=""/>
                  <o:lock v:ext="edit" aspectratio="t"/>
                  <w10:wrap type="none"/>
                  <w10:anchorlock/>
                </v:shape>
                <o:OLEObject Type="Embed" ProgID="Equation.3" ShapeID="_x0000_i1075" DrawAspect="Content" ObjectID="_1468075775" r:id="rId106">
                  <o:LockedField>false</o:LockedField>
                </o:OLEObject>
              </w:object>
            </w:r>
            <w:r>
              <w:rPr>
                <w:rFonts w:hint="eastAsia"/>
                <w:color w:val="auto"/>
              </w:rPr>
              <w:t>；第</w:t>
            </w:r>
            <w:r>
              <w:rPr>
                <w:color w:val="auto"/>
                <w:position w:val="-10"/>
              </w:rPr>
              <w:object>
                <v:shape id="_x0000_i1076" o:spt="75" type="#_x0000_t75" style="height:15pt;width:10pt;" o:ole="t" filled="f" o:preferrelative="t" stroked="f" coordsize="21600,21600">
                  <v:path/>
                  <v:fill on="f" alignshape="1" focussize="0,0"/>
                  <v:stroke on="f"/>
                  <v:imagedata r:id="rId109" o:title=""/>
                  <o:lock v:ext="edit" aspectratio="t"/>
                  <w10:wrap type="none"/>
                  <w10:anchorlock/>
                </v:shape>
                <o:OLEObject Type="Embed" ProgID="Equation.3" ShapeID="_x0000_i1076" DrawAspect="Content" ObjectID="_1468075776" r:id="rId108">
                  <o:LockedField>false</o:LockedField>
                </o:OLEObject>
              </w:object>
            </w:r>
            <w:r>
              <w:rPr>
                <w:rFonts w:hint="eastAsia"/>
                <w:color w:val="auto"/>
              </w:rPr>
              <w:t>个等效室外声源在预测点产生的A声级为</w:t>
            </w:r>
            <w:r>
              <w:rPr>
                <w:color w:val="auto"/>
                <w:position w:val="-14"/>
              </w:rPr>
              <w:object>
                <v:shape id="_x0000_i1077" o:spt="75" type="#_x0000_t75" style="height:19pt;width:18pt;" o:ole="t" filled="f" o:preferrelative="t" stroked="f" coordsize="21600,21600">
                  <v:path/>
                  <v:fill on="f" alignshape="1" focussize="0,0"/>
                  <v:stroke on="f"/>
                  <v:imagedata r:id="rId111" o:title=""/>
                  <o:lock v:ext="edit" aspectratio="t"/>
                  <w10:wrap type="none"/>
                  <w10:anchorlock/>
                </v:shape>
                <o:OLEObject Type="Embed" ProgID="Equation.3" ShapeID="_x0000_i1077" DrawAspect="Content" ObjectID="_1468075777" r:id="rId110">
                  <o:LockedField>false</o:LockedField>
                </o:OLEObject>
              </w:object>
            </w:r>
            <w:r>
              <w:rPr>
                <w:rFonts w:hint="eastAsia"/>
                <w:color w:val="auto"/>
              </w:rPr>
              <w:t>，在T时间内该声源工作时间为</w:t>
            </w:r>
            <w:r>
              <w:rPr>
                <w:color w:val="auto"/>
                <w:position w:val="-14"/>
              </w:rPr>
              <w:object>
                <v:shape id="_x0000_i1078" o:spt="75" type="#_x0000_t75" style="height:19pt;width:11pt;" o:ole="t" filled="f" o:preferrelative="t" stroked="f" coordsize="21600,21600">
                  <v:path/>
                  <v:fill on="f" alignshape="1" focussize="0,0"/>
                  <v:stroke on="f"/>
                  <v:imagedata r:id="rId113" o:title=""/>
                  <o:lock v:ext="edit" aspectratio="t"/>
                  <w10:wrap type="none"/>
                  <w10:anchorlock/>
                </v:shape>
                <o:OLEObject Type="Embed" ProgID="Equation.3" ShapeID="_x0000_i1078" DrawAspect="Content" ObjectID="_1468075778" r:id="rId112">
                  <o:LockedField>false</o:LockedField>
                </o:OLEObject>
              </w:object>
            </w:r>
            <w:r>
              <w:rPr>
                <w:rFonts w:hint="eastAsia"/>
                <w:color w:val="auto"/>
              </w:rPr>
              <w:t>，则拟建工程声源对预测点产生的贡献值(</w:t>
            </w:r>
            <w:r>
              <w:rPr>
                <w:color w:val="auto"/>
                <w:position w:val="-14"/>
              </w:rPr>
              <w:object>
                <v:shape id="_x0000_i1079" o:spt="75" type="#_x0000_t75" style="height:19pt;width:22pt;" o:ole="t" filled="f" o:preferrelative="t" stroked="f" coordsize="21600,21600">
                  <v:path/>
                  <v:fill on="f" alignshape="1" focussize="0,0"/>
                  <v:stroke on="f"/>
                  <v:imagedata r:id="rId115" o:title=""/>
                  <o:lock v:ext="edit" aspectratio="t"/>
                  <w10:wrap type="none"/>
                  <w10:anchorlock/>
                </v:shape>
                <o:OLEObject Type="Embed" ProgID="Equation.3" ShapeID="_x0000_i1079" DrawAspect="Content" ObjectID="_1468075779" r:id="rId114">
                  <o:LockedField>false</o:LockedField>
                </o:OLEObject>
              </w:object>
            </w:r>
            <w:r>
              <w:rPr>
                <w:rFonts w:hint="eastAsia"/>
                <w:color w:val="auto"/>
              </w:rPr>
              <w:t>)为</w:t>
            </w:r>
            <w:r>
              <w:rPr>
                <w:rFonts w:hint="eastAsia"/>
                <w:color w:val="auto"/>
                <w:lang w:eastAsia="zh-CN"/>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30"/>
              </w:rPr>
              <w:object>
                <v:shape id="_x0000_i1080" o:spt="75" type="#_x0000_t75" style="height:35pt;width:199pt;" o:ole="t" filled="f" o:preferrelative="t" stroked="f" coordsize="21600,21600">
                  <v:path/>
                  <v:fill on="f" alignshape="1" focussize="0,0"/>
                  <v:stroke on="f"/>
                  <v:imagedata r:id="rId117" o:title=""/>
                  <o:lock v:ext="edit" aspectratio="t"/>
                  <w10:wrap type="none"/>
                  <w10:anchorlock/>
                </v:shape>
                <o:OLEObject Type="Embed" ProgID="Equation.3" ShapeID="_x0000_i1080" DrawAspect="Content" ObjectID="_1468075780" r:id="rId116">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color w:val="auto"/>
              </w:rPr>
              <w:t>②预测点的噪声预测值</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color w:val="auto"/>
                <w:position w:val="-14"/>
              </w:rPr>
              <w:object>
                <v:shape id="_x0000_i1081" o:spt="75" type="#_x0000_t75" style="height:21pt;width:141pt;" o:ole="t" filled="f" o:preferrelative="t" stroked="f" coordsize="21600,21600">
                  <v:path/>
                  <v:fill on="f" alignshape="1" focussize="0,0"/>
                  <v:stroke on="f"/>
                  <v:imagedata r:id="rId119" o:title=""/>
                  <o:lock v:ext="edit" aspectratio="t"/>
                  <w10:wrap type="none"/>
                  <w10:anchorlock/>
                </v:shape>
                <o:OLEObject Type="Embed" ProgID="Equation.3" ShapeID="_x0000_i1081" DrawAspect="Content" ObjectID="_1468075781" r:id="rId118">
                  <o:LockedField>false</o:LockedField>
                </o:OLEObject>
              </w:objec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hAnsi="宋体"/>
                <w:color w:val="auto"/>
                <w:lang w:val="pt-BR"/>
              </w:rPr>
            </w:pPr>
            <w:r>
              <w:rPr>
                <w:rFonts w:hint="eastAsia"/>
                <w:color w:val="auto"/>
              </w:rPr>
              <w:t>式中：</w:t>
            </w:r>
            <w:r>
              <w:rPr>
                <w:color w:val="auto"/>
                <w:position w:val="-14"/>
              </w:rPr>
              <w:object>
                <v:shape id="_x0000_i1082" o:spt="75" type="#_x0000_t75" style="height:19pt;width:21pt;" o:ole="t" filled="f" stroked="f" coordsize="21600,21600">
                  <v:path/>
                  <v:fill on="f" focussize="0,0"/>
                  <v:stroke on="f"/>
                  <v:imagedata r:id="rId121" o:title=""/>
                  <o:lock v:ext="edit" aspectratio="t"/>
                  <w10:wrap type="none"/>
                  <w10:anchorlock/>
                </v:shape>
                <o:OLEObject Type="Embed" ProgID="Equation.3" ShapeID="_x0000_i1082" DrawAspect="Content" ObjectID="_1468075782" r:id="rId120">
                  <o:LockedField>false</o:LockedField>
                </o:OLEObject>
              </w:object>
            </w:r>
            <w:r>
              <w:rPr>
                <w:rFonts w:hint="eastAsia" w:hAnsi="宋体"/>
                <w:color w:val="auto"/>
                <w:lang w:val="pt-BR"/>
              </w:rPr>
              <w:t>——建设项目声源在预测点的等效声级贡献值，dB(A)；</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color w:val="auto"/>
              </w:rPr>
            </w:pPr>
            <w:r>
              <w:rPr>
                <w:rFonts w:hint="eastAsia" w:hAnsi="宋体"/>
                <w:color w:val="auto"/>
                <w:lang w:val="pt-BR"/>
              </w:rPr>
              <w:t xml:space="preserve">      </w:t>
            </w:r>
            <w:r>
              <w:rPr>
                <w:color w:val="auto"/>
                <w:position w:val="-14"/>
              </w:rPr>
              <w:object>
                <v:shape id="_x0000_i1083" o:spt="75" type="#_x0000_t75" style="height:19pt;width:21pt;" o:ole="t" filled="f" o:preferrelative="t" stroked="f" coordsize="21600,21600">
                  <v:path/>
                  <v:fill on="f" alignshape="1" focussize="0,0"/>
                  <v:stroke on="f"/>
                  <v:imagedata r:id="rId123" o:title=""/>
                  <o:lock v:ext="edit" aspectratio="t"/>
                  <w10:wrap type="none"/>
                  <w10:anchorlock/>
                </v:shape>
                <o:OLEObject Type="Embed" ProgID="Equation.3" ShapeID="_x0000_i1083" DrawAspect="Content" ObjectID="_1468075783" r:id="rId122">
                  <o:LockedField>false</o:LockedField>
                </o:OLEObject>
              </w:object>
            </w:r>
            <w:r>
              <w:rPr>
                <w:rFonts w:hint="eastAsia" w:hAnsi="宋体"/>
                <w:color w:val="auto"/>
                <w:lang w:val="pt-BR"/>
              </w:rPr>
              <w:t>——预测点的背景值，dB(A)。</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(4)噪声预测点位</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本评价预测项目噪声源对四周厂界噪声贡献值</w:t>
            </w:r>
            <w:r>
              <w:rPr>
                <w:rFonts w:hint="eastAsia" w:ascii="Times New Roman" w:hAnsi="Times New Roman" w:cs="Times New Roman"/>
                <w:szCs w:val="21"/>
                <w:lang w:eastAsia="zh-CN"/>
              </w:rPr>
              <w:t>及</w:t>
            </w:r>
            <w:r>
              <w:rPr>
                <w:rFonts w:hint="eastAsia" w:cs="Times New Roman"/>
                <w:szCs w:val="21"/>
                <w:lang w:val="en-US" w:eastAsia="zh-CN"/>
              </w:rPr>
              <w:t>敏感点处</w:t>
            </w:r>
            <w:r>
              <w:rPr>
                <w:rFonts w:hint="eastAsia" w:ascii="Times New Roman" w:hAnsi="Times New Roman" w:cs="Times New Roman"/>
                <w:szCs w:val="21"/>
                <w:lang w:eastAsia="zh-CN"/>
              </w:rPr>
              <w:t>预测值</w:t>
            </w:r>
            <w:r>
              <w:rPr>
                <w:rFonts w:hint="default" w:ascii="Times New Roman" w:hAnsi="Times New Roman" w:cs="Times New Roman"/>
                <w:szCs w:val="21"/>
              </w:rPr>
              <w:t>。</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5</w:t>
            </w:r>
            <w:r>
              <w:rPr>
                <w:rFonts w:hint="eastAsia" w:ascii="Times New Roman" w:hAnsi="Times New Roman" w:cs="Times New Roman"/>
                <w:szCs w:val="21"/>
                <w:lang w:eastAsia="zh-CN"/>
              </w:rPr>
              <w:t>）</w:t>
            </w:r>
            <w:r>
              <w:rPr>
                <w:rFonts w:hint="default" w:ascii="Times New Roman" w:hAnsi="Times New Roman" w:cs="Times New Roman"/>
                <w:szCs w:val="21"/>
              </w:rPr>
              <w:t>预测结果</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根据噪声源强情况及上述模式计算的噪声影响结果列于表</w:t>
            </w:r>
            <w:r>
              <w:rPr>
                <w:rFonts w:hint="eastAsia" w:ascii="Times New Roman" w:hAnsi="Times New Roman" w:cs="Times New Roman"/>
                <w:color w:val="auto"/>
                <w:sz w:val="21"/>
                <w:szCs w:val="21"/>
                <w:lang w:val="en-US" w:eastAsia="zh-CN"/>
              </w:rPr>
              <w:t>3</w:t>
            </w:r>
            <w:r>
              <w:rPr>
                <w:rFonts w:hint="eastAsia" w:cs="Times New Roman"/>
                <w:color w:val="auto"/>
                <w:sz w:val="21"/>
                <w:szCs w:val="21"/>
                <w:lang w:val="en-US" w:eastAsia="zh-CN"/>
              </w:rPr>
              <w:t>8</w:t>
            </w:r>
            <w:r>
              <w:rPr>
                <w:rFonts w:hint="default" w:ascii="Times New Roman" w:hAnsi="Times New Roman" w:cs="Times New Roman"/>
                <w:color w:val="auto"/>
                <w:sz w:val="21"/>
                <w:szCs w:val="21"/>
              </w:rPr>
              <w:t>。</w:t>
            </w:r>
          </w:p>
          <w:p>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表</w:t>
            </w:r>
            <w:r>
              <w:rPr>
                <w:rFonts w:hint="eastAsia" w:ascii="Times New Roman" w:hAnsi="Times New Roman" w:cs="Times New Roman"/>
                <w:color w:val="auto"/>
                <w:sz w:val="21"/>
                <w:szCs w:val="21"/>
                <w:highlight w:val="none"/>
                <w:lang w:val="en-US" w:eastAsia="zh-CN"/>
              </w:rPr>
              <w:t>3</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 xml:space="preserve">  噪声预测结果</w:t>
            </w:r>
            <w:r>
              <w:rPr>
                <w:rFonts w:hint="eastAsia" w:cs="Times New Roman"/>
                <w:color w:val="auto"/>
                <w:sz w:val="21"/>
                <w:szCs w:val="21"/>
                <w:highlight w:val="none"/>
                <w:lang w:val="en-US" w:eastAsia="zh-CN"/>
              </w:rPr>
              <w:t xml:space="preserve">     单位：</w:t>
            </w:r>
            <w:r>
              <w:rPr>
                <w:rFonts w:hint="default" w:ascii="Times New Roman" w:hAnsi="Times New Roman" w:cs="Times New Roman"/>
                <w:color w:val="auto"/>
                <w:szCs w:val="21"/>
                <w:highlight w:val="none"/>
              </w:rPr>
              <w:t>dB（A）</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500"/>
              <w:gridCol w:w="637"/>
              <w:gridCol w:w="1059"/>
              <w:gridCol w:w="1152"/>
              <w:gridCol w:w="1088"/>
              <w:gridCol w:w="998"/>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tcBorders>
                    <w:left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lang w:val="en-US" w:eastAsia="zh-CN"/>
                    </w:rPr>
                    <w:t>序号</w:t>
                  </w:r>
                </w:p>
              </w:tc>
              <w:tc>
                <w:tcPr>
                  <w:tcW w:w="935" w:type="pct"/>
                  <w:tcBorders>
                    <w:left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声环境保护目标</w:t>
                  </w:r>
                </w:p>
              </w:tc>
              <w:tc>
                <w:tcPr>
                  <w:tcW w:w="397" w:type="pct"/>
                  <w:tcBorders>
                    <w:left w:val="single" w:color="auto" w:sz="4" w:space="0"/>
                    <w:bottom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时间</w:t>
                  </w:r>
                </w:p>
              </w:tc>
              <w:tc>
                <w:tcPr>
                  <w:tcW w:w="660" w:type="pct"/>
                  <w:tcBorders>
                    <w:left w:val="single" w:color="auto" w:sz="4" w:space="0"/>
                    <w:bottom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噪声贡献值</w:t>
                  </w:r>
                </w:p>
              </w:tc>
              <w:tc>
                <w:tcPr>
                  <w:tcW w:w="718" w:type="pct"/>
                  <w:tcBorders>
                    <w:left w:val="single" w:color="auto" w:sz="4" w:space="0"/>
                    <w:bottom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噪声</w:t>
                  </w:r>
                  <w:r>
                    <w:rPr>
                      <w:rFonts w:hint="eastAsia" w:ascii="Times New Roman" w:hAnsi="Times New Roman" w:cs="Times New Roman"/>
                      <w:color w:val="auto"/>
                      <w:szCs w:val="21"/>
                      <w:lang w:val="en-US" w:eastAsia="zh-CN"/>
                    </w:rPr>
                    <w:t>现状</w:t>
                  </w:r>
                  <w:r>
                    <w:rPr>
                      <w:rFonts w:hint="default" w:ascii="Times New Roman" w:hAnsi="Times New Roman" w:cs="Times New Roman"/>
                      <w:color w:val="auto"/>
                      <w:szCs w:val="21"/>
                    </w:rPr>
                    <w:t>值</w:t>
                  </w:r>
                </w:p>
              </w:tc>
              <w:tc>
                <w:tcPr>
                  <w:tcW w:w="678" w:type="pct"/>
                  <w:tcBorders>
                    <w:left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噪声预测值</w:t>
                  </w:r>
                </w:p>
              </w:tc>
              <w:tc>
                <w:tcPr>
                  <w:tcW w:w="622" w:type="pct"/>
                  <w:tcBorders>
                    <w:left w:val="single" w:color="auto" w:sz="4" w:space="0"/>
                    <w:bottom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噪声标准</w:t>
                  </w:r>
                </w:p>
              </w:tc>
              <w:tc>
                <w:tcPr>
                  <w:tcW w:w="573" w:type="pct"/>
                  <w:tcBorders>
                    <w:left w:val="single" w:color="auto" w:sz="4" w:space="0"/>
                    <w:bottom w:val="single" w:color="auto" w:sz="4" w:space="0"/>
                  </w:tcBorders>
                  <w:noWrap w:val="0"/>
                  <w:tcMar>
                    <w:top w:w="0" w:type="dxa"/>
                    <w:left w:w="11" w:type="dxa"/>
                    <w:bottom w:w="0" w:type="dxa"/>
                    <w:right w:w="11"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超标和达标情况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restart"/>
                  <w:noWrap w:val="0"/>
                  <w:vAlign w:val="center"/>
                </w:tcPr>
                <w:p>
                  <w:pPr>
                    <w:pStyle w:val="71"/>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cs="Times New Roman"/>
                      <w:color w:val="auto"/>
                      <w:sz w:val="21"/>
                      <w:lang w:val="en-US" w:eastAsia="zh-CN"/>
                    </w:rPr>
                    <w:t>1</w:t>
                  </w:r>
                </w:p>
              </w:tc>
              <w:tc>
                <w:tcPr>
                  <w:tcW w:w="935" w:type="pct"/>
                  <w:vMerge w:val="restart"/>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东厂界</w:t>
                  </w:r>
                </w:p>
              </w:tc>
              <w:tc>
                <w:tcPr>
                  <w:tcW w:w="397"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昼间</w:t>
                  </w:r>
                </w:p>
              </w:tc>
              <w:tc>
                <w:tcPr>
                  <w:tcW w:w="660"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43.27</w:t>
                  </w:r>
                </w:p>
              </w:tc>
              <w:tc>
                <w:tcPr>
                  <w:tcW w:w="718"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63.6</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63.64</w:t>
                  </w:r>
                </w:p>
              </w:tc>
              <w:tc>
                <w:tcPr>
                  <w:tcW w:w="622"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lang w:val="en-US" w:eastAsia="zh-CN"/>
                    </w:rPr>
                  </w:pPr>
                  <w:r>
                    <w:rPr>
                      <w:rFonts w:hint="eastAsia" w:ascii="Times New Roman" w:hAnsi="Times New Roman" w:cs="Times New Roman"/>
                      <w:color w:val="auto"/>
                      <w:sz w:val="21"/>
                      <w:lang w:val="en-US" w:eastAsia="zh-CN"/>
                    </w:rPr>
                    <w:t>65</w:t>
                  </w:r>
                </w:p>
              </w:tc>
              <w:tc>
                <w:tcPr>
                  <w:tcW w:w="573" w:type="pc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lang w:val="en-US" w:eastAsia="zh-CN"/>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continue"/>
                  <w:noWrap w:val="0"/>
                  <w:vAlign w:val="center"/>
                </w:tcPr>
                <w:p>
                  <w:pPr>
                    <w:pStyle w:val="71"/>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p>
              </w:tc>
              <w:tc>
                <w:tcPr>
                  <w:tcW w:w="935" w:type="pct"/>
                  <w:vMerge w:val="continue"/>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lang w:val="en-US" w:eastAsia="zh-CN"/>
                    </w:rPr>
                  </w:pPr>
                </w:p>
              </w:tc>
              <w:tc>
                <w:tcPr>
                  <w:tcW w:w="397"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夜间</w:t>
                  </w:r>
                </w:p>
              </w:tc>
              <w:tc>
                <w:tcPr>
                  <w:tcW w:w="660"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38.27</w:t>
                  </w:r>
                </w:p>
              </w:tc>
              <w:tc>
                <w:tcPr>
                  <w:tcW w:w="718" w:type="pct"/>
                  <w:noWrap w:val="0"/>
                  <w:vAlign w:val="center"/>
                </w:tcPr>
                <w:p>
                  <w:pPr>
                    <w:pStyle w:val="71"/>
                    <w:keepNext w:val="0"/>
                    <w:keepLines w:val="0"/>
                    <w:suppressLineNumbers w:val="0"/>
                    <w:spacing w:before="0" w:beforeAutospacing="0" w:after="0" w:afterAutospacing="0"/>
                    <w:ind w:left="0" w:right="0"/>
                    <w:jc w:val="center"/>
                    <w:rPr>
                      <w:rFonts w:hint="eastAsia" w:ascii="Times New Roman" w:hAnsi="Times New Roman" w:cs="Times New Roman"/>
                      <w:color w:val="auto"/>
                      <w:sz w:val="21"/>
                      <w:highlight w:val="none"/>
                      <w:lang w:val="en-US" w:eastAsia="zh-CN"/>
                    </w:rPr>
                  </w:pPr>
                  <w:r>
                    <w:rPr>
                      <w:rFonts w:hint="eastAsia" w:ascii="Times New Roman" w:hAnsi="Times New Roman" w:cs="Times New Roman"/>
                      <w:color w:val="auto"/>
                      <w:sz w:val="21"/>
                      <w:highlight w:val="none"/>
                      <w:lang w:val="en-US" w:eastAsia="zh-CN"/>
                    </w:rPr>
                    <w:t>--</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38.27</w:t>
                  </w:r>
                </w:p>
              </w:tc>
              <w:tc>
                <w:tcPr>
                  <w:tcW w:w="622"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lang w:val="en-US" w:eastAsia="zh-CN"/>
                    </w:rPr>
                  </w:pPr>
                  <w:r>
                    <w:rPr>
                      <w:rFonts w:hint="eastAsia" w:cs="Times New Roman"/>
                      <w:color w:val="auto"/>
                      <w:sz w:val="21"/>
                      <w:lang w:val="en-US" w:eastAsia="zh-CN"/>
                    </w:rPr>
                    <w:t>55</w:t>
                  </w:r>
                </w:p>
              </w:tc>
              <w:tc>
                <w:tcPr>
                  <w:tcW w:w="573" w:type="pct"/>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lang w:val="en-US" w:eastAsia="zh-CN"/>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restar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2</w:t>
                  </w:r>
                </w:p>
              </w:tc>
              <w:tc>
                <w:tcPr>
                  <w:tcW w:w="935" w:type="pct"/>
                  <w:vMerge w:val="restar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南厂界</w:t>
                  </w: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昼间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32.33</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57.3</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57.31</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ascii="Times New Roman" w:hAnsi="Times New Roman" w:cs="Times New Roman"/>
                      <w:color w:val="auto"/>
                      <w:sz w:val="21"/>
                      <w:lang w:val="en-US" w:eastAsia="zh-CN"/>
                    </w:rPr>
                    <w:t>65</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continue"/>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935" w:type="pct"/>
                  <w:vMerge w:val="continue"/>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夜间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27.30</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cs="Times New Roman"/>
                      <w:color w:val="auto"/>
                      <w:sz w:val="21"/>
                      <w:highlight w:val="none"/>
                      <w:lang w:val="en-US" w:eastAsia="zh-CN"/>
                    </w:rPr>
                    <w:t>--</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27.30</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cs="Times New Roman"/>
                      <w:color w:val="auto"/>
                      <w:kern w:val="2"/>
                      <w:sz w:val="21"/>
                      <w:szCs w:val="24"/>
                      <w:lang w:val="en-US" w:eastAsia="zh-CN" w:bidi="ar-SA"/>
                    </w:rPr>
                    <w:t>55</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restar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3</w:t>
                  </w:r>
                </w:p>
              </w:tc>
              <w:tc>
                <w:tcPr>
                  <w:tcW w:w="935" w:type="pct"/>
                  <w:vMerge w:val="restar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西厂界</w:t>
                  </w: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昼间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50.23</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56.8</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57.66</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ascii="Times New Roman" w:hAnsi="Times New Roman" w:cs="Times New Roman"/>
                      <w:color w:val="auto"/>
                      <w:sz w:val="21"/>
                      <w:lang w:val="en-US" w:eastAsia="zh-CN"/>
                    </w:rPr>
                    <w:t>65</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continue"/>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935" w:type="pct"/>
                  <w:vMerge w:val="continue"/>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夜间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7.65</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cs="Times New Roman"/>
                      <w:color w:val="auto"/>
                      <w:sz w:val="21"/>
                      <w:highlight w:val="none"/>
                      <w:lang w:val="en-US" w:eastAsia="zh-CN"/>
                    </w:rPr>
                    <w:t>--</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7.65</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cs="Times New Roman"/>
                      <w:color w:val="auto"/>
                      <w:kern w:val="2"/>
                      <w:sz w:val="21"/>
                      <w:szCs w:val="24"/>
                      <w:lang w:val="en-US" w:eastAsia="zh-CN" w:bidi="ar-SA"/>
                    </w:rPr>
                    <w:t>55</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restar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4</w:t>
                  </w:r>
                </w:p>
              </w:tc>
              <w:tc>
                <w:tcPr>
                  <w:tcW w:w="935" w:type="pct"/>
                  <w:vMerge w:val="restar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北厂界</w:t>
                  </w: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昼间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35.96</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64.8</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sz w:val="21"/>
                      <w:highlight w:val="none"/>
                      <w:lang w:val="en-US" w:eastAsia="zh-CN"/>
                    </w:rPr>
                    <w:t>64.81</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cs="Times New Roman"/>
                      <w:color w:val="auto"/>
                      <w:sz w:val="21"/>
                      <w:lang w:val="en-US" w:eastAsia="zh-CN"/>
                    </w:rPr>
                    <w:t>70</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continue"/>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935" w:type="pct"/>
                  <w:vMerge w:val="continue"/>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夜间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13.93</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cs="Times New Roman"/>
                      <w:color w:val="auto"/>
                      <w:sz w:val="21"/>
                      <w:highlight w:val="none"/>
                      <w:lang w:val="en-US" w:eastAsia="zh-CN"/>
                    </w:rPr>
                    <w:t>--</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13.93</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lang w:val="en-US" w:eastAsia="zh-CN" w:bidi="ar-SA"/>
                    </w:rPr>
                  </w:pPr>
                  <w:r>
                    <w:rPr>
                      <w:rFonts w:hint="eastAsia" w:cs="Times New Roman"/>
                      <w:color w:val="auto"/>
                      <w:kern w:val="2"/>
                      <w:sz w:val="21"/>
                      <w:szCs w:val="24"/>
                      <w:lang w:val="en-US" w:eastAsia="zh-CN" w:bidi="ar-SA"/>
                    </w:rPr>
                    <w:t>55</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restar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5</w:t>
                  </w:r>
                </w:p>
              </w:tc>
              <w:tc>
                <w:tcPr>
                  <w:tcW w:w="935" w:type="pct"/>
                  <w:vMerge w:val="restart"/>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唐山市第二医院高新院区</w:t>
                  </w: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lang w:val="en-US" w:eastAsia="zh-CN" w:bidi="ar-SA"/>
                    </w:rPr>
                    <w:t>昼间</w:t>
                  </w:r>
                </w:p>
              </w:tc>
              <w:tc>
                <w:tcPr>
                  <w:tcW w:w="660"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32.34</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color w:val="auto"/>
                      <w:kern w:val="2"/>
                      <w:sz w:val="21"/>
                      <w:szCs w:val="24"/>
                      <w:highlight w:val="none"/>
                      <w:lang w:val="en-US" w:eastAsia="zh-CN" w:bidi="ar-SA"/>
                    </w:rPr>
                  </w:pPr>
                  <w:r>
                    <w:rPr>
                      <w:rFonts w:hint="eastAsia" w:ascii="Times New Roman" w:hAnsi="Times New Roman" w:cs="Times New Roman"/>
                      <w:color w:val="auto"/>
                      <w:sz w:val="21"/>
                      <w:highlight w:val="none"/>
                      <w:lang w:val="en-US" w:eastAsia="zh-CN"/>
                    </w:rPr>
                    <w:t>53</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53.04</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4"/>
                      <w:lang w:val="en-US" w:eastAsia="zh-CN" w:bidi="ar-SA"/>
                    </w:rPr>
                  </w:pPr>
                  <w:r>
                    <w:rPr>
                      <w:rFonts w:hint="eastAsia" w:cs="Times New Roman"/>
                      <w:color w:val="auto"/>
                      <w:sz w:val="21"/>
                      <w:lang w:val="en-US" w:eastAsia="zh-CN"/>
                    </w:rPr>
                    <w:t>60</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vMerge w:val="continue"/>
                  <w:noWrap w:val="0"/>
                  <w:vAlign w:val="center"/>
                </w:tcPr>
                <w:p>
                  <w:pPr>
                    <w:pStyle w:val="71"/>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935" w:type="pct"/>
                  <w:vMerge w:val="continue"/>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p>
              </w:tc>
              <w:tc>
                <w:tcPr>
                  <w:tcW w:w="397"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highlight w:val="none"/>
                      <w:lang w:val="en-US" w:eastAsia="zh-CN"/>
                    </w:rPr>
                  </w:pPr>
                  <w:r>
                    <w:rPr>
                      <w:rFonts w:hint="eastAsia" w:ascii="Times New Roman" w:hAnsi="Times New Roman" w:eastAsia="宋体" w:cs="Times New Roman"/>
                      <w:color w:val="auto"/>
                      <w:kern w:val="2"/>
                      <w:sz w:val="21"/>
                      <w:szCs w:val="21"/>
                      <w:lang w:val="en-US" w:eastAsia="zh-CN" w:bidi="ar-SA"/>
                    </w:rPr>
                    <w:t>夜间</w:t>
                  </w:r>
                </w:p>
              </w:tc>
              <w:tc>
                <w:tcPr>
                  <w:tcW w:w="660" w:type="pct"/>
                  <w:noWrap w:val="0"/>
                  <w:vAlign w:val="center"/>
                </w:tcPr>
                <w:p>
                  <w:pPr>
                    <w:pStyle w:val="71"/>
                    <w:keepNext w:val="0"/>
                    <w:keepLines w:val="0"/>
                    <w:suppressLineNumbers w:val="0"/>
                    <w:spacing w:before="0" w:beforeAutospacing="0" w:after="0" w:afterAutospacing="0"/>
                    <w:ind w:left="0" w:right="0"/>
                    <w:jc w:val="center"/>
                    <w:rPr>
                      <w:rFonts w:hint="default" w:ascii="Times New Roman" w:hAnsi="Times New Roman" w:cs="Times New Roman"/>
                      <w:color w:val="auto"/>
                      <w:sz w:val="21"/>
                      <w:highlight w:val="none"/>
                      <w:lang w:val="en-US" w:eastAsia="zh-CN"/>
                    </w:rPr>
                  </w:pPr>
                  <w:r>
                    <w:rPr>
                      <w:rFonts w:hint="eastAsia" w:cs="Times New Roman"/>
                      <w:color w:val="auto"/>
                      <w:sz w:val="21"/>
                      <w:highlight w:val="none"/>
                      <w:lang w:val="en-US" w:eastAsia="zh-CN"/>
                    </w:rPr>
                    <w:t>24.58</w:t>
                  </w:r>
                </w:p>
              </w:tc>
              <w:tc>
                <w:tcPr>
                  <w:tcW w:w="71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43</w:t>
                  </w:r>
                </w:p>
              </w:tc>
              <w:tc>
                <w:tcPr>
                  <w:tcW w:w="678"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仿宋_GB2312"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43.06</w:t>
                  </w:r>
                </w:p>
              </w:tc>
              <w:tc>
                <w:tcPr>
                  <w:tcW w:w="622" w:type="pct"/>
                  <w:noWrap w:val="0"/>
                  <w:vAlign w:val="center"/>
                </w:tcPr>
                <w:p>
                  <w:pPr>
                    <w:pStyle w:val="71"/>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4"/>
                      <w:lang w:val="en-US" w:eastAsia="zh-CN" w:bidi="ar-SA"/>
                    </w:rPr>
                  </w:pPr>
                  <w:r>
                    <w:rPr>
                      <w:rFonts w:hint="eastAsia" w:eastAsia="宋体" w:cs="Times New Roman"/>
                      <w:color w:val="auto"/>
                      <w:kern w:val="0"/>
                      <w:sz w:val="21"/>
                      <w:szCs w:val="24"/>
                      <w:lang w:val="en-US" w:eastAsia="zh-CN" w:bidi="ar-SA"/>
                    </w:rPr>
                    <w:t>50</w:t>
                  </w:r>
                </w:p>
              </w:tc>
              <w:tc>
                <w:tcPr>
                  <w:tcW w:w="57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sz w:val="21"/>
                      <w:lang w:val="en-US" w:eastAsia="zh-CN"/>
                    </w:rPr>
                    <w:t>达标</w:t>
                  </w:r>
                </w:p>
              </w:tc>
            </w:tr>
          </w:tbl>
          <w:p>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w:t>
            </w:r>
            <w:r>
              <w:rPr>
                <w:rFonts w:hint="eastAsia" w:cs="Times New Roman"/>
                <w:color w:val="auto"/>
                <w:sz w:val="21"/>
                <w:szCs w:val="21"/>
                <w:highlight w:val="none"/>
                <w:lang w:val="en-US" w:eastAsia="zh-CN"/>
              </w:rPr>
              <w:t>上表可知</w:t>
            </w:r>
            <w:r>
              <w:rPr>
                <w:rFonts w:hint="default" w:ascii="Times New Roman" w:hAnsi="Times New Roman" w:cs="Times New Roman"/>
                <w:color w:val="auto"/>
                <w:sz w:val="21"/>
                <w:szCs w:val="21"/>
                <w:highlight w:val="none"/>
              </w:rPr>
              <w:t>，采取相应措施后，项目厂界噪声贡献值</w:t>
            </w:r>
            <w:r>
              <w:rPr>
                <w:rFonts w:hint="eastAsia" w:cs="Times New Roman"/>
                <w:color w:val="auto"/>
                <w:sz w:val="21"/>
                <w:szCs w:val="21"/>
                <w:highlight w:val="none"/>
                <w:lang w:val="en-US" w:eastAsia="zh-CN"/>
              </w:rPr>
              <w:t>昼间</w:t>
            </w:r>
            <w:r>
              <w:rPr>
                <w:rFonts w:hint="default" w:ascii="Times New Roman" w:hAnsi="Times New Roman" w:cs="Times New Roman"/>
                <w:color w:val="auto"/>
                <w:sz w:val="21"/>
                <w:szCs w:val="21"/>
                <w:highlight w:val="none"/>
              </w:rPr>
              <w:t>为</w:t>
            </w:r>
            <w:r>
              <w:rPr>
                <w:rFonts w:hint="eastAsia" w:cs="Times New Roman"/>
                <w:color w:val="auto"/>
                <w:sz w:val="21"/>
                <w:szCs w:val="21"/>
                <w:highlight w:val="none"/>
                <w:lang w:val="en-US" w:eastAsia="zh-CN"/>
              </w:rPr>
              <w:t>25.14</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38.27</w:t>
            </w:r>
            <w:r>
              <w:rPr>
                <w:rFonts w:hint="default" w:ascii="Times New Roman" w:hAnsi="Times New Roman" w:cs="Times New Roman"/>
                <w:color w:val="auto"/>
                <w:sz w:val="21"/>
                <w:szCs w:val="21"/>
                <w:highlight w:val="none"/>
              </w:rPr>
              <w:t>dB（A），夜间为</w:t>
            </w:r>
            <w:r>
              <w:rPr>
                <w:rFonts w:hint="eastAsia" w:cs="Times New Roman"/>
                <w:color w:val="auto"/>
                <w:sz w:val="21"/>
                <w:szCs w:val="21"/>
                <w:highlight w:val="none"/>
                <w:lang w:val="en-US" w:eastAsia="zh-CN"/>
              </w:rPr>
              <w:t>7.65</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38.27</w:t>
            </w:r>
            <w:r>
              <w:rPr>
                <w:rFonts w:hint="default" w:ascii="Times New Roman" w:hAnsi="Times New Roman" w:cs="Times New Roman"/>
                <w:color w:val="auto"/>
                <w:sz w:val="21"/>
                <w:szCs w:val="21"/>
                <w:highlight w:val="none"/>
              </w:rPr>
              <w:t>dB（A）</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预测值昼间</w:t>
            </w:r>
            <w:r>
              <w:rPr>
                <w:rFonts w:hint="default" w:ascii="Times New Roman" w:hAnsi="Times New Roman" w:cs="Times New Roman"/>
                <w:color w:val="auto"/>
                <w:sz w:val="21"/>
                <w:szCs w:val="21"/>
                <w:highlight w:val="none"/>
              </w:rPr>
              <w:t>为</w:t>
            </w:r>
            <w:r>
              <w:rPr>
                <w:rFonts w:hint="eastAsia" w:cs="Times New Roman"/>
                <w:color w:val="auto"/>
                <w:sz w:val="21"/>
                <w:szCs w:val="21"/>
                <w:highlight w:val="none"/>
                <w:lang w:val="en-US" w:eastAsia="zh-CN"/>
              </w:rPr>
              <w:t>56.8</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64.8</w:t>
            </w:r>
            <w:r>
              <w:rPr>
                <w:rFonts w:hint="default" w:ascii="Times New Roman" w:hAnsi="Times New Roman" w:cs="Times New Roman"/>
                <w:color w:val="auto"/>
                <w:sz w:val="21"/>
                <w:szCs w:val="21"/>
                <w:highlight w:val="none"/>
              </w:rPr>
              <w:t>dB（A）</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本项目营运期</w:t>
            </w:r>
            <w:r>
              <w:rPr>
                <w:rFonts w:hint="eastAsia" w:ascii="Times New Roman" w:hAnsi="Times New Roman" w:cs="Times New Roman"/>
                <w:color w:val="auto"/>
                <w:sz w:val="21"/>
                <w:szCs w:val="21"/>
                <w:highlight w:val="none"/>
                <w:lang w:val="en-US" w:eastAsia="zh-CN"/>
              </w:rPr>
              <w:t>厂界</w:t>
            </w:r>
            <w:r>
              <w:rPr>
                <w:rFonts w:hint="eastAsia" w:cs="Times New Roman"/>
                <w:color w:val="auto"/>
                <w:sz w:val="21"/>
                <w:szCs w:val="21"/>
                <w:highlight w:val="none"/>
                <w:lang w:val="en-US" w:eastAsia="zh-CN"/>
              </w:rPr>
              <w:t>噪声</w:t>
            </w:r>
            <w:r>
              <w:rPr>
                <w:rFonts w:hint="eastAsia" w:ascii="Times New Roman" w:hAnsi="Times New Roman" w:cs="Times New Roman"/>
                <w:color w:val="auto"/>
                <w:sz w:val="21"/>
                <w:szCs w:val="21"/>
                <w:highlight w:val="none"/>
                <w:lang w:val="en-US" w:eastAsia="zh-CN"/>
              </w:rPr>
              <w:t>满足</w:t>
            </w:r>
            <w:r>
              <w:rPr>
                <w:rFonts w:hint="default" w:ascii="Times New Roman" w:hAnsi="Times New Roman" w:cs="Times New Roman"/>
                <w:color w:val="auto"/>
                <w:sz w:val="21"/>
                <w:szCs w:val="21"/>
                <w:highlight w:val="none"/>
              </w:rPr>
              <w:t>《工业企业厂界环境噪声排放标准》(GB12348-2008)</w:t>
            </w:r>
            <w:r>
              <w:rPr>
                <w:rFonts w:hint="eastAsia" w:cs="Times New Roman"/>
                <w:color w:val="auto"/>
                <w:sz w:val="21"/>
                <w:szCs w:val="21"/>
                <w:highlight w:val="none"/>
                <w:lang w:val="en-US" w:eastAsia="zh-CN"/>
              </w:rPr>
              <w:t>3类、4类标准</w:t>
            </w:r>
            <w:r>
              <w:rPr>
                <w:rFonts w:hint="default" w:ascii="Times New Roman" w:hAnsi="Times New Roman" w:cs="Times New Roman"/>
                <w:color w:val="auto"/>
                <w:sz w:val="21"/>
                <w:szCs w:val="21"/>
                <w:highlight w:val="none"/>
              </w:rPr>
              <w:t>。</w:t>
            </w:r>
          </w:p>
          <w:p>
            <w:pPr>
              <w:keepNext w:val="0"/>
              <w:keepLines w:val="0"/>
              <w:suppressLineNumbers w:val="0"/>
              <w:adjustRightInd w:val="0"/>
              <w:snapToGrid w:val="0"/>
              <w:spacing w:before="0" w:beforeAutospacing="0" w:after="0" w:afterAutospacing="0" w:line="360" w:lineRule="auto"/>
              <w:ind w:left="0" w:right="0" w:firstLine="480"/>
              <w:rPr>
                <w:rFonts w:hint="eastAsia" w:ascii="Times New Roman"/>
                <w:color w:val="auto"/>
                <w:spacing w:val="0"/>
                <w:sz w:val="21"/>
                <w:szCs w:val="21"/>
                <w:highlight w:val="none"/>
                <w:lang w:eastAsia="zh-CN"/>
              </w:rPr>
            </w:pPr>
            <w:r>
              <w:rPr>
                <w:rFonts w:hint="default" w:ascii="Times New Roman" w:hAnsi="Times New Roman" w:cs="Times New Roman"/>
                <w:color w:val="auto"/>
                <w:szCs w:val="21"/>
                <w:highlight w:val="none"/>
              </w:rPr>
              <w:t>本项目最近的敏感点处的</w:t>
            </w:r>
            <w:r>
              <w:rPr>
                <w:rFonts w:hint="eastAsia" w:ascii="Times New Roman" w:hAnsi="Times New Roman" w:cs="Times New Roman"/>
                <w:color w:val="auto"/>
                <w:szCs w:val="21"/>
                <w:highlight w:val="none"/>
                <w:lang w:val="en-US" w:eastAsia="zh-CN"/>
              </w:rPr>
              <w:t>唐山市第二医院高新院区</w:t>
            </w:r>
            <w:r>
              <w:rPr>
                <w:rFonts w:hint="default" w:ascii="Times New Roman" w:hAnsi="Times New Roman" w:cs="Times New Roman"/>
                <w:color w:val="auto"/>
                <w:szCs w:val="21"/>
                <w:highlight w:val="none"/>
              </w:rPr>
              <w:t>，噪声经相应的隔声、减振等噪声防治措施后，经距离衰减后，敏感点处噪声预测值</w:t>
            </w:r>
            <w:r>
              <w:rPr>
                <w:rFonts w:hint="eastAsia" w:cs="Times New Roman"/>
                <w:color w:val="auto"/>
                <w:szCs w:val="21"/>
                <w:highlight w:val="none"/>
                <w:lang w:val="en-US" w:eastAsia="zh-CN"/>
              </w:rPr>
              <w:t>昼间</w:t>
            </w:r>
            <w:r>
              <w:rPr>
                <w:rFonts w:hint="default" w:ascii="Times New Roman" w:hAnsi="Times New Roman" w:cs="Times New Roman"/>
                <w:color w:val="auto"/>
                <w:szCs w:val="21"/>
                <w:highlight w:val="none"/>
              </w:rPr>
              <w:t>为</w:t>
            </w:r>
            <w:r>
              <w:rPr>
                <w:rFonts w:hint="eastAsia" w:cs="Times New Roman"/>
                <w:color w:val="auto"/>
                <w:sz w:val="21"/>
                <w:szCs w:val="21"/>
                <w:highlight w:val="none"/>
                <w:lang w:val="en-US" w:eastAsia="zh-CN"/>
              </w:rPr>
              <w:t>53.01</w:t>
            </w:r>
            <w:r>
              <w:rPr>
                <w:rFonts w:hint="default" w:ascii="Times New Roman" w:hAnsi="Times New Roman" w:cs="Times New Roman"/>
                <w:color w:val="auto"/>
                <w:szCs w:val="21"/>
                <w:highlight w:val="none"/>
              </w:rPr>
              <w:t>dB（A）</w:t>
            </w:r>
            <w:r>
              <w:rPr>
                <w:rFonts w:hint="default" w:ascii="Times New Roman" w:hAnsi="Times New Roman" w:cs="Times New Roman"/>
                <w:color w:val="auto"/>
                <w:highlight w:val="none"/>
              </w:rPr>
              <w:t>，</w:t>
            </w:r>
            <w:r>
              <w:rPr>
                <w:rFonts w:hint="eastAsia" w:cs="Times New Roman"/>
                <w:color w:val="auto"/>
                <w:highlight w:val="none"/>
                <w:lang w:val="en-US" w:eastAsia="zh-CN"/>
              </w:rPr>
              <w:t>夜间为43.06</w:t>
            </w:r>
            <w:r>
              <w:rPr>
                <w:rFonts w:hint="default" w:ascii="Times New Roman" w:hAnsi="Times New Roman" w:cs="Times New Roman"/>
                <w:color w:val="auto"/>
                <w:szCs w:val="21"/>
                <w:highlight w:val="none"/>
              </w:rPr>
              <w:t>dB（A）</w:t>
            </w:r>
            <w:r>
              <w:rPr>
                <w:rFonts w:hint="default" w:ascii="Times New Roman" w:hAnsi="Times New Roman" w:cs="Times New Roman"/>
                <w:color w:val="auto"/>
                <w:highlight w:val="none"/>
              </w:rPr>
              <w:t>，可满足《声环境质量标准》（GB3096－2008）中</w:t>
            </w:r>
            <w:r>
              <w:rPr>
                <w:rFonts w:hint="eastAsia" w:cs="Times New Roman"/>
                <w:color w:val="auto"/>
                <w:highlight w:val="none"/>
                <w:lang w:val="en-US" w:eastAsia="zh-CN"/>
              </w:rPr>
              <w:t>2</w:t>
            </w:r>
            <w:r>
              <w:rPr>
                <w:rFonts w:hint="default" w:ascii="Times New Roman" w:hAnsi="Times New Roman" w:cs="Times New Roman"/>
                <w:color w:val="auto"/>
                <w:highlight w:val="none"/>
              </w:rPr>
              <w:t>类标准要求</w:t>
            </w:r>
            <w:r>
              <w:rPr>
                <w:rFonts w:hint="eastAsia" w:ascii="Times New Roman" w:hAnsi="Times New Roman" w:cs="Times New Roman"/>
                <w:color w:val="auto"/>
                <w:highlight w:val="none"/>
                <w:lang w:eastAsia="zh-CN"/>
              </w:rPr>
              <w:t>。</w:t>
            </w:r>
            <w:r>
              <w:rPr>
                <w:rFonts w:hint="default" w:ascii="Times New Roman" w:hAnsi="Times New Roman" w:cs="Times New Roman"/>
                <w:color w:val="auto"/>
                <w:sz w:val="21"/>
                <w:szCs w:val="21"/>
                <w:highlight w:val="none"/>
              </w:rPr>
              <w:t>因此，</w:t>
            </w:r>
            <w:r>
              <w:rPr>
                <w:rFonts w:hint="eastAsia" w:ascii="Times New Roman" w:hAnsi="Times New Roman" w:cs="Times New Roman"/>
                <w:color w:val="auto"/>
                <w:sz w:val="21"/>
                <w:szCs w:val="21"/>
                <w:highlight w:val="none"/>
                <w:lang w:val="en-US" w:eastAsia="zh-CN"/>
              </w:rPr>
              <w:t>项目</w:t>
            </w:r>
            <w:r>
              <w:rPr>
                <w:rFonts w:hint="default" w:ascii="Times New Roman" w:hAnsi="Times New Roman" w:cs="Times New Roman"/>
                <w:color w:val="auto"/>
                <w:sz w:val="21"/>
                <w:szCs w:val="21"/>
                <w:highlight w:val="none"/>
              </w:rPr>
              <w:t>不会对周围声环境产生明显影响</w:t>
            </w:r>
            <w:r>
              <w:rPr>
                <w:rFonts w:hint="eastAsia" w:ascii="Times New Roman"/>
                <w:color w:val="auto"/>
                <w:spacing w:val="0"/>
                <w:sz w:val="21"/>
                <w:szCs w:val="21"/>
                <w:highlight w:val="none"/>
                <w:lang w:eastAsia="zh-CN"/>
              </w:rPr>
              <w:t>。</w:t>
            </w:r>
          </w:p>
          <w:p>
            <w:pPr>
              <w:keepNext w:val="0"/>
              <w:keepLines w:val="0"/>
              <w:suppressLineNumbers w:val="0"/>
              <w:adjustRightInd w:val="0"/>
              <w:snapToGrid w:val="0"/>
              <w:spacing w:before="0" w:beforeAutospacing="0" w:after="0" w:afterAutospacing="0" w:line="360" w:lineRule="auto"/>
              <w:ind w:left="0" w:right="0" w:firstLine="420" w:firstLineChars="20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（6）跟踪监测计划</w:t>
            </w:r>
          </w:p>
          <w:p>
            <w:pPr>
              <w:pStyle w:val="16"/>
              <w:keepNext w:val="0"/>
              <w:keepLines w:val="0"/>
              <w:suppressLineNumbers w:val="0"/>
              <w:spacing w:before="0" w:beforeAutospacing="0" w:after="0" w:afterAutospacing="0" w:line="240" w:lineRule="auto"/>
              <w:ind w:left="0" w:leftChars="0" w:right="0"/>
              <w:jc w:val="center"/>
              <w:rPr>
                <w:rFonts w:hint="eastAsia" w:ascii="Times New Roman" w:hAnsi="Times New Roman"/>
                <w:bCs/>
                <w:color w:val="auto"/>
                <w:sz w:val="21"/>
                <w:szCs w:val="21"/>
                <w:lang w:val="en-US" w:eastAsia="zh-CN"/>
              </w:rPr>
            </w:pPr>
            <w:r>
              <w:rPr>
                <w:rFonts w:ascii="Times New Roman" w:hAnsi="Times New Roman"/>
                <w:bCs/>
                <w:color w:val="auto"/>
                <w:sz w:val="21"/>
                <w:szCs w:val="21"/>
                <w:lang w:val="en-US" w:eastAsia="zh-CN"/>
              </w:rPr>
              <w:t>表</w:t>
            </w:r>
            <w:r>
              <w:rPr>
                <w:rFonts w:hint="eastAsia" w:ascii="Times New Roman" w:hAnsi="Times New Roman"/>
                <w:bCs/>
                <w:color w:val="auto"/>
                <w:sz w:val="21"/>
                <w:szCs w:val="21"/>
                <w:lang w:val="en-US" w:eastAsia="zh-CN"/>
              </w:rPr>
              <w:t>3</w:t>
            </w:r>
            <w:r>
              <w:rPr>
                <w:rFonts w:hint="eastAsia"/>
                <w:bCs/>
                <w:color w:val="auto"/>
                <w:sz w:val="21"/>
                <w:szCs w:val="21"/>
                <w:lang w:val="en-US" w:eastAsia="zh-CN"/>
              </w:rPr>
              <w:t>9</w:t>
            </w:r>
            <w:r>
              <w:rPr>
                <w:rFonts w:hint="eastAsia" w:ascii="Times New Roman" w:hAnsi="Times New Roman"/>
                <w:bCs/>
                <w:color w:val="auto"/>
                <w:sz w:val="21"/>
                <w:szCs w:val="21"/>
                <w:lang w:val="en-US" w:eastAsia="zh-CN"/>
              </w:rPr>
              <w:t xml:space="preserve">  </w:t>
            </w:r>
            <w:r>
              <w:rPr>
                <w:rFonts w:ascii="Times New Roman" w:hAnsi="Times New Roman"/>
                <w:bCs/>
                <w:color w:val="auto"/>
                <w:sz w:val="21"/>
                <w:szCs w:val="21"/>
                <w:lang w:val="en-US" w:eastAsia="zh-CN"/>
              </w:rPr>
              <w:t>项目</w:t>
            </w:r>
            <w:r>
              <w:rPr>
                <w:rFonts w:hint="eastAsia" w:ascii="Times New Roman" w:hAnsi="Times New Roman"/>
                <w:bCs/>
                <w:color w:val="auto"/>
                <w:sz w:val="21"/>
                <w:szCs w:val="21"/>
                <w:lang w:val="en-US" w:eastAsia="zh-CN"/>
              </w:rPr>
              <w:t>噪声跟踪监测计划</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9"/>
              <w:gridCol w:w="1211"/>
              <w:gridCol w:w="1211"/>
              <w:gridCol w:w="3812"/>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480"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类别</w:t>
                  </w:r>
                </w:p>
              </w:tc>
              <w:tc>
                <w:tcPr>
                  <w:tcW w:w="755"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监测点位</w:t>
                  </w:r>
                </w:p>
              </w:tc>
              <w:tc>
                <w:tcPr>
                  <w:tcW w:w="755"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监测项目</w:t>
                  </w:r>
                </w:p>
              </w:tc>
              <w:tc>
                <w:tcPr>
                  <w:tcW w:w="2377"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执行标准</w:t>
                  </w:r>
                </w:p>
              </w:tc>
              <w:tc>
                <w:tcPr>
                  <w:tcW w:w="631"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监测</w:t>
                  </w:r>
                </w:p>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72" w:hRule="atLeast"/>
                <w:jc w:val="center"/>
              </w:trPr>
              <w:tc>
                <w:tcPr>
                  <w:tcW w:w="480" w:type="pct"/>
                  <w:vMerge w:val="restar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噪声</w:t>
                  </w:r>
                </w:p>
              </w:tc>
              <w:tc>
                <w:tcPr>
                  <w:tcW w:w="755"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szCs w:val="21"/>
                      <w:lang w:val="en-US"/>
                    </w:rPr>
                  </w:pPr>
                  <w:r>
                    <w:rPr>
                      <w:rFonts w:hint="eastAsia" w:ascii="Times New Roman" w:hAnsi="Times New Roman"/>
                      <w:color w:val="auto"/>
                      <w:szCs w:val="21"/>
                      <w:lang w:val="en-US" w:eastAsia="zh-CN"/>
                    </w:rPr>
                    <w:t>厂界</w:t>
                  </w:r>
                </w:p>
              </w:tc>
              <w:tc>
                <w:tcPr>
                  <w:tcW w:w="755" w:type="pct"/>
                  <w:vMerge w:val="restar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L</w:t>
                  </w:r>
                  <w:r>
                    <w:rPr>
                      <w:rFonts w:ascii="Times New Roman" w:hAnsi="Times New Roman"/>
                      <w:color w:val="auto"/>
                      <w:szCs w:val="21"/>
                      <w:vertAlign w:val="subscript"/>
                    </w:rPr>
                    <w:t>eq</w:t>
                  </w:r>
                  <w:r>
                    <w:rPr>
                      <w:rFonts w:ascii="Times New Roman" w:hAnsi="Times New Roman"/>
                      <w:color w:val="auto"/>
                      <w:szCs w:val="21"/>
                    </w:rPr>
                    <w:t>(A)</w:t>
                  </w:r>
                </w:p>
              </w:tc>
              <w:tc>
                <w:tcPr>
                  <w:tcW w:w="2377"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《工业企业厂界环境噪声排放标准》(GB12348-2008)</w:t>
                  </w:r>
                  <w:r>
                    <w:rPr>
                      <w:rFonts w:hint="eastAsia" w:ascii="Times New Roman" w:hAnsi="Times New Roman"/>
                      <w:color w:val="auto"/>
                      <w:szCs w:val="21"/>
                      <w:lang w:val="en-US" w:eastAsia="zh-CN"/>
                    </w:rPr>
                    <w:t>3</w:t>
                  </w:r>
                  <w:r>
                    <w:rPr>
                      <w:rFonts w:ascii="Times New Roman" w:hAnsi="Times New Roman"/>
                      <w:color w:val="auto"/>
                      <w:szCs w:val="21"/>
                    </w:rPr>
                    <w:t>类</w:t>
                  </w:r>
                  <w:r>
                    <w:rPr>
                      <w:rFonts w:hint="eastAsia" w:ascii="Times New Roman" w:hAnsi="Times New Roman"/>
                      <w:color w:val="auto"/>
                      <w:szCs w:val="21"/>
                      <w:lang w:val="en-US" w:eastAsia="zh-CN"/>
                    </w:rPr>
                    <w:t>/4类</w:t>
                  </w:r>
                  <w:r>
                    <w:rPr>
                      <w:rFonts w:ascii="Times New Roman" w:hAnsi="Times New Roman"/>
                      <w:color w:val="auto"/>
                      <w:szCs w:val="21"/>
                    </w:rPr>
                    <w:t>标准</w:t>
                  </w:r>
                </w:p>
              </w:tc>
              <w:tc>
                <w:tcPr>
                  <w:tcW w:w="631"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1次/季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4" w:hRule="atLeast"/>
                <w:jc w:val="center"/>
              </w:trPr>
              <w:tc>
                <w:tcPr>
                  <w:tcW w:w="480" w:type="pct"/>
                  <w:vMerge w:val="continue"/>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p>
              </w:tc>
              <w:tc>
                <w:tcPr>
                  <w:tcW w:w="755" w:type="pct"/>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szCs w:val="21"/>
                      <w:lang w:val="en-US" w:eastAsia="zh-CN"/>
                    </w:rPr>
                  </w:pPr>
                  <w:r>
                    <w:rPr>
                      <w:rFonts w:hint="eastAsia" w:ascii="Times New Roman" w:hAnsi="Times New Roman" w:cs="Times New Roman"/>
                      <w:color w:val="auto"/>
                      <w:szCs w:val="21"/>
                      <w:highlight w:val="none"/>
                      <w:lang w:val="en-US" w:eastAsia="zh-CN"/>
                    </w:rPr>
                    <w:t>唐山市第二医院高新院区</w:t>
                  </w:r>
                </w:p>
              </w:tc>
              <w:tc>
                <w:tcPr>
                  <w:tcW w:w="755" w:type="pct"/>
                  <w:vMerge w:val="continue"/>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p>
              </w:tc>
              <w:tc>
                <w:tcPr>
                  <w:tcW w:w="2377"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hint="default" w:ascii="Times New Roman" w:hAnsi="Times New Roman" w:cs="Times New Roman"/>
                      <w:color w:val="auto"/>
                    </w:rPr>
                    <w:t>《声环境质量标准》（GB3096－2008）中</w:t>
                  </w:r>
                  <w:r>
                    <w:rPr>
                      <w:rFonts w:hint="eastAsia" w:cs="Times New Roman"/>
                      <w:color w:val="auto"/>
                      <w:lang w:val="en-US" w:eastAsia="zh-CN"/>
                    </w:rPr>
                    <w:t>2</w:t>
                  </w:r>
                  <w:r>
                    <w:rPr>
                      <w:rFonts w:hint="default" w:ascii="Times New Roman" w:hAnsi="Times New Roman" w:cs="Times New Roman"/>
                      <w:color w:val="auto"/>
                    </w:rPr>
                    <w:t>类标准</w:t>
                  </w:r>
                </w:p>
              </w:tc>
              <w:tc>
                <w:tcPr>
                  <w:tcW w:w="631" w:type="pct"/>
                  <w:noWrap w:val="0"/>
                  <w:vAlign w:val="center"/>
                </w:tcPr>
                <w:p>
                  <w:pPr>
                    <w:keepNext w:val="0"/>
                    <w:keepLines w:val="0"/>
                    <w:suppressLineNumbers w:val="0"/>
                    <w:adjustRightInd w:val="0"/>
                    <w:snapToGrid w:val="0"/>
                    <w:spacing w:before="0" w:beforeAutospacing="0" w:after="0" w:afterAutospacing="0"/>
                    <w:ind w:left="0" w:right="0"/>
                    <w:jc w:val="center"/>
                    <w:rPr>
                      <w:rFonts w:ascii="Times New Roman" w:hAnsi="Times New Roman"/>
                      <w:color w:val="auto"/>
                      <w:szCs w:val="21"/>
                    </w:rPr>
                  </w:pPr>
                  <w:r>
                    <w:rPr>
                      <w:rFonts w:ascii="Times New Roman" w:hAnsi="Times New Roman"/>
                      <w:color w:val="auto"/>
                      <w:szCs w:val="21"/>
                    </w:rPr>
                    <w:t>1次/季</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textAlignment w:val="auto"/>
              <w:rPr>
                <w:rFonts w:hint="default"/>
                <w:b/>
                <w:bCs/>
                <w:color w:val="auto"/>
                <w:kern w:val="0"/>
                <w:sz w:val="21"/>
                <w:szCs w:val="21"/>
                <w:highlight w:val="none"/>
                <w:lang w:val="en-US" w:eastAsia="zh-CN"/>
              </w:rPr>
            </w:pPr>
            <w:r>
              <w:rPr>
                <w:rFonts w:hint="default"/>
                <w:b/>
                <w:bCs/>
                <w:color w:val="auto"/>
                <w:kern w:val="0"/>
                <w:sz w:val="21"/>
                <w:szCs w:val="21"/>
                <w:highlight w:val="none"/>
                <w:lang w:val="en-US" w:eastAsia="zh-CN"/>
              </w:rPr>
              <w:t>4、固体废物防治措施</w:t>
            </w:r>
          </w:p>
          <w:p>
            <w:pPr>
              <w:keepNext w:val="0"/>
              <w:keepLines w:val="0"/>
              <w:suppressLineNumbers w:val="0"/>
              <w:spacing w:before="0" w:beforeAutospacing="0" w:after="0" w:afterAutospacing="0" w:line="360" w:lineRule="auto"/>
              <w:ind w:left="0" w:right="0" w:firstLine="420" w:firstLineChars="200"/>
              <w:rPr>
                <w:color w:val="auto"/>
                <w:szCs w:val="21"/>
                <w:highlight w:val="none"/>
              </w:rPr>
            </w:pPr>
            <w:r>
              <w:rPr>
                <w:color w:val="auto"/>
                <w:szCs w:val="21"/>
                <w:highlight w:val="none"/>
              </w:rPr>
              <w:t>（1）固体废物环境影响分析和保护措施</w:t>
            </w:r>
          </w:p>
          <w:p>
            <w:pPr>
              <w:keepNext w:val="0"/>
              <w:keepLines w:val="0"/>
              <w:suppressLineNumbers w:val="0"/>
              <w:spacing w:before="0" w:beforeAutospacing="0" w:after="0" w:afterAutospacing="0" w:line="360" w:lineRule="auto"/>
              <w:ind w:left="0" w:right="0" w:firstLine="420" w:firstLineChars="200"/>
              <w:rPr>
                <w:rFonts w:hint="eastAsia"/>
                <w:color w:val="auto"/>
                <w:szCs w:val="21"/>
                <w:highlight w:val="none"/>
              </w:rPr>
            </w:pPr>
            <w:r>
              <w:rPr>
                <w:color w:val="auto"/>
                <w:szCs w:val="21"/>
                <w:highlight w:val="none"/>
              </w:rPr>
              <w:t>本项目</w:t>
            </w:r>
            <w:r>
              <w:rPr>
                <w:rFonts w:hint="eastAsia"/>
                <w:color w:val="auto"/>
                <w:szCs w:val="21"/>
                <w:highlight w:val="none"/>
                <w:lang w:val="en-US" w:eastAsia="zh-CN"/>
              </w:rPr>
              <w:t>属于技术改造项目，产品产能不变，本项目</w:t>
            </w:r>
            <w:r>
              <w:rPr>
                <w:color w:val="auto"/>
                <w:szCs w:val="21"/>
                <w:highlight w:val="none"/>
              </w:rPr>
              <w:t>产生的固体废物主要为</w:t>
            </w:r>
            <w:r>
              <w:rPr>
                <w:rFonts w:hint="eastAsia" w:cs="Times New Roman"/>
                <w:color w:val="auto"/>
                <w:sz w:val="21"/>
                <w:szCs w:val="21"/>
                <w:highlight w:val="none"/>
                <w:lang w:val="en-US" w:eastAsia="zh-CN"/>
              </w:rPr>
              <w:t>机加工废金属屑（含油）</w:t>
            </w:r>
            <w:r>
              <w:rPr>
                <w:rFonts w:hint="eastAsia" w:ascii="Times New Roman" w:hAnsi="Times New Roman" w:eastAsia="宋体" w:cs="Times New Roman"/>
                <w:color w:val="auto"/>
                <w:sz w:val="21"/>
                <w:szCs w:val="21"/>
                <w:highlight w:val="none"/>
                <w:lang w:eastAsia="zh-CN"/>
              </w:rPr>
              <w:t>、</w:t>
            </w:r>
            <w:r>
              <w:rPr>
                <w:rStyle w:val="55"/>
                <w:rFonts w:hint="eastAsia"/>
                <w:color w:val="auto"/>
                <w:sz w:val="21"/>
                <w:szCs w:val="21"/>
                <w:highlight w:val="none"/>
              </w:rPr>
              <w:t>除尘灰</w:t>
            </w:r>
            <w:r>
              <w:rPr>
                <w:rFonts w:hint="eastAsia"/>
                <w:color w:val="auto"/>
                <w:szCs w:val="21"/>
                <w:highlight w:val="none"/>
              </w:rPr>
              <w:t>、废润滑油、废液压油、废油桶、废活性炭</w:t>
            </w:r>
            <w:r>
              <w:rPr>
                <w:rFonts w:hint="eastAsia"/>
                <w:color w:val="auto"/>
                <w:szCs w:val="21"/>
                <w:highlight w:val="none"/>
                <w:lang w:eastAsia="zh-CN"/>
              </w:rPr>
              <w:t>、</w:t>
            </w:r>
            <w:r>
              <w:rPr>
                <w:rFonts w:hint="eastAsia"/>
                <w:color w:val="auto"/>
                <w:szCs w:val="21"/>
                <w:highlight w:val="none"/>
              </w:rPr>
              <w:t>废催化剂。</w:t>
            </w:r>
          </w:p>
          <w:p>
            <w:pPr>
              <w:keepNext w:val="0"/>
              <w:keepLines w:val="0"/>
              <w:suppressLineNumbers w:val="0"/>
              <w:spacing w:before="0" w:beforeAutospacing="0" w:after="0" w:afterAutospacing="0" w:line="360" w:lineRule="auto"/>
              <w:ind w:left="0" w:right="0" w:firstLine="420" w:firstLineChars="200"/>
              <w:rPr>
                <w:rFonts w:hint="eastAsia"/>
                <w:color w:val="auto"/>
                <w:szCs w:val="21"/>
                <w:highlight w:val="yellow"/>
              </w:rPr>
            </w:pPr>
            <w:r>
              <w:rPr>
                <w:rFonts w:hint="eastAsia"/>
                <w:color w:val="auto"/>
                <w:szCs w:val="21"/>
                <w:highlight w:val="none"/>
              </w:rPr>
              <w:t>根据企业提供资料，</w:t>
            </w:r>
            <w:r>
              <w:rPr>
                <w:rFonts w:hint="eastAsia" w:ascii="Times New Roman" w:hAnsi="Times New Roman" w:eastAsia="宋体" w:cs="Times New Roman"/>
                <w:color w:val="auto"/>
                <w:sz w:val="21"/>
                <w:szCs w:val="21"/>
                <w:highlight w:val="none"/>
                <w:lang w:val="en-US" w:eastAsia="zh-CN"/>
              </w:rPr>
              <w:t>机加工</w:t>
            </w:r>
            <w:r>
              <w:rPr>
                <w:rFonts w:hint="eastAsia" w:cs="Times New Roman"/>
                <w:color w:val="auto"/>
                <w:sz w:val="21"/>
                <w:szCs w:val="21"/>
                <w:highlight w:val="none"/>
                <w:lang w:eastAsia="zh-CN"/>
              </w:rPr>
              <w:t>废金属屑</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含油</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产生量为</w:t>
            </w:r>
            <w:r>
              <w:rPr>
                <w:rFonts w:hint="eastAsia" w:ascii="Times New Roman" w:hAnsi="Times New Roman" w:eastAsia="宋体" w:cs="Times New Roman"/>
                <w:color w:val="auto"/>
                <w:kern w:val="2"/>
                <w:sz w:val="21"/>
                <w:szCs w:val="21"/>
                <w:highlight w:val="none"/>
                <w:lang w:val="en-US" w:eastAsia="zh-CN" w:bidi="ar-SA"/>
              </w:rPr>
              <w:t>10t/a</w:t>
            </w:r>
            <w:r>
              <w:rPr>
                <w:rFonts w:hint="eastAsia" w:ascii="Times New Roman" w:hAnsi="Times New Roman" w:eastAsia="宋体" w:cs="Times New Roman"/>
                <w:color w:val="auto"/>
                <w:sz w:val="21"/>
                <w:szCs w:val="21"/>
                <w:highlight w:val="none"/>
                <w:lang w:eastAsia="zh-CN"/>
              </w:rPr>
              <w:t>；</w:t>
            </w:r>
            <w:r>
              <w:rPr>
                <w:rStyle w:val="55"/>
                <w:rFonts w:hint="eastAsia"/>
                <w:color w:val="auto"/>
                <w:sz w:val="21"/>
                <w:szCs w:val="21"/>
                <w:highlight w:val="none"/>
              </w:rPr>
              <w:t>除尘灰的产生量约为</w:t>
            </w:r>
            <w:r>
              <w:rPr>
                <w:rStyle w:val="55"/>
                <w:rFonts w:hint="eastAsia"/>
                <w:color w:val="auto"/>
                <w:sz w:val="21"/>
                <w:szCs w:val="21"/>
                <w:highlight w:val="none"/>
                <w:lang w:val="en-US"/>
              </w:rPr>
              <w:t>27.645</w:t>
            </w:r>
            <w:r>
              <w:rPr>
                <w:rStyle w:val="55"/>
                <w:rFonts w:hint="eastAsia"/>
                <w:color w:val="auto"/>
                <w:sz w:val="21"/>
                <w:szCs w:val="21"/>
                <w:highlight w:val="none"/>
              </w:rPr>
              <w:t>t/a</w:t>
            </w:r>
            <w:r>
              <w:rPr>
                <w:rFonts w:hint="eastAsia"/>
                <w:color w:val="auto"/>
                <w:szCs w:val="21"/>
                <w:highlight w:val="none"/>
              </w:rPr>
              <w:t>；废润滑油、废液压油、废油桶</w:t>
            </w:r>
            <w:r>
              <w:rPr>
                <w:rFonts w:hint="eastAsia"/>
                <w:color w:val="auto"/>
                <w:szCs w:val="21"/>
                <w:highlight w:val="none"/>
                <w:lang w:val="en-US" w:eastAsia="zh-CN"/>
              </w:rPr>
              <w:t>产生量分别为1.5t/a</w:t>
            </w:r>
            <w:r>
              <w:rPr>
                <w:rStyle w:val="55"/>
                <w:rFonts w:hint="eastAsia"/>
                <w:color w:val="auto"/>
                <w:sz w:val="21"/>
                <w:szCs w:val="21"/>
                <w:highlight w:val="none"/>
              </w:rPr>
              <w:t>、</w:t>
            </w:r>
            <w:r>
              <w:rPr>
                <w:rStyle w:val="55"/>
                <w:rFonts w:hint="eastAsia"/>
                <w:color w:val="auto"/>
                <w:sz w:val="21"/>
                <w:szCs w:val="21"/>
                <w:highlight w:val="none"/>
                <w:lang w:val="en-US"/>
              </w:rPr>
              <w:t>7.0t/a</w:t>
            </w:r>
            <w:r>
              <w:rPr>
                <w:rStyle w:val="55"/>
                <w:rFonts w:hint="eastAsia"/>
                <w:color w:val="auto"/>
                <w:sz w:val="21"/>
                <w:szCs w:val="21"/>
                <w:highlight w:val="none"/>
              </w:rPr>
              <w:t>、</w:t>
            </w:r>
            <w:r>
              <w:rPr>
                <w:rStyle w:val="55"/>
                <w:rFonts w:hint="eastAsia"/>
                <w:color w:val="auto"/>
                <w:sz w:val="21"/>
                <w:szCs w:val="21"/>
                <w:highlight w:val="none"/>
                <w:lang w:val="en-US"/>
              </w:rPr>
              <w:t>1.0t/a</w:t>
            </w:r>
            <w:r>
              <w:rPr>
                <w:rStyle w:val="55"/>
                <w:rFonts w:hint="eastAsia"/>
                <w:color w:val="auto"/>
                <w:sz w:val="21"/>
                <w:szCs w:val="21"/>
                <w:highlight w:val="none"/>
              </w:rPr>
              <w:t>；</w:t>
            </w:r>
            <w:r>
              <w:rPr>
                <w:rFonts w:hint="eastAsia"/>
                <w:color w:val="auto"/>
                <w:szCs w:val="21"/>
                <w:highlight w:val="none"/>
              </w:rPr>
              <w:t>本项目固化</w:t>
            </w:r>
            <w:r>
              <w:rPr>
                <w:color w:val="auto"/>
                <w:szCs w:val="21"/>
                <w:highlight w:val="none"/>
              </w:rPr>
              <w:t>废气治理采用</w:t>
            </w:r>
            <w:r>
              <w:rPr>
                <w:rFonts w:hint="eastAsia"/>
                <w:color w:val="auto"/>
                <w:szCs w:val="21"/>
                <w:highlight w:val="none"/>
                <w:lang w:eastAsia="zh-CN"/>
              </w:rPr>
              <w:t>喷淋塔+干式过滤箱+活性炭吸附/脱附+催化燃烧装置</w:t>
            </w:r>
            <w:r>
              <w:rPr>
                <w:rFonts w:hint="eastAsia"/>
                <w:color w:val="auto"/>
                <w:szCs w:val="21"/>
                <w:highlight w:val="none"/>
              </w:rPr>
              <w:t>，根据企业提供资料，</w:t>
            </w:r>
            <w:r>
              <w:rPr>
                <w:rFonts w:hint="eastAsia"/>
                <w:color w:val="auto"/>
                <w:szCs w:val="21"/>
                <w:highlight w:val="none"/>
                <w:lang w:val="en-US" w:eastAsia="zh-CN"/>
              </w:rPr>
              <w:t>活性炭</w:t>
            </w:r>
            <w:r>
              <w:rPr>
                <w:rFonts w:hint="eastAsia"/>
                <w:color w:val="auto"/>
                <w:szCs w:val="21"/>
                <w:highlight w:val="none"/>
              </w:rPr>
              <w:t>的填装量为</w:t>
            </w:r>
            <w:r>
              <w:rPr>
                <w:rFonts w:hint="eastAsia"/>
                <w:color w:val="auto"/>
                <w:szCs w:val="21"/>
                <w:highlight w:val="none"/>
                <w:lang w:val="en-US" w:eastAsia="zh-CN"/>
              </w:rPr>
              <w:t>0.5</w:t>
            </w:r>
            <w:r>
              <w:rPr>
                <w:rFonts w:hint="eastAsia"/>
                <w:color w:val="auto"/>
                <w:szCs w:val="21"/>
                <w:highlight w:val="none"/>
              </w:rPr>
              <w:t>t（</w:t>
            </w:r>
            <w:r>
              <w:rPr>
                <w:rFonts w:hint="eastAsia"/>
                <w:color w:val="auto"/>
                <w:szCs w:val="21"/>
                <w:highlight w:val="none"/>
                <w:lang w:val="en-US" w:eastAsia="zh-CN"/>
              </w:rPr>
              <w:t>1</w:t>
            </w:r>
            <w:r>
              <w:rPr>
                <w:rFonts w:hint="eastAsia"/>
                <w:color w:val="auto"/>
                <w:szCs w:val="21"/>
                <w:highlight w:val="none"/>
              </w:rPr>
              <w:t>m</w:t>
            </w:r>
            <w:r>
              <w:rPr>
                <w:rFonts w:hint="eastAsia"/>
                <w:color w:val="auto"/>
                <w:szCs w:val="21"/>
                <w:highlight w:val="none"/>
                <w:vertAlign w:val="superscript"/>
              </w:rPr>
              <w:t>3</w:t>
            </w:r>
            <w:r>
              <w:rPr>
                <w:rFonts w:hint="eastAsia"/>
                <w:color w:val="auto"/>
                <w:szCs w:val="21"/>
                <w:highlight w:val="none"/>
              </w:rPr>
              <w:t>），更换周期为</w:t>
            </w:r>
            <w:r>
              <w:rPr>
                <w:rFonts w:hint="eastAsia"/>
                <w:color w:val="auto"/>
                <w:szCs w:val="21"/>
                <w:highlight w:val="none"/>
                <w:lang w:val="en-US" w:eastAsia="zh-CN"/>
              </w:rPr>
              <w:t>1</w:t>
            </w:r>
            <w:r>
              <w:rPr>
                <w:rFonts w:hint="eastAsia"/>
                <w:color w:val="auto"/>
                <w:szCs w:val="21"/>
                <w:highlight w:val="none"/>
              </w:rPr>
              <w:t>年，则</w:t>
            </w:r>
            <w:r>
              <w:rPr>
                <w:rFonts w:hint="eastAsia"/>
                <w:color w:val="auto"/>
                <w:szCs w:val="21"/>
                <w:highlight w:val="none"/>
                <w:lang w:val="en-US" w:eastAsia="zh-CN"/>
              </w:rPr>
              <w:t>废活性炭</w:t>
            </w:r>
            <w:r>
              <w:rPr>
                <w:rFonts w:hint="eastAsia"/>
                <w:color w:val="auto"/>
                <w:szCs w:val="21"/>
                <w:highlight w:val="none"/>
              </w:rPr>
              <w:t>的产生量为</w:t>
            </w:r>
            <w:r>
              <w:rPr>
                <w:rFonts w:hint="eastAsia"/>
                <w:color w:val="auto"/>
                <w:szCs w:val="21"/>
                <w:highlight w:val="none"/>
                <w:lang w:val="en-US" w:eastAsia="zh-CN"/>
              </w:rPr>
              <w:t>0.5</w:t>
            </w:r>
            <w:r>
              <w:rPr>
                <w:rFonts w:hint="eastAsia"/>
                <w:color w:val="auto"/>
                <w:szCs w:val="21"/>
                <w:highlight w:val="none"/>
              </w:rPr>
              <w:t>t/a</w:t>
            </w:r>
            <w:r>
              <w:rPr>
                <w:rFonts w:hint="eastAsia"/>
                <w:color w:val="auto"/>
                <w:szCs w:val="21"/>
                <w:highlight w:val="none"/>
                <w:lang w:eastAsia="zh-CN"/>
              </w:rPr>
              <w:t>，</w:t>
            </w:r>
            <w:r>
              <w:rPr>
                <w:rFonts w:hint="eastAsia"/>
                <w:color w:val="auto"/>
                <w:szCs w:val="21"/>
                <w:highlight w:val="none"/>
                <w:lang w:val="en-US" w:eastAsia="zh-CN"/>
              </w:rPr>
              <w:t>废催化剂的产生量为0.2</w:t>
            </w:r>
            <w:r>
              <w:rPr>
                <w:rFonts w:hint="eastAsia"/>
                <w:color w:val="auto"/>
                <w:szCs w:val="21"/>
                <w:highlight w:val="none"/>
              </w:rPr>
              <w:t>t/a。</w:t>
            </w:r>
          </w:p>
          <w:p>
            <w:pPr>
              <w:keepNext w:val="0"/>
              <w:keepLines w:val="0"/>
              <w:suppressLineNumbers w:val="0"/>
              <w:spacing w:before="0" w:beforeAutospacing="0" w:after="0" w:afterAutospacing="0" w:line="360" w:lineRule="auto"/>
              <w:ind w:left="0" w:right="0" w:firstLine="420" w:firstLineChars="200"/>
              <w:rPr>
                <w:rFonts w:hint="eastAsia"/>
                <w:color w:val="auto"/>
                <w:szCs w:val="21"/>
                <w:highlight w:val="none"/>
              </w:rPr>
            </w:pPr>
            <w:r>
              <w:rPr>
                <w:rFonts w:hint="eastAsia" w:cs="Times New Roman"/>
                <w:color w:val="auto"/>
                <w:sz w:val="21"/>
                <w:szCs w:val="21"/>
                <w:highlight w:val="none"/>
                <w:lang w:eastAsia="zh-CN"/>
              </w:rPr>
              <w:t>废金属屑</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含油</w:t>
            </w:r>
            <w:r>
              <w:rPr>
                <w:rFonts w:hint="eastAsia" w:ascii="Times New Roman" w:hAnsi="Times New Roman" w:eastAsia="宋体" w:cs="Times New Roman"/>
                <w:color w:val="auto"/>
                <w:sz w:val="21"/>
                <w:szCs w:val="21"/>
                <w:highlight w:val="none"/>
                <w:lang w:eastAsia="zh-CN"/>
              </w:rPr>
              <w:t>）经压榨、压滤、过滤除油达到静置无滴漏后打包压块用于金属冶炼；</w:t>
            </w:r>
            <w:r>
              <w:rPr>
                <w:rStyle w:val="55"/>
                <w:rFonts w:hint="eastAsia"/>
                <w:color w:val="auto"/>
                <w:sz w:val="21"/>
                <w:szCs w:val="21"/>
                <w:highlight w:val="none"/>
              </w:rPr>
              <w:t>滤筒除尘灰</w:t>
            </w:r>
            <w:r>
              <w:rPr>
                <w:rFonts w:hint="eastAsia"/>
                <w:color w:val="auto"/>
                <w:kern w:val="0"/>
                <w:szCs w:val="21"/>
                <w:highlight w:val="none"/>
              </w:rPr>
              <w:t>集中收集后回用于生产</w:t>
            </w:r>
            <w:r>
              <w:rPr>
                <w:rFonts w:hint="eastAsia"/>
                <w:color w:val="auto"/>
                <w:szCs w:val="21"/>
                <w:highlight w:val="none"/>
              </w:rPr>
              <w:t>；废润滑油、废液压油、废油桶</w:t>
            </w:r>
            <w:r>
              <w:rPr>
                <w:rFonts w:hint="eastAsia"/>
                <w:color w:val="auto"/>
                <w:szCs w:val="21"/>
                <w:highlight w:val="none"/>
                <w:lang w:eastAsia="zh-CN"/>
              </w:rPr>
              <w:t>、</w:t>
            </w:r>
            <w:r>
              <w:rPr>
                <w:rFonts w:hint="eastAsia"/>
                <w:color w:val="auto"/>
                <w:szCs w:val="21"/>
                <w:highlight w:val="none"/>
                <w:lang w:val="en-US" w:eastAsia="zh-CN"/>
              </w:rPr>
              <w:t>废活性炭</w:t>
            </w:r>
            <w:r>
              <w:rPr>
                <w:rFonts w:hint="eastAsia" w:cs="Times New Roman"/>
                <w:color w:val="auto"/>
                <w:kern w:val="2"/>
                <w:sz w:val="21"/>
                <w:szCs w:val="21"/>
                <w:highlight w:val="none"/>
                <w:lang w:val="en-US" w:eastAsia="zh-CN" w:bidi="ar-SA"/>
              </w:rPr>
              <w:t>、废催化剂</w:t>
            </w:r>
            <w:r>
              <w:rPr>
                <w:color w:val="auto"/>
                <w:szCs w:val="21"/>
                <w:highlight w:val="none"/>
              </w:rPr>
              <w:t>暂存于危废间，定期交有资质单位处理</w:t>
            </w:r>
            <w:r>
              <w:rPr>
                <w:rFonts w:hint="eastAsia"/>
                <w:color w:val="auto"/>
                <w:szCs w:val="21"/>
                <w:highlight w:val="none"/>
              </w:rPr>
              <w:t>。</w:t>
            </w:r>
            <w:r>
              <w:rPr>
                <w:color w:val="auto"/>
                <w:szCs w:val="21"/>
                <w:highlight w:val="none"/>
              </w:rPr>
              <w:t>具体情况见下表。</w:t>
            </w:r>
          </w:p>
          <w:p>
            <w:pPr>
              <w:pStyle w:val="16"/>
              <w:keepNext w:val="0"/>
              <w:keepLines w:val="0"/>
              <w:suppressLineNumbers w:val="0"/>
              <w:spacing w:before="0" w:beforeAutospacing="0" w:after="0" w:afterAutospacing="0"/>
              <w:ind w:left="0" w:leftChars="0" w:right="0"/>
              <w:jc w:val="center"/>
              <w:rPr>
                <w:bCs/>
                <w:color w:val="auto"/>
                <w:sz w:val="21"/>
                <w:szCs w:val="21"/>
              </w:rPr>
            </w:pPr>
            <w:r>
              <w:rPr>
                <w:bCs/>
                <w:color w:val="auto"/>
                <w:sz w:val="21"/>
                <w:szCs w:val="21"/>
              </w:rPr>
              <w:t>表</w:t>
            </w:r>
            <w:r>
              <w:rPr>
                <w:rFonts w:hint="eastAsia"/>
                <w:bCs/>
                <w:color w:val="auto"/>
                <w:sz w:val="21"/>
                <w:szCs w:val="21"/>
                <w:lang w:val="en-US" w:eastAsia="zh-CN"/>
              </w:rPr>
              <w:t>40</w:t>
            </w:r>
            <w:r>
              <w:rPr>
                <w:bCs/>
                <w:color w:val="auto"/>
                <w:sz w:val="21"/>
                <w:szCs w:val="21"/>
              </w:rPr>
              <w:t xml:space="preserve">   项目一般固废情况一览表</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6"/>
              <w:gridCol w:w="1005"/>
              <w:gridCol w:w="902"/>
              <w:gridCol w:w="1075"/>
              <w:gridCol w:w="1064"/>
              <w:gridCol w:w="1098"/>
              <w:gridCol w:w="1510"/>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序号</w:t>
                  </w:r>
                </w:p>
              </w:tc>
              <w:tc>
                <w:tcPr>
                  <w:tcW w:w="626"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产生环节</w:t>
                  </w:r>
                </w:p>
              </w:tc>
              <w:tc>
                <w:tcPr>
                  <w:tcW w:w="56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污染物</w:t>
                  </w:r>
                </w:p>
              </w:tc>
              <w:tc>
                <w:tcPr>
                  <w:tcW w:w="67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年度计划产生量(t/a)</w:t>
                  </w:r>
                </w:p>
              </w:tc>
              <w:tc>
                <w:tcPr>
                  <w:tcW w:w="66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属性</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auto"/>
                      <w:kern w:val="2"/>
                      <w:sz w:val="21"/>
                      <w:szCs w:val="24"/>
                      <w:vertAlign w:val="baseline"/>
                      <w:lang w:val="en-US" w:eastAsia="zh-CN" w:bidi="ar-SA"/>
                    </w:rPr>
                  </w:pPr>
                  <w:r>
                    <w:rPr>
                      <w:rFonts w:hint="eastAsia"/>
                      <w:color w:val="auto"/>
                      <w:vertAlign w:val="baseline"/>
                      <w:lang w:val="en-US" w:eastAsia="zh-CN"/>
                    </w:rPr>
                    <w:t>代码</w:t>
                  </w:r>
                </w:p>
              </w:tc>
              <w:tc>
                <w:tcPr>
                  <w:tcW w:w="94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贮存方式</w:t>
                  </w:r>
                </w:p>
              </w:tc>
              <w:tc>
                <w:tcPr>
                  <w:tcW w:w="61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626"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滤筒除尘器+布袋除尘器</w:t>
                  </w:r>
                </w:p>
              </w:tc>
              <w:tc>
                <w:tcPr>
                  <w:tcW w:w="56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除尘灰</w:t>
                  </w:r>
                </w:p>
              </w:tc>
              <w:tc>
                <w:tcPr>
                  <w:tcW w:w="67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27.645</w:t>
                  </w:r>
                </w:p>
              </w:tc>
              <w:tc>
                <w:tcPr>
                  <w:tcW w:w="66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rPr>
                    <w:t>一般固废</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olor w:val="auto"/>
                      <w:vertAlign w:val="baseline"/>
                      <w:lang w:val="en-US" w:eastAsia="zh-CN"/>
                    </w:rPr>
                    <w:t>349-999-66</w:t>
                  </w:r>
                </w:p>
              </w:tc>
              <w:tc>
                <w:tcPr>
                  <w:tcW w:w="94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直接回用</w:t>
                  </w:r>
                </w:p>
              </w:tc>
              <w:tc>
                <w:tcPr>
                  <w:tcW w:w="61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626"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机加工</w:t>
                  </w:r>
                </w:p>
              </w:tc>
              <w:tc>
                <w:tcPr>
                  <w:tcW w:w="562"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lang w:val="en-US" w:eastAsia="zh-CN"/>
                    </w:rPr>
                    <w:t>废金属屑</w:t>
                  </w:r>
                </w:p>
              </w:tc>
              <w:tc>
                <w:tcPr>
                  <w:tcW w:w="670"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10</w:t>
                  </w:r>
                </w:p>
              </w:tc>
              <w:tc>
                <w:tcPr>
                  <w:tcW w:w="663"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rPr>
                    <w:t>一般固废</w:t>
                  </w:r>
                </w:p>
              </w:tc>
              <w:tc>
                <w:tcPr>
                  <w:tcW w:w="684"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vertAlign w:val="baseline"/>
                      <w:lang w:val="en-US" w:eastAsia="zh-CN"/>
                    </w:rPr>
                    <w:t>349-999-99</w:t>
                  </w:r>
                </w:p>
              </w:tc>
              <w:tc>
                <w:tcPr>
                  <w:tcW w:w="941"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固定地点（铁屑堆放区）贮存</w:t>
                  </w:r>
                </w:p>
              </w:tc>
              <w:tc>
                <w:tcPr>
                  <w:tcW w:w="614"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外售</w:t>
                  </w:r>
                </w:p>
              </w:tc>
            </w:tr>
          </w:tbl>
          <w:p>
            <w:pPr>
              <w:pStyle w:val="16"/>
              <w:keepNext w:val="0"/>
              <w:keepLines w:val="0"/>
              <w:suppressLineNumbers w:val="0"/>
              <w:spacing w:before="0" w:beforeAutospacing="0" w:after="0" w:afterAutospacing="0"/>
              <w:ind w:left="0" w:leftChars="0" w:right="0"/>
              <w:jc w:val="center"/>
              <w:rPr>
                <w:bCs/>
                <w:color w:val="auto"/>
                <w:sz w:val="21"/>
                <w:szCs w:val="21"/>
              </w:rPr>
            </w:pPr>
            <w:r>
              <w:rPr>
                <w:bCs/>
                <w:color w:val="auto"/>
                <w:sz w:val="21"/>
                <w:szCs w:val="21"/>
              </w:rPr>
              <w:t>表</w:t>
            </w:r>
            <w:r>
              <w:rPr>
                <w:rFonts w:hint="eastAsia"/>
                <w:bCs/>
                <w:color w:val="auto"/>
                <w:sz w:val="21"/>
                <w:szCs w:val="21"/>
                <w:lang w:val="en-US" w:eastAsia="zh-CN"/>
              </w:rPr>
              <w:t>41</w:t>
            </w:r>
            <w:r>
              <w:rPr>
                <w:bCs/>
                <w:color w:val="auto"/>
                <w:sz w:val="21"/>
                <w:szCs w:val="21"/>
              </w:rPr>
              <w:t xml:space="preserve">  项目</w:t>
            </w:r>
            <w:r>
              <w:rPr>
                <w:rFonts w:hint="eastAsia"/>
                <w:bCs/>
                <w:color w:val="auto"/>
                <w:sz w:val="21"/>
                <w:szCs w:val="21"/>
                <w:lang w:val="en-US" w:eastAsia="zh-CN"/>
              </w:rPr>
              <w:t>危险废物</w:t>
            </w:r>
            <w:r>
              <w:rPr>
                <w:bCs/>
                <w:color w:val="auto"/>
                <w:sz w:val="21"/>
                <w:szCs w:val="21"/>
              </w:rPr>
              <w:t>情况一览表</w:t>
            </w:r>
          </w:p>
          <w:tbl>
            <w:tblPr>
              <w:tblStyle w:val="35"/>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1"/>
              <w:gridCol w:w="631"/>
              <w:gridCol w:w="631"/>
              <w:gridCol w:w="1043"/>
              <w:gridCol w:w="636"/>
              <w:gridCol w:w="630"/>
              <w:gridCol w:w="631"/>
              <w:gridCol w:w="631"/>
              <w:gridCol w:w="633"/>
              <w:gridCol w:w="633"/>
              <w:gridCol w:w="633"/>
              <w:gridCol w:w="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序号</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危险废物名称</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危险废物类别</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危险废物代码</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产生量</w:t>
                  </w:r>
                </w:p>
              </w:tc>
              <w:tc>
                <w:tcPr>
                  <w:tcW w:w="393"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产生工序及装置</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形态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主要成分</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有害物质</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产废周期</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危险特性</w:t>
                  </w:r>
                </w:p>
              </w:tc>
              <w:tc>
                <w:tcPr>
                  <w:tcW w:w="398"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污染防治措施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废润滑油</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HW08</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900-21</w:t>
                  </w:r>
                  <w:r>
                    <w:rPr>
                      <w:rFonts w:hint="eastAsia" w:ascii="Times New Roman" w:hAnsi="Times New Roman" w:cs="Times New Roman"/>
                      <w:color w:val="auto"/>
                      <w:sz w:val="21"/>
                      <w:szCs w:val="21"/>
                      <w:vertAlign w:val="baseline"/>
                      <w:lang w:val="en-US" w:eastAsia="zh-CN"/>
                    </w:rPr>
                    <w:t>7</w:t>
                  </w:r>
                  <w:r>
                    <w:rPr>
                      <w:rFonts w:hint="eastAsia" w:ascii="Times New Roman" w:hAnsi="Times New Roman" w:eastAsia="宋体" w:cs="Times New Roman"/>
                      <w:color w:val="auto"/>
                      <w:sz w:val="21"/>
                      <w:szCs w:val="21"/>
                      <w:vertAlign w:val="baseline"/>
                      <w:lang w:val="en-US" w:eastAsia="zh-CN"/>
                    </w:rPr>
                    <w:t>-08</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1.5t/a</w:t>
                  </w:r>
                </w:p>
              </w:tc>
              <w:tc>
                <w:tcPr>
                  <w:tcW w:w="393" w:type="pct"/>
                  <w:vMerge w:val="restar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设备运行</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液态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废矿物油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含废矿物油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w:t>
                  </w:r>
                  <w:r>
                    <w:rPr>
                      <w:rFonts w:hint="eastAsia" w:ascii="Times New Roman" w:hAnsi="Times New Roman" w:eastAsia="宋体" w:cs="Times New Roman"/>
                      <w:color w:val="auto"/>
                      <w:sz w:val="21"/>
                      <w:szCs w:val="21"/>
                      <w:vertAlign w:val="baseline"/>
                      <w:lang w:val="en-US" w:eastAsia="zh-CN"/>
                    </w:rPr>
                    <w:t>年</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T，I</w:t>
                  </w:r>
                </w:p>
              </w:tc>
              <w:tc>
                <w:tcPr>
                  <w:tcW w:w="398" w:type="pct"/>
                  <w:vMerge w:val="restar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kern w:val="2"/>
                      <w:sz w:val="21"/>
                      <w:szCs w:val="21"/>
                      <w:highlight w:val="none"/>
                      <w:lang w:val="en-US" w:eastAsia="zh-CN"/>
                    </w:rPr>
                    <w:t>暂存危废间，由有资质单位集中处理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废液压油</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HW08</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900-21</w:t>
                  </w:r>
                  <w:r>
                    <w:rPr>
                      <w:rFonts w:hint="eastAsia" w:ascii="Times New Roman" w:hAnsi="Times New Roman" w:cs="Times New Roman"/>
                      <w:color w:val="auto"/>
                      <w:sz w:val="21"/>
                      <w:szCs w:val="21"/>
                      <w:vertAlign w:val="baseline"/>
                      <w:lang w:val="en-US" w:eastAsia="zh-CN"/>
                    </w:rPr>
                    <w:t>8</w:t>
                  </w:r>
                  <w:r>
                    <w:rPr>
                      <w:rFonts w:hint="eastAsia" w:ascii="Times New Roman" w:hAnsi="Times New Roman" w:eastAsia="宋体" w:cs="Times New Roman"/>
                      <w:color w:val="auto"/>
                      <w:sz w:val="21"/>
                      <w:szCs w:val="21"/>
                      <w:vertAlign w:val="baseline"/>
                      <w:lang w:val="en-US" w:eastAsia="zh-CN"/>
                    </w:rPr>
                    <w:t>-08</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7.0t/a</w:t>
                  </w:r>
                </w:p>
              </w:tc>
              <w:tc>
                <w:tcPr>
                  <w:tcW w:w="393"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液态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废矿物油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含废矿物油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1</w:t>
                  </w:r>
                  <w:r>
                    <w:rPr>
                      <w:rFonts w:hint="eastAsia" w:ascii="Times New Roman" w:hAnsi="Times New Roman" w:eastAsia="宋体" w:cs="Times New Roman"/>
                      <w:color w:val="auto"/>
                      <w:sz w:val="21"/>
                      <w:szCs w:val="21"/>
                      <w:vertAlign w:val="baseline"/>
                      <w:lang w:val="en-US" w:eastAsia="zh-CN"/>
                    </w:rPr>
                    <w:t>年</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T，I</w:t>
                  </w:r>
                </w:p>
              </w:tc>
              <w:tc>
                <w:tcPr>
                  <w:tcW w:w="398"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废油桶</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HW08</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900-249-08</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1.0t/a</w:t>
                  </w:r>
                </w:p>
              </w:tc>
              <w:tc>
                <w:tcPr>
                  <w:tcW w:w="393"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固态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润滑油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含矿物油</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1</w:t>
                  </w:r>
                  <w:r>
                    <w:rPr>
                      <w:rFonts w:hint="eastAsia" w:ascii="Times New Roman" w:hAnsi="Times New Roman" w:eastAsia="宋体" w:cs="Times New Roman"/>
                      <w:color w:val="auto"/>
                      <w:sz w:val="21"/>
                      <w:szCs w:val="21"/>
                      <w:vertAlign w:val="baseline"/>
                      <w:lang w:val="en-US" w:eastAsia="zh-CN"/>
                    </w:rPr>
                    <w:t>年</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T，I</w:t>
                  </w:r>
                </w:p>
              </w:tc>
              <w:tc>
                <w:tcPr>
                  <w:tcW w:w="398"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废活性炭</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HW49</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900-039-49</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0.5</w:t>
                  </w:r>
                  <w:r>
                    <w:rPr>
                      <w:rFonts w:hint="eastAsia" w:ascii="Times New Roman" w:hAnsi="Times New Roman" w:eastAsia="宋体" w:cs="Times New Roman"/>
                      <w:color w:val="auto"/>
                      <w:sz w:val="21"/>
                      <w:szCs w:val="21"/>
                      <w:lang w:val="en-US" w:eastAsia="zh-CN"/>
                    </w:rPr>
                    <w:t>t/a</w:t>
                  </w:r>
                </w:p>
              </w:tc>
              <w:tc>
                <w:tcPr>
                  <w:tcW w:w="393" w:type="pct"/>
                  <w:vMerge w:val="restar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Cs w:val="21"/>
                      <w:highlight w:val="none"/>
                      <w:lang w:eastAsia="zh-CN"/>
                    </w:rPr>
                    <w:t>喷淋塔+干式过滤箱+活性炭吸附/脱附+催化燃烧装置</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固态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1</w:t>
                  </w:r>
                  <w:r>
                    <w:rPr>
                      <w:rFonts w:hint="eastAsia" w:ascii="Times New Roman" w:hAnsi="Times New Roman" w:eastAsia="宋体" w:cs="Times New Roman"/>
                      <w:color w:val="auto"/>
                      <w:sz w:val="21"/>
                      <w:szCs w:val="21"/>
                      <w:vertAlign w:val="baseline"/>
                      <w:lang w:val="en-US" w:eastAsia="zh-CN"/>
                    </w:rPr>
                    <w:t>年</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T</w:t>
                  </w:r>
                </w:p>
              </w:tc>
              <w:tc>
                <w:tcPr>
                  <w:tcW w:w="398"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auto"/>
                      <w:kern w:val="2"/>
                      <w:sz w:val="21"/>
                      <w:szCs w:val="21"/>
                      <w:vertAlign w:val="baseline"/>
                      <w:lang w:val="en-US" w:eastAsia="zh-CN" w:bidi="ar-SA"/>
                    </w:rPr>
                  </w:pPr>
                  <w:r>
                    <w:rPr>
                      <w:rFonts w:hint="eastAsia"/>
                      <w:color w:val="auto"/>
                      <w:szCs w:val="21"/>
                      <w:highlight w:val="none"/>
                    </w:rPr>
                    <w:t>废催化剂</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HW50</w:t>
                  </w:r>
                </w:p>
              </w:tc>
              <w:tc>
                <w:tcPr>
                  <w:tcW w:w="651"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772-007-50</w:t>
                  </w:r>
                </w:p>
              </w:tc>
              <w:tc>
                <w:tcPr>
                  <w:tcW w:w="397" w:type="pct"/>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0.2</w:t>
                  </w:r>
                  <w:r>
                    <w:rPr>
                      <w:rFonts w:hint="eastAsia" w:ascii="Times New Roman" w:hAnsi="Times New Roman" w:eastAsia="宋体" w:cs="Times New Roman"/>
                      <w:color w:val="auto"/>
                      <w:sz w:val="21"/>
                      <w:szCs w:val="21"/>
                      <w:lang w:val="en-US" w:eastAsia="zh-CN"/>
                    </w:rPr>
                    <w:t>t/a</w:t>
                  </w:r>
                </w:p>
              </w:tc>
              <w:tc>
                <w:tcPr>
                  <w:tcW w:w="393"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color w:val="auto"/>
                      <w:szCs w:val="21"/>
                      <w:highlight w:val="none"/>
                    </w:rPr>
                  </w:pPr>
                </w:p>
              </w:tc>
              <w:tc>
                <w:tcPr>
                  <w:tcW w:w="394"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固态</w:t>
                  </w:r>
                </w:p>
              </w:tc>
              <w:tc>
                <w:tcPr>
                  <w:tcW w:w="394"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sz w:val="21"/>
                      <w:szCs w:val="21"/>
                      <w:vertAlign w:val="baseline"/>
                      <w:lang w:val="en-US" w:eastAsia="zh-CN"/>
                    </w:rPr>
                    <w:t>--</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vertAlign w:val="baseline"/>
                      <w:lang w:val="en-US" w:eastAsia="zh-CN"/>
                    </w:rPr>
                    <w:t>1</w:t>
                  </w:r>
                  <w:r>
                    <w:rPr>
                      <w:rFonts w:hint="eastAsia" w:ascii="Times New Roman" w:hAnsi="Times New Roman" w:eastAsia="宋体" w:cs="Times New Roman"/>
                      <w:color w:val="auto"/>
                      <w:sz w:val="21"/>
                      <w:szCs w:val="21"/>
                      <w:vertAlign w:val="baseline"/>
                      <w:lang w:val="en-US" w:eastAsia="zh-CN"/>
                    </w:rPr>
                    <w:t>年</w:t>
                  </w:r>
                </w:p>
              </w:tc>
              <w:tc>
                <w:tcPr>
                  <w:tcW w:w="395"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T</w:t>
                  </w:r>
                </w:p>
              </w:tc>
              <w:tc>
                <w:tcPr>
                  <w:tcW w:w="398" w:type="pct"/>
                  <w:vMerge w:val="continue"/>
                  <w:tcBorders>
                    <w:tl2br w:val="nil"/>
                    <w:tr2bl w:val="nil"/>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vertAlign w:val="baseline"/>
                      <w:lang w:val="en-US" w:eastAsia="zh-CN" w:bidi="ar-SA"/>
                    </w:rPr>
                  </w:pPr>
                </w:p>
              </w:tc>
            </w:tr>
          </w:tbl>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lang w:val="en-US"/>
              </w:rPr>
            </w:pPr>
            <w:r>
              <w:rPr>
                <w:rFonts w:hint="eastAsia" w:cs="Times New Roman"/>
                <w:bCs w:val="0"/>
                <w:lang w:val="en-US" w:eastAsia="zh-CN"/>
              </w:rPr>
              <w:t>本项目新建一座108m</w:t>
            </w:r>
            <w:r>
              <w:rPr>
                <w:rFonts w:hint="eastAsia" w:cs="Times New Roman"/>
                <w:bCs w:val="0"/>
                <w:vertAlign w:val="superscript"/>
                <w:lang w:val="en-US" w:eastAsia="zh-CN"/>
              </w:rPr>
              <w:t>2</w:t>
            </w:r>
            <w:r>
              <w:rPr>
                <w:rFonts w:hint="eastAsia" w:cs="Times New Roman"/>
                <w:bCs w:val="0"/>
                <w:lang w:val="en-US" w:eastAsia="zh-CN"/>
              </w:rPr>
              <w:t>的</w:t>
            </w:r>
            <w:r>
              <w:rPr>
                <w:rFonts w:hint="default" w:ascii="Times New Roman" w:hAnsi="Times New Roman" w:cs="Times New Roman"/>
                <w:bCs w:val="0"/>
              </w:rPr>
              <w:t>危废暂存间</w:t>
            </w:r>
            <w:r>
              <w:rPr>
                <w:rFonts w:hint="eastAsia" w:cs="Times New Roman"/>
                <w:bCs w:val="0"/>
                <w:lang w:val="en-US" w:eastAsia="zh-CN"/>
              </w:rPr>
              <w:t>，现有危废间停用。</w:t>
            </w:r>
          </w:p>
          <w:p>
            <w:pPr>
              <w:pStyle w:val="15"/>
              <w:keepNext w:val="0"/>
              <w:keepLines w:val="0"/>
              <w:suppressLineNumbers w:val="0"/>
              <w:spacing w:before="0" w:beforeAutospacing="0" w:after="0" w:afterAutospacing="0"/>
              <w:ind w:left="0" w:right="0"/>
              <w:jc w:val="center"/>
              <w:rPr>
                <w:rFonts w:hint="default" w:eastAsia="宋体"/>
                <w:sz w:val="21"/>
                <w:szCs w:val="21"/>
                <w:lang w:val="en-US" w:eastAsia="zh-CN"/>
              </w:rPr>
            </w:pPr>
            <w:r>
              <w:rPr>
                <w:bCs/>
                <w:color w:val="auto"/>
                <w:sz w:val="21"/>
                <w:szCs w:val="21"/>
              </w:rPr>
              <w:t>表</w:t>
            </w:r>
            <w:r>
              <w:rPr>
                <w:rFonts w:hint="eastAsia"/>
                <w:bCs/>
                <w:color w:val="auto"/>
                <w:sz w:val="21"/>
                <w:szCs w:val="21"/>
                <w:lang w:val="en-US" w:eastAsia="zh-CN"/>
              </w:rPr>
              <w:t>42</w:t>
            </w:r>
            <w:r>
              <w:rPr>
                <w:bCs/>
                <w:color w:val="auto"/>
                <w:sz w:val="21"/>
                <w:szCs w:val="21"/>
              </w:rPr>
              <w:t xml:space="preserve">  项目</w:t>
            </w:r>
            <w:r>
              <w:rPr>
                <w:rFonts w:hint="eastAsia"/>
                <w:sz w:val="21"/>
                <w:szCs w:val="21"/>
                <w:lang w:val="en-US" w:eastAsia="zh-CN"/>
              </w:rPr>
              <w:t>危险废物贮存设施一览表</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236"/>
              <w:gridCol w:w="1401"/>
              <w:gridCol w:w="1751"/>
              <w:gridCol w:w="1229"/>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6" w:type="pct"/>
                  <w:vAlign w:val="center"/>
                </w:tcPr>
                <w:p>
                  <w:pPr>
                    <w:pStyle w:val="12"/>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bCs w:val="0"/>
                      <w:vertAlign w:val="baseline"/>
                      <w:lang w:val="en-US" w:eastAsia="zh-CN"/>
                    </w:rPr>
                  </w:pPr>
                  <w:r>
                    <w:rPr>
                      <w:rFonts w:hint="eastAsia" w:cs="Times New Roman"/>
                      <w:bCs w:val="0"/>
                      <w:vertAlign w:val="baseline"/>
                      <w:lang w:val="en-US" w:eastAsia="zh-CN"/>
                    </w:rPr>
                    <w:t>序号</w:t>
                  </w:r>
                </w:p>
              </w:tc>
              <w:tc>
                <w:tcPr>
                  <w:tcW w:w="770" w:type="pct"/>
                  <w:vAlign w:val="center"/>
                </w:tcPr>
                <w:p>
                  <w:pPr>
                    <w:pStyle w:val="12"/>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建筑物名称</w:t>
                  </w:r>
                </w:p>
              </w:tc>
              <w:tc>
                <w:tcPr>
                  <w:tcW w:w="873" w:type="pct"/>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占地</w:t>
                  </w:r>
                  <w:r>
                    <w:rPr>
                      <w:rFonts w:hint="default" w:ascii="Times New Roman" w:hAnsi="Times New Roman" w:cs="Times New Roman"/>
                      <w:color w:val="auto"/>
                      <w:sz w:val="21"/>
                      <w:szCs w:val="21"/>
                      <w:highlight w:val="none"/>
                      <w:lang w:val="en-US" w:eastAsia="zh-CN"/>
                    </w:rPr>
                    <w:t>面积</w:t>
                  </w:r>
                </w:p>
              </w:tc>
              <w:tc>
                <w:tcPr>
                  <w:tcW w:w="1091" w:type="pct"/>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围护结构形式</w:t>
                  </w:r>
                </w:p>
              </w:tc>
              <w:tc>
                <w:tcPr>
                  <w:tcW w:w="766" w:type="pct"/>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层数</w:t>
                  </w:r>
                </w:p>
              </w:tc>
              <w:tc>
                <w:tcPr>
                  <w:tcW w:w="1000" w:type="pct"/>
                  <w:vAlign w:val="center"/>
                </w:tcPr>
                <w:p>
                  <w:pPr>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pct"/>
                  <w:vAlign w:val="center"/>
                </w:tcPr>
                <w:p>
                  <w:pPr>
                    <w:pStyle w:val="12"/>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bCs w:val="0"/>
                      <w:vertAlign w:val="baseline"/>
                      <w:lang w:val="en-US" w:eastAsia="zh-CN"/>
                    </w:rPr>
                  </w:pPr>
                  <w:r>
                    <w:rPr>
                      <w:rFonts w:hint="eastAsia" w:cs="Times New Roman"/>
                      <w:bCs w:val="0"/>
                      <w:vertAlign w:val="baseline"/>
                      <w:lang w:val="en-US" w:eastAsia="zh-CN"/>
                    </w:rPr>
                    <w:t>1</w:t>
                  </w:r>
                </w:p>
              </w:tc>
              <w:tc>
                <w:tcPr>
                  <w:tcW w:w="770" w:type="pct"/>
                  <w:vAlign w:val="center"/>
                </w:tcPr>
                <w:p>
                  <w:pPr>
                    <w:pStyle w:val="12"/>
                    <w:keepNext w:val="0"/>
                    <w:keepLines w:val="0"/>
                    <w:pageBreakBefore w:val="0"/>
                    <w:widowControl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危废间</w:t>
                  </w:r>
                </w:p>
              </w:tc>
              <w:tc>
                <w:tcPr>
                  <w:tcW w:w="873"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108</w:t>
                  </w:r>
                </w:p>
              </w:tc>
              <w:tc>
                <w:tcPr>
                  <w:tcW w:w="1091"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砖混结构</w:t>
                  </w:r>
                </w:p>
              </w:tc>
              <w:tc>
                <w:tcPr>
                  <w:tcW w:w="766"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000" w:type="pct"/>
                  <w:vAlign w:val="center"/>
                </w:tcPr>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厂区南部</w:t>
                  </w:r>
                </w:p>
              </w:tc>
            </w:tr>
          </w:tbl>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危险废物储存、转移和处理途径需遵守国家有关危险废物储存、转移及处理的相关规定。要求如下：</w:t>
            </w:r>
          </w:p>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Ⅰ、危险废物的储存</w:t>
            </w:r>
          </w:p>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①应设置单独的危险废物暂存间对危险废物进行储存，或委托具有专门危险废物储存的单位进行储存，储存期限不得超过国家规定。</w:t>
            </w:r>
          </w:p>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②</w:t>
            </w:r>
            <w:r>
              <w:rPr>
                <w:rFonts w:hint="eastAsia" w:cs="Times New Roman"/>
                <w:bCs w:val="0"/>
                <w:lang w:val="en-US" w:eastAsia="zh-CN"/>
              </w:rPr>
              <w:t>本项目新建一座108m</w:t>
            </w:r>
            <w:r>
              <w:rPr>
                <w:rFonts w:hint="eastAsia" w:cs="Times New Roman"/>
                <w:bCs w:val="0"/>
                <w:vertAlign w:val="superscript"/>
                <w:lang w:val="en-US" w:eastAsia="zh-CN"/>
              </w:rPr>
              <w:t>2</w:t>
            </w:r>
            <w:r>
              <w:rPr>
                <w:rFonts w:hint="eastAsia" w:cs="Times New Roman"/>
                <w:bCs w:val="0"/>
                <w:lang w:val="en-US" w:eastAsia="zh-CN"/>
              </w:rPr>
              <w:t>的</w:t>
            </w:r>
            <w:r>
              <w:rPr>
                <w:rFonts w:hint="default" w:ascii="Times New Roman" w:hAnsi="Times New Roman" w:cs="Times New Roman"/>
                <w:bCs w:val="0"/>
              </w:rPr>
              <w:t>危废暂存间</w:t>
            </w:r>
            <w:r>
              <w:rPr>
                <w:rFonts w:hint="eastAsia" w:cs="Times New Roman"/>
                <w:bCs w:val="0"/>
                <w:lang w:val="en-US" w:eastAsia="zh-CN"/>
              </w:rPr>
              <w:t>，</w:t>
            </w:r>
            <w:r>
              <w:rPr>
                <w:rFonts w:hint="default" w:ascii="Times New Roman" w:hAnsi="Times New Roman" w:cs="Times New Roman"/>
                <w:bCs w:val="0"/>
              </w:rPr>
              <w:t>该危废暂存间地面及裙角应做耐腐蚀硬化、防渗漏处理，防渗层为至少200mm厚抗渗混凝土，危废间设有堵截泄漏的裙角，地面和裙角内壁采用2mm厚高密度聚乙烯，或至少2mm厚的其它人工材料，渗透系数≤1.0×10</w:t>
            </w:r>
            <w:r>
              <w:rPr>
                <w:rFonts w:hint="default" w:ascii="Times New Roman" w:hAnsi="Times New Roman" w:cs="Times New Roman"/>
                <w:bCs w:val="0"/>
                <w:vertAlign w:val="superscript"/>
              </w:rPr>
              <w:t>-10</w:t>
            </w:r>
            <w:r>
              <w:rPr>
                <w:rFonts w:hint="default" w:ascii="Times New Roman" w:hAnsi="Times New Roman" w:cs="Times New Roman"/>
                <w:bCs w:val="0"/>
              </w:rPr>
              <w:t>cm/s。建筑材料必须与危险废物相容（不相互反应），在储存间外设立危险废物标志，储存期限不得超过国家规定，最后委托有资质的单位按照相关规定进行处理。</w:t>
            </w:r>
          </w:p>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③危险废物应储存于密闭容器中，装运危险废物的容器应根据危险废物的不同特性而设计，不得破损、变形、老化；容器材质及衬里要与危险废物相容（不相互反应），且无裂隙，并在容器外表设置环境保护图形标志和警示标志；</w:t>
            </w:r>
          </w:p>
          <w:p>
            <w:pPr>
              <w:pStyle w:val="12"/>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bCs w:val="0"/>
              </w:rPr>
            </w:pPr>
            <w:r>
              <w:rPr>
                <w:rFonts w:hint="default" w:ascii="Times New Roman" w:hAnsi="Times New Roman" w:cs="Times New Roman"/>
                <w:bCs w:val="0"/>
              </w:rPr>
              <w:t>④危险废物应选择防腐、防漏、防流失、防磕碰、密封严密的容器进行贮存和运输，储存于阴凉、通风良好的危废间内，远离火种、热源，不相容的危险废物必须分开存放，并设有隔离间隔断；</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⑤建立档案制度，对暂存的废物种类、数量、特性、包装容器类别、存放库位、存入日期、运出日期等详细记录在案并长期保存，建立定期巡查、维护制度；</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Ⅱ、危险废物的处理</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危险废物委托危险废物处置单位处置。</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危废间内分区存放，防渗层为至少2毫米厚高密度聚乙烯或至少2毫米厚的其它人工材料，渗透系数≤10</w:t>
            </w:r>
            <w:r>
              <w:rPr>
                <w:rFonts w:hint="default" w:ascii="Times New Roman" w:hAnsi="Times New Roman" w:cs="Times New Roman"/>
                <w:szCs w:val="21"/>
                <w:vertAlign w:val="superscript"/>
              </w:rPr>
              <w:t>-10</w:t>
            </w:r>
            <w:r>
              <w:rPr>
                <w:rFonts w:hint="default" w:ascii="Times New Roman" w:hAnsi="Times New Roman" w:cs="Times New Roman"/>
                <w:szCs w:val="21"/>
              </w:rPr>
              <w:t>cm/s。在储存间外设立危险废物标志，最后委托有资质的单位按照相关规定进行处理。</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szCs w:val="21"/>
              </w:rPr>
            </w:pPr>
            <w:r>
              <w:rPr>
                <w:rFonts w:hint="default" w:ascii="Times New Roman" w:hAnsi="Times New Roman" w:cs="Times New Roman"/>
                <w:szCs w:val="21"/>
              </w:rPr>
              <w:t>危险废物处理措施和处置方案满足《危险废物贮存污染控制标准》（</w:t>
            </w:r>
            <w:r>
              <w:rPr>
                <w:rFonts w:hint="eastAsia" w:cs="Times New Roman"/>
                <w:szCs w:val="21"/>
                <w:lang w:eastAsia="zh-CN"/>
              </w:rPr>
              <w:t>GB 18597-2023</w:t>
            </w:r>
            <w:r>
              <w:rPr>
                <w:rFonts w:hint="default" w:ascii="Times New Roman" w:hAnsi="Times New Roman" w:cs="Times New Roman"/>
                <w:szCs w:val="21"/>
              </w:rPr>
              <w:t>）的要求，不会对周围环境产生不利影响。</w:t>
            </w:r>
          </w:p>
          <w:p>
            <w:pPr>
              <w:keepNext w:val="0"/>
              <w:keepLines w:val="0"/>
              <w:suppressLineNumbers w:val="0"/>
              <w:spacing w:before="0" w:beforeAutospacing="0" w:after="0" w:afterAutospacing="0" w:line="360" w:lineRule="auto"/>
              <w:ind w:left="0" w:right="0" w:firstLine="420" w:firstLineChars="200"/>
              <w:rPr>
                <w:color w:val="auto"/>
                <w:szCs w:val="21"/>
              </w:rPr>
            </w:pPr>
            <w:r>
              <w:rPr>
                <w:color w:val="auto"/>
                <w:szCs w:val="21"/>
              </w:rPr>
              <w:t>（2）环境管理要求</w:t>
            </w:r>
          </w:p>
          <w:p>
            <w:pPr>
              <w:keepNext w:val="0"/>
              <w:keepLines w:val="0"/>
              <w:suppressLineNumbers w:val="0"/>
              <w:spacing w:before="0" w:beforeAutospacing="0" w:after="0" w:afterAutospacing="0" w:line="360" w:lineRule="auto"/>
              <w:ind w:left="0" w:right="0" w:firstLine="420" w:firstLineChars="200"/>
              <w:rPr>
                <w:color w:val="auto"/>
                <w:szCs w:val="21"/>
              </w:rPr>
            </w:pPr>
            <w:r>
              <w:rPr>
                <w:snapToGrid w:val="0"/>
                <w:color w:val="auto"/>
                <w:szCs w:val="21"/>
              </w:rPr>
              <w:t>根据国家有关规定要求，为切实加强环境保护工作，搞好项目污染源的监控，该公司应设立专门的环境管理机构，并配备专职或兼职环保管理人员1～2名，负责该项目环保工作。</w:t>
            </w:r>
          </w:p>
          <w:p>
            <w:pPr>
              <w:keepNext w:val="0"/>
              <w:keepLines w:val="0"/>
              <w:suppressLineNumbers w:val="0"/>
              <w:spacing w:before="0" w:beforeAutospacing="0" w:after="0" w:afterAutospacing="0" w:line="360" w:lineRule="auto"/>
              <w:ind w:left="0" w:right="0" w:firstLine="420" w:firstLineChars="200"/>
              <w:rPr>
                <w:color w:val="auto"/>
                <w:szCs w:val="21"/>
              </w:rPr>
            </w:pPr>
            <w:r>
              <w:rPr>
                <w:color w:val="auto"/>
                <w:szCs w:val="21"/>
              </w:rPr>
              <w:t>企业环保科负责</w:t>
            </w:r>
            <w:r>
              <w:rPr>
                <w:rFonts w:hint="eastAsia"/>
                <w:color w:val="auto"/>
                <w:szCs w:val="21"/>
              </w:rPr>
              <w:t>厂区</w:t>
            </w:r>
            <w:r>
              <w:rPr>
                <w:color w:val="auto"/>
                <w:szCs w:val="21"/>
              </w:rPr>
              <w:t>固体废弃物、危险废物的日常管理工作。负责《固体废弃物管理规定》的制定、修改、发布工作</w:t>
            </w:r>
            <w:r>
              <w:rPr>
                <w:rFonts w:hint="eastAsia"/>
                <w:color w:val="auto"/>
                <w:szCs w:val="21"/>
              </w:rPr>
              <w:t>，</w:t>
            </w:r>
            <w:r>
              <w:rPr>
                <w:color w:val="auto"/>
                <w:szCs w:val="21"/>
              </w:rPr>
              <w:t>负责固体废弃物、危险废物的统计、数据传递、管理工作，负责各类固体废弃物综合利用管理工作。</w:t>
            </w:r>
          </w:p>
          <w:p>
            <w:pPr>
              <w:keepNext w:val="0"/>
              <w:keepLines w:val="0"/>
              <w:suppressLineNumbers w:val="0"/>
              <w:spacing w:before="0" w:beforeAutospacing="0" w:after="0" w:afterAutospacing="0" w:line="360" w:lineRule="auto"/>
              <w:ind w:left="0" w:right="0" w:firstLine="420" w:firstLineChars="200"/>
              <w:rPr>
                <w:color w:val="auto"/>
                <w:kern w:val="0"/>
                <w:szCs w:val="21"/>
              </w:rPr>
            </w:pPr>
            <w:r>
              <w:rPr>
                <w:color w:val="auto"/>
                <w:kern w:val="0"/>
                <w:szCs w:val="21"/>
              </w:rPr>
              <w:t>一般固体废物处置管理：一般固体废物均由</w:t>
            </w:r>
            <w:r>
              <w:rPr>
                <w:rFonts w:hint="eastAsia"/>
                <w:color w:val="auto"/>
                <w:kern w:val="0"/>
                <w:szCs w:val="21"/>
              </w:rPr>
              <w:t>生产人员</w:t>
            </w:r>
            <w:r>
              <w:rPr>
                <w:color w:val="auto"/>
                <w:kern w:val="0"/>
                <w:szCs w:val="21"/>
              </w:rPr>
              <w:t>收集后分类暂存于一般固废暂存区，各类生产固体废物根据工艺操作标准存放，</w:t>
            </w:r>
            <w:r>
              <w:rPr>
                <w:rFonts w:hint="eastAsia" w:ascii="宋体" w:hAnsi="宋体" w:eastAsia="宋体" w:cs="宋体"/>
                <w:color w:val="auto"/>
                <w:kern w:val="0"/>
                <w:szCs w:val="21"/>
              </w:rPr>
              <w:t>并按“固体废弃物处理、处置登记表”进</w:t>
            </w:r>
            <w:r>
              <w:rPr>
                <w:color w:val="auto"/>
                <w:kern w:val="0"/>
                <w:szCs w:val="21"/>
              </w:rPr>
              <w:t>行记录。</w:t>
            </w:r>
          </w:p>
          <w:p>
            <w:pPr>
              <w:keepNext w:val="0"/>
              <w:keepLines w:val="0"/>
              <w:suppressLineNumbers w:val="0"/>
              <w:spacing w:before="0" w:beforeAutospacing="0" w:after="0" w:afterAutospacing="0" w:line="360" w:lineRule="auto"/>
              <w:ind w:left="0" w:right="0" w:firstLine="420" w:firstLineChars="200"/>
              <w:rPr>
                <w:color w:val="auto"/>
                <w:kern w:val="0"/>
                <w:szCs w:val="21"/>
              </w:rPr>
            </w:pPr>
            <w:r>
              <w:rPr>
                <w:color w:val="auto"/>
                <w:kern w:val="0"/>
                <w:szCs w:val="21"/>
              </w:rPr>
              <w:t>危险废物处理管理：在涉及危险废物的位置设置收集容器，并有清晰的标识，指定专人负责日常管理工作，及时收集后暂存于危废间，并做好相关处置记录。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textAlignment w:val="auto"/>
              <w:rPr>
                <w:rFonts w:hint="default" w:ascii="Times New Roman" w:hAnsi="Times New Roman" w:eastAsia="宋体" w:cs="Times New Roman"/>
                <w:b/>
                <w:bCs/>
                <w:snapToGrid w:val="0"/>
                <w:color w:val="auto"/>
                <w:sz w:val="21"/>
                <w:szCs w:val="21"/>
                <w:lang w:val="en-US" w:eastAsia="zh-CN"/>
              </w:rPr>
            </w:pPr>
            <w:r>
              <w:rPr>
                <w:rFonts w:hint="default" w:ascii="Times New Roman" w:hAnsi="Times New Roman" w:eastAsia="宋体" w:cs="Times New Roman"/>
                <w:b/>
                <w:bCs/>
                <w:snapToGrid w:val="0"/>
                <w:color w:val="auto"/>
                <w:sz w:val="21"/>
                <w:szCs w:val="21"/>
                <w:lang w:val="en-US" w:eastAsia="zh-CN"/>
              </w:rPr>
              <w:t>5、地下水、土壤</w:t>
            </w:r>
          </w:p>
          <w:p>
            <w:pPr>
              <w:keepNext w:val="0"/>
              <w:keepLines w:val="0"/>
              <w:suppressLineNumbers w:val="0"/>
              <w:adjustRightInd w:val="0"/>
              <w:spacing w:before="0" w:beforeAutospacing="0" w:after="0" w:afterAutospacing="0" w:line="360" w:lineRule="auto"/>
              <w:ind w:left="0" w:right="0" w:firstLine="420" w:firstLineChars="200"/>
              <w:rPr>
                <w:rFonts w:hint="eastAsia"/>
                <w:color w:val="auto"/>
                <w:szCs w:val="21"/>
              </w:rPr>
            </w:pPr>
            <w:r>
              <w:rPr>
                <w:rFonts w:hint="eastAsia"/>
                <w:color w:val="auto"/>
                <w:szCs w:val="21"/>
              </w:rPr>
              <w:t>（1）地下水</w:t>
            </w:r>
          </w:p>
          <w:p>
            <w:pPr>
              <w:keepNext w:val="0"/>
              <w:keepLines w:val="0"/>
              <w:suppressLineNumbers w:val="0"/>
              <w:adjustRightInd w:val="0"/>
              <w:spacing w:before="0" w:beforeAutospacing="0" w:after="0" w:afterAutospacing="0" w:line="360" w:lineRule="auto"/>
              <w:ind w:left="0" w:right="0" w:firstLine="420" w:firstLineChars="200"/>
              <w:rPr>
                <w:rFonts w:hint="eastAsia"/>
                <w:color w:val="auto"/>
                <w:szCs w:val="21"/>
              </w:rPr>
            </w:pPr>
            <w:r>
              <w:rPr>
                <w:rFonts w:hint="eastAsia"/>
                <w:color w:val="auto"/>
                <w:szCs w:val="21"/>
              </w:rPr>
              <w:t>本项目</w:t>
            </w:r>
            <w:r>
              <w:rPr>
                <w:rFonts w:hint="eastAsia"/>
                <w:color w:val="auto"/>
                <w:szCs w:val="21"/>
                <w:lang w:val="en-US" w:eastAsia="zh-CN"/>
              </w:rPr>
              <w:t>水压试验</w:t>
            </w:r>
            <w:r>
              <w:rPr>
                <w:rFonts w:hint="eastAsia"/>
                <w:color w:val="auto"/>
                <w:szCs w:val="21"/>
              </w:rPr>
              <w:t>用水循环使用，定期补充，无生产废水产生；项目不新增劳动定员，无生活污水产生，因此项目无废水外排。</w:t>
            </w:r>
          </w:p>
          <w:p>
            <w:pPr>
              <w:keepNext w:val="0"/>
              <w:keepLines w:val="0"/>
              <w:suppressLineNumbers w:val="0"/>
              <w:adjustRightInd w:val="0"/>
              <w:spacing w:before="0" w:beforeAutospacing="0" w:after="0" w:afterAutospacing="0" w:line="360" w:lineRule="auto"/>
              <w:ind w:left="0" w:right="0" w:firstLine="420" w:firstLineChars="200"/>
              <w:rPr>
                <w:color w:val="auto"/>
                <w:szCs w:val="21"/>
              </w:rPr>
            </w:pPr>
            <w:r>
              <w:rPr>
                <w:color w:val="auto"/>
                <w:szCs w:val="21"/>
              </w:rPr>
              <w:t>为防止本项目对地下水</w:t>
            </w:r>
            <w:r>
              <w:rPr>
                <w:rFonts w:hint="eastAsia"/>
                <w:color w:val="auto"/>
                <w:szCs w:val="21"/>
              </w:rPr>
              <w:t>和土壤</w:t>
            </w:r>
            <w:r>
              <w:rPr>
                <w:color w:val="auto"/>
                <w:szCs w:val="21"/>
              </w:rPr>
              <w:t>造成的影响，危废暂存间</w:t>
            </w:r>
            <w:r>
              <w:rPr>
                <w:rFonts w:hint="eastAsia"/>
                <w:color w:val="auto"/>
                <w:szCs w:val="21"/>
              </w:rPr>
              <w:t>已</w:t>
            </w:r>
            <w:r>
              <w:rPr>
                <w:color w:val="auto"/>
                <w:szCs w:val="21"/>
              </w:rPr>
              <w:t>采取的相应的防渗措施：</w:t>
            </w:r>
          </w:p>
          <w:p>
            <w:pPr>
              <w:keepNext w:val="0"/>
              <w:keepLines w:val="0"/>
              <w:suppressLineNumbers w:val="0"/>
              <w:adjustRightInd w:val="0"/>
              <w:spacing w:before="0" w:beforeAutospacing="0" w:after="0" w:afterAutospacing="0" w:line="360" w:lineRule="auto"/>
              <w:ind w:left="0" w:right="0" w:firstLine="420" w:firstLineChars="200"/>
              <w:rPr>
                <w:color w:val="auto"/>
                <w:spacing w:val="4"/>
                <w:szCs w:val="21"/>
              </w:rPr>
            </w:pPr>
            <w:r>
              <w:rPr>
                <w:color w:val="auto"/>
                <w:szCs w:val="21"/>
              </w:rPr>
              <w:t>危废暂存间：按照《危险废物贮存污染控制标准》的相关要求，危废储存间底部铺设300mm粘土层(保护层，同时作为辅助防渗层)压实平整，粘土层上铺设2mm厚的高密度聚乙烯膜)，上部外加耐腐蚀混凝土15cm(保护层)防渗，表面涂2-4mm厚防腐、抗渗环氧树脂，渗透系数≤10</w:t>
            </w:r>
            <w:r>
              <w:rPr>
                <w:color w:val="auto"/>
                <w:szCs w:val="21"/>
                <w:vertAlign w:val="superscript"/>
              </w:rPr>
              <w:t>-10</w:t>
            </w:r>
            <w:r>
              <w:rPr>
                <w:color w:val="auto"/>
                <w:szCs w:val="21"/>
              </w:rPr>
              <w:t>cm/s，同时设置防雨、防渗漏、防流失等措施</w:t>
            </w:r>
            <w:r>
              <w:rPr>
                <w:color w:val="auto"/>
                <w:spacing w:val="4"/>
                <w:szCs w:val="21"/>
              </w:rPr>
              <w:t>。</w:t>
            </w:r>
          </w:p>
          <w:p>
            <w:pPr>
              <w:keepNext w:val="0"/>
              <w:keepLines w:val="0"/>
              <w:suppressLineNumbers w:val="0"/>
              <w:adjustRightInd w:val="0"/>
              <w:spacing w:before="0" w:beforeAutospacing="0" w:after="0" w:afterAutospacing="0" w:line="360" w:lineRule="auto"/>
              <w:ind w:left="0" w:right="0" w:firstLine="436" w:firstLineChars="200"/>
              <w:rPr>
                <w:rFonts w:hint="eastAsia"/>
                <w:color w:val="auto"/>
                <w:spacing w:val="4"/>
                <w:szCs w:val="21"/>
              </w:rPr>
            </w:pPr>
            <w:r>
              <w:rPr>
                <w:rFonts w:hint="eastAsia"/>
                <w:color w:val="auto"/>
                <w:spacing w:val="4"/>
                <w:szCs w:val="21"/>
              </w:rPr>
              <w:t>（2）土壤</w:t>
            </w:r>
          </w:p>
          <w:p>
            <w:pPr>
              <w:pStyle w:val="11"/>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bCs/>
                <w:color w:val="auto"/>
                <w:szCs w:val="21"/>
                <w:highlight w:val="none"/>
                <w:lang w:val="en-US" w:eastAsia="zh-CN"/>
              </w:rPr>
            </w:pPr>
            <w:r>
              <w:rPr>
                <w:color w:val="auto"/>
              </w:rPr>
              <w:t>本项目废气主要为</w:t>
            </w:r>
            <w:r>
              <w:rPr>
                <w:rFonts w:hint="eastAsia"/>
                <w:color w:val="auto"/>
                <w:szCs w:val="21"/>
              </w:rPr>
              <w:t>静电喷粉废气、固化废气</w:t>
            </w:r>
            <w:r>
              <w:rPr>
                <w:color w:val="auto"/>
              </w:rPr>
              <w:t>，废气采取合理的治理措施进行处理，源强较小，不涉及重金属污染因子，</w:t>
            </w:r>
            <w:r>
              <w:rPr>
                <w:rFonts w:hint="eastAsia"/>
                <w:color w:val="auto"/>
              </w:rPr>
              <w:t>因此</w:t>
            </w:r>
            <w:r>
              <w:rPr>
                <w:color w:val="auto"/>
              </w:rPr>
              <w:t>本次评价不考虑大气沉降对土壤环境的影响途径；</w:t>
            </w:r>
            <w:r>
              <w:rPr>
                <w:rFonts w:hint="eastAsia"/>
                <w:color w:val="auto"/>
              </w:rPr>
              <w:t>本</w:t>
            </w:r>
            <w:r>
              <w:rPr>
                <w:color w:val="auto"/>
              </w:rPr>
              <w:t>项目</w:t>
            </w:r>
            <w:r>
              <w:rPr>
                <w:rFonts w:hint="eastAsia"/>
                <w:color w:val="auto"/>
              </w:rPr>
              <w:t>无废水外排，</w:t>
            </w:r>
            <w:r>
              <w:rPr>
                <w:color w:val="auto"/>
                <w:szCs w:val="21"/>
              </w:rPr>
              <w:t>危废暂存间</w:t>
            </w:r>
            <w:r>
              <w:rPr>
                <w:rFonts w:hint="eastAsia"/>
                <w:color w:val="auto"/>
                <w:szCs w:val="21"/>
              </w:rPr>
              <w:t>已</w:t>
            </w:r>
            <w:r>
              <w:rPr>
                <w:color w:val="auto"/>
              </w:rPr>
              <w:t>采取防渗处理，本次评价不考虑污染物垂直下渗至土壤环境；</w:t>
            </w:r>
            <w:r>
              <w:rPr>
                <w:rFonts w:hint="eastAsia"/>
                <w:color w:val="auto"/>
              </w:rPr>
              <w:t>生产设备均在密闭车间内，</w:t>
            </w:r>
            <w:r>
              <w:rPr>
                <w:color w:val="auto"/>
              </w:rPr>
              <w:t>本次评价不考虑地面漫流；本项目土壤环境主要影响区仅限制于车间范围内，不涉及土壤环境敏感目标</w:t>
            </w:r>
            <w:r>
              <w:rPr>
                <w:rFonts w:hint="eastAsia"/>
                <w:color w:val="auto"/>
              </w:rPr>
              <w:t>。因此本项目不会对土壤环境产生明显影响。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22" w:firstLineChars="200"/>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6、环境风险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（1）风险识别及分布情况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jc w:val="left"/>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snapToGrid w:val="0"/>
                <w:color w:val="auto"/>
                <w:kern w:val="0"/>
                <w:sz w:val="21"/>
                <w:szCs w:val="21"/>
                <w:lang w:val="en-US" w:eastAsia="zh-CN" w:bidi="ar-SA"/>
              </w:rPr>
              <w:t>本次评价从原辅材料、产品以及生产运营过程排放的“三废”污染物等识别危险物质，本项</w:t>
            </w:r>
            <w:r>
              <w:rPr>
                <w:rFonts w:hint="default" w:ascii="Times New Roman" w:hAnsi="Times New Roman" w:eastAsia="宋体" w:cs="Times New Roman"/>
                <w:snapToGrid w:val="0"/>
                <w:color w:val="auto"/>
                <w:kern w:val="0"/>
                <w:sz w:val="21"/>
                <w:szCs w:val="21"/>
                <w:highlight w:val="none"/>
                <w:lang w:val="en-US" w:eastAsia="zh-CN" w:bidi="ar-SA"/>
              </w:rPr>
              <w:t>目涉及的危险化学品主要为</w:t>
            </w:r>
            <w:r>
              <w:rPr>
                <w:rFonts w:hint="eastAsia" w:cs="Times New Roman"/>
                <w:snapToGrid w:val="0"/>
                <w:color w:val="auto"/>
                <w:kern w:val="0"/>
                <w:sz w:val="21"/>
                <w:szCs w:val="21"/>
                <w:highlight w:val="none"/>
                <w:lang w:val="en-US" w:eastAsia="zh-CN" w:bidi="ar-SA"/>
              </w:rPr>
              <w:t>润滑油、液压油；</w:t>
            </w:r>
            <w:r>
              <w:rPr>
                <w:rFonts w:hint="default" w:ascii="Times New Roman" w:hAnsi="Times New Roman" w:eastAsia="宋体" w:cs="Times New Roman"/>
                <w:snapToGrid w:val="0"/>
                <w:color w:val="auto"/>
                <w:kern w:val="0"/>
                <w:sz w:val="21"/>
                <w:szCs w:val="21"/>
                <w:highlight w:val="none"/>
                <w:lang w:val="en-US" w:eastAsia="zh-CN" w:bidi="ar-SA"/>
              </w:rPr>
              <w:t>危废暂存间内暂存的废润滑油</w:t>
            </w:r>
            <w:r>
              <w:rPr>
                <w:rFonts w:hint="eastAsia" w:cs="Times New Roman"/>
                <w:snapToGrid w:val="0"/>
                <w:color w:val="auto"/>
                <w:kern w:val="0"/>
                <w:sz w:val="21"/>
                <w:szCs w:val="21"/>
                <w:highlight w:val="none"/>
                <w:lang w:val="en-US" w:eastAsia="zh-CN" w:bidi="ar-SA"/>
              </w:rPr>
              <w:t>、废液压油等</w:t>
            </w:r>
            <w:r>
              <w:rPr>
                <w:rFonts w:hint="default" w:ascii="Times New Roman" w:hAnsi="Times New Roman" w:eastAsia="宋体" w:cs="Times New Roman"/>
                <w:snapToGrid w:val="0"/>
                <w:color w:val="auto"/>
                <w:kern w:val="0"/>
                <w:sz w:val="21"/>
                <w:szCs w:val="21"/>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jc w:val="both"/>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（2）危险物质存储量与临界量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firstLine="420" w:firstLineChars="20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表</w:t>
            </w:r>
            <w:r>
              <w:rPr>
                <w:rFonts w:hint="eastAsia" w:cs="Times New Roman"/>
                <w:b w:val="0"/>
                <w:bCs w:val="0"/>
                <w:color w:val="auto"/>
                <w:sz w:val="21"/>
                <w:szCs w:val="21"/>
                <w:lang w:val="en-US" w:eastAsia="zh-CN"/>
              </w:rPr>
              <w:t>43</w:t>
            </w:r>
            <w:r>
              <w:rPr>
                <w:rFonts w:hint="default" w:ascii="Times New Roman" w:hAnsi="Times New Roman" w:eastAsia="宋体" w:cs="Times New Roman"/>
                <w:b w:val="0"/>
                <w:bCs w:val="0"/>
                <w:color w:val="auto"/>
                <w:sz w:val="21"/>
                <w:szCs w:val="21"/>
                <w:lang w:val="en-US" w:eastAsia="zh-CN"/>
              </w:rPr>
              <w:t xml:space="preserve">  本项目危险物质存储量与临界量</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017"/>
              <w:gridCol w:w="1827"/>
              <w:gridCol w:w="1472"/>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snapToGrid w:val="0"/>
                      <w:color w:val="auto"/>
                      <w:kern w:val="0"/>
                      <w:sz w:val="21"/>
                      <w:szCs w:val="21"/>
                    </w:rPr>
                    <w:t>危险物质名称</w:t>
                  </w:r>
                </w:p>
              </w:tc>
              <w:tc>
                <w:tcPr>
                  <w:tcW w:w="634"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snapToGrid w:val="0"/>
                      <w:color w:val="auto"/>
                      <w:kern w:val="0"/>
                      <w:sz w:val="21"/>
                      <w:szCs w:val="21"/>
                    </w:rPr>
                  </w:pPr>
                  <w:r>
                    <w:rPr>
                      <w:rFonts w:hint="default" w:ascii="Times New Roman" w:hAnsi="Times New Roman" w:eastAsia="宋体" w:cs="Times New Roman"/>
                      <w:b w:val="0"/>
                      <w:bCs w:val="0"/>
                      <w:snapToGrid w:val="0"/>
                      <w:color w:val="auto"/>
                      <w:kern w:val="0"/>
                      <w:sz w:val="21"/>
                      <w:szCs w:val="21"/>
                    </w:rPr>
                    <w:t>CAS号</w:t>
                  </w:r>
                </w:p>
              </w:tc>
              <w:tc>
                <w:tcPr>
                  <w:tcW w:w="1139"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snapToGrid w:val="0"/>
                      <w:color w:val="auto"/>
                      <w:kern w:val="0"/>
                      <w:sz w:val="21"/>
                      <w:szCs w:val="21"/>
                    </w:rPr>
                    <w:t>最大存储量q</w:t>
                  </w:r>
                  <w:r>
                    <w:rPr>
                      <w:rFonts w:hint="default" w:ascii="Times New Roman" w:hAnsi="Times New Roman" w:eastAsia="宋体" w:cs="Times New Roman"/>
                      <w:b w:val="0"/>
                      <w:bCs w:val="0"/>
                      <w:snapToGrid w:val="0"/>
                      <w:color w:val="auto"/>
                      <w:kern w:val="0"/>
                      <w:sz w:val="21"/>
                      <w:szCs w:val="21"/>
                      <w:vertAlign w:val="subscript"/>
                    </w:rPr>
                    <w:t>n</w:t>
                  </w:r>
                  <w:r>
                    <w:rPr>
                      <w:rFonts w:hint="default" w:ascii="Times New Roman" w:hAnsi="Times New Roman" w:eastAsia="宋体" w:cs="Times New Roman"/>
                      <w:b w:val="0"/>
                      <w:bCs w:val="0"/>
                      <w:snapToGrid w:val="0"/>
                      <w:color w:val="auto"/>
                      <w:kern w:val="0"/>
                      <w:sz w:val="21"/>
                      <w:szCs w:val="21"/>
                    </w:rPr>
                    <w:t>/t</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snapToGrid w:val="0"/>
                      <w:color w:val="auto"/>
                      <w:kern w:val="0"/>
                      <w:sz w:val="21"/>
                      <w:szCs w:val="21"/>
                    </w:rPr>
                    <w:t>临界量Q</w:t>
                  </w:r>
                  <w:r>
                    <w:rPr>
                      <w:rFonts w:hint="default" w:ascii="Times New Roman" w:hAnsi="Times New Roman" w:eastAsia="宋体" w:cs="Times New Roman"/>
                      <w:b w:val="0"/>
                      <w:bCs w:val="0"/>
                      <w:snapToGrid w:val="0"/>
                      <w:color w:val="auto"/>
                      <w:kern w:val="0"/>
                      <w:sz w:val="21"/>
                      <w:szCs w:val="21"/>
                      <w:vertAlign w:val="subscript"/>
                    </w:rPr>
                    <w:t>n</w:t>
                  </w:r>
                  <w:r>
                    <w:rPr>
                      <w:rFonts w:hint="default" w:ascii="Times New Roman" w:hAnsi="Times New Roman" w:eastAsia="宋体" w:cs="Times New Roman"/>
                      <w:b w:val="0"/>
                      <w:bCs w:val="0"/>
                      <w:snapToGrid w:val="0"/>
                      <w:color w:val="auto"/>
                      <w:kern w:val="0"/>
                      <w:sz w:val="21"/>
                      <w:szCs w:val="21"/>
                    </w:rPr>
                    <w:t>/t</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snapToGrid w:val="0"/>
                      <w:color w:val="auto"/>
                      <w:kern w:val="0"/>
                      <w:sz w:val="21"/>
                      <w:szCs w:val="21"/>
                      <w:lang w:val="en-US"/>
                    </w:rPr>
                  </w:pPr>
                  <w:r>
                    <w:rPr>
                      <w:rFonts w:hint="eastAsia"/>
                      <w:lang w:val="en-US" w:eastAsia="zh-CN"/>
                    </w:rPr>
                    <w:t>Q值（</w:t>
                  </w:r>
                  <w:r>
                    <w:rPr>
                      <w:rFonts w:hint="default" w:ascii="Times New Roman" w:hAnsi="Times New Roman" w:eastAsia="宋体" w:cs="Times New Roman"/>
                      <w:b w:val="0"/>
                      <w:bCs w:val="0"/>
                      <w:snapToGrid w:val="0"/>
                      <w:color w:val="auto"/>
                      <w:kern w:val="0"/>
                      <w:sz w:val="21"/>
                      <w:szCs w:val="21"/>
                    </w:rPr>
                    <w:t>q</w:t>
                  </w:r>
                  <w:r>
                    <w:rPr>
                      <w:rFonts w:hint="default" w:ascii="Times New Roman" w:hAnsi="Times New Roman" w:eastAsia="宋体" w:cs="Times New Roman"/>
                      <w:b w:val="0"/>
                      <w:bCs w:val="0"/>
                      <w:snapToGrid w:val="0"/>
                      <w:color w:val="auto"/>
                      <w:kern w:val="0"/>
                      <w:sz w:val="21"/>
                      <w:szCs w:val="21"/>
                      <w:vertAlign w:val="subscript"/>
                    </w:rPr>
                    <w:t>n</w:t>
                  </w:r>
                  <w:r>
                    <w:rPr>
                      <w:rFonts w:hint="default" w:ascii="Times New Roman" w:hAnsi="Times New Roman" w:eastAsia="宋体" w:cs="Times New Roman"/>
                      <w:b w:val="0"/>
                      <w:bCs w:val="0"/>
                      <w:snapToGrid w:val="0"/>
                      <w:color w:val="auto"/>
                      <w:kern w:val="0"/>
                      <w:sz w:val="21"/>
                      <w:szCs w:val="21"/>
                    </w:rPr>
                    <w:t>/Q</w:t>
                  </w:r>
                  <w:r>
                    <w:rPr>
                      <w:rFonts w:hint="default" w:ascii="Times New Roman" w:hAnsi="Times New Roman" w:eastAsia="宋体" w:cs="Times New Roman"/>
                      <w:b w:val="0"/>
                      <w:bCs w:val="0"/>
                      <w:snapToGrid w:val="0"/>
                      <w:color w:val="auto"/>
                      <w:kern w:val="0"/>
                      <w:sz w:val="21"/>
                      <w:szCs w:val="21"/>
                      <w:vertAlign w:val="subscript"/>
                    </w:rPr>
                    <w:t>n</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rPr>
                  </w:pPr>
                  <w:r>
                    <w:rPr>
                      <w:rFonts w:hint="eastAsia" w:cs="Times New Roman"/>
                      <w:b w:val="0"/>
                      <w:bCs w:val="0"/>
                      <w:color w:val="auto"/>
                      <w:sz w:val="21"/>
                      <w:szCs w:val="21"/>
                      <w:highlight w:val="none"/>
                      <w:lang w:val="en-US" w:eastAsia="zh-CN"/>
                    </w:rPr>
                    <w:t>润滑油、液压油</w:t>
                  </w:r>
                </w:p>
              </w:tc>
              <w:tc>
                <w:tcPr>
                  <w:tcW w:w="63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w:t>
                  </w:r>
                </w:p>
              </w:tc>
              <w:tc>
                <w:tcPr>
                  <w:tcW w:w="1139"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2500</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废润滑油</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废液压油</w:t>
                  </w:r>
                </w:p>
              </w:tc>
              <w:tc>
                <w:tcPr>
                  <w:tcW w:w="63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139"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8.5</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100</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含油金属屑</w:t>
                  </w:r>
                </w:p>
              </w:tc>
              <w:tc>
                <w:tcPr>
                  <w:tcW w:w="63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1139" w:type="pct"/>
                  <w:tcBorders>
                    <w:tl2br w:val="nil"/>
                    <w:tr2bl w:val="nil"/>
                  </w:tcBorders>
                  <w:noWrap w:val="0"/>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100</w:t>
                  </w:r>
                </w:p>
              </w:tc>
              <w:tc>
                <w:tcPr>
                  <w:tcW w:w="91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r>
          </w:tbl>
          <w:p>
            <w:pPr>
              <w:keepNext w:val="0"/>
              <w:keepLines w:val="0"/>
              <w:pageBreakBefore w:val="0"/>
              <w:widowControl/>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由上表可知，本项目危险物质最大存储量未超过临界量。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20" w:firstLineChars="200"/>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（3）环境影响途径及危害后果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20" w:firstLineChars="200"/>
              <w:jc w:val="both"/>
              <w:textAlignment w:val="auto"/>
              <w:rPr>
                <w:rFonts w:hint="default" w:ascii="Times New Roman" w:hAnsi="Times New Roman" w:eastAsia="宋体" w:cs="Times New Roman"/>
                <w:snapToGrid w:val="0"/>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本项目危废暂存间内暂存的废润滑油</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废液压油</w:t>
            </w:r>
            <w:r>
              <w:rPr>
                <w:rFonts w:hint="default" w:ascii="Times New Roman" w:hAnsi="Times New Roman" w:eastAsia="宋体" w:cs="Times New Roman"/>
                <w:color w:val="auto"/>
                <w:kern w:val="0"/>
                <w:sz w:val="21"/>
                <w:szCs w:val="21"/>
                <w:lang w:val="en-US" w:eastAsia="zh-CN" w:bidi="ar-SA"/>
              </w:rPr>
              <w:t>，因</w:t>
            </w:r>
            <w:r>
              <w:rPr>
                <w:rFonts w:hint="default" w:ascii="Times New Roman" w:hAnsi="Times New Roman" w:eastAsia="宋体" w:cs="Times New Roman"/>
                <w:snapToGrid w:val="0"/>
                <w:color w:val="auto"/>
                <w:kern w:val="0"/>
                <w:sz w:val="21"/>
                <w:szCs w:val="21"/>
                <w:lang w:val="en-US" w:eastAsia="zh-CN" w:bidi="ar-SA"/>
              </w:rPr>
              <w:t>储存容器碰撞或意外破裂或防渗层撕裂、地震引发防渗层撕裂，未及时处理，造成泄漏液体下渗污染土壤及地下水环境。</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（4）风险防范措施</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1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①</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color w:val="auto"/>
                <w:sz w:val="21"/>
                <w:szCs w:val="21"/>
              </w:rPr>
              <w:t>企业成立环境应急处理领导小组，负责环境事故处理的指挥和调度工作</w:t>
            </w:r>
            <w:r>
              <w:rPr>
                <w:rFonts w:hint="default" w:ascii="Times New Roman" w:hAnsi="Times New Roman" w:eastAsia="宋体" w:cs="Times New Roman"/>
                <w:snapToGrid w:val="0"/>
                <w:color w:val="auto"/>
                <w:kern w:val="0"/>
                <w:sz w:val="21"/>
                <w:szCs w:val="21"/>
              </w:rPr>
              <w:t>。</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2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②</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snapToGrid w:val="0"/>
                <w:color w:val="auto"/>
                <w:kern w:val="0"/>
                <w:sz w:val="21"/>
                <w:szCs w:val="21"/>
              </w:rPr>
              <w:t>给应急队配各应急器具及劳保用品。应急器具及劳保用品在指定地点存放。</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3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③</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snapToGrid w:val="0"/>
                <w:color w:val="auto"/>
                <w:kern w:val="0"/>
                <w:sz w:val="21"/>
                <w:szCs w:val="21"/>
              </w:rPr>
              <w:t>加强岗位培训，落实风险防范责任制，公司要加强防范环境风险事故工作，严格项目环境风险源管理，形成常态化的巡视检查制度，及时发现问题、及时解决，从源头消除环境事故隐患。</w:t>
            </w:r>
          </w:p>
          <w:p>
            <w:pPr>
              <w:keepNext w:val="0"/>
              <w:keepLines w:val="0"/>
              <w:pageBreakBefore w:val="0"/>
              <w:widowControl/>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jc w:val="both"/>
              <w:textAlignment w:val="auto"/>
              <w:rPr>
                <w:rFonts w:hint="default" w:ascii="Times New Roman" w:hAnsi="Times New Roman" w:eastAsia="宋体" w:cs="Times New Roman"/>
                <w:b w:val="0"/>
                <w:bCs w:val="0"/>
                <w:snapToGrid w:val="0"/>
                <w:color w:val="auto"/>
                <w:kern w:val="0"/>
                <w:sz w:val="21"/>
                <w:szCs w:val="21"/>
                <w:lang w:val="en-US" w:eastAsia="zh-CN" w:bidi="ar-SA"/>
              </w:rPr>
            </w:pPr>
            <w:r>
              <w:rPr>
                <w:rFonts w:hint="default" w:ascii="Times New Roman" w:hAnsi="Times New Roman" w:eastAsia="宋体" w:cs="Times New Roman"/>
                <w:b w:val="0"/>
                <w:bCs w:val="0"/>
                <w:snapToGrid w:val="0"/>
                <w:color w:val="auto"/>
                <w:kern w:val="0"/>
                <w:sz w:val="21"/>
                <w:szCs w:val="21"/>
                <w:lang w:val="en-US" w:eastAsia="zh-CN" w:bidi="ar-SA"/>
              </w:rPr>
              <w:t>④安排专职人员定期对危废暂存间内废润滑油储存容器进行巡回检查，检查是否出现跑冒滴漏现象，并及时检修。</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 5 \* GB3 \* MERGEFORMAT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⑤</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snapToGrid w:val="0"/>
                <w:color w:val="auto"/>
                <w:kern w:val="0"/>
                <w:sz w:val="21"/>
                <w:szCs w:val="21"/>
              </w:rPr>
              <w:t>危废暂存间根据《危险废物贮存污染控制标准》</w:t>
            </w:r>
            <w:r>
              <w:rPr>
                <w:rFonts w:hint="default" w:ascii="Times New Roman" w:hAnsi="Times New Roman" w:eastAsia="宋体" w:cs="Times New Roman"/>
                <w:color w:val="auto"/>
                <w:sz w:val="21"/>
                <w:szCs w:val="21"/>
              </w:rPr>
              <w:t>（</w:t>
            </w:r>
            <w:r>
              <w:rPr>
                <w:rFonts w:hint="eastAsia" w:cs="Times New Roman"/>
                <w:color w:val="auto"/>
                <w:sz w:val="21"/>
                <w:szCs w:val="21"/>
                <w:lang w:eastAsia="zh-CN"/>
              </w:rPr>
              <w:t>GB 18597-2023</w:t>
            </w:r>
            <w:r>
              <w:rPr>
                <w:rFonts w:hint="default" w:ascii="Times New Roman" w:hAnsi="Times New Roman" w:eastAsia="宋体" w:cs="Times New Roman"/>
                <w:color w:val="auto"/>
                <w:sz w:val="21"/>
                <w:szCs w:val="21"/>
              </w:rPr>
              <w:t>）</w:t>
            </w:r>
            <w:r>
              <w:rPr>
                <w:rFonts w:hint="default" w:ascii="Times New Roman" w:hAnsi="Times New Roman" w:eastAsia="宋体" w:cs="Times New Roman"/>
                <w:snapToGrid w:val="0"/>
                <w:color w:val="auto"/>
                <w:kern w:val="0"/>
                <w:sz w:val="21"/>
                <w:szCs w:val="21"/>
              </w:rPr>
              <w:t>相关规定进行防腐防渗，渗透系数≤10</w:t>
            </w:r>
            <w:r>
              <w:rPr>
                <w:rFonts w:hint="default" w:ascii="Times New Roman" w:hAnsi="Times New Roman" w:eastAsia="宋体" w:cs="Times New Roman"/>
                <w:snapToGrid w:val="0"/>
                <w:color w:val="auto"/>
                <w:kern w:val="0"/>
                <w:sz w:val="21"/>
                <w:szCs w:val="21"/>
                <w:vertAlign w:val="superscript"/>
              </w:rPr>
              <w:t>-10</w:t>
            </w:r>
            <w:r>
              <w:rPr>
                <w:rFonts w:hint="default" w:ascii="Times New Roman" w:hAnsi="Times New Roman" w:eastAsia="宋体" w:cs="Times New Roman"/>
                <w:color w:val="auto"/>
                <w:sz w:val="21"/>
                <w:szCs w:val="21"/>
              </w:rPr>
              <w:t>cm/s。危废暂存间内设置围堰，配备备用桶、吸附材料等应急物资，</w:t>
            </w:r>
            <w:r>
              <w:rPr>
                <w:rFonts w:hint="default" w:ascii="Times New Roman" w:hAnsi="Times New Roman" w:eastAsia="宋体" w:cs="Times New Roman"/>
                <w:snapToGrid w:val="0"/>
                <w:color w:val="auto"/>
                <w:kern w:val="0"/>
                <w:sz w:val="21"/>
                <w:szCs w:val="21"/>
              </w:rPr>
              <w:t>事故状态下可将泄漏的危险废物控制在风险单元内。</w:t>
            </w:r>
          </w:p>
          <w:p>
            <w:pPr>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6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color w:val="auto"/>
                <w:sz w:val="21"/>
                <w:szCs w:val="21"/>
              </w:rPr>
              <w:t>⑥</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color w:val="auto"/>
                <w:sz w:val="21"/>
                <w:szCs w:val="21"/>
              </w:rPr>
              <w:t>废润滑油</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废液压油</w:t>
            </w:r>
            <w:r>
              <w:rPr>
                <w:rFonts w:hint="default" w:ascii="Times New Roman" w:hAnsi="Times New Roman" w:eastAsia="宋体" w:cs="Times New Roman"/>
                <w:color w:val="auto"/>
                <w:sz w:val="21"/>
                <w:szCs w:val="21"/>
              </w:rPr>
              <w:t>从产生点到危废暂存间转运过程中应做到定车、定人，专车专用。车辆必须是专用车，不能把危险废物和其它废物混合运送，也不能使用运送危险废物的车辆在不经过处理的情况下运送其它物品。定人就是把管理、押运及装卸等工作的人员加以固定，这就保证了危险废物的运输任务始终是由专业人员来担负，从人员上保障危险品运输过程中的安全。</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40" w:lineRule="exact"/>
              <w:ind w:left="0" w:leftChars="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（5）结论</w:t>
            </w: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leftChars="0" w:right="0" w:firstLine="420" w:firstLineChars="200"/>
              <w:jc w:val="left"/>
              <w:textAlignment w:val="auto"/>
              <w:rPr>
                <w:rFonts w:hint="default" w:ascii="Times New Roman" w:hAnsi="Times New Roman" w:eastAsia="宋体" w:cs="Times New Roman"/>
                <w:color w:val="auto"/>
                <w:w w:val="100"/>
                <w:kern w:val="2"/>
                <w:sz w:val="21"/>
                <w:szCs w:val="21"/>
                <w:lang w:val="en-US" w:eastAsia="zh-CN" w:bidi="ar-SA"/>
              </w:rPr>
            </w:pPr>
            <w:r>
              <w:rPr>
                <w:rFonts w:hint="default" w:ascii="Times New Roman" w:hAnsi="Times New Roman" w:eastAsia="宋体" w:cs="Times New Roman"/>
                <w:color w:val="auto"/>
                <w:w w:val="100"/>
                <w:kern w:val="2"/>
                <w:sz w:val="21"/>
                <w:szCs w:val="21"/>
                <w:lang w:val="en-US" w:eastAsia="zh-CN" w:bidi="ar-SA"/>
              </w:rPr>
              <w:t>综上，本项目环境风险在可控范围内。</w:t>
            </w:r>
          </w:p>
          <w:p>
            <w:pPr>
              <w:keepNext w:val="0"/>
              <w:keepLines w:val="0"/>
              <w:suppressLineNumbers w:val="0"/>
              <w:spacing w:before="0" w:beforeAutospacing="0" w:after="0" w:afterAutospacing="0"/>
              <w:ind w:left="0" w:right="0"/>
              <w:rPr>
                <w:rFonts w:hint="default"/>
                <w:b/>
                <w:bCs/>
                <w:color w:val="auto"/>
                <w:sz w:val="21"/>
                <w:szCs w:val="21"/>
                <w:lang w:val="en-US" w:eastAsia="zh-CN"/>
              </w:rPr>
            </w:pPr>
            <w:r>
              <w:rPr>
                <w:rFonts w:hint="eastAsia"/>
                <w:b/>
                <w:bCs/>
                <w:color w:val="auto"/>
                <w:sz w:val="21"/>
                <w:szCs w:val="21"/>
                <w:lang w:val="en-US" w:eastAsia="zh-CN"/>
              </w:rPr>
              <w:t>7、排污许可证衔接情况</w:t>
            </w:r>
          </w:p>
          <w:p>
            <w:pPr>
              <w:keepNext w:val="0"/>
              <w:keepLines w:val="0"/>
              <w:suppressLineNumbers w:val="0"/>
              <w:spacing w:before="0" w:beforeAutospacing="0" w:after="0" w:afterAutospacing="0" w:line="480" w:lineRule="exact"/>
              <w:ind w:left="0" w:right="0" w:firstLine="420" w:firstLineChars="200"/>
              <w:rPr>
                <w:rFonts w:hint="default" w:ascii="Times New Roman" w:hAnsi="Times New Roman" w:eastAsia="宋体" w:cs="Times New Roman"/>
                <w:color w:val="auto"/>
                <w:w w:val="90"/>
                <w:kern w:val="0"/>
                <w:sz w:val="21"/>
                <w:szCs w:val="21"/>
                <w:lang w:val="en-US" w:eastAsia="zh-CN" w:bidi="ar-SA"/>
              </w:rPr>
            </w:pPr>
            <w:r>
              <w:rPr>
                <w:rFonts w:hint="eastAsia" w:cs="Times New Roman"/>
                <w:color w:val="auto"/>
                <w:sz w:val="21"/>
                <w:szCs w:val="21"/>
                <w:highlight w:val="none"/>
                <w:lang w:val="en-US" w:eastAsia="zh-CN"/>
              </w:rPr>
              <w:t>现有工程已取得固定污染源排污许可证</w:t>
            </w:r>
            <w:r>
              <w:rPr>
                <w:rFonts w:hint="default" w:ascii="Times New Roman" w:hAnsi="Times New Roman" w:eastAsia="宋体" w:cs="Times New Roman"/>
                <w:color w:val="auto"/>
                <w:sz w:val="21"/>
                <w:szCs w:val="21"/>
                <w:highlight w:val="none"/>
                <w:lang w:val="zh-CN"/>
              </w:rPr>
              <w:t>，</w:t>
            </w:r>
            <w:r>
              <w:rPr>
                <w:rFonts w:hint="eastAsia" w:cs="Times New Roman"/>
                <w:color w:val="auto"/>
                <w:sz w:val="21"/>
                <w:szCs w:val="21"/>
                <w:highlight w:val="none"/>
                <w:lang w:val="en-US" w:eastAsia="zh-CN"/>
              </w:rPr>
              <w:t>证书</w:t>
            </w:r>
            <w:r>
              <w:rPr>
                <w:rFonts w:hint="default" w:ascii="Times New Roman" w:hAnsi="Times New Roman" w:eastAsia="宋体" w:cs="Times New Roman"/>
                <w:color w:val="auto"/>
                <w:sz w:val="21"/>
                <w:szCs w:val="21"/>
                <w:highlight w:val="none"/>
                <w:lang w:val="en-US" w:eastAsia="zh-CN"/>
              </w:rPr>
              <w:t>编号：</w:t>
            </w:r>
            <w:r>
              <w:rPr>
                <w:rFonts w:hint="eastAsia" w:cs="Times New Roman"/>
                <w:color w:val="auto"/>
                <w:sz w:val="21"/>
                <w:szCs w:val="21"/>
                <w:highlight w:val="none"/>
                <w:lang w:val="en-US" w:eastAsia="zh-CN"/>
              </w:rPr>
              <w:t>9113029369465696XU001X</w:t>
            </w:r>
            <w:r>
              <w:rPr>
                <w:rFonts w:hint="default" w:ascii="Times New Roman" w:hAnsi="Times New Roman" w:eastAsia="宋体" w:cs="Times New Roman"/>
                <w:color w:val="auto"/>
                <w:sz w:val="21"/>
                <w:szCs w:val="21"/>
                <w:highlight w:val="none"/>
                <w:lang w:val="zh-CN"/>
              </w:rPr>
              <w:t>，</w:t>
            </w:r>
            <w:r>
              <w:rPr>
                <w:rFonts w:hint="default" w:ascii="Times New Roman" w:hAnsi="Times New Roman" w:eastAsia="宋体" w:cs="Times New Roman"/>
                <w:color w:val="auto"/>
                <w:sz w:val="21"/>
                <w:szCs w:val="21"/>
                <w:highlight w:val="none"/>
              </w:rPr>
              <w:t>有效期限：</w:t>
            </w:r>
            <w:r>
              <w:rPr>
                <w:rFonts w:hint="eastAsia" w:cs="Times New Roman"/>
                <w:color w:val="auto"/>
                <w:sz w:val="21"/>
                <w:szCs w:val="21"/>
                <w:highlight w:val="none"/>
                <w:lang w:val="en-US" w:eastAsia="zh-CN"/>
              </w:rPr>
              <w:t>自2020年08月12日至2023年08月11日止</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针对本项目生产设备有所变更情况，企业在技改完成后对排污许可证进行申请变更手续。</w:t>
            </w:r>
          </w:p>
        </w:tc>
      </w:tr>
    </w:tbl>
    <w:p>
      <w:pPr>
        <w:rPr>
          <w:rFonts w:hint="default" w:ascii="Times New Roman" w:hAnsi="Times New Roman" w:cs="Times New Roman"/>
          <w:color w:val="auto"/>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17" w:name="_Toc2139"/>
      <w:r>
        <w:rPr>
          <w:rFonts w:hint="default" w:ascii="Times New Roman" w:hAnsi="Times New Roman" w:eastAsia="黑体" w:cs="Times New Roman"/>
          <w:snapToGrid w:val="0"/>
          <w:color w:val="auto"/>
          <w:sz w:val="30"/>
          <w:szCs w:val="30"/>
        </w:rPr>
        <w:t>五、</w:t>
      </w:r>
      <w:bookmarkStart w:id="18" w:name="_Hlk54167917"/>
      <w:r>
        <w:rPr>
          <w:rFonts w:hint="default" w:ascii="Times New Roman" w:hAnsi="Times New Roman" w:eastAsia="黑体" w:cs="Times New Roman"/>
          <w:snapToGrid w:val="0"/>
          <w:color w:val="auto"/>
          <w:sz w:val="30"/>
          <w:szCs w:val="30"/>
        </w:rPr>
        <w:t>环境保护措施监督检查清单</w:t>
      </w:r>
      <w:bookmarkEnd w:id="17"/>
      <w:bookmarkEnd w:id="18"/>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555"/>
        <w:gridCol w:w="1227"/>
        <w:gridCol w:w="1541"/>
        <w:gridCol w:w="29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1523" w:type="dxa"/>
            <w:tcBorders>
              <w:tl2br w:val="single" w:color="auto" w:sz="4" w:space="0"/>
            </w:tcBorders>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firstLine="84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内容</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要素</w:t>
            </w:r>
          </w:p>
        </w:tc>
        <w:tc>
          <w:tcPr>
            <w:tcW w:w="155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排放口(编号、</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名称)/污染源</w:t>
            </w:r>
          </w:p>
        </w:tc>
        <w:tc>
          <w:tcPr>
            <w:tcW w:w="1227"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污染物项目</w:t>
            </w:r>
          </w:p>
        </w:tc>
        <w:tc>
          <w:tcPr>
            <w:tcW w:w="1541"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环境保护措施</w:t>
            </w:r>
          </w:p>
        </w:tc>
        <w:tc>
          <w:tcPr>
            <w:tcW w:w="2954"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523" w:type="dxa"/>
            <w:vMerge w:val="restart"/>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大气环境</w:t>
            </w:r>
          </w:p>
        </w:tc>
        <w:tc>
          <w:tcPr>
            <w:tcW w:w="1555"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rPr>
              <w:t>静电喷粉废气（DA0</w:t>
            </w:r>
            <w:r>
              <w:rPr>
                <w:rFonts w:hint="eastAsia"/>
                <w:color w:val="auto"/>
                <w:szCs w:val="21"/>
                <w:lang w:val="en-US" w:eastAsia="zh-CN"/>
              </w:rPr>
              <w:t>02</w:t>
            </w:r>
            <w:r>
              <w:rPr>
                <w:rFonts w:hint="eastAsia"/>
                <w:color w:val="auto"/>
                <w:szCs w:val="21"/>
              </w:rPr>
              <w:t>）</w:t>
            </w:r>
          </w:p>
        </w:tc>
        <w:tc>
          <w:tcPr>
            <w:tcW w:w="1227"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color w:val="auto"/>
                <w:szCs w:val="21"/>
              </w:rPr>
            </w:pPr>
            <w:r>
              <w:rPr>
                <w:rFonts w:hint="eastAsia"/>
                <w:color w:val="auto"/>
                <w:szCs w:val="21"/>
              </w:rPr>
              <w:t>颗粒物</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rPr>
              <w:t>（染料尘）</w:t>
            </w:r>
          </w:p>
        </w:tc>
        <w:tc>
          <w:tcPr>
            <w:tcW w:w="1541"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Cs w:val="21"/>
                <w:lang w:eastAsia="zh-CN"/>
              </w:rPr>
              <w:t>滤筒除尘器+布袋除尘器</w:t>
            </w:r>
            <w:r>
              <w:rPr>
                <w:rFonts w:hint="eastAsia"/>
                <w:color w:val="auto"/>
                <w:szCs w:val="21"/>
              </w:rPr>
              <w:t>+</w:t>
            </w:r>
            <w:r>
              <w:rPr>
                <w:rFonts w:hint="eastAsia"/>
                <w:color w:val="auto"/>
                <w:szCs w:val="21"/>
                <w:lang w:val="en-US" w:eastAsia="zh-CN"/>
              </w:rPr>
              <w:t>30</w:t>
            </w:r>
            <w:r>
              <w:rPr>
                <w:color w:val="auto"/>
                <w:szCs w:val="21"/>
              </w:rPr>
              <w:t>m</w:t>
            </w:r>
            <w:r>
              <w:rPr>
                <w:rFonts w:hint="eastAsia"/>
                <w:color w:val="auto"/>
                <w:szCs w:val="21"/>
              </w:rPr>
              <w:t>高</w:t>
            </w:r>
            <w:r>
              <w:rPr>
                <w:color w:val="auto"/>
                <w:szCs w:val="21"/>
              </w:rPr>
              <w:t>排气筒</w:t>
            </w:r>
            <w:r>
              <w:rPr>
                <w:rFonts w:hint="eastAsia"/>
                <w:color w:val="auto"/>
                <w:szCs w:val="21"/>
                <w:lang w:eastAsia="zh-CN"/>
              </w:rPr>
              <w:t>，</w:t>
            </w:r>
            <w:r>
              <w:rPr>
                <w:rFonts w:hint="eastAsia"/>
                <w:color w:val="auto"/>
                <w:szCs w:val="21"/>
                <w:highlight w:val="none"/>
              </w:rPr>
              <w:t>处理能力</w:t>
            </w:r>
            <w:r>
              <w:rPr>
                <w:color w:val="auto"/>
                <w:szCs w:val="21"/>
                <w:highlight w:val="none"/>
              </w:rPr>
              <w:t>为</w:t>
            </w:r>
            <w:r>
              <w:rPr>
                <w:rFonts w:hint="eastAsia"/>
                <w:color w:val="auto"/>
                <w:szCs w:val="21"/>
                <w:highlight w:val="none"/>
                <w:lang w:val="en-US" w:eastAsia="zh-CN"/>
              </w:rPr>
              <w:t>24</w:t>
            </w:r>
            <w:r>
              <w:rPr>
                <w:color w:val="auto"/>
                <w:szCs w:val="21"/>
                <w:highlight w:val="none"/>
              </w:rPr>
              <w:t>000m</w:t>
            </w:r>
            <w:r>
              <w:rPr>
                <w:color w:val="auto"/>
                <w:szCs w:val="21"/>
                <w:highlight w:val="none"/>
                <w:vertAlign w:val="superscript"/>
              </w:rPr>
              <w:t>3</w:t>
            </w:r>
            <w:r>
              <w:rPr>
                <w:color w:val="auto"/>
                <w:szCs w:val="21"/>
                <w:highlight w:val="none"/>
              </w:rPr>
              <w:t>/h</w:t>
            </w:r>
          </w:p>
        </w:tc>
        <w:tc>
          <w:tcPr>
            <w:tcW w:w="2954"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color w:val="auto"/>
                <w:szCs w:val="21"/>
              </w:rPr>
              <w:t>《大气污染物综合排放标准》(GB16297-1996)表2二碳黑尘、染料尘二级标准</w:t>
            </w:r>
            <w:r>
              <w:rPr>
                <w:rFonts w:hint="eastAsia"/>
                <w:color w:val="auto"/>
                <w:szCs w:val="21"/>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52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color w:val="auto"/>
                <w:sz w:val="21"/>
                <w:szCs w:val="21"/>
              </w:rPr>
            </w:pPr>
          </w:p>
        </w:tc>
        <w:tc>
          <w:tcPr>
            <w:tcW w:w="1555"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cs="Times New Roman"/>
                <w:snapToGrid w:val="0"/>
                <w:color w:val="auto"/>
                <w:sz w:val="21"/>
                <w:szCs w:val="21"/>
                <w:lang w:val="en-US" w:eastAsia="zh-CN"/>
              </w:rPr>
            </w:pPr>
            <w:r>
              <w:rPr>
                <w:rFonts w:hint="eastAsia"/>
                <w:color w:val="auto"/>
                <w:szCs w:val="21"/>
              </w:rPr>
              <w:t>固化</w:t>
            </w:r>
            <w:r>
              <w:rPr>
                <w:color w:val="auto"/>
                <w:kern w:val="0"/>
                <w:szCs w:val="21"/>
                <w:lang w:bidi="ar"/>
              </w:rPr>
              <w:t>废气</w:t>
            </w:r>
            <w:r>
              <w:rPr>
                <w:rFonts w:hint="eastAsia"/>
                <w:color w:val="auto"/>
                <w:szCs w:val="21"/>
              </w:rPr>
              <w:t>（DA0</w:t>
            </w:r>
            <w:r>
              <w:rPr>
                <w:rFonts w:hint="eastAsia"/>
                <w:color w:val="auto"/>
                <w:szCs w:val="21"/>
                <w:lang w:val="en-US" w:eastAsia="zh-CN"/>
              </w:rPr>
              <w:t>03</w:t>
            </w:r>
            <w:r>
              <w:rPr>
                <w:rFonts w:hint="eastAsia"/>
                <w:color w:val="auto"/>
                <w:szCs w:val="21"/>
              </w:rPr>
              <w:t>）</w:t>
            </w:r>
          </w:p>
        </w:tc>
        <w:tc>
          <w:tcPr>
            <w:tcW w:w="122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snapToGrid w:val="0"/>
                <w:color w:val="auto"/>
                <w:sz w:val="21"/>
                <w:szCs w:val="21"/>
                <w:lang w:val="en-US" w:eastAsia="zh-CN"/>
              </w:rPr>
            </w:pPr>
            <w:r>
              <w:rPr>
                <w:rFonts w:hint="eastAsia"/>
                <w:color w:val="auto"/>
                <w:szCs w:val="21"/>
              </w:rPr>
              <w:t>非甲烷总烃</w:t>
            </w:r>
          </w:p>
        </w:tc>
        <w:tc>
          <w:tcPr>
            <w:tcW w:w="1541"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color w:val="auto"/>
                <w:szCs w:val="21"/>
                <w:lang w:val="en-US" w:eastAsia="zh-CN"/>
              </w:rPr>
            </w:pPr>
            <w:r>
              <w:rPr>
                <w:rFonts w:hint="eastAsia"/>
                <w:color w:val="auto"/>
                <w:szCs w:val="21"/>
                <w:lang w:val="en-US" w:eastAsia="zh-CN"/>
              </w:rPr>
              <w:t>喷淋塔+干式过滤箱+活性炭吸附/脱附+催化燃烧装置+30m高排气筒</w:t>
            </w:r>
            <w:r>
              <w:rPr>
                <w:rFonts w:hint="eastAsia"/>
                <w:color w:val="auto"/>
                <w:szCs w:val="21"/>
                <w:lang w:eastAsia="zh-CN"/>
              </w:rPr>
              <w:t>，</w:t>
            </w:r>
            <w:r>
              <w:rPr>
                <w:rFonts w:hint="eastAsia"/>
                <w:color w:val="auto"/>
                <w:szCs w:val="21"/>
                <w:highlight w:val="none"/>
              </w:rPr>
              <w:t>处理能力</w:t>
            </w:r>
            <w:r>
              <w:rPr>
                <w:color w:val="auto"/>
                <w:szCs w:val="21"/>
                <w:highlight w:val="none"/>
              </w:rPr>
              <w:t>为</w:t>
            </w:r>
            <w:r>
              <w:rPr>
                <w:rFonts w:hint="eastAsia"/>
                <w:color w:val="auto"/>
                <w:szCs w:val="21"/>
                <w:highlight w:val="none"/>
                <w:lang w:val="en-US" w:eastAsia="zh-CN"/>
              </w:rPr>
              <w:t>3</w:t>
            </w:r>
            <w:r>
              <w:rPr>
                <w:color w:val="auto"/>
                <w:szCs w:val="21"/>
                <w:highlight w:val="none"/>
              </w:rPr>
              <w:t>000m</w:t>
            </w:r>
            <w:r>
              <w:rPr>
                <w:color w:val="auto"/>
                <w:szCs w:val="21"/>
                <w:highlight w:val="none"/>
                <w:vertAlign w:val="superscript"/>
              </w:rPr>
              <w:t>3</w:t>
            </w:r>
            <w:r>
              <w:rPr>
                <w:color w:val="auto"/>
                <w:szCs w:val="21"/>
                <w:highlight w:val="none"/>
              </w:rPr>
              <w:t>/h</w:t>
            </w:r>
          </w:p>
        </w:tc>
        <w:tc>
          <w:tcPr>
            <w:tcW w:w="2954"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color w:val="auto"/>
                <w:szCs w:val="21"/>
                <w:lang w:val="en-US" w:eastAsia="zh-CN"/>
              </w:rPr>
            </w:pPr>
            <w:r>
              <w:rPr>
                <w:color w:val="auto"/>
                <w:szCs w:val="21"/>
              </w:rPr>
              <w:t>《工业企业挥发性有机物排放控制标准》（DB13/2322-2016）表1</w:t>
            </w:r>
            <w:r>
              <w:rPr>
                <w:rFonts w:hint="eastAsia"/>
                <w:color w:val="auto"/>
                <w:szCs w:val="21"/>
                <w:lang w:eastAsia="zh-CN"/>
              </w:rPr>
              <w:t>表面涂装业</w:t>
            </w:r>
            <w:r>
              <w:rPr>
                <w:color w:val="auto"/>
                <w:szCs w:val="21"/>
              </w:rPr>
              <w:t>大气污染物排放限值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52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color w:val="auto"/>
                <w:sz w:val="21"/>
                <w:szCs w:val="21"/>
              </w:rPr>
            </w:pPr>
          </w:p>
        </w:tc>
        <w:tc>
          <w:tcPr>
            <w:tcW w:w="1555"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s="Times New Roman"/>
                <w:snapToGrid w:val="0"/>
                <w:color w:val="auto"/>
                <w:sz w:val="21"/>
                <w:szCs w:val="21"/>
                <w:lang w:val="en-US" w:eastAsia="zh-CN"/>
              </w:rPr>
            </w:pPr>
            <w:r>
              <w:rPr>
                <w:rFonts w:hint="eastAsia" w:cs="Times New Roman"/>
                <w:snapToGrid w:val="0"/>
                <w:color w:val="auto"/>
                <w:sz w:val="21"/>
                <w:szCs w:val="21"/>
                <w:lang w:val="en-US" w:eastAsia="zh-CN"/>
              </w:rPr>
              <w:t>无组织废气（厂界上风向，下风向、厂区内）</w:t>
            </w:r>
          </w:p>
        </w:tc>
        <w:tc>
          <w:tcPr>
            <w:tcW w:w="122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snapToGrid w:val="0"/>
                <w:color w:val="auto"/>
                <w:sz w:val="21"/>
                <w:szCs w:val="21"/>
                <w:lang w:val="en-US" w:eastAsia="zh-CN"/>
              </w:rPr>
            </w:pPr>
            <w:r>
              <w:rPr>
                <w:rFonts w:hint="eastAsia" w:cs="Times New Roman"/>
                <w:snapToGrid w:val="0"/>
                <w:color w:val="auto"/>
                <w:sz w:val="21"/>
                <w:szCs w:val="21"/>
                <w:lang w:val="en-US" w:eastAsia="zh-CN"/>
              </w:rPr>
              <w:t>颗粒物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sz w:val="21"/>
                <w:szCs w:val="21"/>
                <w:lang w:val="en-US" w:eastAsia="zh-CN"/>
              </w:rPr>
              <w:t>非甲烷总烃</w:t>
            </w:r>
          </w:p>
        </w:tc>
        <w:tc>
          <w:tcPr>
            <w:tcW w:w="1541"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olor w:val="auto"/>
                <w:szCs w:val="21"/>
                <w:lang w:val="en-US" w:eastAsia="zh-CN"/>
              </w:rPr>
            </w:pPr>
            <w:r>
              <w:rPr>
                <w:rFonts w:hint="eastAsia"/>
                <w:color w:val="auto"/>
                <w:szCs w:val="21"/>
              </w:rPr>
              <w:t>车间密闭</w:t>
            </w:r>
          </w:p>
        </w:tc>
        <w:tc>
          <w:tcPr>
            <w:tcW w:w="2954"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color w:val="auto"/>
                <w:szCs w:val="21"/>
                <w:lang w:val="en-US" w:eastAsia="zh-CN"/>
              </w:rPr>
            </w:pPr>
            <w:r>
              <w:rPr>
                <w:rFonts w:hint="eastAsia"/>
                <w:color w:val="auto"/>
                <w:szCs w:val="21"/>
                <w:lang w:val="en-US" w:eastAsia="zh-CN"/>
              </w:rPr>
              <w:t>《大气污染物综合排放标准》(GB16297-1996)表2颗粒物无组织排放监控浓度限值要求</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color w:val="auto"/>
                <w:szCs w:val="21"/>
                <w:lang w:val="en-US" w:eastAsia="zh-CN"/>
              </w:rPr>
            </w:pPr>
            <w:r>
              <w:rPr>
                <w:rFonts w:hint="eastAsia"/>
                <w:color w:val="auto"/>
                <w:szCs w:val="21"/>
                <w:lang w:val="en-US" w:eastAsia="zh-CN"/>
              </w:rPr>
              <w:t>《工业企业挥发性有机物排放控制标准》（DB13/2322-2016）表2其他企业边界大气污染物浓度限值</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olor w:val="auto"/>
                <w:szCs w:val="21"/>
                <w:lang w:val="en-US" w:eastAsia="zh-CN"/>
              </w:rPr>
            </w:pPr>
            <w:r>
              <w:rPr>
                <w:rFonts w:hint="eastAsia"/>
                <w:color w:val="auto"/>
                <w:szCs w:val="21"/>
                <w:lang w:val="en-US" w:eastAsia="zh-CN"/>
              </w:rPr>
              <w:t>《挥发性有机物无组织排放控制标准》（GB37822-2019）附录A特别排放限值</w:t>
            </w:r>
            <w:r>
              <w:rPr>
                <w:rFonts w:hint="eastAsia"/>
                <w:color w:val="auto"/>
                <w:szCs w:val="21"/>
                <w:highlight w:val="none"/>
                <w:lang w:eastAsia="zh-CN"/>
              </w:rPr>
              <w:t>，</w:t>
            </w:r>
            <w:r>
              <w:rPr>
                <w:rFonts w:hint="eastAsia"/>
                <w:color w:val="auto"/>
                <w:szCs w:val="21"/>
                <w:highlight w:val="none"/>
                <w:lang w:val="en-US" w:eastAsia="zh-CN"/>
              </w:rPr>
              <w:t>同时满足</w:t>
            </w:r>
            <w:r>
              <w:rPr>
                <w:rFonts w:hint="eastAsia"/>
                <w:lang w:val="en-US" w:eastAsia="zh-CN"/>
              </w:rPr>
              <w:t>重污染天气重点行业应急减排措施制定技术指南》排放限值要求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地表水环境</w:t>
            </w:r>
          </w:p>
        </w:tc>
        <w:tc>
          <w:tcPr>
            <w:tcW w:w="1555"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水压试验</w:t>
            </w:r>
            <w:r>
              <w:rPr>
                <w:rFonts w:hint="eastAsia"/>
                <w:color w:val="auto"/>
                <w:szCs w:val="21"/>
              </w:rPr>
              <w:t>用水</w:t>
            </w:r>
            <w:r>
              <w:rPr>
                <w:rFonts w:hint="eastAsia"/>
                <w:color w:val="auto"/>
                <w:szCs w:val="21"/>
                <w:lang w:eastAsia="zh-CN"/>
              </w:rPr>
              <w:t>、</w:t>
            </w:r>
            <w:r>
              <w:rPr>
                <w:rFonts w:hint="eastAsia"/>
                <w:color w:val="auto"/>
                <w:szCs w:val="21"/>
                <w:lang w:val="en-US" w:eastAsia="zh-CN"/>
              </w:rPr>
              <w:t>喷淋塔用水</w:t>
            </w:r>
          </w:p>
        </w:tc>
        <w:tc>
          <w:tcPr>
            <w:tcW w:w="1227"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color w:val="auto"/>
                <w:szCs w:val="21"/>
              </w:rPr>
              <w:t>/</w:t>
            </w:r>
          </w:p>
        </w:tc>
        <w:tc>
          <w:tcPr>
            <w:tcW w:w="1541"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Cs w:val="21"/>
              </w:rPr>
              <w:t>循环使用，定期补充，不外排</w:t>
            </w:r>
          </w:p>
        </w:tc>
        <w:tc>
          <w:tcPr>
            <w:tcW w:w="2954"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523"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w:t>
            </w:r>
          </w:p>
        </w:tc>
        <w:tc>
          <w:tcPr>
            <w:tcW w:w="155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生产设备</w:t>
            </w:r>
            <w:r>
              <w:rPr>
                <w:rFonts w:hint="default" w:ascii="Times New Roman" w:hAnsi="Times New Roman" w:eastAsia="宋体" w:cs="Times New Roman"/>
                <w:color w:val="auto"/>
                <w:sz w:val="21"/>
                <w:szCs w:val="21"/>
              </w:rPr>
              <w:t>等运行时产生的噪声</w:t>
            </w:r>
          </w:p>
        </w:tc>
        <w:tc>
          <w:tcPr>
            <w:tcW w:w="1227"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541"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设备</w:t>
            </w:r>
            <w:r>
              <w:rPr>
                <w:rFonts w:hint="eastAsia" w:cs="Times New Roman"/>
                <w:snapToGrid w:val="0"/>
                <w:color w:val="auto"/>
                <w:sz w:val="21"/>
                <w:szCs w:val="21"/>
                <w:lang w:val="en-US" w:eastAsia="zh-CN"/>
              </w:rPr>
              <w:t>置于</w:t>
            </w:r>
            <w:r>
              <w:rPr>
                <w:rFonts w:hint="default" w:ascii="Times New Roman" w:hAnsi="Times New Roman" w:eastAsia="宋体" w:cs="Times New Roman"/>
                <w:snapToGrid w:val="0"/>
                <w:color w:val="auto"/>
                <w:sz w:val="21"/>
                <w:szCs w:val="21"/>
                <w:lang w:val="en-US" w:eastAsia="zh-CN"/>
              </w:rPr>
              <w:t>全封闭车间内</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采取低噪声设备，设备基础减震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建筑</w:t>
            </w:r>
            <w:r>
              <w:rPr>
                <w:rFonts w:hint="default" w:ascii="Times New Roman" w:hAnsi="Times New Roman" w:cs="Times New Roman"/>
                <w:color w:val="auto"/>
                <w:sz w:val="21"/>
                <w:szCs w:val="21"/>
                <w:highlight w:val="none"/>
              </w:rPr>
              <w:t>隔声等措施</w:t>
            </w:r>
          </w:p>
        </w:tc>
        <w:tc>
          <w:tcPr>
            <w:tcW w:w="2954"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z w:val="21"/>
                <w:szCs w:val="21"/>
              </w:rPr>
              <w:t>《工业企业厂界环境噪声排放标准》（GB12348-2008）</w:t>
            </w:r>
            <w:r>
              <w:rPr>
                <w:rFonts w:hint="eastAsia" w:cs="Times New Roman"/>
                <w:snapToGrid w:val="0"/>
                <w:color w:val="auto"/>
                <w:sz w:val="21"/>
                <w:szCs w:val="21"/>
                <w:lang w:val="en-US" w:eastAsia="zh-CN"/>
              </w:rPr>
              <w:t>3</w:t>
            </w:r>
            <w:r>
              <w:rPr>
                <w:rFonts w:hint="default" w:ascii="Times New Roman" w:hAnsi="Times New Roman" w:eastAsia="宋体" w:cs="Times New Roman"/>
                <w:snapToGrid w:val="0"/>
                <w:color w:val="auto"/>
                <w:sz w:val="21"/>
                <w:szCs w:val="21"/>
              </w:rPr>
              <w:t>类</w:t>
            </w:r>
            <w:r>
              <w:rPr>
                <w:rFonts w:hint="eastAsia" w:cs="Times New Roman"/>
                <w:snapToGrid w:val="0"/>
                <w:color w:val="auto"/>
                <w:sz w:val="21"/>
                <w:szCs w:val="21"/>
                <w:lang w:eastAsia="zh-CN"/>
              </w:rPr>
              <w:t>、</w:t>
            </w:r>
            <w:r>
              <w:rPr>
                <w:rFonts w:hint="eastAsia" w:cs="Times New Roman"/>
                <w:snapToGrid w:val="0"/>
                <w:color w:val="auto"/>
                <w:sz w:val="21"/>
                <w:szCs w:val="21"/>
                <w:lang w:val="en-US" w:eastAsia="zh-CN"/>
              </w:rPr>
              <w:t>4类</w:t>
            </w:r>
            <w:r>
              <w:rPr>
                <w:rFonts w:hint="default" w:ascii="Times New Roman" w:hAnsi="Times New Roman" w:eastAsia="宋体" w:cs="Times New Roman"/>
                <w:snapToGrid w:val="0"/>
                <w:color w:val="auto"/>
                <w:sz w:val="21"/>
                <w:szCs w:val="21"/>
                <w:lang w:val="en-US" w:eastAsia="zh-CN"/>
              </w:rPr>
              <w:t>标准</w:t>
            </w:r>
            <w:r>
              <w:rPr>
                <w:rFonts w:hint="eastAsia" w:cs="Times New Roman"/>
                <w:snapToGrid w:val="0"/>
                <w:color w:val="auto"/>
                <w:sz w:val="21"/>
                <w:szCs w:val="21"/>
                <w:lang w:val="en-US" w:eastAsia="zh-CN"/>
              </w:rPr>
              <w:t>；</w:t>
            </w:r>
            <w:r>
              <w:rPr>
                <w:rFonts w:hint="default" w:ascii="Times New Roman" w:hAnsi="Times New Roman" w:eastAsia="宋体" w:cs="Times New Roman"/>
                <w:b w:val="0"/>
                <w:bCs/>
                <w:kern w:val="2"/>
                <w:sz w:val="21"/>
                <w:szCs w:val="24"/>
                <w:lang w:eastAsia="zh-CN"/>
              </w:rPr>
              <w:t>唐山市第二医院高新院区</w:t>
            </w:r>
            <w:r>
              <w:rPr>
                <w:rFonts w:hint="eastAsia" w:cs="Times New Roman"/>
                <w:b w:val="0"/>
                <w:color w:val="auto"/>
                <w:kern w:val="2"/>
                <w:sz w:val="21"/>
                <w:szCs w:val="21"/>
                <w:highlight w:val="none"/>
                <w:lang w:val="en-US" w:eastAsia="zh-CN" w:bidi="ar-SA"/>
              </w:rPr>
              <w:t>执行</w:t>
            </w:r>
            <w:r>
              <w:rPr>
                <w:rFonts w:hint="eastAsia" w:ascii="Times New Roman" w:hAnsi="Times New Roman" w:eastAsia="宋体" w:cs="Times New Roman"/>
                <w:b w:val="0"/>
                <w:color w:val="auto"/>
                <w:kern w:val="2"/>
                <w:sz w:val="21"/>
                <w:szCs w:val="21"/>
                <w:highlight w:val="none"/>
                <w:lang w:val="en-US" w:eastAsia="zh-CN" w:bidi="ar-SA"/>
              </w:rPr>
              <w:t>《声环境质量标准》（GB3096－2008）中</w:t>
            </w:r>
            <w:r>
              <w:rPr>
                <w:rFonts w:hint="eastAsia" w:cs="Times New Roman"/>
                <w:b w:val="0"/>
                <w:color w:val="auto"/>
                <w:kern w:val="2"/>
                <w:sz w:val="21"/>
                <w:szCs w:val="21"/>
                <w:highlight w:val="none"/>
                <w:lang w:val="en-US" w:eastAsia="zh-CN" w:bidi="ar-SA"/>
              </w:rPr>
              <w:t>2</w:t>
            </w:r>
            <w:r>
              <w:rPr>
                <w:rFonts w:hint="eastAsia" w:ascii="Times New Roman" w:hAnsi="Times New Roman" w:eastAsia="宋体" w:cs="Times New Roman"/>
                <w:b w:val="0"/>
                <w:color w:val="auto"/>
                <w:kern w:val="2"/>
                <w:sz w:val="21"/>
                <w:szCs w:val="21"/>
                <w:highlight w:val="none"/>
                <w:lang w:val="en-US" w:eastAsia="zh-CN" w:bidi="ar-SA"/>
              </w:rPr>
              <w:t>类区标准要求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电磁辐射</w:t>
            </w:r>
          </w:p>
        </w:tc>
        <w:tc>
          <w:tcPr>
            <w:tcW w:w="155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227"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541"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954"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7277" w:type="dxa"/>
            <w:gridSpan w:val="4"/>
            <w:noWrap w:val="0"/>
            <w:vAlign w:val="center"/>
          </w:tcPr>
          <w:p>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本项目产生的废金属屑（含油）经压榨、压滤、过滤除油达到静置无滴漏后打包压块用于金属冶炼；</w:t>
            </w:r>
            <w:r>
              <w:rPr>
                <w:rFonts w:hint="default" w:ascii="Times New Roman" w:hAnsi="Times New Roman" w:eastAsia="宋体" w:cs="Times New Roman"/>
                <w:color w:val="auto"/>
                <w:kern w:val="2"/>
                <w:sz w:val="21"/>
                <w:szCs w:val="21"/>
                <w:highlight w:val="none"/>
              </w:rPr>
              <w:t>除尘灰集中收集后</w:t>
            </w:r>
            <w:r>
              <w:rPr>
                <w:rFonts w:hint="eastAsia" w:cs="Times New Roman"/>
                <w:color w:val="auto"/>
                <w:kern w:val="2"/>
                <w:sz w:val="21"/>
                <w:szCs w:val="21"/>
                <w:highlight w:val="none"/>
                <w:lang w:val="en-US" w:eastAsia="zh-CN"/>
              </w:rPr>
              <w:t>回用于生产</w:t>
            </w:r>
            <w:r>
              <w:rPr>
                <w:rFonts w:hint="eastAsia" w:ascii="Times New Roman" w:hAnsi="Times New Roman" w:cs="Times New Roman"/>
                <w:color w:val="auto"/>
                <w:kern w:val="2"/>
                <w:sz w:val="21"/>
                <w:szCs w:val="21"/>
                <w:highlight w:val="none"/>
                <w:lang w:eastAsia="zh-CN"/>
              </w:rPr>
              <w:t>；</w:t>
            </w:r>
            <w:r>
              <w:rPr>
                <w:rFonts w:hint="default" w:ascii="Times New Roman" w:hAnsi="Times New Roman" w:cs="Times New Roman"/>
                <w:color w:val="auto"/>
                <w:kern w:val="2"/>
                <w:sz w:val="21"/>
                <w:szCs w:val="21"/>
                <w:highlight w:val="none"/>
                <w:lang w:val="en-US" w:eastAsia="zh-CN"/>
              </w:rPr>
              <w:t>危险废物</w:t>
            </w:r>
            <w:r>
              <w:rPr>
                <w:rFonts w:hint="eastAsia" w:cs="Times New Roman"/>
                <w:color w:val="auto"/>
                <w:kern w:val="2"/>
                <w:sz w:val="21"/>
                <w:szCs w:val="21"/>
                <w:highlight w:val="none"/>
                <w:lang w:val="en-US" w:eastAsia="zh-CN"/>
              </w:rPr>
              <w:t>废润滑油、废液压油、废油桶、废活性炭</w:t>
            </w:r>
            <w:r>
              <w:rPr>
                <w:rFonts w:hint="default" w:ascii="Times New Roman" w:hAnsi="Times New Roman" w:cs="Times New Roman"/>
                <w:color w:val="auto"/>
                <w:kern w:val="2"/>
                <w:sz w:val="21"/>
                <w:szCs w:val="21"/>
                <w:highlight w:val="none"/>
                <w:lang w:val="en-US" w:eastAsia="zh-CN"/>
              </w:rPr>
              <w:t>，暂存危废间，由有资质单位集中处理</w:t>
            </w:r>
            <w:r>
              <w:rPr>
                <w:rFonts w:hint="eastAsia"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土壤及地下水</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污染防治措施</w:t>
            </w:r>
          </w:p>
        </w:tc>
        <w:tc>
          <w:tcPr>
            <w:tcW w:w="7277" w:type="dxa"/>
            <w:gridSpan w:val="4"/>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color w:val="auto"/>
                <w:sz w:val="21"/>
                <w:szCs w:val="21"/>
              </w:rPr>
            </w:pPr>
            <w:r>
              <w:rPr>
                <w:color w:val="auto"/>
                <w:szCs w:val="21"/>
              </w:rPr>
              <w:t>危废暂存间：按照《危险废物贮存污染控制标准》的相关要求，危废储存间底部铺设300mm粘土层(保护层，同时作为辅助防渗层)压实平整，粘土层上铺设2mm厚的高密度聚乙烯膜)，上部外加耐腐蚀混凝土15cm(保护层)防渗，表面涂2-4mm厚防腐、抗渗环氧树脂，渗透系数≤10</w:t>
            </w:r>
            <w:r>
              <w:rPr>
                <w:color w:val="auto"/>
                <w:szCs w:val="21"/>
                <w:vertAlign w:val="superscript"/>
              </w:rPr>
              <w:t>-10</w:t>
            </w:r>
            <w:r>
              <w:rPr>
                <w:color w:val="auto"/>
                <w:szCs w:val="21"/>
              </w:rPr>
              <w:t>cm/s，同时设置防雨、防渗漏、防流失等措施</w:t>
            </w:r>
            <w:r>
              <w:rPr>
                <w:rFonts w:hint="eastAsia"/>
                <w:color w:val="auto"/>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52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生态保护措施</w:t>
            </w:r>
          </w:p>
        </w:tc>
        <w:tc>
          <w:tcPr>
            <w:tcW w:w="7277"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本项目无新增占地，无新建建筑物。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环境风险</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防范措施</w:t>
            </w:r>
          </w:p>
        </w:tc>
        <w:tc>
          <w:tcPr>
            <w:tcW w:w="7277" w:type="dxa"/>
            <w:gridSpan w:val="4"/>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1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①</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color w:val="auto"/>
                <w:sz w:val="21"/>
                <w:szCs w:val="21"/>
              </w:rPr>
              <w:t>企业成立环境应急处理领导小组，负责环境事故处理的指挥和调度工作</w:t>
            </w:r>
            <w:r>
              <w:rPr>
                <w:rFonts w:hint="default" w:ascii="Times New Roman" w:hAnsi="Times New Roman" w:eastAsia="宋体" w:cs="Times New Roman"/>
                <w:snapToGrid w:val="0"/>
                <w:color w:val="auto"/>
                <w:kern w:val="0"/>
                <w:sz w:val="21"/>
                <w:szCs w:val="21"/>
              </w:rPr>
              <w:t>。</w:t>
            </w:r>
          </w:p>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2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②</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snapToGrid w:val="0"/>
                <w:color w:val="auto"/>
                <w:kern w:val="0"/>
                <w:sz w:val="21"/>
                <w:szCs w:val="21"/>
              </w:rPr>
              <w:t>给应急队配各应急器具及劳保用品。应急器具及劳保用品在指定地点存放。</w:t>
            </w:r>
          </w:p>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3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snapToGrid w:val="0"/>
                <w:color w:val="auto"/>
                <w:kern w:val="0"/>
                <w:sz w:val="21"/>
                <w:szCs w:val="21"/>
              </w:rPr>
              <w:t>③</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snapToGrid w:val="0"/>
                <w:color w:val="auto"/>
                <w:kern w:val="0"/>
                <w:sz w:val="21"/>
                <w:szCs w:val="21"/>
              </w:rPr>
              <w:t>加强岗位培训，落实风险防范责任制，公司要加强防范环境风险事故工作，严格项目环境风险源管理，形成常态化的巡视检查制度，及时发现问题、及时解决，从源头消除环境事故隐患。</w:t>
            </w:r>
          </w:p>
          <w:p>
            <w:pPr>
              <w:pStyle w:val="87"/>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420" w:firstLineChars="20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④安排专职人员定期对危废暂存间内废润滑油存容器进行巡回检查，检查是否出现跑冒滴漏现象，并及时检修。</w:t>
            </w:r>
          </w:p>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color w:val="auto"/>
                <w:kern w:val="24"/>
                <w:sz w:val="21"/>
                <w:szCs w:val="21"/>
              </w:rPr>
            </w:pP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 5 \* GB3 \* MERGEFORMAT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⑤</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snapToGrid w:val="0"/>
                <w:color w:val="auto"/>
                <w:kern w:val="0"/>
                <w:sz w:val="21"/>
                <w:szCs w:val="21"/>
              </w:rPr>
              <w:t>危废暂存间根据《危险废物贮存污染控制标准》（</w:t>
            </w:r>
            <w:r>
              <w:rPr>
                <w:rFonts w:hint="eastAsia" w:cs="Times New Roman"/>
                <w:snapToGrid w:val="0"/>
                <w:color w:val="auto"/>
                <w:kern w:val="0"/>
                <w:sz w:val="21"/>
                <w:szCs w:val="21"/>
                <w:lang w:eastAsia="zh-CN"/>
              </w:rPr>
              <w:t>GB 18597-2023</w:t>
            </w:r>
            <w:r>
              <w:rPr>
                <w:rFonts w:hint="default" w:ascii="Times New Roman" w:hAnsi="Times New Roman" w:eastAsia="宋体" w:cs="Times New Roman"/>
                <w:snapToGrid w:val="0"/>
                <w:color w:val="auto"/>
                <w:kern w:val="0"/>
                <w:sz w:val="21"/>
                <w:szCs w:val="21"/>
              </w:rPr>
              <w:t>）相关规定进行防腐防渗，渗透系数≤10</w:t>
            </w:r>
            <w:r>
              <w:rPr>
                <w:rFonts w:hint="default" w:ascii="Times New Roman" w:hAnsi="Times New Roman" w:eastAsia="宋体" w:cs="Times New Roman"/>
                <w:snapToGrid w:val="0"/>
                <w:color w:val="auto"/>
                <w:kern w:val="0"/>
                <w:sz w:val="21"/>
                <w:szCs w:val="21"/>
                <w:vertAlign w:val="superscript"/>
              </w:rPr>
              <w:t>-10</w:t>
            </w:r>
            <w:r>
              <w:rPr>
                <w:rFonts w:hint="default" w:ascii="Times New Roman" w:hAnsi="Times New Roman" w:eastAsia="宋体" w:cs="Times New Roman"/>
                <w:color w:val="auto"/>
                <w:sz w:val="21"/>
                <w:szCs w:val="21"/>
              </w:rPr>
              <w:t>cm/s。危废暂存间内设置围堰，配备备用桶、吸附材料等应急物资，</w:t>
            </w:r>
            <w:r>
              <w:rPr>
                <w:rFonts w:hint="default" w:ascii="Times New Roman" w:hAnsi="Times New Roman" w:eastAsia="宋体" w:cs="Times New Roman"/>
                <w:snapToGrid w:val="0"/>
                <w:color w:val="auto"/>
                <w:kern w:val="0"/>
                <w:sz w:val="21"/>
                <w:szCs w:val="21"/>
              </w:rPr>
              <w:t>事故状态下可将泄漏的危险废物控制在风险单元内。</w:t>
            </w:r>
          </w:p>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rPr>
              <w:fldChar w:fldCharType="begin"/>
            </w:r>
            <w:r>
              <w:rPr>
                <w:rFonts w:hint="default" w:ascii="Times New Roman" w:hAnsi="Times New Roman" w:eastAsia="宋体" w:cs="Times New Roman"/>
                <w:snapToGrid w:val="0"/>
                <w:color w:val="auto"/>
                <w:kern w:val="0"/>
                <w:sz w:val="21"/>
                <w:szCs w:val="21"/>
              </w:rPr>
              <w:instrText xml:space="preserve"> = 6 \* GB3 \* MERGEFORMAT </w:instrText>
            </w:r>
            <w:r>
              <w:rPr>
                <w:rFonts w:hint="default" w:ascii="Times New Roman" w:hAnsi="Times New Roman" w:eastAsia="宋体" w:cs="Times New Roman"/>
                <w:snapToGrid w:val="0"/>
                <w:color w:val="auto"/>
                <w:kern w:val="0"/>
                <w:sz w:val="21"/>
                <w:szCs w:val="21"/>
              </w:rPr>
              <w:fldChar w:fldCharType="separate"/>
            </w:r>
            <w:r>
              <w:rPr>
                <w:rFonts w:hint="default" w:ascii="Times New Roman" w:hAnsi="Times New Roman" w:eastAsia="宋体" w:cs="Times New Roman"/>
                <w:color w:val="auto"/>
                <w:sz w:val="21"/>
                <w:szCs w:val="21"/>
              </w:rPr>
              <w:t>⑥</w:t>
            </w:r>
            <w:r>
              <w:rPr>
                <w:rFonts w:hint="default" w:ascii="Times New Roman" w:hAnsi="Times New Roman" w:eastAsia="宋体" w:cs="Times New Roman"/>
                <w:snapToGrid w:val="0"/>
                <w:color w:val="auto"/>
                <w:kern w:val="0"/>
                <w:sz w:val="21"/>
                <w:szCs w:val="21"/>
              </w:rPr>
              <w:fldChar w:fldCharType="end"/>
            </w:r>
            <w:r>
              <w:rPr>
                <w:rFonts w:hint="default" w:ascii="Times New Roman" w:hAnsi="Times New Roman" w:eastAsia="宋体" w:cs="Times New Roman"/>
                <w:color w:val="auto"/>
                <w:sz w:val="21"/>
                <w:szCs w:val="21"/>
                <w:highlight w:val="none"/>
              </w:rPr>
              <w:t>废润滑油</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废液压油</w:t>
            </w:r>
            <w:r>
              <w:rPr>
                <w:rFonts w:hint="default" w:ascii="Times New Roman" w:hAnsi="Times New Roman" w:eastAsia="宋体" w:cs="Times New Roman"/>
                <w:color w:val="auto"/>
                <w:sz w:val="21"/>
                <w:szCs w:val="21"/>
                <w:highlight w:val="none"/>
              </w:rPr>
              <w:t>从产</w:t>
            </w:r>
            <w:r>
              <w:rPr>
                <w:rFonts w:hint="default" w:ascii="Times New Roman" w:hAnsi="Times New Roman" w:eastAsia="宋体" w:cs="Times New Roman"/>
                <w:color w:val="auto"/>
                <w:sz w:val="21"/>
                <w:szCs w:val="21"/>
              </w:rPr>
              <w:t>生点到危废暂存间转运过程中应做到定车、定人，专车专用。车辆必须是专用车，不能把危险废物和其它废物混合运送，也不能使用运送危险废物的车辆在不经过处理的情况下运送其它物品。定人就是把管理、押运及装卸等工作的人员加以固定，这就保证了危险废物的运输任务始终是由专业人员来担负，从人员上保障危险品运输过程中的安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23" w:type="dxa"/>
            <w:noWrap w:val="0"/>
            <w:vAlign w:val="center"/>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其他环境</w:t>
            </w: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8"/>
                <w:sz w:val="21"/>
                <w:szCs w:val="21"/>
              </w:rPr>
            </w:pPr>
            <w:r>
              <w:rPr>
                <w:rFonts w:hint="default" w:ascii="Times New Roman" w:hAnsi="Times New Roman" w:eastAsia="宋体" w:cs="Times New Roman"/>
                <w:color w:val="auto"/>
                <w:spacing w:val="-8"/>
                <w:sz w:val="21"/>
                <w:szCs w:val="21"/>
              </w:rPr>
              <w:t>管理要求</w:t>
            </w:r>
          </w:p>
        </w:tc>
        <w:tc>
          <w:tcPr>
            <w:tcW w:w="7277" w:type="dxa"/>
            <w:gridSpan w:val="4"/>
            <w:noWrap w:val="0"/>
            <w:vAlign w:val="center"/>
          </w:tcPr>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排污口规范化要求：</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1、有组织排放废气的排气筒高度应符合国家大气污染物排放标准的有关规定。排气筒(烟囱)应设置便于采样、监测的采样口和采样监测平台。有净化设施的，应在其进出口分别设置采样口。采样孔、点数目和位置应按《固定污染源排气中颗粒物测定与气态污染物采样方法》(GB/T16157-1996)和《污染源统一监测分析方法(废气部分)》([82]城环监字第66号)的规定进行设置；</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2、固定噪声污染源对边界影响最大处，须按《工业企业厂界环境噪声排放标准》(GB12348-2008)的规定，设置环境噪声监测点，并在该处附近醒目处设置环境保护图形标志牌。</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3、本项目产生的危险废物合理处置，不外排；</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4、生产过程中需排放的污染物为废气、噪声、固废，各排放口设置标志牌如下：</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(1)排放口标志牌</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①图形颜色：底为绿色，图案、边框和文字为白色。</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rFonts w:hint="eastAsia"/>
                <w:color w:val="auto"/>
              </w:rPr>
              <w:t>②辅助标志内容：</w:t>
            </w:r>
          </w:p>
          <w:p>
            <w:pPr>
              <w:keepNext w:val="0"/>
              <w:keepLines w:val="0"/>
              <w:suppressLineNumbers w:val="0"/>
              <w:adjustRightInd w:val="0"/>
              <w:snapToGrid w:val="0"/>
              <w:spacing w:before="0" w:beforeAutospacing="0" w:after="0" w:afterAutospacing="0"/>
              <w:ind w:left="0" w:right="0" w:firstLine="420" w:firstLineChars="200"/>
              <w:rPr>
                <w:color w:val="auto"/>
              </w:rPr>
            </w:pPr>
            <w:r>
              <w:rPr>
                <w:rFonts w:hint="eastAsia"/>
                <w:color w:val="auto"/>
              </w:rPr>
              <w:t>1)排放口标志名称；2)单位名称；3)编号；4)</w:t>
            </w:r>
            <w:r>
              <w:rPr>
                <w:color w:val="auto"/>
              </w:rPr>
              <w:t>污染物种类；5)国家环境保护部监制。</w:t>
            </w:r>
          </w:p>
          <w:p>
            <w:pPr>
              <w:keepNext w:val="0"/>
              <w:keepLines w:val="0"/>
              <w:suppressLineNumbers w:val="0"/>
              <w:snapToGrid w:val="0"/>
              <w:spacing w:before="0" w:beforeAutospacing="0" w:after="0" w:afterAutospacing="0"/>
              <w:ind w:left="0" w:right="0" w:firstLine="420" w:firstLineChars="200"/>
              <w:rPr>
                <w:color w:val="auto"/>
              </w:rPr>
            </w:pPr>
            <w:r>
              <w:rPr>
                <w:color w:val="auto"/>
              </w:rPr>
              <w:t>③标志牌尺寸：480×300mm；</w:t>
            </w:r>
          </w:p>
          <w:p>
            <w:pPr>
              <w:keepNext w:val="0"/>
              <w:keepLines w:val="0"/>
              <w:suppressLineNumbers w:val="0"/>
              <w:snapToGrid w:val="0"/>
              <w:spacing w:before="0" w:beforeAutospacing="0" w:after="0" w:afterAutospacing="0"/>
              <w:ind w:left="0" w:right="0" w:firstLine="420" w:firstLineChars="200"/>
              <w:rPr>
                <w:color w:val="auto"/>
              </w:rPr>
            </w:pPr>
            <w:r>
              <w:rPr>
                <w:color w:val="auto"/>
              </w:rPr>
              <w:t>④标志牌材料：标志牌采用1.5~2mm冷轧钢板；表面采用搪瓷或者反光贴膜。</w:t>
            </w:r>
          </w:p>
          <w:p>
            <w:pPr>
              <w:keepNext w:val="0"/>
              <w:keepLines w:val="0"/>
              <w:suppressLineNumbers w:val="0"/>
              <w:adjustRightInd w:val="0"/>
              <w:snapToGrid w:val="0"/>
              <w:spacing w:before="0" w:beforeAutospacing="0" w:after="0" w:afterAutospacing="0" w:line="360" w:lineRule="auto"/>
              <w:ind w:left="0" w:right="0" w:firstLine="480"/>
              <w:jc w:val="center"/>
              <w:rPr>
                <w:color w:val="auto"/>
              </w:rPr>
            </w:pPr>
            <w:r>
              <w:rPr>
                <w:color w:val="auto"/>
              </w:rPr>
              <w:fldChar w:fldCharType="begin"/>
            </w:r>
            <w:r>
              <w:rPr>
                <w:color w:val="auto"/>
              </w:rPr>
              <w:instrText xml:space="preserve"> INCLUDEPICTURE "http://pic.chinawenben.com/upload/b13q57bo5a2ba5qdvv7da3jv_1.png" \* MERGEFORMATINET </w:instrText>
            </w:r>
            <w:r>
              <w:rPr>
                <w:color w:val="auto"/>
              </w:rPr>
              <w:fldChar w:fldCharType="separate"/>
            </w:r>
            <w:r>
              <w:rPr>
                <w:color w:val="auto"/>
              </w:rPr>
              <w:drawing>
                <wp:inline distT="0" distB="0" distL="114300" distR="114300">
                  <wp:extent cx="1406525" cy="991870"/>
                  <wp:effectExtent l="0" t="0" r="3175" b="17780"/>
                  <wp:docPr id="7" name="图片 54" descr="b13q57bo5a2ba5qdvv7da3jv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4" descr="b13q57bo5a2ba5qdvv7da3jv_1"/>
                          <pic:cNvPicPr>
                            <a:picLocks noChangeAspect="1"/>
                          </pic:cNvPicPr>
                        </pic:nvPicPr>
                        <pic:blipFill>
                          <a:blip r:embed="rId124"/>
                          <a:srcRect l="53430" r="8687" b="69659"/>
                          <a:stretch>
                            <a:fillRect/>
                          </a:stretch>
                        </pic:blipFill>
                        <pic:spPr>
                          <a:xfrm>
                            <a:off x="0" y="0"/>
                            <a:ext cx="1406525" cy="991870"/>
                          </a:xfrm>
                          <a:prstGeom prst="rect">
                            <a:avLst/>
                          </a:prstGeom>
                          <a:noFill/>
                          <a:ln>
                            <a:noFill/>
                          </a:ln>
                        </pic:spPr>
                      </pic:pic>
                    </a:graphicData>
                  </a:graphic>
                </wp:inline>
              </w:drawing>
            </w:r>
            <w:r>
              <w:rPr>
                <w:color w:val="auto"/>
              </w:rPr>
              <w:fldChar w:fldCharType="end"/>
            </w:r>
            <w:r>
              <w:rPr>
                <w:color w:val="auto"/>
              </w:rPr>
              <w:t xml:space="preserve">  </w:t>
            </w:r>
            <w:r>
              <w:rPr>
                <w:color w:val="auto"/>
              </w:rPr>
              <w:fldChar w:fldCharType="begin"/>
            </w:r>
            <w:r>
              <w:rPr>
                <w:color w:val="auto"/>
              </w:rPr>
              <w:instrText xml:space="preserve"> INCLUDEPICTURE "http://pic.chinawenben.com/upload/b13q57bo5a2ba5qdvv7da3jv_1.png" \* MERGEFORMATINET </w:instrText>
            </w:r>
            <w:r>
              <w:rPr>
                <w:color w:val="auto"/>
              </w:rPr>
              <w:fldChar w:fldCharType="separate"/>
            </w:r>
            <w:r>
              <w:rPr>
                <w:color w:val="auto"/>
              </w:rPr>
              <w:drawing>
                <wp:inline distT="0" distB="0" distL="114300" distR="114300">
                  <wp:extent cx="1441450" cy="988060"/>
                  <wp:effectExtent l="0" t="0" r="6350" b="2540"/>
                  <wp:docPr id="2" name="图片 55" descr="b13q57bo5a2ba5qdvv7da3jv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5" descr="b13q57bo5a2ba5qdvv7da3jv_1"/>
                          <pic:cNvPicPr>
                            <a:picLocks noChangeAspect="1"/>
                          </pic:cNvPicPr>
                        </pic:nvPicPr>
                        <pic:blipFill>
                          <a:blip r:embed="rId124"/>
                          <a:srcRect l="10849" t="31612" r="51712" b="39063"/>
                          <a:stretch>
                            <a:fillRect/>
                          </a:stretch>
                        </pic:blipFill>
                        <pic:spPr>
                          <a:xfrm>
                            <a:off x="0" y="0"/>
                            <a:ext cx="1441450" cy="988060"/>
                          </a:xfrm>
                          <a:prstGeom prst="rect">
                            <a:avLst/>
                          </a:prstGeom>
                          <a:noFill/>
                          <a:ln>
                            <a:noFill/>
                          </a:ln>
                        </pic:spPr>
                      </pic:pic>
                    </a:graphicData>
                  </a:graphic>
                </wp:inline>
              </w:drawing>
            </w:r>
            <w:r>
              <w:rPr>
                <w:color w:val="auto"/>
              </w:rPr>
              <w:fldChar w:fldCharType="end"/>
            </w:r>
            <w:r>
              <w:rPr>
                <w:color w:val="auto"/>
              </w:rPr>
              <w:t xml:space="preserve">  </w:t>
            </w:r>
            <w:r>
              <w:rPr>
                <w:color w:val="auto"/>
              </w:rPr>
              <w:fldChar w:fldCharType="begin"/>
            </w:r>
            <w:r>
              <w:rPr>
                <w:color w:val="auto"/>
              </w:rPr>
              <w:instrText xml:space="preserve"> INCLUDEPICTURE "http://pic.chinawenben.com/upload/b13q57bo5a2ba5qdvv7da3jv_1.png" \* MERGEFORMATINET </w:instrText>
            </w:r>
            <w:r>
              <w:rPr>
                <w:color w:val="auto"/>
              </w:rPr>
              <w:fldChar w:fldCharType="separate"/>
            </w:r>
            <w:r>
              <w:rPr>
                <w:color w:val="auto"/>
              </w:rPr>
              <w:drawing>
                <wp:inline distT="0" distB="0" distL="114300" distR="114300">
                  <wp:extent cx="1455420" cy="988060"/>
                  <wp:effectExtent l="0" t="0" r="11430" b="2540"/>
                  <wp:docPr id="8" name="图片 56" descr="b13q57bo5a2ba5qdvv7da3jv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6" descr="b13q57bo5a2ba5qdvv7da3jv_1"/>
                          <pic:cNvPicPr>
                            <a:picLocks noChangeAspect="1"/>
                          </pic:cNvPicPr>
                        </pic:nvPicPr>
                        <pic:blipFill>
                          <a:blip r:embed="rId124"/>
                          <a:srcRect l="53348" t="31631" r="8798" b="38907"/>
                          <a:stretch>
                            <a:fillRect/>
                          </a:stretch>
                        </pic:blipFill>
                        <pic:spPr>
                          <a:xfrm>
                            <a:off x="0" y="0"/>
                            <a:ext cx="1455420" cy="988060"/>
                          </a:xfrm>
                          <a:prstGeom prst="rect">
                            <a:avLst/>
                          </a:prstGeom>
                          <a:noFill/>
                          <a:ln>
                            <a:noFill/>
                          </a:ln>
                        </pic:spPr>
                      </pic:pic>
                    </a:graphicData>
                  </a:graphic>
                </wp:inline>
              </w:drawing>
            </w:r>
            <w:r>
              <w:rPr>
                <w:color w:val="auto"/>
              </w:rPr>
              <w:fldChar w:fldCharType="end"/>
            </w:r>
          </w:p>
          <w:p>
            <w:pPr>
              <w:keepNext w:val="0"/>
              <w:keepLines w:val="0"/>
              <w:suppressLineNumbers w:val="0"/>
              <w:snapToGrid w:val="0"/>
              <w:spacing w:before="0" w:beforeAutospacing="0" w:after="0" w:afterAutospacing="0"/>
              <w:ind w:left="0" w:right="0" w:firstLine="502"/>
              <w:jc w:val="center"/>
              <w:rPr>
                <w:color w:val="auto"/>
              </w:rPr>
            </w:pPr>
            <w:r>
              <w:rPr>
                <w:color w:val="auto"/>
              </w:rPr>
              <w:t>图</w:t>
            </w:r>
            <w:r>
              <w:rPr>
                <w:rFonts w:hint="eastAsia"/>
                <w:color w:val="auto"/>
                <w:lang w:val="en-US" w:eastAsia="zh-CN"/>
              </w:rPr>
              <w:t>9</w:t>
            </w:r>
            <w:r>
              <w:rPr>
                <w:color w:val="auto"/>
              </w:rPr>
              <w:t xml:space="preserve">  废气</w:t>
            </w:r>
            <w:r>
              <w:rPr>
                <w:rFonts w:hint="eastAsia"/>
                <w:color w:val="auto"/>
              </w:rPr>
              <w:t>、</w:t>
            </w:r>
            <w:r>
              <w:rPr>
                <w:color w:val="auto"/>
              </w:rPr>
              <w:t>噪声、一般固废排放源标志图</w:t>
            </w:r>
          </w:p>
          <w:p>
            <w:pPr>
              <w:keepNext w:val="0"/>
              <w:keepLines w:val="0"/>
              <w:suppressLineNumbers w:val="0"/>
              <w:snapToGrid w:val="0"/>
              <w:spacing w:before="0" w:beforeAutospacing="0" w:after="0" w:afterAutospacing="0"/>
              <w:ind w:left="0" w:right="0" w:firstLine="420" w:firstLineChars="200"/>
              <w:rPr>
                <w:rFonts w:hint="eastAsia" w:eastAsia="宋体"/>
                <w:color w:val="auto"/>
                <w:lang w:val="en-US" w:eastAsia="zh-CN"/>
              </w:rPr>
            </w:pPr>
            <w:r>
              <w:rPr>
                <w:color w:val="auto"/>
              </w:rPr>
              <w:t>(2)危废间</w:t>
            </w:r>
            <w:r>
              <w:rPr>
                <w:rFonts w:hint="eastAsia"/>
                <w:color w:val="auto"/>
                <w:lang w:val="en-US" w:eastAsia="zh-CN"/>
              </w:rPr>
              <w:t>设置</w:t>
            </w:r>
          </w:p>
          <w:p>
            <w:pPr>
              <w:keepNext w:val="0"/>
              <w:keepLines w:val="0"/>
              <w:suppressLineNumbers w:val="0"/>
              <w:adjustRightInd w:val="0"/>
              <w:snapToGrid w:val="0"/>
              <w:spacing w:before="0" w:beforeAutospacing="0" w:after="0" w:afterAutospacing="0" w:line="360" w:lineRule="auto"/>
              <w:ind w:left="0" w:right="0"/>
              <w:jc w:val="center"/>
              <w:rPr>
                <w:color w:val="auto"/>
              </w:rPr>
            </w:pPr>
            <w:r>
              <w:drawing>
                <wp:inline distT="0" distB="0" distL="114300" distR="114300">
                  <wp:extent cx="3362325" cy="2105025"/>
                  <wp:effectExtent l="0" t="0" r="9525" b="9525"/>
                  <wp:docPr id="1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8"/>
                          <pic:cNvPicPr>
                            <a:picLocks noChangeAspect="1"/>
                          </pic:cNvPicPr>
                        </pic:nvPicPr>
                        <pic:blipFill>
                          <a:blip r:embed="rId125"/>
                          <a:stretch>
                            <a:fillRect/>
                          </a:stretch>
                        </pic:blipFill>
                        <pic:spPr>
                          <a:xfrm>
                            <a:off x="0" y="0"/>
                            <a:ext cx="3362325" cy="2105025"/>
                          </a:xfrm>
                          <a:prstGeom prst="rect">
                            <a:avLst/>
                          </a:prstGeom>
                          <a:noFill/>
                          <a:ln>
                            <a:noFill/>
                          </a:ln>
                        </pic:spPr>
                      </pic:pic>
                    </a:graphicData>
                  </a:graphic>
                </wp:inline>
              </w:drawing>
            </w:r>
          </w:p>
          <w:p>
            <w:pPr>
              <w:keepNext w:val="0"/>
              <w:keepLines w:val="0"/>
              <w:suppressLineNumbers w:val="0"/>
              <w:adjustRightInd w:val="0"/>
              <w:snapToGrid w:val="0"/>
              <w:spacing w:before="0" w:beforeAutospacing="0" w:after="0" w:afterAutospacing="0" w:line="360" w:lineRule="auto"/>
              <w:ind w:left="0" w:right="0"/>
              <w:jc w:val="center"/>
              <w:rPr>
                <w:color w:val="auto"/>
              </w:rPr>
            </w:pPr>
            <w:r>
              <w:drawing>
                <wp:inline distT="0" distB="0" distL="114300" distR="114300">
                  <wp:extent cx="2587625" cy="2587625"/>
                  <wp:effectExtent l="0" t="0" r="3175" b="3175"/>
                  <wp:docPr id="1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7"/>
                          <pic:cNvPicPr>
                            <a:picLocks noChangeAspect="1"/>
                          </pic:cNvPicPr>
                        </pic:nvPicPr>
                        <pic:blipFill>
                          <a:blip r:embed="rId126"/>
                          <a:stretch>
                            <a:fillRect/>
                          </a:stretch>
                        </pic:blipFill>
                        <pic:spPr>
                          <a:xfrm>
                            <a:off x="0" y="0"/>
                            <a:ext cx="2587625" cy="2587625"/>
                          </a:xfrm>
                          <a:prstGeom prst="rect">
                            <a:avLst/>
                          </a:prstGeom>
                          <a:noFill/>
                          <a:ln>
                            <a:noFill/>
                          </a:ln>
                        </pic:spPr>
                      </pic:pic>
                    </a:graphicData>
                  </a:graphic>
                </wp:inline>
              </w:drawing>
            </w:r>
          </w:p>
          <w:p>
            <w:pPr>
              <w:keepNext w:val="0"/>
              <w:keepLines w:val="0"/>
              <w:suppressLineNumbers w:val="0"/>
              <w:snapToGrid w:val="0"/>
              <w:spacing w:before="0" w:beforeAutospacing="0" w:after="0" w:afterAutospacing="0"/>
              <w:ind w:left="0" w:right="0"/>
              <w:jc w:val="center"/>
              <w:rPr>
                <w:color w:val="auto"/>
              </w:rPr>
            </w:pPr>
            <w:r>
              <w:rPr>
                <w:color w:val="auto"/>
              </w:rPr>
              <w:t>图</w:t>
            </w:r>
            <w:r>
              <w:rPr>
                <w:rFonts w:hint="eastAsia"/>
                <w:color w:val="auto"/>
                <w:lang w:val="en-US" w:eastAsia="zh-CN"/>
              </w:rPr>
              <w:t>10</w:t>
            </w:r>
            <w:r>
              <w:rPr>
                <w:color w:val="auto"/>
              </w:rPr>
              <w:t xml:space="preserve"> </w:t>
            </w:r>
            <w:r>
              <w:rPr>
                <w:rFonts w:hint="eastAsia"/>
                <w:color w:val="auto"/>
              </w:rPr>
              <w:t>危险废物</w:t>
            </w:r>
            <w:r>
              <w:rPr>
                <w:rStyle w:val="110"/>
              </w:rPr>
              <w:t>贮存设施标志</w:t>
            </w:r>
            <w:r>
              <w:rPr>
                <w:rStyle w:val="110"/>
                <w:rFonts w:hint="eastAsia" w:eastAsia="黑体"/>
                <w:lang w:val="en-US" w:eastAsia="zh-CN"/>
              </w:rPr>
              <w:t>及</w:t>
            </w:r>
            <w:r>
              <w:rPr>
                <w:rFonts w:hint="eastAsia"/>
                <w:color w:val="auto"/>
              </w:rPr>
              <w:t>标签样式示意图</w:t>
            </w:r>
          </w:p>
          <w:p>
            <w:pPr>
              <w:keepNext w:val="0"/>
              <w:keepLines w:val="0"/>
              <w:suppressLineNumbers w:val="0"/>
              <w:snapToGrid w:val="0"/>
              <w:spacing w:before="0" w:beforeAutospacing="0" w:after="0" w:afterAutospacing="0"/>
              <w:ind w:left="0" w:right="0" w:firstLine="420" w:firstLineChars="200"/>
              <w:rPr>
                <w:color w:val="auto"/>
              </w:rPr>
            </w:pPr>
            <w:r>
              <w:rPr>
                <w:color w:val="auto"/>
              </w:rPr>
              <w:t>(3)台账管理制度：</w:t>
            </w:r>
          </w:p>
          <w:p>
            <w:pPr>
              <w:keepNext w:val="0"/>
              <w:keepLines w:val="0"/>
              <w:suppressLineNumbers w:val="0"/>
              <w:snapToGrid w:val="0"/>
              <w:spacing w:before="0" w:beforeAutospacing="0" w:after="0" w:afterAutospacing="0"/>
              <w:ind w:left="0" w:right="0" w:firstLine="420" w:firstLineChars="200"/>
              <w:rPr>
                <w:color w:val="auto"/>
              </w:rPr>
            </w:pPr>
            <w:r>
              <w:rPr>
                <w:color w:val="auto"/>
              </w:rPr>
              <w:t>①台账录入要及时、准确、清晰，便于查看。</w:t>
            </w:r>
          </w:p>
          <w:p>
            <w:pPr>
              <w:keepNext w:val="0"/>
              <w:keepLines w:val="0"/>
              <w:suppressLineNumbers w:val="0"/>
              <w:snapToGrid w:val="0"/>
              <w:spacing w:before="0" w:beforeAutospacing="0" w:after="0" w:afterAutospacing="0"/>
              <w:ind w:left="0" w:right="0" w:firstLine="420" w:firstLineChars="200"/>
              <w:rPr>
                <w:color w:val="auto"/>
              </w:rPr>
            </w:pPr>
            <w:r>
              <w:rPr>
                <w:color w:val="auto"/>
              </w:rPr>
              <w:t>②台账要专人录入，数据、信息、记录内容要真实，与实际相符。</w:t>
            </w:r>
          </w:p>
          <w:p>
            <w:pPr>
              <w:keepNext w:val="0"/>
              <w:keepLines w:val="0"/>
              <w:suppressLineNumbers w:val="0"/>
              <w:snapToGrid w:val="0"/>
              <w:spacing w:before="0" w:beforeAutospacing="0" w:after="0" w:afterAutospacing="0"/>
              <w:ind w:left="0" w:right="0" w:firstLine="420" w:firstLineChars="200"/>
              <w:rPr>
                <w:color w:val="auto"/>
              </w:rPr>
            </w:pPr>
            <w:r>
              <w:rPr>
                <w:color w:val="auto"/>
              </w:rPr>
              <w:t>③台账要设专人管理，定点存放。无关人员不得随意移动、查看。</w:t>
            </w:r>
          </w:p>
          <w:p>
            <w:pPr>
              <w:keepNext w:val="0"/>
              <w:keepLines w:val="0"/>
              <w:suppressLineNumbers w:val="0"/>
              <w:snapToGrid w:val="0"/>
              <w:spacing w:before="0" w:beforeAutospacing="0" w:after="0" w:afterAutospacing="0"/>
              <w:ind w:left="0" w:right="0" w:firstLine="420" w:firstLineChars="200"/>
              <w:rPr>
                <w:color w:val="auto"/>
              </w:rPr>
            </w:pPr>
            <w:r>
              <w:rPr>
                <w:color w:val="auto"/>
              </w:rPr>
              <w:t>④重要台账必须纸版与电子版两种形式保存。</w:t>
            </w:r>
          </w:p>
          <w:p>
            <w:pPr>
              <w:keepNext w:val="0"/>
              <w:keepLines w:val="0"/>
              <w:suppressLineNumbers w:val="0"/>
              <w:snapToGrid w:val="0"/>
              <w:spacing w:before="0" w:beforeAutospacing="0" w:after="0" w:afterAutospacing="0"/>
              <w:ind w:left="0" w:right="0" w:firstLine="420" w:firstLineChars="200"/>
              <w:rPr>
                <w:color w:val="auto"/>
              </w:rPr>
            </w:pPr>
            <w:r>
              <w:rPr>
                <w:color w:val="auto"/>
              </w:rPr>
              <w:t>⑤定期对台账数据进行审核，定期检查台账录入内容，确保台账数据的准确性、及时性和完整性。</w:t>
            </w:r>
          </w:p>
          <w:p>
            <w:pPr>
              <w:keepNext w:val="0"/>
              <w:keepLines w:val="0"/>
              <w:suppressLineNumbers w:val="0"/>
              <w:snapToGrid w:val="0"/>
              <w:spacing w:before="0" w:beforeAutospacing="0" w:after="0" w:afterAutospacing="0"/>
              <w:ind w:left="0" w:right="0" w:firstLine="420" w:firstLineChars="200"/>
              <w:rPr>
                <w:color w:val="auto"/>
              </w:rPr>
            </w:pPr>
            <w:r>
              <w:rPr>
                <w:rFonts w:hint="eastAsia"/>
                <w:color w:val="auto"/>
                <w:lang w:val="en-US" w:eastAsia="zh-CN"/>
              </w:rPr>
              <w:t>⑥</w:t>
            </w:r>
            <w:r>
              <w:rPr>
                <w:color w:val="auto"/>
              </w:rPr>
              <w:t>所有台账盒签必须统一打印，名称清楚、完整。</w:t>
            </w:r>
          </w:p>
          <w:p>
            <w:pPr>
              <w:keepNext w:val="0"/>
              <w:keepLines w:val="0"/>
              <w:suppressLineNumbers w:val="0"/>
              <w:adjustRightInd w:val="0"/>
              <w:snapToGrid w:val="0"/>
              <w:spacing w:before="0" w:beforeAutospacing="0" w:after="0" w:afterAutospacing="0"/>
              <w:ind w:left="0" w:right="0" w:firstLine="420" w:firstLineChars="200"/>
              <w:rPr>
                <w:rFonts w:hint="eastAsia"/>
                <w:color w:val="auto"/>
              </w:rPr>
            </w:pPr>
            <w:r>
              <w:rPr>
                <w:color w:val="auto"/>
              </w:rPr>
              <w:t>项目产生的固体废物得到了合理处置或综合利用，不会对周围环境产生影响</w:t>
            </w:r>
            <w:r>
              <w:rPr>
                <w:rFonts w:hint="eastAsia"/>
                <w:color w:val="auto"/>
              </w:rPr>
              <w:t>。</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环保措施管理要求</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1、超标报警装置</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根据《河北省环保厅关于加强重点工业源挥发性有机物排放在线监控工作的通知(冀环办字函[2017]544号)》要求，本项目有机废气最大排放速率小于2.5kg/h，废气量不大于60000m</w:t>
            </w:r>
            <w:r>
              <w:rPr>
                <w:rFonts w:hint="eastAsia"/>
                <w:color w:val="auto"/>
                <w:szCs w:val="21"/>
                <w:vertAlign w:val="superscript"/>
              </w:rPr>
              <w:t>3</w:t>
            </w:r>
            <w:r>
              <w:rPr>
                <w:rFonts w:hint="eastAsia"/>
                <w:color w:val="auto"/>
                <w:szCs w:val="21"/>
              </w:rPr>
              <w:t>/h，因此在本项目有机废气环保设备排气筒出口（</w:t>
            </w:r>
            <w:r>
              <w:rPr>
                <w:rFonts w:hint="eastAsia"/>
                <w:color w:val="auto"/>
                <w:szCs w:val="21"/>
                <w:lang w:val="en-US" w:eastAsia="zh-CN"/>
              </w:rPr>
              <w:t>DA003</w:t>
            </w:r>
            <w:r>
              <w:rPr>
                <w:rFonts w:hint="eastAsia"/>
                <w:color w:val="auto"/>
                <w:szCs w:val="21"/>
              </w:rPr>
              <w:t>）以及车间（厂界）分别设置超标报警传感装置，并接入环保部门的系统平台，实现数据联网和集中监控。</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2、分表计电</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设置单独的电表，对每套环保设备进行分表计电。</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3、采样平台要求</w:t>
            </w:r>
          </w:p>
          <w:p>
            <w:pPr>
              <w:keepNext w:val="0"/>
              <w:keepLines w:val="0"/>
              <w:suppressLineNumbers w:val="0"/>
              <w:adjustRightInd w:val="0"/>
              <w:snapToGrid w:val="0"/>
              <w:spacing w:before="0" w:beforeAutospacing="0" w:after="0" w:afterAutospacing="0"/>
              <w:ind w:left="0" w:right="0" w:firstLine="420" w:firstLineChars="200"/>
              <w:rPr>
                <w:rFonts w:hint="eastAsia"/>
                <w:color w:val="auto"/>
                <w:szCs w:val="21"/>
              </w:rPr>
            </w:pPr>
            <w:r>
              <w:rPr>
                <w:rFonts w:hint="eastAsia"/>
                <w:color w:val="auto"/>
                <w:szCs w:val="21"/>
              </w:rPr>
              <w:t>采样平台为检测人员采样设置，应有足够的工作面积使工作人员安全、方便地操作。平台面积应不小于1.5m</w:t>
            </w:r>
            <w:r>
              <w:rPr>
                <w:rFonts w:hint="eastAsia"/>
                <w:color w:val="auto"/>
                <w:szCs w:val="21"/>
                <w:vertAlign w:val="superscript"/>
              </w:rPr>
              <w:t>2</w:t>
            </w:r>
            <w:r>
              <w:rPr>
                <w:rFonts w:hint="eastAsia"/>
                <w:color w:val="auto"/>
                <w:szCs w:val="21"/>
              </w:rPr>
              <w:t>(建议2×1.5m</w:t>
            </w:r>
            <w:r>
              <w:rPr>
                <w:rFonts w:hint="eastAsia"/>
                <w:color w:val="auto"/>
                <w:szCs w:val="21"/>
                <w:vertAlign w:val="superscript"/>
              </w:rPr>
              <w:t>2</w:t>
            </w:r>
            <w:r>
              <w:rPr>
                <w:rFonts w:hint="eastAsia"/>
                <w:color w:val="auto"/>
                <w:szCs w:val="21"/>
              </w:rPr>
              <w:t>以上)，并设有1.2m高的护栏和不低于10cm的脚部挡板，采样平台的承重应不小于200kg/m</w:t>
            </w:r>
            <w:r>
              <w:rPr>
                <w:rFonts w:hint="eastAsia"/>
                <w:color w:val="auto"/>
                <w:szCs w:val="21"/>
                <w:vertAlign w:val="superscript"/>
              </w:rPr>
              <w:t>2</w:t>
            </w:r>
            <w:r>
              <w:rPr>
                <w:rFonts w:hint="eastAsia"/>
                <w:color w:val="auto"/>
                <w:szCs w:val="21"/>
              </w:rPr>
              <w:t>，采样平台面距采样孔约为1.2-1.3m。采样平台易于人员到达，应建设监测安全通道。当采样平台设置高于地面时，应有通往平台的Z字梯/旋梯/升降梯，切勿设置猪笼梯等不安全通道。</w:t>
            </w:r>
          </w:p>
          <w:p>
            <w:pPr>
              <w:pStyle w:val="43"/>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eastAsia"/>
                <w:color w:val="auto"/>
                <w:sz w:val="21"/>
                <w:szCs w:val="21"/>
                <w:lang w:val="en-US" w:eastAsia="zh-CN"/>
              </w:rPr>
            </w:pPr>
          </w:p>
          <w:p>
            <w:pPr>
              <w:pStyle w:val="43"/>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eastAsia"/>
                <w:color w:val="auto"/>
                <w:sz w:val="21"/>
                <w:szCs w:val="21"/>
                <w:lang w:val="en-US" w:eastAsia="zh-CN"/>
              </w:rPr>
            </w:pPr>
          </w:p>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2"/>
              <w:keepNext w:val="0"/>
              <w:keepLines w:val="0"/>
              <w:pageBreakBefore w:val="0"/>
              <w:suppressLineNumbers w:val="0"/>
              <w:kinsoku/>
              <w:wordWrap/>
              <w:overflowPunct/>
              <w:topLinePunct w:val="0"/>
              <w:bidi w:val="0"/>
              <w:spacing w:before="0" w:beforeAutospacing="0" w:after="0" w:afterAutospacing="0" w:line="240" w:lineRule="auto"/>
              <w:ind w:right="0"/>
              <w:textAlignment w:val="auto"/>
              <w:rPr>
                <w:rFonts w:hint="eastAsia"/>
                <w:color w:val="auto"/>
                <w:sz w:val="21"/>
                <w:szCs w:val="21"/>
                <w:lang w:val="en-US" w:eastAsia="zh-CN"/>
              </w:rPr>
            </w:pPr>
          </w:p>
          <w:p>
            <w:pPr>
              <w:pStyle w:val="43"/>
              <w:keepNext w:val="0"/>
              <w:keepLines w:val="0"/>
              <w:pageBreakBefore w:val="0"/>
              <w:suppressLineNumbers w:val="0"/>
              <w:kinsoku/>
              <w:wordWrap/>
              <w:overflowPunct/>
              <w:topLinePunct w:val="0"/>
              <w:bidi w:val="0"/>
              <w:spacing w:before="0" w:beforeAutospacing="0" w:after="0" w:afterAutospacing="0" w:line="240" w:lineRule="auto"/>
              <w:ind w:left="0" w:leftChars="0" w:right="0" w:firstLine="0" w:firstLineChars="0"/>
              <w:textAlignment w:val="auto"/>
              <w:rPr>
                <w:rFonts w:hint="eastAsia" w:cs="Times New Roman"/>
                <w:color w:val="auto"/>
                <w:sz w:val="21"/>
                <w:szCs w:val="21"/>
                <w:lang w:val="en-US" w:eastAsia="zh-CN"/>
              </w:rPr>
            </w:pPr>
          </w:p>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sz w:val="21"/>
                <w:szCs w:val="21"/>
              </w:rPr>
            </w:pPr>
          </w:p>
        </w:tc>
      </w:tr>
    </w:tbl>
    <w:p>
      <w:pPr>
        <w:pStyle w:val="3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19" w:name="_Toc7478"/>
      <w:r>
        <w:rPr>
          <w:rFonts w:hint="default" w:ascii="Times New Roman" w:hAnsi="Times New Roman" w:eastAsia="黑体" w:cs="Times New Roman"/>
          <w:snapToGrid w:val="0"/>
          <w:color w:val="auto"/>
          <w:sz w:val="30"/>
          <w:szCs w:val="30"/>
        </w:rPr>
        <w:t>六、结论</w:t>
      </w:r>
      <w:bookmarkEnd w:id="19"/>
    </w:p>
    <w:tbl>
      <w:tblPr>
        <w:tblStyle w:val="3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31" w:hRule="atLeast"/>
          <w:jc w:val="center"/>
        </w:trPr>
        <w:tc>
          <w:tcPr>
            <w:tcW w:w="8865" w:type="dxa"/>
            <w:noWrap w:val="0"/>
            <w:vAlign w:val="top"/>
          </w:tcPr>
          <w:p>
            <w:pPr>
              <w:keepNext w:val="0"/>
              <w:keepLines w:val="0"/>
              <w:pageBreakBefore w:val="0"/>
              <w:widowControl w:val="0"/>
              <w:suppressLineNumbers w:val="0"/>
              <w:tabs>
                <w:tab w:val="left" w:pos="643"/>
              </w:tabs>
              <w:kinsoku/>
              <w:wordWrap/>
              <w:overflowPunct/>
              <w:topLinePunct w:val="0"/>
              <w:autoSpaceDE/>
              <w:autoSpaceDN/>
              <w:bidi w:val="0"/>
              <w:adjustRightInd/>
              <w:snapToGrid/>
              <w:spacing w:before="0" w:beforeAutospacing="0" w:after="0" w:afterAutospacing="0" w:line="480" w:lineRule="exact"/>
              <w:ind w:left="0" w:right="0" w:firstLine="420" w:firstLineChars="200"/>
              <w:textAlignment w:val="auto"/>
              <w:rPr>
                <w:rFonts w:hint="default" w:ascii="Times New Roman" w:hAnsi="Times New Roman" w:eastAsia="宋体" w:cs="Times New Roman"/>
                <w:color w:val="auto"/>
                <w:sz w:val="21"/>
                <w:szCs w:val="21"/>
              </w:rPr>
            </w:pPr>
            <w:r>
              <w:rPr>
                <w:rFonts w:hint="eastAsia"/>
                <w:color w:val="auto"/>
                <w:sz w:val="21"/>
                <w:szCs w:val="21"/>
                <w:lang w:eastAsia="zh-CN"/>
              </w:rPr>
              <w:t>大型多向模锻件及重型装备自主化产业基地建设项目技改升级项目</w:t>
            </w:r>
            <w:r>
              <w:rPr>
                <w:rFonts w:hint="default" w:ascii="Times New Roman" w:hAnsi="Times New Roman" w:eastAsia="宋体" w:cs="Times New Roman"/>
                <w:color w:val="auto"/>
                <w:sz w:val="21"/>
                <w:szCs w:val="21"/>
              </w:rPr>
              <w:t>符合产业政策、符合土地利用规划，在运营期间所产生的废气、废水、噪声、固废等均采取了合理有效的治理措施</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在落实环评中提出的各项环保措施后可达标排放，对周围环境的影响程度在可接受的范围内，不会改变周围地区目前大气环境、水环境、声环境、土壤环境的现有功能</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因此从环保角度论证，本项目的建设具有环境可行性。</w:t>
            </w:r>
          </w:p>
        </w:tc>
      </w:tr>
    </w:tbl>
    <w:p>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1"/>
        <w:keepNext w:val="0"/>
        <w:keepLines w:val="0"/>
        <w:pageBreakBefore w:val="0"/>
        <w:widowControl/>
        <w:kinsoku/>
        <w:wordWrap/>
        <w:overflowPunct/>
        <w:topLinePunct w:val="0"/>
        <w:autoSpaceDE/>
        <w:autoSpaceDN/>
        <w:bidi w:val="0"/>
        <w:adjustRightInd w:val="0"/>
        <w:snapToGrid w:val="0"/>
        <w:spacing w:before="0" w:beforeAutospacing="0" w:after="0" w:afterAutospacing="0" w:line="200" w:lineRule="atLeast"/>
        <w:textAlignment w:val="auto"/>
        <w:outlineLvl w:val="9"/>
        <w:rPr>
          <w:rFonts w:hint="default" w:ascii="Times New Roman" w:hAnsi="Times New Roman" w:eastAsia="黑体" w:cs="Times New Roman"/>
          <w:snapToGrid w:val="0"/>
          <w:color w:val="auto"/>
          <w:sz w:val="28"/>
          <w:szCs w:val="28"/>
        </w:rPr>
      </w:pPr>
      <w:r>
        <w:rPr>
          <w:rFonts w:hint="default" w:ascii="Times New Roman" w:hAnsi="Times New Roman" w:eastAsia="黑体" w:cs="Times New Roman"/>
          <w:snapToGrid w:val="0"/>
          <w:color w:val="auto"/>
          <w:sz w:val="28"/>
          <w:szCs w:val="28"/>
        </w:rPr>
        <w:t>附表</w:t>
      </w:r>
    </w:p>
    <w:p>
      <w:pPr>
        <w:pStyle w:val="3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jc w:val="center"/>
        <w:textAlignment w:val="auto"/>
        <w:outlineLvl w:val="9"/>
        <w:rPr>
          <w:rFonts w:hint="default" w:ascii="Times New Roman" w:hAnsi="Times New Roman" w:eastAsia="黑体" w:cs="Times New Roman"/>
          <w:snapToGrid w:val="0"/>
          <w:color w:val="auto"/>
          <w:sz w:val="32"/>
          <w:szCs w:val="32"/>
          <w:highlight w:val="none"/>
          <w:lang w:val="en-US" w:eastAsia="zh-CN"/>
        </w:rPr>
      </w:pPr>
      <w:r>
        <w:rPr>
          <w:rFonts w:hint="default" w:ascii="Times New Roman" w:hAnsi="Times New Roman" w:cs="Times New Roman"/>
          <w:snapToGrid w:val="0"/>
          <w:color w:val="auto"/>
          <w:sz w:val="38"/>
          <w:szCs w:val="38"/>
        </w:rPr>
        <w:t>建设项目污染物排放量汇总表</w:t>
      </w:r>
    </w:p>
    <w:tbl>
      <w:tblPr>
        <w:tblStyle w:val="35"/>
        <w:tblW w:w="142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875"/>
        <w:gridCol w:w="1755"/>
        <w:gridCol w:w="1125"/>
        <w:gridCol w:w="1800"/>
        <w:gridCol w:w="1665"/>
        <w:gridCol w:w="1755"/>
        <w:gridCol w:w="2025"/>
        <w:gridCol w:w="13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70" w:type="dxa"/>
            <w:tcBorders>
              <w:tl2br w:val="single" w:color="auto" w:sz="4" w:space="0"/>
            </w:tcBorders>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项目</w:t>
            </w:r>
          </w:p>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left"/>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分类</w:t>
            </w:r>
          </w:p>
        </w:tc>
        <w:tc>
          <w:tcPr>
            <w:tcW w:w="187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污染物名称</w:t>
            </w:r>
          </w:p>
        </w:tc>
        <w:tc>
          <w:tcPr>
            <w:tcW w:w="175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现有工程排放量（固体废物产生量）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①</w:t>
            </w:r>
            <w:r>
              <w:rPr>
                <w:rFonts w:hint="default" w:ascii="Times New Roman" w:hAnsi="Times New Roman" w:eastAsia="宋体" w:cs="Times New Roman"/>
                <w:snapToGrid w:val="0"/>
                <w:color w:val="auto"/>
                <w:spacing w:val="-6"/>
                <w:kern w:val="21"/>
                <w:sz w:val="21"/>
                <w:szCs w:val="21"/>
                <w:highlight w:val="none"/>
              </w:rPr>
              <w:fldChar w:fldCharType="end"/>
            </w:r>
          </w:p>
        </w:tc>
        <w:tc>
          <w:tcPr>
            <w:tcW w:w="112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现有工程许可排放量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2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snapToGrid w:val="0"/>
                <w:color w:val="auto"/>
                <w:spacing w:val="-6"/>
                <w:kern w:val="21"/>
                <w:sz w:val="21"/>
                <w:szCs w:val="21"/>
                <w:highlight w:val="none"/>
              </w:rPr>
              <w:t>②</w:t>
            </w:r>
            <w:r>
              <w:rPr>
                <w:rFonts w:hint="default" w:ascii="Times New Roman" w:hAnsi="Times New Roman" w:eastAsia="宋体" w:cs="Times New Roman"/>
                <w:snapToGrid w:val="0"/>
                <w:color w:val="auto"/>
                <w:spacing w:val="-6"/>
                <w:kern w:val="21"/>
                <w:sz w:val="21"/>
                <w:szCs w:val="21"/>
                <w:highlight w:val="none"/>
              </w:rPr>
              <w:fldChar w:fldCharType="end"/>
            </w:r>
          </w:p>
        </w:tc>
        <w:tc>
          <w:tcPr>
            <w:tcW w:w="1800"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在建工程排放量（固体废物产生量）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③</w:t>
            </w:r>
            <w:r>
              <w:rPr>
                <w:rFonts w:hint="default" w:ascii="Times New Roman" w:hAnsi="Times New Roman" w:eastAsia="宋体" w:cs="Times New Roman"/>
                <w:snapToGrid w:val="0"/>
                <w:color w:val="auto"/>
                <w:spacing w:val="-6"/>
                <w:kern w:val="21"/>
                <w:sz w:val="21"/>
                <w:szCs w:val="21"/>
                <w:highlight w:val="none"/>
              </w:rPr>
              <w:fldChar w:fldCharType="end"/>
            </w:r>
          </w:p>
        </w:tc>
        <w:tc>
          <w:tcPr>
            <w:tcW w:w="166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本项目排放量（固体废物产生量）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④</w:t>
            </w:r>
            <w:r>
              <w:rPr>
                <w:rFonts w:hint="default" w:ascii="Times New Roman" w:hAnsi="Times New Roman" w:eastAsia="宋体" w:cs="Times New Roman"/>
                <w:snapToGrid w:val="0"/>
                <w:color w:val="auto"/>
                <w:spacing w:val="-6"/>
                <w:kern w:val="21"/>
                <w:sz w:val="21"/>
                <w:szCs w:val="21"/>
                <w:highlight w:val="none"/>
              </w:rPr>
              <w:fldChar w:fldCharType="end"/>
            </w:r>
          </w:p>
        </w:tc>
        <w:tc>
          <w:tcPr>
            <w:tcW w:w="175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16"/>
                <w:kern w:val="21"/>
                <w:sz w:val="21"/>
                <w:szCs w:val="21"/>
                <w:highlight w:val="none"/>
              </w:rPr>
            </w:pPr>
            <w:r>
              <w:rPr>
                <w:rFonts w:hint="default" w:ascii="Times New Roman" w:hAnsi="Times New Roman" w:eastAsia="宋体" w:cs="Times New Roman"/>
                <w:snapToGrid w:val="0"/>
                <w:color w:val="auto"/>
                <w:spacing w:val="-16"/>
                <w:kern w:val="21"/>
                <w:sz w:val="21"/>
                <w:szCs w:val="21"/>
                <w:highlight w:val="none"/>
              </w:rPr>
              <w:t>以新带老削减量（新建项目不填）</w:t>
            </w:r>
            <w:r>
              <w:rPr>
                <w:rFonts w:hint="default" w:ascii="Times New Roman" w:hAnsi="Times New Roman" w:eastAsia="宋体" w:cs="Times New Roman"/>
                <w:snapToGrid w:val="0"/>
                <w:color w:val="auto"/>
                <w:spacing w:val="-16"/>
                <w:kern w:val="21"/>
                <w:sz w:val="21"/>
                <w:szCs w:val="21"/>
                <w:highlight w:val="none"/>
              </w:rPr>
              <w:fldChar w:fldCharType="begin"/>
            </w:r>
            <w:r>
              <w:rPr>
                <w:rFonts w:hint="default" w:ascii="Times New Roman" w:hAnsi="Times New Roman" w:eastAsia="宋体" w:cs="Times New Roman"/>
                <w:snapToGrid w:val="0"/>
                <w:color w:val="auto"/>
                <w:spacing w:val="-16"/>
                <w:kern w:val="21"/>
                <w:sz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⑤</w:t>
            </w:r>
            <w:r>
              <w:rPr>
                <w:rFonts w:hint="default" w:ascii="Times New Roman" w:hAnsi="Times New Roman" w:eastAsia="宋体" w:cs="Times New Roman"/>
                <w:snapToGrid w:val="0"/>
                <w:color w:val="auto"/>
                <w:spacing w:val="-16"/>
                <w:kern w:val="21"/>
                <w:sz w:val="21"/>
                <w:szCs w:val="21"/>
                <w:highlight w:val="none"/>
              </w:rPr>
              <w:fldChar w:fldCharType="end"/>
            </w:r>
          </w:p>
        </w:tc>
        <w:tc>
          <w:tcPr>
            <w:tcW w:w="2025"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both"/>
              <w:textAlignment w:val="auto"/>
              <w:outlineLvl w:val="9"/>
              <w:rPr>
                <w:rFonts w:hint="default" w:ascii="Times New Roman" w:hAnsi="Times New Roman" w:eastAsia="宋体" w:cs="Times New Roman"/>
                <w:snapToGrid w:val="0"/>
                <w:color w:val="auto"/>
                <w:spacing w:val="-16"/>
                <w:kern w:val="21"/>
                <w:sz w:val="21"/>
                <w:szCs w:val="21"/>
                <w:highlight w:val="none"/>
              </w:rPr>
            </w:pPr>
            <w:r>
              <w:rPr>
                <w:rFonts w:hint="default" w:ascii="Times New Roman" w:hAnsi="Times New Roman" w:eastAsia="宋体" w:cs="Times New Roman"/>
                <w:snapToGrid w:val="0"/>
                <w:color w:val="auto"/>
                <w:spacing w:val="-16"/>
                <w:kern w:val="21"/>
                <w:sz w:val="21"/>
                <w:szCs w:val="21"/>
                <w:highlight w:val="none"/>
              </w:rPr>
              <w:t>本项目建成后全厂排放量（固体废物产生量）</w:t>
            </w:r>
            <w:r>
              <w:rPr>
                <w:rFonts w:hint="default" w:ascii="Times New Roman" w:hAnsi="Times New Roman" w:eastAsia="宋体" w:cs="Times New Roman"/>
                <w:snapToGrid w:val="0"/>
                <w:color w:val="auto"/>
                <w:spacing w:val="-16"/>
                <w:kern w:val="21"/>
                <w:sz w:val="21"/>
                <w:szCs w:val="21"/>
                <w:highlight w:val="none"/>
              </w:rPr>
              <w:fldChar w:fldCharType="begin"/>
            </w:r>
            <w:r>
              <w:rPr>
                <w:rFonts w:hint="default" w:ascii="Times New Roman" w:hAnsi="Times New Roman" w:eastAsia="宋体" w:cs="Times New Roman"/>
                <w:snapToGrid w:val="0"/>
                <w:color w:val="auto"/>
                <w:spacing w:val="-16"/>
                <w:kern w:val="21"/>
                <w:sz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⑥</w:t>
            </w:r>
            <w:r>
              <w:rPr>
                <w:rFonts w:hint="default" w:ascii="Times New Roman" w:hAnsi="Times New Roman" w:eastAsia="宋体" w:cs="Times New Roman"/>
                <w:snapToGrid w:val="0"/>
                <w:color w:val="auto"/>
                <w:spacing w:val="-16"/>
                <w:kern w:val="21"/>
                <w:sz w:val="21"/>
                <w:szCs w:val="21"/>
                <w:highlight w:val="none"/>
              </w:rPr>
              <w:fldChar w:fldCharType="end"/>
            </w:r>
          </w:p>
        </w:tc>
        <w:tc>
          <w:tcPr>
            <w:tcW w:w="1363" w:type="dxa"/>
            <w:noWrap w:val="0"/>
            <w:tcMar>
              <w:left w:w="28" w:type="dxa"/>
              <w:right w:w="28" w:type="dxa"/>
            </w:tcMar>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spacing w:val="-6"/>
                <w:kern w:val="21"/>
                <w:sz w:val="21"/>
                <w:szCs w:val="21"/>
                <w:highlight w:val="yellow"/>
              </w:rPr>
            </w:pPr>
            <w:r>
              <w:rPr>
                <w:rFonts w:hint="default" w:ascii="Times New Roman" w:hAnsi="Times New Roman" w:eastAsia="宋体" w:cs="Times New Roman"/>
                <w:snapToGrid w:val="0"/>
                <w:color w:val="auto"/>
                <w:spacing w:val="-6"/>
                <w:kern w:val="21"/>
                <w:sz w:val="21"/>
                <w:szCs w:val="21"/>
                <w:highlight w:val="none"/>
              </w:rPr>
              <w:t>变化量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⑦</w:t>
            </w:r>
            <w:r>
              <w:rPr>
                <w:rFonts w:hint="default" w:ascii="Times New Roman" w:hAnsi="Times New Roman" w:eastAsia="宋体" w:cs="Times New Roman"/>
                <w:snapToGrid w:val="0"/>
                <w:color w:val="auto"/>
                <w:spacing w:val="-6"/>
                <w:kern w:val="21"/>
                <w:sz w:val="21"/>
                <w:szCs w:val="21"/>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70" w:type="dxa"/>
            <w:vMerge w:val="restart"/>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废气</w:t>
            </w:r>
          </w:p>
        </w:tc>
        <w:tc>
          <w:tcPr>
            <w:tcW w:w="187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颗粒物</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0.776t/a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0.855t/a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1.631t/a</w:t>
            </w:r>
          </w:p>
        </w:tc>
        <w:tc>
          <w:tcPr>
            <w:tcW w:w="1363"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+0.855t/a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p>
        </w:tc>
        <w:tc>
          <w:tcPr>
            <w:tcW w:w="187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非甲烷总烃</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0.011t/a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0.011t/a</w:t>
            </w:r>
          </w:p>
        </w:tc>
        <w:tc>
          <w:tcPr>
            <w:tcW w:w="1363"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0.011t/a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70" w:type="dxa"/>
            <w:vMerge w:val="restart"/>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废水</w:t>
            </w:r>
          </w:p>
        </w:tc>
        <w:tc>
          <w:tcPr>
            <w:tcW w:w="1875"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Style w:val="95"/>
                <w:rFonts w:hint="eastAsia" w:ascii="Times New Roman" w:hAnsi="Times New Roman" w:eastAsia="宋体" w:cs="Times New Roman"/>
                <w:b w:val="0"/>
                <w:bCs w:val="0"/>
                <w:color w:val="auto"/>
                <w:sz w:val="21"/>
                <w:szCs w:val="21"/>
                <w:highlight w:val="none"/>
                <w:lang w:val="en-US" w:eastAsia="zh-CN"/>
              </w:rPr>
              <w:t>COD</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0.82t/a</w:t>
            </w:r>
          </w:p>
        </w:tc>
        <w:tc>
          <w:tcPr>
            <w:tcW w:w="11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0.82t/a</w:t>
            </w:r>
          </w:p>
        </w:tc>
        <w:tc>
          <w:tcPr>
            <w:tcW w:w="1363"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Style w:val="95"/>
                <w:rFonts w:hint="eastAsia" w:ascii="Times New Roman" w:hAnsi="Times New Roman" w:eastAsia="宋体" w:cs="Times New Roman"/>
                <w:b w:val="0"/>
                <w:bCs w:val="0"/>
                <w:color w:val="auto"/>
                <w:sz w:val="21"/>
                <w:szCs w:val="21"/>
                <w:highlight w:val="none"/>
                <w:lang w:val="en-US" w:eastAsia="zh-CN"/>
              </w:rPr>
              <w:t>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rPr>
            </w:pPr>
          </w:p>
        </w:tc>
        <w:tc>
          <w:tcPr>
            <w:tcW w:w="1875"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Style w:val="95"/>
                <w:rFonts w:hint="eastAsia" w:ascii="Times New Roman" w:hAnsi="Times New Roman" w:eastAsia="宋体" w:cs="Times New Roman"/>
                <w:b w:val="0"/>
                <w:bCs w:val="0"/>
                <w:color w:val="auto"/>
                <w:sz w:val="21"/>
                <w:szCs w:val="21"/>
                <w:highlight w:val="none"/>
                <w:lang w:val="en-US" w:eastAsia="zh-CN"/>
              </w:rPr>
              <w:t>氨氮</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0.08t/a</w:t>
            </w:r>
          </w:p>
        </w:tc>
        <w:tc>
          <w:tcPr>
            <w:tcW w:w="11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0.08t/a</w:t>
            </w:r>
          </w:p>
        </w:tc>
        <w:tc>
          <w:tcPr>
            <w:tcW w:w="1363"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Style w:val="95"/>
                <w:rFonts w:hint="eastAsia" w:ascii="Times New Roman" w:hAnsi="Times New Roman" w:eastAsia="宋体" w:cs="Times New Roman"/>
                <w:b w:val="0"/>
                <w:bCs w:val="0"/>
                <w:color w:val="auto"/>
                <w:sz w:val="21"/>
                <w:szCs w:val="21"/>
                <w:highlight w:val="none"/>
                <w:lang w:val="en-US" w:eastAsia="zh-CN"/>
              </w:rPr>
              <w:t>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0" w:type="dxa"/>
            <w:vMerge w:val="restart"/>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一般固体废物</w:t>
            </w: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下料边角料</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废金属屑</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8000t/a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8</w:t>
            </w:r>
            <w:r>
              <w:rPr>
                <w:rFonts w:hint="eastAsia" w:ascii="Times New Roman" w:hAnsi="Times New Roman" w:eastAsia="宋体" w:cs="Times New Roman"/>
                <w:color w:val="auto"/>
                <w:kern w:val="2"/>
                <w:sz w:val="21"/>
                <w:szCs w:val="21"/>
                <w:highlight w:val="none"/>
                <w:lang w:val="en-US" w:eastAsia="zh-CN" w:bidi="ar-SA"/>
              </w:rPr>
              <w:t>0</w:t>
            </w:r>
            <w:r>
              <w:rPr>
                <w:rFonts w:hint="eastAsia" w:ascii="Times New Roman"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0t/a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snapToGrid w:val="0"/>
                <w:color w:val="auto"/>
                <w:kern w:val="21"/>
                <w:sz w:val="21"/>
                <w:szCs w:val="21"/>
                <w:highlight w:val="none"/>
              </w:rPr>
            </w:pPr>
            <w:r>
              <w:rPr>
                <w:rFonts w:hint="eastAsia" w:ascii="Times New Roman" w:cs="Times New Roman"/>
                <w:color w:val="auto"/>
                <w:kern w:val="2"/>
                <w:sz w:val="21"/>
                <w:szCs w:val="21"/>
                <w:highlight w:val="none"/>
                <w:lang w:val="en-US" w:eastAsia="zh-CN" w:bidi="ar-SA"/>
              </w:rPr>
              <w:t>+</w:t>
            </w:r>
            <w:r>
              <w:rPr>
                <w:rFonts w:hint="eastAsia" w:cs="Times New Roman"/>
                <w:color w:val="auto"/>
                <w:sz w:val="21"/>
                <w:szCs w:val="21"/>
                <w:highlight w:val="none"/>
                <w:lang w:val="en-US" w:eastAsia="zh-CN"/>
              </w:rPr>
              <w:t>10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布袋除尘灰</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1.44t/a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1.44t/a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滤筒除尘灰</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27.645t/a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27.645t/a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eastAsia" w:ascii="Times New Roman" w:cs="Times New Roman"/>
                <w:snapToGrid w:val="0"/>
                <w:color w:val="auto"/>
                <w:kern w:val="21"/>
                <w:sz w:val="21"/>
                <w:szCs w:val="21"/>
                <w:highlight w:val="none"/>
                <w:lang w:val="en-US" w:eastAsia="zh-CN"/>
              </w:rPr>
              <w:t>27.645</w:t>
            </w:r>
            <w:r>
              <w:rPr>
                <w:rFonts w:hint="eastAsia" w:ascii="Times New Roman" w:hAnsi="Times New Roman" w:eastAsia="宋体" w:cs="Times New Roman"/>
                <w:color w:val="auto"/>
                <w:kern w:val="2"/>
                <w:sz w:val="21"/>
                <w:szCs w:val="21"/>
                <w:highlight w:val="none"/>
                <w:lang w:val="en-US" w:eastAsia="zh-CN" w:bidi="ar-SA"/>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办公生活垃圾</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120t/a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restart"/>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危险废物</w:t>
            </w: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废乳化液</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0.7</w:t>
            </w:r>
            <w:r>
              <w:rPr>
                <w:rFonts w:hint="eastAsia" w:ascii="Times New Roman" w:hAnsi="Times New Roman" w:eastAsia="宋体" w:cs="Times New Roman"/>
                <w:color w:val="auto"/>
                <w:kern w:val="2"/>
                <w:sz w:val="21"/>
                <w:szCs w:val="21"/>
                <w:highlight w:val="none"/>
                <w:lang w:val="en-US" w:eastAsia="zh-CN" w:bidi="ar-SA"/>
              </w:rPr>
              <w:t>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w:t>
            </w:r>
            <w:r>
              <w:rPr>
                <w:rFonts w:hint="eastAsia" w:ascii="Times New Roman" w:hAnsi="Times New Roman" w:eastAsia="宋体" w:cs="Times New Roman"/>
                <w:color w:val="auto"/>
                <w:kern w:val="2"/>
                <w:sz w:val="21"/>
                <w:szCs w:val="21"/>
                <w:highlight w:val="none"/>
                <w:lang w:val="en-US" w:eastAsia="zh-CN" w:bidi="ar-SA"/>
              </w:rPr>
              <w:t>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r>
              <w:rPr>
                <w:color w:val="auto"/>
                <w:szCs w:val="21"/>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continue"/>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cs="Times New Roman"/>
                <w:snapToGrid w:val="0"/>
                <w:color w:val="auto"/>
                <w:kern w:val="21"/>
                <w:sz w:val="21"/>
                <w:szCs w:val="21"/>
                <w:highlight w:val="none"/>
                <w:lang w:val="en-US" w:eastAsia="zh-CN"/>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废润滑油</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2.9</w:t>
            </w:r>
            <w:r>
              <w:rPr>
                <w:rFonts w:hint="eastAsia" w:ascii="Times New Roman" w:hAnsi="Times New Roman" w:eastAsia="宋体" w:cs="Times New Roman"/>
                <w:color w:val="auto"/>
                <w:kern w:val="2"/>
                <w:sz w:val="21"/>
                <w:szCs w:val="21"/>
                <w:highlight w:val="none"/>
                <w:lang w:val="en-US" w:eastAsia="zh-CN" w:bidi="ar-SA"/>
              </w:rPr>
              <w:t>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2.9</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1.5t/a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4.4t/a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continue"/>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color w:val="auto"/>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废液压油</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7.0t/a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7.0t/a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7.0t/a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continue"/>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color w:val="auto"/>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废油桶</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1.0t/a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continue"/>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eastAsia" w:cs="Times New Roman"/>
                <w:color w:val="auto"/>
                <w:sz w:val="21"/>
                <w:szCs w:val="21"/>
                <w:highlight w:val="none"/>
                <w:lang w:val="en-US" w:eastAsia="zh-CN"/>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废活性炭</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w:t>
            </w:r>
            <w:r>
              <w:rPr>
                <w:rFonts w:hint="eastAsia" w:ascii="Times New Roman" w:hAnsi="Times New Roman" w:eastAsia="宋体" w:cs="Times New Roman"/>
                <w:color w:val="auto"/>
                <w:kern w:val="2"/>
                <w:sz w:val="21"/>
                <w:szCs w:val="21"/>
                <w:highlight w:val="none"/>
                <w:lang w:val="en-US" w:eastAsia="zh-CN" w:bidi="ar-SA"/>
              </w:rPr>
              <w:t>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0.5</w:t>
            </w:r>
            <w:r>
              <w:rPr>
                <w:rFonts w:hint="eastAsia" w:ascii="Times New Roman" w:hAnsi="Times New Roman" w:eastAsia="宋体" w:cs="Times New Roman"/>
                <w:color w:val="auto"/>
                <w:kern w:val="2"/>
                <w:sz w:val="21"/>
                <w:szCs w:val="21"/>
                <w:highlight w:val="none"/>
                <w:lang w:val="en-US" w:eastAsia="zh-CN" w:bidi="ar-SA"/>
              </w:rPr>
              <w:t>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rightChars="0" w:firstLine="0" w:firstLineChars="0"/>
              <w:jc w:val="center"/>
              <w:textAlignment w:val="auto"/>
              <w:outlineLvl w:val="9"/>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color w:val="auto"/>
                <w:sz w:val="21"/>
                <w:szCs w:val="21"/>
                <w:highlight w:val="none"/>
                <w:lang w:val="en-US" w:eastAsia="zh-CN"/>
              </w:rPr>
              <w:t>0</w:t>
            </w:r>
            <w:r>
              <w:rPr>
                <w:color w:val="auto"/>
                <w:szCs w:val="21"/>
                <w:highlight w:val="none"/>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eastAsia" w:ascii="Times New Roman" w:hAnsi="Times New Roman" w:eastAsia="宋体" w:cs="Times New Roman"/>
                <w:b/>
                <w:bCs/>
                <w:color w:val="auto"/>
                <w:kern w:val="2"/>
                <w:sz w:val="21"/>
                <w:szCs w:val="21"/>
                <w:highlight w:val="none"/>
                <w:lang w:val="en-US" w:eastAsia="zh-CN" w:bidi="ar-SA"/>
              </w:rPr>
            </w:pPr>
            <w:r>
              <w:rPr>
                <w:rFonts w:hint="eastAsia" w:cs="Times New Roman"/>
                <w:color w:val="auto"/>
                <w:sz w:val="21"/>
                <w:szCs w:val="21"/>
                <w:highlight w:val="none"/>
                <w:lang w:val="en-US" w:eastAsia="zh-CN"/>
              </w:rPr>
              <w:t>0.5</w:t>
            </w:r>
            <w:r>
              <w:rPr>
                <w:color w:val="auto"/>
                <w:szCs w:val="21"/>
                <w:highlight w:val="none"/>
              </w:rPr>
              <w:t>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0.5</w:t>
            </w:r>
            <w:r>
              <w:rPr>
                <w:color w:val="auto"/>
                <w:szCs w:val="21"/>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70" w:type="dxa"/>
            <w:vMerge w:val="continue"/>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eastAsia" w:cs="Times New Roman"/>
                <w:color w:val="auto"/>
                <w:sz w:val="21"/>
                <w:szCs w:val="21"/>
                <w:highlight w:val="none"/>
                <w:lang w:val="en-US" w:eastAsia="zh-CN"/>
              </w:rPr>
            </w:pPr>
          </w:p>
        </w:tc>
        <w:tc>
          <w:tcPr>
            <w:tcW w:w="187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废催化剂</w:t>
            </w:r>
          </w:p>
        </w:tc>
        <w:tc>
          <w:tcPr>
            <w:tcW w:w="175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w:t>
            </w:r>
            <w:r>
              <w:rPr>
                <w:rFonts w:hint="eastAsia" w:ascii="Times New Roman" w:hAnsi="Times New Roman" w:eastAsia="宋体" w:cs="Times New Roman"/>
                <w:color w:val="auto"/>
                <w:kern w:val="2"/>
                <w:sz w:val="21"/>
                <w:szCs w:val="21"/>
                <w:highlight w:val="none"/>
                <w:lang w:val="en-US" w:eastAsia="zh-CN" w:bidi="ar-SA"/>
              </w:rPr>
              <w:t>t/a</w:t>
            </w:r>
          </w:p>
        </w:tc>
        <w:tc>
          <w:tcPr>
            <w:tcW w:w="112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c>
          <w:tcPr>
            <w:tcW w:w="1800"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0t/a</w:t>
            </w:r>
          </w:p>
        </w:tc>
        <w:tc>
          <w:tcPr>
            <w:tcW w:w="1665" w:type="dxa"/>
            <w:noWrap w:val="0"/>
            <w:vAlign w:val="center"/>
          </w:tcPr>
          <w:p>
            <w:pPr>
              <w:pStyle w:val="60"/>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0.2</w:t>
            </w:r>
            <w:r>
              <w:rPr>
                <w:rFonts w:hint="eastAsia" w:ascii="Times New Roman" w:hAnsi="Times New Roman" w:eastAsia="宋体" w:cs="Times New Roman"/>
                <w:color w:val="auto"/>
                <w:kern w:val="2"/>
                <w:sz w:val="21"/>
                <w:szCs w:val="21"/>
                <w:highlight w:val="none"/>
                <w:lang w:val="en-US" w:eastAsia="zh-CN" w:bidi="ar-SA"/>
              </w:rPr>
              <w:t>t/a</w:t>
            </w:r>
          </w:p>
        </w:tc>
        <w:tc>
          <w:tcPr>
            <w:tcW w:w="1755" w:type="dxa"/>
            <w:noWrap w:val="0"/>
            <w:vAlign w:val="center"/>
          </w:tcPr>
          <w:p>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400" w:lineRule="exact"/>
              <w:ind w:left="0" w:leftChars="0" w:right="0" w:firstLine="0" w:firstLineChars="0"/>
              <w:jc w:val="center"/>
              <w:textAlignment w:val="auto"/>
              <w:outlineLvl w:val="9"/>
              <w:rPr>
                <w:rFonts w:hint="eastAsia" w:ascii="Times New Roman" w:cs="Times New Roman"/>
                <w:snapToGrid w:val="0"/>
                <w:color w:val="auto"/>
                <w:kern w:val="21"/>
                <w:sz w:val="21"/>
                <w:szCs w:val="21"/>
                <w:highlight w:val="none"/>
                <w:lang w:val="en-US" w:eastAsia="zh-CN"/>
              </w:rPr>
            </w:pPr>
            <w:r>
              <w:rPr>
                <w:rFonts w:hint="eastAsia" w:cs="Times New Roman"/>
                <w:color w:val="auto"/>
                <w:sz w:val="21"/>
                <w:szCs w:val="21"/>
                <w:highlight w:val="none"/>
                <w:lang w:val="en-US" w:eastAsia="zh-CN"/>
              </w:rPr>
              <w:t>0</w:t>
            </w:r>
            <w:r>
              <w:rPr>
                <w:color w:val="auto"/>
                <w:szCs w:val="21"/>
                <w:highlight w:val="none"/>
              </w:rPr>
              <w:t>t/a</w:t>
            </w:r>
          </w:p>
        </w:tc>
        <w:tc>
          <w:tcPr>
            <w:tcW w:w="202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default" w:cs="Times New Roman"/>
                <w:b/>
                <w:bCs/>
                <w:color w:val="auto"/>
                <w:sz w:val="21"/>
                <w:szCs w:val="21"/>
                <w:highlight w:val="none"/>
                <w:lang w:val="en-US" w:eastAsia="zh-CN"/>
              </w:rPr>
            </w:pPr>
            <w:r>
              <w:rPr>
                <w:rFonts w:hint="eastAsia" w:cs="Times New Roman"/>
                <w:color w:val="auto"/>
                <w:sz w:val="21"/>
                <w:szCs w:val="21"/>
                <w:highlight w:val="none"/>
                <w:lang w:val="en-US" w:eastAsia="zh-CN"/>
              </w:rPr>
              <w:t>0.2</w:t>
            </w:r>
            <w:r>
              <w:rPr>
                <w:color w:val="auto"/>
                <w:szCs w:val="21"/>
                <w:highlight w:val="none"/>
              </w:rPr>
              <w:t>t/a</w:t>
            </w:r>
          </w:p>
        </w:tc>
        <w:tc>
          <w:tcPr>
            <w:tcW w:w="1363"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outlineLvl w:val="9"/>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0.2</w:t>
            </w:r>
            <w:r>
              <w:rPr>
                <w:color w:val="auto"/>
                <w:szCs w:val="21"/>
                <w:highlight w:val="none"/>
              </w:rPr>
              <w:t>t/a</w:t>
            </w:r>
          </w:p>
        </w:tc>
      </w:tr>
    </w:tbl>
    <w:p>
      <w:pPr>
        <w:pStyle w:val="60"/>
        <w:keepNext w:val="0"/>
        <w:keepLines w:val="0"/>
        <w:pageBreakBefore w:val="0"/>
        <w:kinsoku/>
        <w:wordWrap/>
        <w:overflowPunct/>
        <w:topLinePunct w:val="0"/>
        <w:autoSpaceDE/>
        <w:autoSpaceDN/>
        <w:bidi w:val="0"/>
        <w:spacing w:before="192" w:beforeLines="80" w:after="24"/>
        <w:ind w:left="0" w:leftChars="0" w:firstLine="0" w:firstLineChars="0"/>
        <w:jc w:val="left"/>
        <w:textAlignment w:val="auto"/>
        <w:outlineLvl w:val="9"/>
        <w:rPr>
          <w:rFonts w:hint="default" w:ascii="Times New Roman" w:hAnsi="Times New Roman" w:eastAsia="黑体" w:cs="Times New Roman"/>
          <w:color w:val="auto"/>
        </w:rPr>
      </w:pPr>
      <w:r>
        <w:rPr>
          <w:rFonts w:hint="default" w:ascii="Times New Roman" w:hAnsi="Times New Roman" w:eastAsia="黑体" w:cs="Times New Roman"/>
          <w:snapToGrid w:val="0"/>
          <w:color w:val="auto"/>
          <w:kern w:val="21"/>
          <w:sz w:val="21"/>
          <w:szCs w:val="21"/>
        </w:rPr>
        <w:t>注：</w:t>
      </w:r>
      <w:r>
        <w:rPr>
          <w:rFonts w:hint="default" w:ascii="Times New Roman" w:hAnsi="Times New Roman" w:eastAsia="黑体" w:cs="Times New Roman"/>
          <w:snapToGrid w:val="0"/>
          <w:color w:val="auto"/>
          <w:spacing w:val="-16"/>
          <w:kern w:val="21"/>
          <w:sz w:val="21"/>
          <w:szCs w:val="21"/>
        </w:rPr>
        <w:fldChar w:fldCharType="begin"/>
      </w:r>
      <w:r>
        <w:rPr>
          <w:rFonts w:hint="default" w:ascii="Times New Roman" w:hAnsi="Times New Roman" w:eastAsia="黑体" w:cs="Times New Roman"/>
          <w:snapToGrid w:val="0"/>
          <w:color w:val="auto"/>
          <w:spacing w:val="-16"/>
          <w:kern w:val="21"/>
          <w:sz w:val="21"/>
          <w:szCs w:val="21"/>
        </w:rPr>
        <w:instrText xml:space="preserve"> = 6 \* GB3 \* MERGEFORMAT </w:instrText>
      </w:r>
      <w:r>
        <w:rPr>
          <w:rFonts w:hint="default" w:ascii="Times New Roman" w:hAnsi="Times New Roman" w:eastAsia="黑体" w:cs="Times New Roman"/>
          <w:snapToGrid w:val="0"/>
          <w:color w:val="auto"/>
          <w:spacing w:val="-16"/>
          <w:kern w:val="21"/>
          <w:sz w:val="21"/>
          <w:szCs w:val="21"/>
        </w:rPr>
        <w:fldChar w:fldCharType="separate"/>
      </w:r>
      <w:r>
        <w:rPr>
          <w:rFonts w:hint="default" w:ascii="Times New Roman" w:hAnsi="Times New Roman" w:eastAsia="黑体" w:cs="Times New Roman"/>
          <w:color w:val="auto"/>
          <w:sz w:val="21"/>
          <w:szCs w:val="21"/>
        </w:rPr>
        <w:t>⑥</w:t>
      </w:r>
      <w:r>
        <w:rPr>
          <w:rFonts w:hint="default" w:ascii="Times New Roman" w:hAnsi="Times New Roman" w:eastAsia="黑体" w:cs="Times New Roman"/>
          <w:snapToGrid w:val="0"/>
          <w:color w:val="auto"/>
          <w:spacing w:val="-16"/>
          <w:kern w:val="21"/>
          <w:sz w:val="21"/>
          <w:szCs w:val="21"/>
        </w:rPr>
        <w:fldChar w:fldCharType="end"/>
      </w:r>
      <w:r>
        <w:rPr>
          <w:rFonts w:hint="default" w:ascii="Times New Roman" w:hAnsi="Times New Roman" w:eastAsia="黑体" w:cs="Times New Roman"/>
          <w:snapToGrid w:val="0"/>
          <w:color w:val="auto"/>
          <w:spacing w:val="-16"/>
          <w:kern w:val="21"/>
          <w:sz w:val="21"/>
          <w:szCs w:val="21"/>
        </w:rPr>
        <w:t>=</w:t>
      </w:r>
      <w:r>
        <w:rPr>
          <w:rFonts w:hint="default" w:ascii="Times New Roman" w:hAnsi="Times New Roman" w:eastAsia="黑体" w:cs="Times New Roman"/>
          <w:snapToGrid w:val="0"/>
          <w:color w:val="auto"/>
          <w:spacing w:val="-6"/>
          <w:kern w:val="21"/>
          <w:sz w:val="21"/>
          <w:szCs w:val="21"/>
        </w:rPr>
        <w:fldChar w:fldCharType="begin"/>
      </w:r>
      <w:r>
        <w:rPr>
          <w:rFonts w:hint="default" w:ascii="Times New Roman" w:hAnsi="Times New Roman" w:eastAsia="黑体" w:cs="Times New Roman"/>
          <w:snapToGrid w:val="0"/>
          <w:color w:val="auto"/>
          <w:spacing w:val="-6"/>
          <w:kern w:val="21"/>
          <w:sz w:val="21"/>
          <w:szCs w:val="21"/>
        </w:rPr>
        <w:instrText xml:space="preserve"> = 1 \* GB3 \* MERGEFORMAT </w:instrText>
      </w:r>
      <w:r>
        <w:rPr>
          <w:rFonts w:hint="default" w:ascii="Times New Roman" w:hAnsi="Times New Roman" w:eastAsia="黑体" w:cs="Times New Roman"/>
          <w:snapToGrid w:val="0"/>
          <w:color w:val="auto"/>
          <w:spacing w:val="-6"/>
          <w:kern w:val="21"/>
          <w:sz w:val="21"/>
          <w:szCs w:val="21"/>
        </w:rPr>
        <w:fldChar w:fldCharType="separate"/>
      </w:r>
      <w:r>
        <w:rPr>
          <w:rFonts w:hint="default" w:ascii="Times New Roman" w:hAnsi="Times New Roman" w:eastAsia="黑体" w:cs="Times New Roman"/>
          <w:color w:val="auto"/>
          <w:sz w:val="21"/>
          <w:szCs w:val="21"/>
        </w:rPr>
        <w:t>①</w:t>
      </w:r>
      <w:r>
        <w:rPr>
          <w:rFonts w:hint="default" w:ascii="Times New Roman" w:hAnsi="Times New Roman" w:eastAsia="黑体" w:cs="Times New Roman"/>
          <w:snapToGrid w:val="0"/>
          <w:color w:val="auto"/>
          <w:spacing w:val="-6"/>
          <w:kern w:val="21"/>
          <w:sz w:val="21"/>
          <w:szCs w:val="21"/>
        </w:rPr>
        <w:fldChar w:fldCharType="end"/>
      </w:r>
      <w:r>
        <w:rPr>
          <w:rFonts w:hint="default" w:ascii="Times New Roman" w:hAnsi="Times New Roman" w:eastAsia="黑体" w:cs="Times New Roman"/>
          <w:snapToGrid w:val="0"/>
          <w:color w:val="auto"/>
          <w:spacing w:val="-6"/>
          <w:kern w:val="21"/>
          <w:sz w:val="21"/>
          <w:szCs w:val="21"/>
        </w:rPr>
        <w:t>+</w:t>
      </w:r>
      <w:r>
        <w:rPr>
          <w:rFonts w:hint="default" w:ascii="Times New Roman" w:hAnsi="Times New Roman" w:eastAsia="黑体" w:cs="Times New Roman"/>
          <w:snapToGrid w:val="0"/>
          <w:color w:val="auto"/>
          <w:spacing w:val="-6"/>
          <w:kern w:val="21"/>
          <w:sz w:val="21"/>
          <w:szCs w:val="21"/>
        </w:rPr>
        <w:fldChar w:fldCharType="begin"/>
      </w:r>
      <w:r>
        <w:rPr>
          <w:rFonts w:hint="default" w:ascii="Times New Roman" w:hAnsi="Times New Roman" w:eastAsia="黑体" w:cs="Times New Roman"/>
          <w:snapToGrid w:val="0"/>
          <w:color w:val="auto"/>
          <w:spacing w:val="-6"/>
          <w:kern w:val="21"/>
          <w:sz w:val="21"/>
          <w:szCs w:val="21"/>
        </w:rPr>
        <w:instrText xml:space="preserve"> = 3 \* GB3 \* MERGEFORMAT </w:instrText>
      </w:r>
      <w:r>
        <w:rPr>
          <w:rFonts w:hint="default" w:ascii="Times New Roman" w:hAnsi="Times New Roman" w:eastAsia="黑体" w:cs="Times New Roman"/>
          <w:snapToGrid w:val="0"/>
          <w:color w:val="auto"/>
          <w:spacing w:val="-6"/>
          <w:kern w:val="21"/>
          <w:sz w:val="21"/>
          <w:szCs w:val="21"/>
        </w:rPr>
        <w:fldChar w:fldCharType="separate"/>
      </w:r>
      <w:r>
        <w:rPr>
          <w:rFonts w:hint="default" w:ascii="Times New Roman" w:hAnsi="Times New Roman" w:eastAsia="黑体" w:cs="Times New Roman"/>
          <w:color w:val="auto"/>
          <w:sz w:val="21"/>
          <w:szCs w:val="21"/>
        </w:rPr>
        <w:t>③</w:t>
      </w:r>
      <w:r>
        <w:rPr>
          <w:rFonts w:hint="default" w:ascii="Times New Roman" w:hAnsi="Times New Roman" w:eastAsia="黑体" w:cs="Times New Roman"/>
          <w:snapToGrid w:val="0"/>
          <w:color w:val="auto"/>
          <w:spacing w:val="-6"/>
          <w:kern w:val="21"/>
          <w:sz w:val="21"/>
          <w:szCs w:val="21"/>
        </w:rPr>
        <w:fldChar w:fldCharType="end"/>
      </w:r>
      <w:r>
        <w:rPr>
          <w:rFonts w:hint="default" w:ascii="Times New Roman" w:hAnsi="Times New Roman" w:eastAsia="黑体" w:cs="Times New Roman"/>
          <w:snapToGrid w:val="0"/>
          <w:color w:val="auto"/>
          <w:spacing w:val="-6"/>
          <w:kern w:val="21"/>
          <w:sz w:val="21"/>
          <w:szCs w:val="21"/>
        </w:rPr>
        <w:t>+</w:t>
      </w:r>
      <w:r>
        <w:rPr>
          <w:rFonts w:hint="default" w:ascii="Times New Roman" w:hAnsi="Times New Roman" w:eastAsia="黑体" w:cs="Times New Roman"/>
          <w:snapToGrid w:val="0"/>
          <w:color w:val="auto"/>
          <w:spacing w:val="-6"/>
          <w:kern w:val="21"/>
          <w:sz w:val="21"/>
          <w:szCs w:val="21"/>
        </w:rPr>
        <w:fldChar w:fldCharType="begin"/>
      </w:r>
      <w:r>
        <w:rPr>
          <w:rFonts w:hint="default" w:ascii="Times New Roman" w:hAnsi="Times New Roman" w:eastAsia="黑体" w:cs="Times New Roman"/>
          <w:snapToGrid w:val="0"/>
          <w:color w:val="auto"/>
          <w:spacing w:val="-6"/>
          <w:kern w:val="21"/>
          <w:sz w:val="21"/>
          <w:szCs w:val="21"/>
        </w:rPr>
        <w:instrText xml:space="preserve"> = 4 \* GB3 \* MERGEFORMAT </w:instrText>
      </w:r>
      <w:r>
        <w:rPr>
          <w:rFonts w:hint="default" w:ascii="Times New Roman" w:hAnsi="Times New Roman" w:eastAsia="黑体" w:cs="Times New Roman"/>
          <w:snapToGrid w:val="0"/>
          <w:color w:val="auto"/>
          <w:spacing w:val="-6"/>
          <w:kern w:val="21"/>
          <w:sz w:val="21"/>
          <w:szCs w:val="21"/>
        </w:rPr>
        <w:fldChar w:fldCharType="separate"/>
      </w:r>
      <w:r>
        <w:rPr>
          <w:rFonts w:hint="default" w:ascii="Times New Roman" w:hAnsi="Times New Roman" w:eastAsia="黑体" w:cs="Times New Roman"/>
          <w:color w:val="auto"/>
          <w:sz w:val="21"/>
          <w:szCs w:val="21"/>
        </w:rPr>
        <w:t>④</w:t>
      </w:r>
      <w:r>
        <w:rPr>
          <w:rFonts w:hint="default" w:ascii="Times New Roman" w:hAnsi="Times New Roman" w:eastAsia="黑体" w:cs="Times New Roman"/>
          <w:snapToGrid w:val="0"/>
          <w:color w:val="auto"/>
          <w:spacing w:val="-6"/>
          <w:kern w:val="21"/>
          <w:sz w:val="21"/>
          <w:szCs w:val="21"/>
        </w:rPr>
        <w:fldChar w:fldCharType="end"/>
      </w:r>
      <w:r>
        <w:rPr>
          <w:rFonts w:hint="default" w:ascii="Times New Roman" w:hAnsi="Times New Roman" w:eastAsia="黑体" w:cs="Times New Roman"/>
          <w:snapToGrid w:val="0"/>
          <w:color w:val="auto"/>
          <w:spacing w:val="-6"/>
          <w:kern w:val="21"/>
          <w:sz w:val="21"/>
          <w:szCs w:val="21"/>
        </w:rPr>
        <w:t>-</w:t>
      </w:r>
      <w:r>
        <w:rPr>
          <w:rFonts w:hint="default" w:ascii="Times New Roman" w:hAnsi="Times New Roman" w:eastAsia="黑体" w:cs="Times New Roman"/>
          <w:snapToGrid w:val="0"/>
          <w:color w:val="auto"/>
          <w:spacing w:val="-16"/>
          <w:kern w:val="21"/>
          <w:sz w:val="21"/>
          <w:szCs w:val="21"/>
        </w:rPr>
        <w:fldChar w:fldCharType="begin"/>
      </w:r>
      <w:r>
        <w:rPr>
          <w:rFonts w:hint="default" w:ascii="Times New Roman" w:hAnsi="Times New Roman" w:eastAsia="黑体" w:cs="Times New Roman"/>
          <w:snapToGrid w:val="0"/>
          <w:color w:val="auto"/>
          <w:spacing w:val="-16"/>
          <w:kern w:val="21"/>
          <w:sz w:val="21"/>
          <w:szCs w:val="21"/>
        </w:rPr>
        <w:instrText xml:space="preserve"> = 5 \* GB3 \* MERGEFORMAT </w:instrText>
      </w:r>
      <w:r>
        <w:rPr>
          <w:rFonts w:hint="default" w:ascii="Times New Roman" w:hAnsi="Times New Roman" w:eastAsia="黑体" w:cs="Times New Roman"/>
          <w:snapToGrid w:val="0"/>
          <w:color w:val="auto"/>
          <w:spacing w:val="-16"/>
          <w:kern w:val="21"/>
          <w:sz w:val="21"/>
          <w:szCs w:val="21"/>
        </w:rPr>
        <w:fldChar w:fldCharType="separate"/>
      </w:r>
      <w:r>
        <w:rPr>
          <w:rFonts w:hint="default" w:ascii="Times New Roman" w:hAnsi="Times New Roman" w:eastAsia="黑体" w:cs="Times New Roman"/>
          <w:color w:val="auto"/>
          <w:sz w:val="21"/>
          <w:szCs w:val="21"/>
        </w:rPr>
        <w:t>⑤</w:t>
      </w:r>
      <w:r>
        <w:rPr>
          <w:rFonts w:hint="default" w:ascii="Times New Roman" w:hAnsi="Times New Roman" w:eastAsia="黑体" w:cs="Times New Roman"/>
          <w:snapToGrid w:val="0"/>
          <w:color w:val="auto"/>
          <w:spacing w:val="-16"/>
          <w:kern w:val="21"/>
          <w:sz w:val="21"/>
          <w:szCs w:val="21"/>
        </w:rPr>
        <w:fldChar w:fldCharType="end"/>
      </w:r>
      <w:r>
        <w:rPr>
          <w:rFonts w:hint="default" w:ascii="Times New Roman" w:hAnsi="Times New Roman" w:eastAsia="黑体" w:cs="Times New Roman"/>
          <w:snapToGrid w:val="0"/>
          <w:color w:val="auto"/>
          <w:spacing w:val="-16"/>
          <w:kern w:val="21"/>
          <w:sz w:val="21"/>
          <w:szCs w:val="21"/>
        </w:rPr>
        <w:t>；</w:t>
      </w:r>
      <w:r>
        <w:rPr>
          <w:rFonts w:hint="default" w:ascii="Times New Roman" w:hAnsi="Times New Roman" w:eastAsia="黑体" w:cs="Times New Roman"/>
          <w:snapToGrid w:val="0"/>
          <w:color w:val="auto"/>
          <w:spacing w:val="-6"/>
          <w:kern w:val="21"/>
          <w:sz w:val="21"/>
          <w:szCs w:val="21"/>
        </w:rPr>
        <w:fldChar w:fldCharType="begin"/>
      </w:r>
      <w:r>
        <w:rPr>
          <w:rFonts w:hint="default" w:ascii="Times New Roman" w:hAnsi="Times New Roman" w:eastAsia="黑体" w:cs="Times New Roman"/>
          <w:snapToGrid w:val="0"/>
          <w:color w:val="auto"/>
          <w:spacing w:val="-6"/>
          <w:kern w:val="21"/>
          <w:sz w:val="21"/>
          <w:szCs w:val="21"/>
        </w:rPr>
        <w:instrText xml:space="preserve"> = 7 \* GB3 \* MERGEFORMAT </w:instrText>
      </w:r>
      <w:r>
        <w:rPr>
          <w:rFonts w:hint="default" w:ascii="Times New Roman" w:hAnsi="Times New Roman" w:eastAsia="黑体" w:cs="Times New Roman"/>
          <w:snapToGrid w:val="0"/>
          <w:color w:val="auto"/>
          <w:spacing w:val="-6"/>
          <w:kern w:val="21"/>
          <w:sz w:val="21"/>
          <w:szCs w:val="21"/>
        </w:rPr>
        <w:fldChar w:fldCharType="separate"/>
      </w:r>
      <w:r>
        <w:rPr>
          <w:rFonts w:hint="default" w:ascii="Times New Roman" w:hAnsi="Times New Roman" w:eastAsia="黑体" w:cs="Times New Roman"/>
          <w:color w:val="auto"/>
          <w:sz w:val="21"/>
          <w:szCs w:val="21"/>
        </w:rPr>
        <w:t>⑦</w:t>
      </w:r>
      <w:r>
        <w:rPr>
          <w:rFonts w:hint="default" w:ascii="Times New Roman" w:hAnsi="Times New Roman" w:eastAsia="黑体" w:cs="Times New Roman"/>
          <w:snapToGrid w:val="0"/>
          <w:color w:val="auto"/>
          <w:spacing w:val="-6"/>
          <w:kern w:val="21"/>
          <w:sz w:val="21"/>
          <w:szCs w:val="21"/>
        </w:rPr>
        <w:fldChar w:fldCharType="end"/>
      </w:r>
      <w:r>
        <w:rPr>
          <w:rFonts w:hint="default" w:ascii="Times New Roman" w:hAnsi="Times New Roman" w:eastAsia="黑体" w:cs="Times New Roman"/>
          <w:snapToGrid w:val="0"/>
          <w:color w:val="auto"/>
          <w:spacing w:val="-6"/>
          <w:kern w:val="21"/>
          <w:sz w:val="21"/>
          <w:szCs w:val="21"/>
        </w:rPr>
        <w:t>=</w:t>
      </w:r>
      <w:r>
        <w:rPr>
          <w:rFonts w:hint="default" w:ascii="Times New Roman" w:hAnsi="Times New Roman" w:eastAsia="黑体" w:cs="Times New Roman"/>
          <w:snapToGrid w:val="0"/>
          <w:color w:val="auto"/>
          <w:spacing w:val="-16"/>
          <w:kern w:val="21"/>
          <w:sz w:val="21"/>
          <w:szCs w:val="21"/>
        </w:rPr>
        <w:fldChar w:fldCharType="begin"/>
      </w:r>
      <w:r>
        <w:rPr>
          <w:rFonts w:hint="default" w:ascii="Times New Roman" w:hAnsi="Times New Roman" w:eastAsia="黑体" w:cs="Times New Roman"/>
          <w:snapToGrid w:val="0"/>
          <w:color w:val="auto"/>
          <w:spacing w:val="-16"/>
          <w:kern w:val="21"/>
          <w:sz w:val="21"/>
          <w:szCs w:val="21"/>
        </w:rPr>
        <w:instrText xml:space="preserve"> = 6 \* GB3 \* MERGEFORMAT </w:instrText>
      </w:r>
      <w:r>
        <w:rPr>
          <w:rFonts w:hint="default" w:ascii="Times New Roman" w:hAnsi="Times New Roman" w:eastAsia="黑体" w:cs="Times New Roman"/>
          <w:snapToGrid w:val="0"/>
          <w:color w:val="auto"/>
          <w:spacing w:val="-16"/>
          <w:kern w:val="21"/>
          <w:sz w:val="21"/>
          <w:szCs w:val="21"/>
        </w:rPr>
        <w:fldChar w:fldCharType="separate"/>
      </w:r>
      <w:r>
        <w:rPr>
          <w:rFonts w:hint="default" w:ascii="Times New Roman" w:hAnsi="Times New Roman" w:eastAsia="黑体" w:cs="Times New Roman"/>
          <w:color w:val="auto"/>
          <w:sz w:val="21"/>
          <w:szCs w:val="21"/>
        </w:rPr>
        <w:t>⑥</w:t>
      </w:r>
      <w:r>
        <w:rPr>
          <w:rFonts w:hint="default" w:ascii="Times New Roman" w:hAnsi="Times New Roman" w:eastAsia="黑体" w:cs="Times New Roman"/>
          <w:snapToGrid w:val="0"/>
          <w:color w:val="auto"/>
          <w:spacing w:val="-16"/>
          <w:kern w:val="21"/>
          <w:sz w:val="21"/>
          <w:szCs w:val="21"/>
        </w:rPr>
        <w:fldChar w:fldCharType="end"/>
      </w:r>
      <w:r>
        <w:rPr>
          <w:rFonts w:hint="default" w:ascii="Times New Roman" w:hAnsi="Times New Roman" w:eastAsia="黑体" w:cs="Times New Roman"/>
          <w:snapToGrid w:val="0"/>
          <w:color w:val="auto"/>
          <w:spacing w:val="-16"/>
          <w:kern w:val="21"/>
          <w:sz w:val="21"/>
          <w:szCs w:val="21"/>
        </w:rPr>
        <w:t>-</w:t>
      </w:r>
      <w:r>
        <w:rPr>
          <w:rFonts w:hint="default" w:ascii="Times New Roman" w:hAnsi="Times New Roman" w:eastAsia="黑体" w:cs="Times New Roman"/>
          <w:snapToGrid w:val="0"/>
          <w:color w:val="auto"/>
          <w:spacing w:val="-6"/>
          <w:kern w:val="21"/>
          <w:sz w:val="21"/>
          <w:szCs w:val="21"/>
        </w:rPr>
        <w:fldChar w:fldCharType="begin"/>
      </w:r>
      <w:r>
        <w:rPr>
          <w:rFonts w:hint="default" w:ascii="Times New Roman" w:hAnsi="Times New Roman" w:eastAsia="黑体" w:cs="Times New Roman"/>
          <w:snapToGrid w:val="0"/>
          <w:color w:val="auto"/>
          <w:spacing w:val="-6"/>
          <w:kern w:val="21"/>
          <w:sz w:val="21"/>
          <w:szCs w:val="21"/>
        </w:rPr>
        <w:instrText xml:space="preserve"> = 1 \* GB3 \* MERGEFORMAT </w:instrText>
      </w:r>
      <w:r>
        <w:rPr>
          <w:rFonts w:hint="default" w:ascii="Times New Roman" w:hAnsi="Times New Roman" w:eastAsia="黑体" w:cs="Times New Roman"/>
          <w:snapToGrid w:val="0"/>
          <w:color w:val="auto"/>
          <w:spacing w:val="-6"/>
          <w:kern w:val="21"/>
          <w:sz w:val="21"/>
          <w:szCs w:val="21"/>
        </w:rPr>
        <w:fldChar w:fldCharType="separate"/>
      </w:r>
      <w:r>
        <w:rPr>
          <w:rFonts w:hint="default" w:ascii="Times New Roman" w:hAnsi="Times New Roman" w:eastAsia="黑体" w:cs="Times New Roman"/>
          <w:color w:val="auto"/>
          <w:sz w:val="21"/>
          <w:szCs w:val="21"/>
        </w:rPr>
        <w:t>①</w:t>
      </w:r>
      <w:r>
        <w:rPr>
          <w:rFonts w:hint="default" w:ascii="Times New Roman" w:hAnsi="Times New Roman" w:eastAsia="黑体" w:cs="Times New Roman"/>
          <w:snapToGrid w:val="0"/>
          <w:color w:val="auto"/>
          <w:spacing w:val="-6"/>
          <w:kern w:val="21"/>
          <w:sz w:val="21"/>
          <w:szCs w:val="21"/>
        </w:rPr>
        <w:fldChar w:fldCharType="end"/>
      </w: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康简仿宋">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font404">
    <w:altName w:val="Arial"/>
    <w:panose1 w:val="00000000000000000000"/>
    <w:charset w:val="00"/>
    <w:family w:val="swiss"/>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38"/>
      </w:rPr>
    </w:pPr>
    <w:r>
      <w:fldChar w:fldCharType="begin"/>
    </w:r>
    <w:r>
      <w:rPr>
        <w:rStyle w:val="38"/>
      </w:rPr>
      <w:instrText xml:space="preserve">PAGE  </w:instrText>
    </w:r>
    <w:r>
      <w:fldChar w:fldCharType="end"/>
    </w:r>
  </w:p>
  <w:p>
    <w:pPr>
      <w:pStyle w:val="2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Style w:val="38"/>
                              <w:rFonts w:ascii="宋体" w:hAnsi="宋体"/>
                              <w:sz w:val="28"/>
                              <w:szCs w:val="28"/>
                            </w:rPr>
                          </w:pPr>
                          <w:r>
                            <w:rPr>
                              <w:rStyle w:val="38"/>
                              <w:rFonts w:hint="eastAsia" w:ascii="宋体" w:hAnsi="宋体"/>
                              <w:sz w:val="28"/>
                              <w:szCs w:val="28"/>
                            </w:rPr>
                            <w:t>—</w:t>
                          </w:r>
                          <w:r>
                            <w:rPr>
                              <w:rStyle w:val="38"/>
                              <w:rFonts w:hint="eastAsia" w:ascii="宋体" w:hAnsi="宋体"/>
                              <w:sz w:val="20"/>
                            </w:rPr>
                            <w:t xml:space="preserve">  </w:t>
                          </w:r>
                          <w:r>
                            <w:rPr>
                              <w:rStyle w:val="38"/>
                              <w:rFonts w:hint="default" w:ascii="Times New Roman" w:hAnsi="Times New Roman" w:cs="Times New Roman"/>
                              <w:sz w:val="21"/>
                              <w:szCs w:val="21"/>
                            </w:rPr>
                            <w:fldChar w:fldCharType="begin"/>
                          </w:r>
                          <w:r>
                            <w:rPr>
                              <w:rStyle w:val="38"/>
                              <w:rFonts w:hint="default" w:ascii="Times New Roman" w:hAnsi="Times New Roman" w:cs="Times New Roman"/>
                              <w:sz w:val="21"/>
                              <w:szCs w:val="21"/>
                            </w:rPr>
                            <w:instrText xml:space="preserve">PAGE  </w:instrText>
                          </w:r>
                          <w:r>
                            <w:rPr>
                              <w:rStyle w:val="38"/>
                              <w:rFonts w:hint="default" w:ascii="Times New Roman" w:hAnsi="Times New Roman" w:cs="Times New Roman"/>
                              <w:sz w:val="21"/>
                              <w:szCs w:val="21"/>
                            </w:rPr>
                            <w:fldChar w:fldCharType="separate"/>
                          </w:r>
                          <w:r>
                            <w:rPr>
                              <w:rStyle w:val="38"/>
                              <w:rFonts w:hint="default" w:ascii="Times New Roman" w:hAnsi="Times New Roman" w:cs="Times New Roman"/>
                              <w:sz w:val="21"/>
                              <w:szCs w:val="21"/>
                            </w:rPr>
                            <w:t>39</w:t>
                          </w:r>
                          <w:r>
                            <w:rPr>
                              <w:rStyle w:val="38"/>
                              <w:rFonts w:hint="default" w:ascii="Times New Roman" w:hAnsi="Times New Roman" w:cs="Times New Roman"/>
                              <w:sz w:val="21"/>
                              <w:szCs w:val="21"/>
                            </w:rPr>
                            <w:fldChar w:fldCharType="end"/>
                          </w:r>
                          <w:r>
                            <w:rPr>
                              <w:rStyle w:val="38"/>
                              <w:rFonts w:hint="default" w:ascii="Times New Roman" w:hAnsi="Times New Roman" w:cs="Times New Roman"/>
                              <w:sz w:val="21"/>
                              <w:szCs w:val="21"/>
                            </w:rPr>
                            <w:t xml:space="preserve"> </w:t>
                          </w:r>
                          <w:r>
                            <w:rPr>
                              <w:rStyle w:val="38"/>
                              <w:rFonts w:hint="eastAsia" w:ascii="宋体" w:hAnsi="宋体"/>
                              <w:sz w:val="20"/>
                            </w:rPr>
                            <w:t xml:space="preserve"> </w:t>
                          </w:r>
                          <w:r>
                            <w:rPr>
                              <w:rStyle w:val="38"/>
                              <w:rFonts w:hint="eastAsia" w:ascii="宋体" w:hAnsi="宋体"/>
                              <w:sz w:val="28"/>
                              <w:szCs w:val="28"/>
                            </w:rPr>
                            <w:t>—</w:t>
                          </w:r>
                        </w:p>
                      </w:txbxContent>
                    </wps:txbx>
                    <wps:bodyPr wrap="none" lIns="0" tIns="0" rIns="0" bIns="0" upright="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D/NcsBAACcAwAADgAAAGRycy9lMm9Eb2MueG1srVPNjtMwEL4j8Q6W&#10;79TZrkB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8pcdziwM8/vp9//j7/+kaW&#10;1e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XA/zXLAQAAnAMAAA4AAAAAAAAAAQAgAAAAHgEAAGRycy9lMm9E&#10;b2MueG1sUEsFBgAAAAAGAAYAWQEAAFsFAAAAAA==&#10;">
              <v:fill on="f" focussize="0,0"/>
              <v:stroke on="f"/>
              <v:imagedata o:title=""/>
              <o:lock v:ext="edit" aspectratio="f"/>
              <v:textbox inset="0mm,0mm,0mm,0mm" style="mso-fit-shape-to-text:t;">
                <w:txbxContent>
                  <w:p>
                    <w:pPr>
                      <w:pStyle w:val="24"/>
                      <w:rPr>
                        <w:rStyle w:val="38"/>
                        <w:rFonts w:ascii="宋体" w:hAnsi="宋体"/>
                        <w:sz w:val="28"/>
                        <w:szCs w:val="28"/>
                      </w:rPr>
                    </w:pPr>
                    <w:r>
                      <w:rPr>
                        <w:rStyle w:val="38"/>
                        <w:rFonts w:hint="eastAsia" w:ascii="宋体" w:hAnsi="宋体"/>
                        <w:sz w:val="28"/>
                        <w:szCs w:val="28"/>
                      </w:rPr>
                      <w:t>—</w:t>
                    </w:r>
                    <w:r>
                      <w:rPr>
                        <w:rStyle w:val="38"/>
                        <w:rFonts w:hint="eastAsia" w:ascii="宋体" w:hAnsi="宋体"/>
                        <w:sz w:val="20"/>
                      </w:rPr>
                      <w:t xml:space="preserve">  </w:t>
                    </w:r>
                    <w:r>
                      <w:rPr>
                        <w:rStyle w:val="38"/>
                        <w:rFonts w:hint="default" w:ascii="Times New Roman" w:hAnsi="Times New Roman" w:cs="Times New Roman"/>
                        <w:sz w:val="21"/>
                        <w:szCs w:val="21"/>
                      </w:rPr>
                      <w:fldChar w:fldCharType="begin"/>
                    </w:r>
                    <w:r>
                      <w:rPr>
                        <w:rStyle w:val="38"/>
                        <w:rFonts w:hint="default" w:ascii="Times New Roman" w:hAnsi="Times New Roman" w:cs="Times New Roman"/>
                        <w:sz w:val="21"/>
                        <w:szCs w:val="21"/>
                      </w:rPr>
                      <w:instrText xml:space="preserve">PAGE  </w:instrText>
                    </w:r>
                    <w:r>
                      <w:rPr>
                        <w:rStyle w:val="38"/>
                        <w:rFonts w:hint="default" w:ascii="Times New Roman" w:hAnsi="Times New Roman" w:cs="Times New Roman"/>
                        <w:sz w:val="21"/>
                        <w:szCs w:val="21"/>
                      </w:rPr>
                      <w:fldChar w:fldCharType="separate"/>
                    </w:r>
                    <w:r>
                      <w:rPr>
                        <w:rStyle w:val="38"/>
                        <w:rFonts w:hint="default" w:ascii="Times New Roman" w:hAnsi="Times New Roman" w:cs="Times New Roman"/>
                        <w:sz w:val="21"/>
                        <w:szCs w:val="21"/>
                      </w:rPr>
                      <w:t>39</w:t>
                    </w:r>
                    <w:r>
                      <w:rPr>
                        <w:rStyle w:val="38"/>
                        <w:rFonts w:hint="default" w:ascii="Times New Roman" w:hAnsi="Times New Roman" w:cs="Times New Roman"/>
                        <w:sz w:val="21"/>
                        <w:szCs w:val="21"/>
                      </w:rPr>
                      <w:fldChar w:fldCharType="end"/>
                    </w:r>
                    <w:r>
                      <w:rPr>
                        <w:rStyle w:val="38"/>
                        <w:rFonts w:hint="default" w:ascii="Times New Roman" w:hAnsi="Times New Roman" w:cs="Times New Roman"/>
                        <w:sz w:val="21"/>
                        <w:szCs w:val="21"/>
                      </w:rPr>
                      <w:t xml:space="preserve"> </w:t>
                    </w:r>
                    <w:r>
                      <w:rPr>
                        <w:rStyle w:val="38"/>
                        <w:rFonts w:hint="eastAsia" w:ascii="宋体" w:hAnsi="宋体"/>
                        <w:sz w:val="20"/>
                      </w:rPr>
                      <w:t xml:space="preserve"> </w:t>
                    </w:r>
                    <w:r>
                      <w:rPr>
                        <w:rStyle w:val="38"/>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rPr>
                              <w:rStyle w:val="38"/>
                              <w:rFonts w:ascii="宋体" w:hAnsi="宋体"/>
                              <w:sz w:val="28"/>
                              <w:szCs w:val="28"/>
                            </w:rPr>
                          </w:pPr>
                          <w:r>
                            <w:rPr>
                              <w:rStyle w:val="38"/>
                              <w:rFonts w:hint="eastAsia" w:ascii="宋体" w:hAnsi="宋体"/>
                              <w:sz w:val="28"/>
                              <w:szCs w:val="28"/>
                            </w:rPr>
                            <w:t>—</w:t>
                          </w:r>
                          <w:r>
                            <w:rPr>
                              <w:rStyle w:val="38"/>
                              <w:rFonts w:hint="eastAsia" w:ascii="宋体" w:hAnsi="宋体"/>
                              <w:sz w:val="20"/>
                            </w:rPr>
                            <w:t xml:space="preserve">  </w:t>
                          </w:r>
                          <w:r>
                            <w:rPr>
                              <w:rStyle w:val="38"/>
                              <w:rFonts w:hint="default" w:ascii="Times New Roman" w:hAnsi="Times New Roman" w:cs="Times New Roman"/>
                              <w:sz w:val="21"/>
                              <w:szCs w:val="21"/>
                            </w:rPr>
                            <w:fldChar w:fldCharType="begin"/>
                          </w:r>
                          <w:r>
                            <w:rPr>
                              <w:rStyle w:val="38"/>
                              <w:rFonts w:hint="default" w:ascii="Times New Roman" w:hAnsi="Times New Roman" w:cs="Times New Roman"/>
                              <w:sz w:val="21"/>
                              <w:szCs w:val="21"/>
                            </w:rPr>
                            <w:instrText xml:space="preserve">PAGE  </w:instrText>
                          </w:r>
                          <w:r>
                            <w:rPr>
                              <w:rStyle w:val="38"/>
                              <w:rFonts w:hint="default" w:ascii="Times New Roman" w:hAnsi="Times New Roman" w:cs="Times New Roman"/>
                              <w:sz w:val="21"/>
                              <w:szCs w:val="21"/>
                            </w:rPr>
                            <w:fldChar w:fldCharType="separate"/>
                          </w:r>
                          <w:r>
                            <w:rPr>
                              <w:rStyle w:val="38"/>
                              <w:rFonts w:hint="default" w:ascii="Times New Roman" w:hAnsi="Times New Roman" w:cs="Times New Roman"/>
                              <w:sz w:val="21"/>
                              <w:szCs w:val="21"/>
                            </w:rPr>
                            <w:t>41</w:t>
                          </w:r>
                          <w:r>
                            <w:rPr>
                              <w:rStyle w:val="38"/>
                              <w:rFonts w:hint="default" w:ascii="Times New Roman" w:hAnsi="Times New Roman" w:cs="Times New Roman"/>
                              <w:sz w:val="21"/>
                              <w:szCs w:val="21"/>
                            </w:rPr>
                            <w:fldChar w:fldCharType="end"/>
                          </w:r>
                          <w:r>
                            <w:rPr>
                              <w:rStyle w:val="38"/>
                              <w:rFonts w:hint="eastAsia" w:ascii="宋体" w:hAnsi="宋体"/>
                              <w:sz w:val="20"/>
                            </w:rPr>
                            <w:t xml:space="preserve">  </w:t>
                          </w:r>
                          <w:r>
                            <w:rPr>
                              <w:rStyle w:val="38"/>
                              <w:rFonts w:hint="eastAsia" w:ascii="宋体" w:hAnsi="宋体"/>
                              <w:sz w:val="28"/>
                              <w:szCs w:val="28"/>
                            </w:rPr>
                            <w:t>—</w:t>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HNMsBAACcAwAADgAAAGRycy9lMm9Eb2MueG1srVPNjtMwEL4j8Q6W&#10;79TZSkVV1HQFqhYhIUBaeADXsRtL/pPHbdIXgDfgxIU7z9XnYOwk3WW57IGLM54ZfzPfN5PN7WAN&#10;OckI2ruG3iwqSqQTvtXu0NCvX+5erSmBxF3LjXeyoWcJ9Hb78sWmD7Vc+s6bVkaCIA7qPjS0SynU&#10;jIHopOWw8EE6DCofLU94jQfWRt4jujVsWVWvWe9jG6IXEgC9uzFIJ8T4HECvlBZy58XRSpdG1CgN&#10;T0gJOh2Abku3SkmRPikFMhHTUGSayolF0N7nk203vD5EHjotphb4c1p4wsly7bDoFWrHEyfHqP+B&#10;slpED16lhfCWjUSKIsjipnqizX3HgyxcUGoIV9Hh/8GKj6fPkei2oStKHLc48MuP75efvy+/vpFl&#10;tVplhfoANSbeB0xNw1s/4N7MfkBnJj6oaPMXKRGMo77nq75ySETkR+vl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vgRzTLAQAAnAMAAA4AAAAAAAAAAQAgAAAAHgEAAGRycy9lMm9E&#10;b2MueG1sUEsFBgAAAAAGAAYAWQEAAFsFAAAAAA==&#10;">
              <v:fill on="f" focussize="0,0"/>
              <v:stroke on="f"/>
              <v:imagedata o:title=""/>
              <o:lock v:ext="edit" aspectratio="f"/>
              <v:textbox inset="0mm,0mm,0mm,0mm" style="mso-fit-shape-to-text:t;">
                <w:txbxContent>
                  <w:p>
                    <w:pPr>
                      <w:pStyle w:val="24"/>
                      <w:rPr>
                        <w:rStyle w:val="38"/>
                        <w:rFonts w:ascii="宋体" w:hAnsi="宋体"/>
                        <w:sz w:val="28"/>
                        <w:szCs w:val="28"/>
                      </w:rPr>
                    </w:pPr>
                    <w:r>
                      <w:rPr>
                        <w:rStyle w:val="38"/>
                        <w:rFonts w:hint="eastAsia" w:ascii="宋体" w:hAnsi="宋体"/>
                        <w:sz w:val="28"/>
                        <w:szCs w:val="28"/>
                      </w:rPr>
                      <w:t>—</w:t>
                    </w:r>
                    <w:r>
                      <w:rPr>
                        <w:rStyle w:val="38"/>
                        <w:rFonts w:hint="eastAsia" w:ascii="宋体" w:hAnsi="宋体"/>
                        <w:sz w:val="20"/>
                      </w:rPr>
                      <w:t xml:space="preserve">  </w:t>
                    </w:r>
                    <w:r>
                      <w:rPr>
                        <w:rStyle w:val="38"/>
                        <w:rFonts w:hint="default" w:ascii="Times New Roman" w:hAnsi="Times New Roman" w:cs="Times New Roman"/>
                        <w:sz w:val="21"/>
                        <w:szCs w:val="21"/>
                      </w:rPr>
                      <w:fldChar w:fldCharType="begin"/>
                    </w:r>
                    <w:r>
                      <w:rPr>
                        <w:rStyle w:val="38"/>
                        <w:rFonts w:hint="default" w:ascii="Times New Roman" w:hAnsi="Times New Roman" w:cs="Times New Roman"/>
                        <w:sz w:val="21"/>
                        <w:szCs w:val="21"/>
                      </w:rPr>
                      <w:instrText xml:space="preserve">PAGE  </w:instrText>
                    </w:r>
                    <w:r>
                      <w:rPr>
                        <w:rStyle w:val="38"/>
                        <w:rFonts w:hint="default" w:ascii="Times New Roman" w:hAnsi="Times New Roman" w:cs="Times New Roman"/>
                        <w:sz w:val="21"/>
                        <w:szCs w:val="21"/>
                      </w:rPr>
                      <w:fldChar w:fldCharType="separate"/>
                    </w:r>
                    <w:r>
                      <w:rPr>
                        <w:rStyle w:val="38"/>
                        <w:rFonts w:hint="default" w:ascii="Times New Roman" w:hAnsi="Times New Roman" w:cs="Times New Roman"/>
                        <w:sz w:val="21"/>
                        <w:szCs w:val="21"/>
                      </w:rPr>
                      <w:t>41</w:t>
                    </w:r>
                    <w:r>
                      <w:rPr>
                        <w:rStyle w:val="38"/>
                        <w:rFonts w:hint="default" w:ascii="Times New Roman" w:hAnsi="Times New Roman" w:cs="Times New Roman"/>
                        <w:sz w:val="21"/>
                        <w:szCs w:val="21"/>
                      </w:rPr>
                      <w:fldChar w:fldCharType="end"/>
                    </w:r>
                    <w:r>
                      <w:rPr>
                        <w:rStyle w:val="38"/>
                        <w:rFonts w:hint="eastAsia" w:ascii="宋体" w:hAnsi="宋体"/>
                        <w:sz w:val="20"/>
                      </w:rPr>
                      <w:t xml:space="preserve">  </w:t>
                    </w:r>
                    <w:r>
                      <w:rPr>
                        <w:rStyle w:val="38"/>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588FCA"/>
    <w:multiLevelType w:val="singleLevel"/>
    <w:tmpl w:val="B8588FCA"/>
    <w:lvl w:ilvl="0" w:tentative="0">
      <w:start w:val="5"/>
      <w:numFmt w:val="decimal"/>
      <w:suff w:val="nothing"/>
      <w:lvlText w:val="（%1）"/>
      <w:lvlJc w:val="left"/>
    </w:lvl>
  </w:abstractNum>
  <w:abstractNum w:abstractNumId="1">
    <w:nsid w:val="5C4495FD"/>
    <w:multiLevelType w:val="singleLevel"/>
    <w:tmpl w:val="5C4495FD"/>
    <w:lvl w:ilvl="0" w:tentative="0">
      <w:start w:val="1"/>
      <w:numFmt w:val="bullet"/>
      <w:pStyle w:val="19"/>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NGE4MzNiOGE2MTZmMzllNjIxMjk2ZjIwNWUyMzAifQ=="/>
  </w:docVars>
  <w:rsids>
    <w:rsidRoot w:val="00172A2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2A5B"/>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23B7"/>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37B3"/>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B19F9"/>
    <w:rsid w:val="004E6946"/>
    <w:rsid w:val="004F1AD8"/>
    <w:rsid w:val="005039CB"/>
    <w:rsid w:val="0050558F"/>
    <w:rsid w:val="00506286"/>
    <w:rsid w:val="00510813"/>
    <w:rsid w:val="00511990"/>
    <w:rsid w:val="00511DE0"/>
    <w:rsid w:val="00514870"/>
    <w:rsid w:val="00514B9B"/>
    <w:rsid w:val="00517F02"/>
    <w:rsid w:val="00524303"/>
    <w:rsid w:val="005258A2"/>
    <w:rsid w:val="0053382A"/>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7629B"/>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56D6"/>
    <w:rsid w:val="009B7BD9"/>
    <w:rsid w:val="009C5AD3"/>
    <w:rsid w:val="009C7DD5"/>
    <w:rsid w:val="009E227D"/>
    <w:rsid w:val="009E4970"/>
    <w:rsid w:val="009E5019"/>
    <w:rsid w:val="00A04F1B"/>
    <w:rsid w:val="00A0501B"/>
    <w:rsid w:val="00A14947"/>
    <w:rsid w:val="00A218DA"/>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790"/>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66F81"/>
    <w:rsid w:val="01115D59"/>
    <w:rsid w:val="011A023E"/>
    <w:rsid w:val="01237F64"/>
    <w:rsid w:val="01290F7E"/>
    <w:rsid w:val="01326E6D"/>
    <w:rsid w:val="013B19E1"/>
    <w:rsid w:val="01516AFC"/>
    <w:rsid w:val="015D1E09"/>
    <w:rsid w:val="016A5FF6"/>
    <w:rsid w:val="01F03A88"/>
    <w:rsid w:val="01F52E96"/>
    <w:rsid w:val="02064240"/>
    <w:rsid w:val="02186010"/>
    <w:rsid w:val="023F521C"/>
    <w:rsid w:val="02470986"/>
    <w:rsid w:val="024E3349"/>
    <w:rsid w:val="02697903"/>
    <w:rsid w:val="028419D8"/>
    <w:rsid w:val="02A00FC9"/>
    <w:rsid w:val="02B20F86"/>
    <w:rsid w:val="02CC43B9"/>
    <w:rsid w:val="02DE0E3A"/>
    <w:rsid w:val="02E132C9"/>
    <w:rsid w:val="02E4100B"/>
    <w:rsid w:val="02F96569"/>
    <w:rsid w:val="03086AA8"/>
    <w:rsid w:val="030F7AB8"/>
    <w:rsid w:val="031D4A56"/>
    <w:rsid w:val="031F2043"/>
    <w:rsid w:val="032F3C6E"/>
    <w:rsid w:val="033C563D"/>
    <w:rsid w:val="035853E7"/>
    <w:rsid w:val="03595265"/>
    <w:rsid w:val="0370464D"/>
    <w:rsid w:val="037938CF"/>
    <w:rsid w:val="037F4A10"/>
    <w:rsid w:val="03833484"/>
    <w:rsid w:val="0389688F"/>
    <w:rsid w:val="03A273ED"/>
    <w:rsid w:val="03C373FC"/>
    <w:rsid w:val="03E65FF9"/>
    <w:rsid w:val="03EA7B21"/>
    <w:rsid w:val="03EF33BB"/>
    <w:rsid w:val="04135173"/>
    <w:rsid w:val="04177C33"/>
    <w:rsid w:val="042F058B"/>
    <w:rsid w:val="04390EE3"/>
    <w:rsid w:val="04776990"/>
    <w:rsid w:val="047D0EAF"/>
    <w:rsid w:val="04973836"/>
    <w:rsid w:val="04A21AE0"/>
    <w:rsid w:val="04BF588C"/>
    <w:rsid w:val="04D01847"/>
    <w:rsid w:val="04E55845"/>
    <w:rsid w:val="050740D1"/>
    <w:rsid w:val="050C030E"/>
    <w:rsid w:val="052C2D4C"/>
    <w:rsid w:val="05671B52"/>
    <w:rsid w:val="056D1CD0"/>
    <w:rsid w:val="05793C8D"/>
    <w:rsid w:val="058446F5"/>
    <w:rsid w:val="05C446B3"/>
    <w:rsid w:val="05E26769"/>
    <w:rsid w:val="05E32870"/>
    <w:rsid w:val="05E60A62"/>
    <w:rsid w:val="05F83EAE"/>
    <w:rsid w:val="05FB5915"/>
    <w:rsid w:val="06014FB3"/>
    <w:rsid w:val="06103112"/>
    <w:rsid w:val="06113CCC"/>
    <w:rsid w:val="061A5737"/>
    <w:rsid w:val="062E57F5"/>
    <w:rsid w:val="063D6AF5"/>
    <w:rsid w:val="063E7D85"/>
    <w:rsid w:val="066D77BA"/>
    <w:rsid w:val="06900A39"/>
    <w:rsid w:val="0691257D"/>
    <w:rsid w:val="06A0751F"/>
    <w:rsid w:val="06A6537C"/>
    <w:rsid w:val="06A876A1"/>
    <w:rsid w:val="06B12DDE"/>
    <w:rsid w:val="06C0461E"/>
    <w:rsid w:val="06E71DD8"/>
    <w:rsid w:val="06E75A10"/>
    <w:rsid w:val="07074F4C"/>
    <w:rsid w:val="071D2057"/>
    <w:rsid w:val="07293586"/>
    <w:rsid w:val="07295285"/>
    <w:rsid w:val="073D0531"/>
    <w:rsid w:val="07413D40"/>
    <w:rsid w:val="074B0D61"/>
    <w:rsid w:val="07595872"/>
    <w:rsid w:val="075C0730"/>
    <w:rsid w:val="075C0E69"/>
    <w:rsid w:val="07636392"/>
    <w:rsid w:val="0768045A"/>
    <w:rsid w:val="07770C56"/>
    <w:rsid w:val="07822F4B"/>
    <w:rsid w:val="078267A4"/>
    <w:rsid w:val="07891C05"/>
    <w:rsid w:val="07A02110"/>
    <w:rsid w:val="07B8009B"/>
    <w:rsid w:val="07D57E19"/>
    <w:rsid w:val="07F47E42"/>
    <w:rsid w:val="07FC2667"/>
    <w:rsid w:val="08124351"/>
    <w:rsid w:val="08195A05"/>
    <w:rsid w:val="083A419B"/>
    <w:rsid w:val="08400A92"/>
    <w:rsid w:val="08587E19"/>
    <w:rsid w:val="08647BE8"/>
    <w:rsid w:val="08702488"/>
    <w:rsid w:val="08802783"/>
    <w:rsid w:val="08AA73BC"/>
    <w:rsid w:val="08C42208"/>
    <w:rsid w:val="08DD1182"/>
    <w:rsid w:val="08E210FE"/>
    <w:rsid w:val="08EC0D76"/>
    <w:rsid w:val="08FF5DB8"/>
    <w:rsid w:val="091A4D08"/>
    <w:rsid w:val="09216849"/>
    <w:rsid w:val="092217DD"/>
    <w:rsid w:val="093A7294"/>
    <w:rsid w:val="093D79DC"/>
    <w:rsid w:val="095348DC"/>
    <w:rsid w:val="095572A1"/>
    <w:rsid w:val="09753EF0"/>
    <w:rsid w:val="097B3C06"/>
    <w:rsid w:val="099D3F60"/>
    <w:rsid w:val="099F67BF"/>
    <w:rsid w:val="09C556F2"/>
    <w:rsid w:val="09DA302F"/>
    <w:rsid w:val="09F44329"/>
    <w:rsid w:val="09F75AC8"/>
    <w:rsid w:val="0A102BFE"/>
    <w:rsid w:val="0A263993"/>
    <w:rsid w:val="0A2A1D27"/>
    <w:rsid w:val="0A2D3AC2"/>
    <w:rsid w:val="0A3C3DBE"/>
    <w:rsid w:val="0A3F3ED3"/>
    <w:rsid w:val="0A3F3F67"/>
    <w:rsid w:val="0A461BEE"/>
    <w:rsid w:val="0A574AF6"/>
    <w:rsid w:val="0A5A2413"/>
    <w:rsid w:val="0A645BC0"/>
    <w:rsid w:val="0A9D041D"/>
    <w:rsid w:val="0A9D53A8"/>
    <w:rsid w:val="0AA00396"/>
    <w:rsid w:val="0AA755DF"/>
    <w:rsid w:val="0AB23423"/>
    <w:rsid w:val="0ACE52F6"/>
    <w:rsid w:val="0ACE7D23"/>
    <w:rsid w:val="0AD05A0E"/>
    <w:rsid w:val="0B120D44"/>
    <w:rsid w:val="0B5C5108"/>
    <w:rsid w:val="0B6547D8"/>
    <w:rsid w:val="0B754EEF"/>
    <w:rsid w:val="0B78290A"/>
    <w:rsid w:val="0B792C38"/>
    <w:rsid w:val="0B8465E5"/>
    <w:rsid w:val="0B8B1D51"/>
    <w:rsid w:val="0B9152DA"/>
    <w:rsid w:val="0B9572FE"/>
    <w:rsid w:val="0BA54920"/>
    <w:rsid w:val="0BA7461B"/>
    <w:rsid w:val="0BBE63AB"/>
    <w:rsid w:val="0BC722A5"/>
    <w:rsid w:val="0BD27BF6"/>
    <w:rsid w:val="0BDC5AAD"/>
    <w:rsid w:val="0C295DEA"/>
    <w:rsid w:val="0C3B3C7D"/>
    <w:rsid w:val="0C4E7771"/>
    <w:rsid w:val="0C4F008E"/>
    <w:rsid w:val="0C58722E"/>
    <w:rsid w:val="0C874EE1"/>
    <w:rsid w:val="0C9746B5"/>
    <w:rsid w:val="0C991E5B"/>
    <w:rsid w:val="0CAB2EAE"/>
    <w:rsid w:val="0CE26E97"/>
    <w:rsid w:val="0CE67E4C"/>
    <w:rsid w:val="0D076022"/>
    <w:rsid w:val="0D0D592B"/>
    <w:rsid w:val="0D1F5E03"/>
    <w:rsid w:val="0D2A3ABE"/>
    <w:rsid w:val="0D342FC4"/>
    <w:rsid w:val="0D5113C1"/>
    <w:rsid w:val="0D615199"/>
    <w:rsid w:val="0D621C7D"/>
    <w:rsid w:val="0D6E744C"/>
    <w:rsid w:val="0D7143A1"/>
    <w:rsid w:val="0D887575"/>
    <w:rsid w:val="0DA81BE8"/>
    <w:rsid w:val="0DAE649D"/>
    <w:rsid w:val="0E117957"/>
    <w:rsid w:val="0E131325"/>
    <w:rsid w:val="0E190171"/>
    <w:rsid w:val="0E1952B0"/>
    <w:rsid w:val="0E341802"/>
    <w:rsid w:val="0E493B65"/>
    <w:rsid w:val="0E5C0171"/>
    <w:rsid w:val="0E5C2035"/>
    <w:rsid w:val="0E73034D"/>
    <w:rsid w:val="0E927AC6"/>
    <w:rsid w:val="0E9A10D5"/>
    <w:rsid w:val="0EB032E8"/>
    <w:rsid w:val="0EB06B47"/>
    <w:rsid w:val="0EEB7C9B"/>
    <w:rsid w:val="0F13775A"/>
    <w:rsid w:val="0F491184"/>
    <w:rsid w:val="0F5F45FE"/>
    <w:rsid w:val="0F84362F"/>
    <w:rsid w:val="0F976507"/>
    <w:rsid w:val="0F982280"/>
    <w:rsid w:val="0F9A112B"/>
    <w:rsid w:val="0FBB45C5"/>
    <w:rsid w:val="0FBE6EDC"/>
    <w:rsid w:val="0FD60C03"/>
    <w:rsid w:val="0FDD5A4C"/>
    <w:rsid w:val="0FE714ED"/>
    <w:rsid w:val="0FE91D6D"/>
    <w:rsid w:val="0FEC56F5"/>
    <w:rsid w:val="0FF67980"/>
    <w:rsid w:val="100307DD"/>
    <w:rsid w:val="101E0770"/>
    <w:rsid w:val="10215FB3"/>
    <w:rsid w:val="102E636B"/>
    <w:rsid w:val="10390784"/>
    <w:rsid w:val="104302D5"/>
    <w:rsid w:val="10485C77"/>
    <w:rsid w:val="10571596"/>
    <w:rsid w:val="105A22BC"/>
    <w:rsid w:val="105B7504"/>
    <w:rsid w:val="105F4EC2"/>
    <w:rsid w:val="106D2F64"/>
    <w:rsid w:val="10987EC8"/>
    <w:rsid w:val="10A05771"/>
    <w:rsid w:val="10A80AB1"/>
    <w:rsid w:val="10B63710"/>
    <w:rsid w:val="10BF1FD7"/>
    <w:rsid w:val="10C20C3C"/>
    <w:rsid w:val="10D80D24"/>
    <w:rsid w:val="10D92111"/>
    <w:rsid w:val="10F10820"/>
    <w:rsid w:val="10F96CE8"/>
    <w:rsid w:val="10FC4648"/>
    <w:rsid w:val="110E3280"/>
    <w:rsid w:val="111614D0"/>
    <w:rsid w:val="111C2F7A"/>
    <w:rsid w:val="112635BE"/>
    <w:rsid w:val="11352C9D"/>
    <w:rsid w:val="113B0C93"/>
    <w:rsid w:val="11430618"/>
    <w:rsid w:val="11665CA1"/>
    <w:rsid w:val="11666E67"/>
    <w:rsid w:val="11686B3C"/>
    <w:rsid w:val="117666D5"/>
    <w:rsid w:val="11A91B4D"/>
    <w:rsid w:val="11AE1162"/>
    <w:rsid w:val="11B56D81"/>
    <w:rsid w:val="11BB73DB"/>
    <w:rsid w:val="11C95F9C"/>
    <w:rsid w:val="11EA4B9E"/>
    <w:rsid w:val="11EC089E"/>
    <w:rsid w:val="120C00B2"/>
    <w:rsid w:val="1217451B"/>
    <w:rsid w:val="124A4DA0"/>
    <w:rsid w:val="124D2B23"/>
    <w:rsid w:val="12546D63"/>
    <w:rsid w:val="1262150D"/>
    <w:rsid w:val="12657B31"/>
    <w:rsid w:val="12731CAE"/>
    <w:rsid w:val="128304A2"/>
    <w:rsid w:val="128F6807"/>
    <w:rsid w:val="12966082"/>
    <w:rsid w:val="12992BB5"/>
    <w:rsid w:val="12A4601A"/>
    <w:rsid w:val="12FA670B"/>
    <w:rsid w:val="12FC6789"/>
    <w:rsid w:val="13060AAD"/>
    <w:rsid w:val="131D4986"/>
    <w:rsid w:val="132F41C7"/>
    <w:rsid w:val="13347D10"/>
    <w:rsid w:val="133A54DE"/>
    <w:rsid w:val="138034A7"/>
    <w:rsid w:val="13947056"/>
    <w:rsid w:val="13951726"/>
    <w:rsid w:val="139A02B7"/>
    <w:rsid w:val="139F66BD"/>
    <w:rsid w:val="13B23F11"/>
    <w:rsid w:val="13D54DE3"/>
    <w:rsid w:val="13D62432"/>
    <w:rsid w:val="13F34487"/>
    <w:rsid w:val="13F66A72"/>
    <w:rsid w:val="13F84F34"/>
    <w:rsid w:val="14124F2C"/>
    <w:rsid w:val="142E2AD4"/>
    <w:rsid w:val="14396509"/>
    <w:rsid w:val="144353B8"/>
    <w:rsid w:val="144D05D0"/>
    <w:rsid w:val="145A48BB"/>
    <w:rsid w:val="146C54F5"/>
    <w:rsid w:val="14752E22"/>
    <w:rsid w:val="147976DB"/>
    <w:rsid w:val="14860313"/>
    <w:rsid w:val="148D0A86"/>
    <w:rsid w:val="14A73701"/>
    <w:rsid w:val="14C72F72"/>
    <w:rsid w:val="14DA430A"/>
    <w:rsid w:val="14DD2C3C"/>
    <w:rsid w:val="14FD4CA9"/>
    <w:rsid w:val="15112AD7"/>
    <w:rsid w:val="151424DB"/>
    <w:rsid w:val="151C7FBD"/>
    <w:rsid w:val="1529503D"/>
    <w:rsid w:val="15883A78"/>
    <w:rsid w:val="158B06DC"/>
    <w:rsid w:val="159A7B21"/>
    <w:rsid w:val="15A537E4"/>
    <w:rsid w:val="15AC64B1"/>
    <w:rsid w:val="15B87D80"/>
    <w:rsid w:val="15BD6E9B"/>
    <w:rsid w:val="15DF3BF2"/>
    <w:rsid w:val="15E84F56"/>
    <w:rsid w:val="15ED666E"/>
    <w:rsid w:val="16087E1D"/>
    <w:rsid w:val="16102172"/>
    <w:rsid w:val="164C6566"/>
    <w:rsid w:val="164E0CF2"/>
    <w:rsid w:val="16734728"/>
    <w:rsid w:val="16B528E1"/>
    <w:rsid w:val="16C02307"/>
    <w:rsid w:val="16CE7EE6"/>
    <w:rsid w:val="16D12A75"/>
    <w:rsid w:val="16D177BE"/>
    <w:rsid w:val="17217600"/>
    <w:rsid w:val="17365CA7"/>
    <w:rsid w:val="1754378A"/>
    <w:rsid w:val="175E5FFC"/>
    <w:rsid w:val="17701D14"/>
    <w:rsid w:val="17735226"/>
    <w:rsid w:val="1775635E"/>
    <w:rsid w:val="17A01942"/>
    <w:rsid w:val="17AA23CB"/>
    <w:rsid w:val="17B14726"/>
    <w:rsid w:val="17CA19D6"/>
    <w:rsid w:val="17EB390A"/>
    <w:rsid w:val="17F17FFA"/>
    <w:rsid w:val="18157BE3"/>
    <w:rsid w:val="181D32D5"/>
    <w:rsid w:val="18294905"/>
    <w:rsid w:val="183134DA"/>
    <w:rsid w:val="18333A1E"/>
    <w:rsid w:val="1844156F"/>
    <w:rsid w:val="18634C6B"/>
    <w:rsid w:val="18686B5E"/>
    <w:rsid w:val="18791741"/>
    <w:rsid w:val="189F44E9"/>
    <w:rsid w:val="189F624C"/>
    <w:rsid w:val="18A93466"/>
    <w:rsid w:val="18B120A4"/>
    <w:rsid w:val="18B232E6"/>
    <w:rsid w:val="18CA58ED"/>
    <w:rsid w:val="18CB41C6"/>
    <w:rsid w:val="18CF2109"/>
    <w:rsid w:val="18F52324"/>
    <w:rsid w:val="1904772F"/>
    <w:rsid w:val="193B44C4"/>
    <w:rsid w:val="19485476"/>
    <w:rsid w:val="195507FC"/>
    <w:rsid w:val="1988769A"/>
    <w:rsid w:val="198F2997"/>
    <w:rsid w:val="19A913DE"/>
    <w:rsid w:val="19BC4408"/>
    <w:rsid w:val="19DB7B4F"/>
    <w:rsid w:val="19E962A2"/>
    <w:rsid w:val="19F863D7"/>
    <w:rsid w:val="1A061075"/>
    <w:rsid w:val="1A0C6D6C"/>
    <w:rsid w:val="1A1C66C0"/>
    <w:rsid w:val="1A341C38"/>
    <w:rsid w:val="1A347D01"/>
    <w:rsid w:val="1A355B24"/>
    <w:rsid w:val="1A42393B"/>
    <w:rsid w:val="1A5D28F5"/>
    <w:rsid w:val="1A5E5AED"/>
    <w:rsid w:val="1A6A2B46"/>
    <w:rsid w:val="1A7E0890"/>
    <w:rsid w:val="1A87307C"/>
    <w:rsid w:val="1AAD45DE"/>
    <w:rsid w:val="1AAE21D3"/>
    <w:rsid w:val="1AB46574"/>
    <w:rsid w:val="1ABC38BE"/>
    <w:rsid w:val="1ABD41C4"/>
    <w:rsid w:val="1AC23A4E"/>
    <w:rsid w:val="1ACD61DC"/>
    <w:rsid w:val="1AE82F8F"/>
    <w:rsid w:val="1B011E84"/>
    <w:rsid w:val="1B046F80"/>
    <w:rsid w:val="1B2F5C8C"/>
    <w:rsid w:val="1B3267B5"/>
    <w:rsid w:val="1B40161D"/>
    <w:rsid w:val="1B441859"/>
    <w:rsid w:val="1B55403B"/>
    <w:rsid w:val="1B6606B1"/>
    <w:rsid w:val="1B6A4F3F"/>
    <w:rsid w:val="1BA216C8"/>
    <w:rsid w:val="1BC03F6C"/>
    <w:rsid w:val="1C061C84"/>
    <w:rsid w:val="1C092C79"/>
    <w:rsid w:val="1C4A5F2B"/>
    <w:rsid w:val="1C4F0B14"/>
    <w:rsid w:val="1C5E7925"/>
    <w:rsid w:val="1C73363F"/>
    <w:rsid w:val="1CAB2483"/>
    <w:rsid w:val="1CAC7F2A"/>
    <w:rsid w:val="1CCE1A68"/>
    <w:rsid w:val="1CDB6DE4"/>
    <w:rsid w:val="1CFD070F"/>
    <w:rsid w:val="1D0D31E0"/>
    <w:rsid w:val="1D16397D"/>
    <w:rsid w:val="1D346942"/>
    <w:rsid w:val="1D5F6196"/>
    <w:rsid w:val="1D6132A5"/>
    <w:rsid w:val="1D852ECC"/>
    <w:rsid w:val="1D8A13E6"/>
    <w:rsid w:val="1D8E56D5"/>
    <w:rsid w:val="1D9E6A8E"/>
    <w:rsid w:val="1DA45FB2"/>
    <w:rsid w:val="1DBB0E8E"/>
    <w:rsid w:val="1DE31C9F"/>
    <w:rsid w:val="1DF017AC"/>
    <w:rsid w:val="1DF67293"/>
    <w:rsid w:val="1E000A7E"/>
    <w:rsid w:val="1E0D0AEB"/>
    <w:rsid w:val="1E0F2F88"/>
    <w:rsid w:val="1E2330C1"/>
    <w:rsid w:val="1E58746F"/>
    <w:rsid w:val="1E743237"/>
    <w:rsid w:val="1E7A43DA"/>
    <w:rsid w:val="1E7E7E47"/>
    <w:rsid w:val="1EC55678"/>
    <w:rsid w:val="1ED5433F"/>
    <w:rsid w:val="1EF607FA"/>
    <w:rsid w:val="1F0D08F1"/>
    <w:rsid w:val="1F0F1111"/>
    <w:rsid w:val="1F161A25"/>
    <w:rsid w:val="1F8A5717"/>
    <w:rsid w:val="1F8F7049"/>
    <w:rsid w:val="1F9E7BCD"/>
    <w:rsid w:val="1FBA337F"/>
    <w:rsid w:val="1FCF29CF"/>
    <w:rsid w:val="1FD77AD6"/>
    <w:rsid w:val="1FD97E83"/>
    <w:rsid w:val="1FDE7FFC"/>
    <w:rsid w:val="1FE7539E"/>
    <w:rsid w:val="1FE90F57"/>
    <w:rsid w:val="1FED2A43"/>
    <w:rsid w:val="20125F2F"/>
    <w:rsid w:val="201725C8"/>
    <w:rsid w:val="2020147D"/>
    <w:rsid w:val="202A7DDA"/>
    <w:rsid w:val="203127A2"/>
    <w:rsid w:val="203B5F68"/>
    <w:rsid w:val="205D55B2"/>
    <w:rsid w:val="20671BE0"/>
    <w:rsid w:val="20963CB8"/>
    <w:rsid w:val="209B3831"/>
    <w:rsid w:val="20A81A1B"/>
    <w:rsid w:val="20B0365C"/>
    <w:rsid w:val="20B07FB6"/>
    <w:rsid w:val="20B646FB"/>
    <w:rsid w:val="20E029BA"/>
    <w:rsid w:val="20FC6A5F"/>
    <w:rsid w:val="21011895"/>
    <w:rsid w:val="210D4D36"/>
    <w:rsid w:val="213A2976"/>
    <w:rsid w:val="213B74B1"/>
    <w:rsid w:val="214A7E2B"/>
    <w:rsid w:val="21565C37"/>
    <w:rsid w:val="215A2310"/>
    <w:rsid w:val="21724954"/>
    <w:rsid w:val="21773853"/>
    <w:rsid w:val="217A6FDE"/>
    <w:rsid w:val="21822701"/>
    <w:rsid w:val="2185369F"/>
    <w:rsid w:val="218815C3"/>
    <w:rsid w:val="218B07CA"/>
    <w:rsid w:val="2194038A"/>
    <w:rsid w:val="21941398"/>
    <w:rsid w:val="21980FC0"/>
    <w:rsid w:val="21A114DD"/>
    <w:rsid w:val="21C0282D"/>
    <w:rsid w:val="21DE318A"/>
    <w:rsid w:val="21DF7631"/>
    <w:rsid w:val="21E60D25"/>
    <w:rsid w:val="21EF5B80"/>
    <w:rsid w:val="22084344"/>
    <w:rsid w:val="22142CD4"/>
    <w:rsid w:val="221B2FC7"/>
    <w:rsid w:val="221C2118"/>
    <w:rsid w:val="222455FE"/>
    <w:rsid w:val="2227063C"/>
    <w:rsid w:val="2227146F"/>
    <w:rsid w:val="22306DD1"/>
    <w:rsid w:val="22322A29"/>
    <w:rsid w:val="22334BC3"/>
    <w:rsid w:val="224461CA"/>
    <w:rsid w:val="22576990"/>
    <w:rsid w:val="227C3733"/>
    <w:rsid w:val="227D473F"/>
    <w:rsid w:val="228606C1"/>
    <w:rsid w:val="2290080E"/>
    <w:rsid w:val="22976357"/>
    <w:rsid w:val="22A37966"/>
    <w:rsid w:val="22AC4EE2"/>
    <w:rsid w:val="22B0363F"/>
    <w:rsid w:val="22BC379E"/>
    <w:rsid w:val="22DF3317"/>
    <w:rsid w:val="22E06530"/>
    <w:rsid w:val="22E45213"/>
    <w:rsid w:val="22E873B4"/>
    <w:rsid w:val="22F47480"/>
    <w:rsid w:val="230C03F2"/>
    <w:rsid w:val="23113D47"/>
    <w:rsid w:val="23123860"/>
    <w:rsid w:val="23164DB9"/>
    <w:rsid w:val="23270D74"/>
    <w:rsid w:val="23427A4D"/>
    <w:rsid w:val="23523D54"/>
    <w:rsid w:val="235E399B"/>
    <w:rsid w:val="236F7AEA"/>
    <w:rsid w:val="23730F7E"/>
    <w:rsid w:val="237C10C0"/>
    <w:rsid w:val="239D4B92"/>
    <w:rsid w:val="23B05FB7"/>
    <w:rsid w:val="23B332DD"/>
    <w:rsid w:val="23DE1C48"/>
    <w:rsid w:val="23E16C8C"/>
    <w:rsid w:val="23FF3404"/>
    <w:rsid w:val="240210CD"/>
    <w:rsid w:val="240843A3"/>
    <w:rsid w:val="241A1E83"/>
    <w:rsid w:val="241D1126"/>
    <w:rsid w:val="241E66C5"/>
    <w:rsid w:val="2424304F"/>
    <w:rsid w:val="2455581F"/>
    <w:rsid w:val="245C76F0"/>
    <w:rsid w:val="2463454E"/>
    <w:rsid w:val="247D5068"/>
    <w:rsid w:val="24AE1333"/>
    <w:rsid w:val="24BF09F7"/>
    <w:rsid w:val="24E82BFE"/>
    <w:rsid w:val="250F1C33"/>
    <w:rsid w:val="251F4769"/>
    <w:rsid w:val="25271B2B"/>
    <w:rsid w:val="252D53FE"/>
    <w:rsid w:val="25315F3E"/>
    <w:rsid w:val="254C34E8"/>
    <w:rsid w:val="25514755"/>
    <w:rsid w:val="25572E75"/>
    <w:rsid w:val="255D7AA7"/>
    <w:rsid w:val="257B7D03"/>
    <w:rsid w:val="25824552"/>
    <w:rsid w:val="25853C7F"/>
    <w:rsid w:val="25942C6D"/>
    <w:rsid w:val="25AB7E0B"/>
    <w:rsid w:val="25B91C98"/>
    <w:rsid w:val="25DF1492"/>
    <w:rsid w:val="25EC2D81"/>
    <w:rsid w:val="25EC6BAB"/>
    <w:rsid w:val="25ED0F1A"/>
    <w:rsid w:val="25FC33D7"/>
    <w:rsid w:val="26023EE7"/>
    <w:rsid w:val="26094463"/>
    <w:rsid w:val="26155857"/>
    <w:rsid w:val="264601A3"/>
    <w:rsid w:val="26555A32"/>
    <w:rsid w:val="265C7142"/>
    <w:rsid w:val="26623ED5"/>
    <w:rsid w:val="26733377"/>
    <w:rsid w:val="26906C30"/>
    <w:rsid w:val="26CE5AD4"/>
    <w:rsid w:val="26E13B68"/>
    <w:rsid w:val="26E22421"/>
    <w:rsid w:val="26EB10B4"/>
    <w:rsid w:val="26FF1042"/>
    <w:rsid w:val="2710444E"/>
    <w:rsid w:val="27202E73"/>
    <w:rsid w:val="272922EB"/>
    <w:rsid w:val="272F2675"/>
    <w:rsid w:val="27312C2C"/>
    <w:rsid w:val="274F3449"/>
    <w:rsid w:val="276C03FE"/>
    <w:rsid w:val="277057A2"/>
    <w:rsid w:val="27817719"/>
    <w:rsid w:val="27910EB2"/>
    <w:rsid w:val="27AD33AC"/>
    <w:rsid w:val="27DC7757"/>
    <w:rsid w:val="27E26C33"/>
    <w:rsid w:val="27F32B7B"/>
    <w:rsid w:val="27F76D35"/>
    <w:rsid w:val="27F92E4C"/>
    <w:rsid w:val="27FB2C6F"/>
    <w:rsid w:val="27FC132A"/>
    <w:rsid w:val="28003FC4"/>
    <w:rsid w:val="28334940"/>
    <w:rsid w:val="283D3F50"/>
    <w:rsid w:val="28486688"/>
    <w:rsid w:val="28497097"/>
    <w:rsid w:val="285A7EDF"/>
    <w:rsid w:val="28612554"/>
    <w:rsid w:val="28744C41"/>
    <w:rsid w:val="28845535"/>
    <w:rsid w:val="28AC3928"/>
    <w:rsid w:val="28AD5DF9"/>
    <w:rsid w:val="28B23C10"/>
    <w:rsid w:val="28EF7EFF"/>
    <w:rsid w:val="28F17E5A"/>
    <w:rsid w:val="29206EB8"/>
    <w:rsid w:val="29445782"/>
    <w:rsid w:val="29595666"/>
    <w:rsid w:val="296A19BB"/>
    <w:rsid w:val="29713A72"/>
    <w:rsid w:val="2972331B"/>
    <w:rsid w:val="29815D9D"/>
    <w:rsid w:val="29874881"/>
    <w:rsid w:val="299A413D"/>
    <w:rsid w:val="29C747FF"/>
    <w:rsid w:val="29E325E0"/>
    <w:rsid w:val="29E84C72"/>
    <w:rsid w:val="29EE7EF6"/>
    <w:rsid w:val="2A0F3737"/>
    <w:rsid w:val="2A1B07AF"/>
    <w:rsid w:val="2A226A78"/>
    <w:rsid w:val="2A2455DE"/>
    <w:rsid w:val="2A2C2DB6"/>
    <w:rsid w:val="2A3A2AEB"/>
    <w:rsid w:val="2A3E116E"/>
    <w:rsid w:val="2A452503"/>
    <w:rsid w:val="2A4F35C6"/>
    <w:rsid w:val="2A727540"/>
    <w:rsid w:val="2AA9724E"/>
    <w:rsid w:val="2AAC449F"/>
    <w:rsid w:val="2AB460C6"/>
    <w:rsid w:val="2AB72A96"/>
    <w:rsid w:val="2ACD5257"/>
    <w:rsid w:val="2AFF3EB4"/>
    <w:rsid w:val="2B040847"/>
    <w:rsid w:val="2B0F00BA"/>
    <w:rsid w:val="2B14456A"/>
    <w:rsid w:val="2B2D70B1"/>
    <w:rsid w:val="2B2F6A18"/>
    <w:rsid w:val="2B3B4E06"/>
    <w:rsid w:val="2B472EE0"/>
    <w:rsid w:val="2B5D71B0"/>
    <w:rsid w:val="2B9C1569"/>
    <w:rsid w:val="2B9D7F59"/>
    <w:rsid w:val="2BA936A8"/>
    <w:rsid w:val="2BAC0068"/>
    <w:rsid w:val="2BB923F8"/>
    <w:rsid w:val="2BF22B6F"/>
    <w:rsid w:val="2BFD0B9E"/>
    <w:rsid w:val="2C0648E1"/>
    <w:rsid w:val="2C065011"/>
    <w:rsid w:val="2C1F31B7"/>
    <w:rsid w:val="2C245E51"/>
    <w:rsid w:val="2C2E50ED"/>
    <w:rsid w:val="2C315A5A"/>
    <w:rsid w:val="2C397A33"/>
    <w:rsid w:val="2C4B1C25"/>
    <w:rsid w:val="2C506C46"/>
    <w:rsid w:val="2C5657BB"/>
    <w:rsid w:val="2C772551"/>
    <w:rsid w:val="2CAE18E6"/>
    <w:rsid w:val="2CBF3CCC"/>
    <w:rsid w:val="2CD40E84"/>
    <w:rsid w:val="2CD83406"/>
    <w:rsid w:val="2CF66EF2"/>
    <w:rsid w:val="2D092DDD"/>
    <w:rsid w:val="2D161352"/>
    <w:rsid w:val="2D2E06D8"/>
    <w:rsid w:val="2D321627"/>
    <w:rsid w:val="2D4305AA"/>
    <w:rsid w:val="2D452CB2"/>
    <w:rsid w:val="2D4E15E2"/>
    <w:rsid w:val="2D542766"/>
    <w:rsid w:val="2D561190"/>
    <w:rsid w:val="2D6938AC"/>
    <w:rsid w:val="2D7540C5"/>
    <w:rsid w:val="2D7C3587"/>
    <w:rsid w:val="2D8218D6"/>
    <w:rsid w:val="2D9E56F5"/>
    <w:rsid w:val="2DA37249"/>
    <w:rsid w:val="2DA770E1"/>
    <w:rsid w:val="2DA84CAB"/>
    <w:rsid w:val="2DB51313"/>
    <w:rsid w:val="2DD221DA"/>
    <w:rsid w:val="2E125298"/>
    <w:rsid w:val="2E134196"/>
    <w:rsid w:val="2E197354"/>
    <w:rsid w:val="2E1B7BB0"/>
    <w:rsid w:val="2E224A70"/>
    <w:rsid w:val="2E272955"/>
    <w:rsid w:val="2E632470"/>
    <w:rsid w:val="2E667F96"/>
    <w:rsid w:val="2E753E92"/>
    <w:rsid w:val="2E76670C"/>
    <w:rsid w:val="2E7703CC"/>
    <w:rsid w:val="2E8226AB"/>
    <w:rsid w:val="2E953036"/>
    <w:rsid w:val="2EA2405D"/>
    <w:rsid w:val="2EB317DA"/>
    <w:rsid w:val="2EB75385"/>
    <w:rsid w:val="2EBC05C2"/>
    <w:rsid w:val="2EE80EBD"/>
    <w:rsid w:val="2EE847E0"/>
    <w:rsid w:val="2EFB0CB5"/>
    <w:rsid w:val="2F0D7AC3"/>
    <w:rsid w:val="2F141F05"/>
    <w:rsid w:val="2F253AE7"/>
    <w:rsid w:val="2F3971DB"/>
    <w:rsid w:val="2F44028F"/>
    <w:rsid w:val="2F5364C3"/>
    <w:rsid w:val="2F5A5BAB"/>
    <w:rsid w:val="2F8F65BC"/>
    <w:rsid w:val="2FA75893"/>
    <w:rsid w:val="2FAC516D"/>
    <w:rsid w:val="2FBB2F70"/>
    <w:rsid w:val="2FD065E6"/>
    <w:rsid w:val="2FD96870"/>
    <w:rsid w:val="30205DDD"/>
    <w:rsid w:val="30294C9E"/>
    <w:rsid w:val="30305D02"/>
    <w:rsid w:val="3034271C"/>
    <w:rsid w:val="303B5E5F"/>
    <w:rsid w:val="30580BC9"/>
    <w:rsid w:val="3058761A"/>
    <w:rsid w:val="306B57BC"/>
    <w:rsid w:val="308709A0"/>
    <w:rsid w:val="309A353C"/>
    <w:rsid w:val="309B326B"/>
    <w:rsid w:val="30A6152A"/>
    <w:rsid w:val="30B33C12"/>
    <w:rsid w:val="30B962BB"/>
    <w:rsid w:val="30C14E3C"/>
    <w:rsid w:val="30F66673"/>
    <w:rsid w:val="310377B0"/>
    <w:rsid w:val="311E2ED7"/>
    <w:rsid w:val="313A7177"/>
    <w:rsid w:val="315619EE"/>
    <w:rsid w:val="315C23C9"/>
    <w:rsid w:val="315C449C"/>
    <w:rsid w:val="315E0476"/>
    <w:rsid w:val="316C1907"/>
    <w:rsid w:val="317909ED"/>
    <w:rsid w:val="317B0752"/>
    <w:rsid w:val="31804E38"/>
    <w:rsid w:val="3182527D"/>
    <w:rsid w:val="31AB22BF"/>
    <w:rsid w:val="31B82709"/>
    <w:rsid w:val="31D02E13"/>
    <w:rsid w:val="31D05482"/>
    <w:rsid w:val="31FD161E"/>
    <w:rsid w:val="320B2A41"/>
    <w:rsid w:val="32171FB4"/>
    <w:rsid w:val="321C11A9"/>
    <w:rsid w:val="3220608C"/>
    <w:rsid w:val="32400B34"/>
    <w:rsid w:val="32417DF4"/>
    <w:rsid w:val="324B666C"/>
    <w:rsid w:val="326F268A"/>
    <w:rsid w:val="32773741"/>
    <w:rsid w:val="328F17C2"/>
    <w:rsid w:val="328F5345"/>
    <w:rsid w:val="32962B55"/>
    <w:rsid w:val="329E6876"/>
    <w:rsid w:val="32D2621C"/>
    <w:rsid w:val="32E7172E"/>
    <w:rsid w:val="32ED2059"/>
    <w:rsid w:val="333015F2"/>
    <w:rsid w:val="333C77F1"/>
    <w:rsid w:val="33447DA5"/>
    <w:rsid w:val="334B6320"/>
    <w:rsid w:val="334C7DFC"/>
    <w:rsid w:val="334E470B"/>
    <w:rsid w:val="334F51E5"/>
    <w:rsid w:val="33640CF7"/>
    <w:rsid w:val="337D0483"/>
    <w:rsid w:val="33C34573"/>
    <w:rsid w:val="33C46185"/>
    <w:rsid w:val="33D762EA"/>
    <w:rsid w:val="33D934D4"/>
    <w:rsid w:val="33FE2F6A"/>
    <w:rsid w:val="340E07E5"/>
    <w:rsid w:val="3410430F"/>
    <w:rsid w:val="34235BF7"/>
    <w:rsid w:val="34346B76"/>
    <w:rsid w:val="345822E4"/>
    <w:rsid w:val="347D04E0"/>
    <w:rsid w:val="34853702"/>
    <w:rsid w:val="348E7DF7"/>
    <w:rsid w:val="34CB4E4C"/>
    <w:rsid w:val="34E70CCB"/>
    <w:rsid w:val="34F2066E"/>
    <w:rsid w:val="34F8431E"/>
    <w:rsid w:val="351A624F"/>
    <w:rsid w:val="353161F6"/>
    <w:rsid w:val="354058AC"/>
    <w:rsid w:val="354A4123"/>
    <w:rsid w:val="357C0B27"/>
    <w:rsid w:val="358C5FA8"/>
    <w:rsid w:val="35AA70B3"/>
    <w:rsid w:val="35B26413"/>
    <w:rsid w:val="35C15DF1"/>
    <w:rsid w:val="35EB3E83"/>
    <w:rsid w:val="35FA2C08"/>
    <w:rsid w:val="35FD53B6"/>
    <w:rsid w:val="36074A7F"/>
    <w:rsid w:val="362F3D67"/>
    <w:rsid w:val="36315D27"/>
    <w:rsid w:val="363929EF"/>
    <w:rsid w:val="36487B93"/>
    <w:rsid w:val="364A166D"/>
    <w:rsid w:val="364F61C0"/>
    <w:rsid w:val="36793FC3"/>
    <w:rsid w:val="368001C9"/>
    <w:rsid w:val="36884E9A"/>
    <w:rsid w:val="368A4EE2"/>
    <w:rsid w:val="36923549"/>
    <w:rsid w:val="36B75FBF"/>
    <w:rsid w:val="36BD0C45"/>
    <w:rsid w:val="36CA3CA1"/>
    <w:rsid w:val="36EF715C"/>
    <w:rsid w:val="371007B0"/>
    <w:rsid w:val="37156562"/>
    <w:rsid w:val="37195DD0"/>
    <w:rsid w:val="372E04CB"/>
    <w:rsid w:val="373B54B5"/>
    <w:rsid w:val="374F6DB6"/>
    <w:rsid w:val="37522EE9"/>
    <w:rsid w:val="375B4E0A"/>
    <w:rsid w:val="377554B1"/>
    <w:rsid w:val="377C4D93"/>
    <w:rsid w:val="377D5C43"/>
    <w:rsid w:val="378F5882"/>
    <w:rsid w:val="37975BB0"/>
    <w:rsid w:val="379E48E1"/>
    <w:rsid w:val="37B75A65"/>
    <w:rsid w:val="37CA1DDB"/>
    <w:rsid w:val="37CE026D"/>
    <w:rsid w:val="37CF51D5"/>
    <w:rsid w:val="37D068F2"/>
    <w:rsid w:val="37D114A6"/>
    <w:rsid w:val="37E00298"/>
    <w:rsid w:val="37F13664"/>
    <w:rsid w:val="380102BC"/>
    <w:rsid w:val="38250CC3"/>
    <w:rsid w:val="38280905"/>
    <w:rsid w:val="38304750"/>
    <w:rsid w:val="38376B63"/>
    <w:rsid w:val="3841400E"/>
    <w:rsid w:val="384C002D"/>
    <w:rsid w:val="384D360F"/>
    <w:rsid w:val="388D3F95"/>
    <w:rsid w:val="389867A1"/>
    <w:rsid w:val="389C2B80"/>
    <w:rsid w:val="38A95476"/>
    <w:rsid w:val="38B302F9"/>
    <w:rsid w:val="38C92EE7"/>
    <w:rsid w:val="38CC58A6"/>
    <w:rsid w:val="38DF38F5"/>
    <w:rsid w:val="38F12CD3"/>
    <w:rsid w:val="38F52234"/>
    <w:rsid w:val="38F94775"/>
    <w:rsid w:val="390034D4"/>
    <w:rsid w:val="39253CA1"/>
    <w:rsid w:val="392971ED"/>
    <w:rsid w:val="392C37EC"/>
    <w:rsid w:val="392E6959"/>
    <w:rsid w:val="39325651"/>
    <w:rsid w:val="3968162A"/>
    <w:rsid w:val="396C3F94"/>
    <w:rsid w:val="39921E44"/>
    <w:rsid w:val="39967C0E"/>
    <w:rsid w:val="399F3484"/>
    <w:rsid w:val="39D2161F"/>
    <w:rsid w:val="39D8471E"/>
    <w:rsid w:val="39D90054"/>
    <w:rsid w:val="39E32BC3"/>
    <w:rsid w:val="39EC5AFE"/>
    <w:rsid w:val="3A040717"/>
    <w:rsid w:val="3A0B2A0D"/>
    <w:rsid w:val="3A22270A"/>
    <w:rsid w:val="3A2F7932"/>
    <w:rsid w:val="3A546319"/>
    <w:rsid w:val="3A6E3A57"/>
    <w:rsid w:val="3A872856"/>
    <w:rsid w:val="3AB04C2F"/>
    <w:rsid w:val="3AD23FCA"/>
    <w:rsid w:val="3AD41A9E"/>
    <w:rsid w:val="3ADE4285"/>
    <w:rsid w:val="3ADF236C"/>
    <w:rsid w:val="3AEB75A8"/>
    <w:rsid w:val="3AFF7698"/>
    <w:rsid w:val="3B371933"/>
    <w:rsid w:val="3B3763D1"/>
    <w:rsid w:val="3B410A74"/>
    <w:rsid w:val="3B7157C9"/>
    <w:rsid w:val="3B720D0B"/>
    <w:rsid w:val="3B7854D1"/>
    <w:rsid w:val="3B880DA0"/>
    <w:rsid w:val="3B990F52"/>
    <w:rsid w:val="3BAA5E22"/>
    <w:rsid w:val="3BBC15D8"/>
    <w:rsid w:val="3BC60284"/>
    <w:rsid w:val="3BC767F9"/>
    <w:rsid w:val="3BFA274F"/>
    <w:rsid w:val="3C296023"/>
    <w:rsid w:val="3C2D01D5"/>
    <w:rsid w:val="3C2F6E1E"/>
    <w:rsid w:val="3C377540"/>
    <w:rsid w:val="3C39505D"/>
    <w:rsid w:val="3C453386"/>
    <w:rsid w:val="3C4F64BA"/>
    <w:rsid w:val="3C50160D"/>
    <w:rsid w:val="3C59297D"/>
    <w:rsid w:val="3C6364AA"/>
    <w:rsid w:val="3C84487F"/>
    <w:rsid w:val="3C8C4973"/>
    <w:rsid w:val="3C8D0F5B"/>
    <w:rsid w:val="3C9845A7"/>
    <w:rsid w:val="3C9A3044"/>
    <w:rsid w:val="3CBC752E"/>
    <w:rsid w:val="3CC36621"/>
    <w:rsid w:val="3CDA245A"/>
    <w:rsid w:val="3CEE4251"/>
    <w:rsid w:val="3CFC0724"/>
    <w:rsid w:val="3D1E06B7"/>
    <w:rsid w:val="3D391940"/>
    <w:rsid w:val="3D3C6CF0"/>
    <w:rsid w:val="3D693607"/>
    <w:rsid w:val="3D712EC0"/>
    <w:rsid w:val="3D8700E8"/>
    <w:rsid w:val="3E0F5ABD"/>
    <w:rsid w:val="3E261EFC"/>
    <w:rsid w:val="3E406C98"/>
    <w:rsid w:val="3E5F2F97"/>
    <w:rsid w:val="3E92609E"/>
    <w:rsid w:val="3E9536B7"/>
    <w:rsid w:val="3EBF6D12"/>
    <w:rsid w:val="3ECF5CD8"/>
    <w:rsid w:val="3ED64479"/>
    <w:rsid w:val="3ED905E3"/>
    <w:rsid w:val="3EDA0523"/>
    <w:rsid w:val="3EDE7B8A"/>
    <w:rsid w:val="3EE316BA"/>
    <w:rsid w:val="3EE94E9C"/>
    <w:rsid w:val="3EF151D1"/>
    <w:rsid w:val="3F314E2D"/>
    <w:rsid w:val="3F39322F"/>
    <w:rsid w:val="3F493EE3"/>
    <w:rsid w:val="3F517579"/>
    <w:rsid w:val="3F656938"/>
    <w:rsid w:val="3F82434E"/>
    <w:rsid w:val="3F8F7BA6"/>
    <w:rsid w:val="3F9F6120"/>
    <w:rsid w:val="3FCA5912"/>
    <w:rsid w:val="3FCB2D5B"/>
    <w:rsid w:val="3FD85478"/>
    <w:rsid w:val="3FE5795C"/>
    <w:rsid w:val="40270D28"/>
    <w:rsid w:val="403E2B20"/>
    <w:rsid w:val="40720941"/>
    <w:rsid w:val="407759B8"/>
    <w:rsid w:val="407A6407"/>
    <w:rsid w:val="408641A6"/>
    <w:rsid w:val="40B860EB"/>
    <w:rsid w:val="40C86458"/>
    <w:rsid w:val="40F038CE"/>
    <w:rsid w:val="40F70074"/>
    <w:rsid w:val="40FC3AA1"/>
    <w:rsid w:val="41237074"/>
    <w:rsid w:val="415134D1"/>
    <w:rsid w:val="415D5C35"/>
    <w:rsid w:val="41673E54"/>
    <w:rsid w:val="416F5606"/>
    <w:rsid w:val="41752C3F"/>
    <w:rsid w:val="417B7278"/>
    <w:rsid w:val="418066BF"/>
    <w:rsid w:val="4187711A"/>
    <w:rsid w:val="41D1217F"/>
    <w:rsid w:val="41E57A3E"/>
    <w:rsid w:val="41E820C7"/>
    <w:rsid w:val="41F36105"/>
    <w:rsid w:val="41F76B81"/>
    <w:rsid w:val="4200449D"/>
    <w:rsid w:val="422A5CB7"/>
    <w:rsid w:val="422B5DAF"/>
    <w:rsid w:val="423A3BCC"/>
    <w:rsid w:val="424E57D2"/>
    <w:rsid w:val="425354B0"/>
    <w:rsid w:val="42587AEE"/>
    <w:rsid w:val="426976D6"/>
    <w:rsid w:val="4277674F"/>
    <w:rsid w:val="42946631"/>
    <w:rsid w:val="429C0688"/>
    <w:rsid w:val="42B26C49"/>
    <w:rsid w:val="42C424B8"/>
    <w:rsid w:val="42D33CD5"/>
    <w:rsid w:val="4301357D"/>
    <w:rsid w:val="430805D0"/>
    <w:rsid w:val="430D5439"/>
    <w:rsid w:val="43117EFC"/>
    <w:rsid w:val="43182FAD"/>
    <w:rsid w:val="431E13F4"/>
    <w:rsid w:val="43211D9E"/>
    <w:rsid w:val="43273A09"/>
    <w:rsid w:val="433A6FE6"/>
    <w:rsid w:val="43480868"/>
    <w:rsid w:val="434E5332"/>
    <w:rsid w:val="4350713C"/>
    <w:rsid w:val="435F2051"/>
    <w:rsid w:val="43646AE9"/>
    <w:rsid w:val="436653E0"/>
    <w:rsid w:val="436D50C7"/>
    <w:rsid w:val="437573AA"/>
    <w:rsid w:val="437C2A4C"/>
    <w:rsid w:val="43A8129A"/>
    <w:rsid w:val="43AD46D4"/>
    <w:rsid w:val="43AD5CB3"/>
    <w:rsid w:val="43AE166A"/>
    <w:rsid w:val="43BB495E"/>
    <w:rsid w:val="43BC29BB"/>
    <w:rsid w:val="43C4431A"/>
    <w:rsid w:val="43D30DC4"/>
    <w:rsid w:val="43D85133"/>
    <w:rsid w:val="43F57AAF"/>
    <w:rsid w:val="43F6613F"/>
    <w:rsid w:val="440C56F3"/>
    <w:rsid w:val="44256684"/>
    <w:rsid w:val="4459136B"/>
    <w:rsid w:val="446F66FE"/>
    <w:rsid w:val="44715D19"/>
    <w:rsid w:val="447D0AEA"/>
    <w:rsid w:val="44B071D1"/>
    <w:rsid w:val="44B951CC"/>
    <w:rsid w:val="44BF682B"/>
    <w:rsid w:val="44C47D79"/>
    <w:rsid w:val="44CD14E0"/>
    <w:rsid w:val="44D01407"/>
    <w:rsid w:val="44E81D9A"/>
    <w:rsid w:val="44F20B0B"/>
    <w:rsid w:val="44F4314C"/>
    <w:rsid w:val="44FD31D3"/>
    <w:rsid w:val="452E5F4C"/>
    <w:rsid w:val="45606AC7"/>
    <w:rsid w:val="45612018"/>
    <w:rsid w:val="45734149"/>
    <w:rsid w:val="458946E9"/>
    <w:rsid w:val="459640BC"/>
    <w:rsid w:val="45A47C0E"/>
    <w:rsid w:val="45B25E26"/>
    <w:rsid w:val="45BF5994"/>
    <w:rsid w:val="45C9756E"/>
    <w:rsid w:val="45D83A9D"/>
    <w:rsid w:val="45D948C2"/>
    <w:rsid w:val="45FC030B"/>
    <w:rsid w:val="46066EFD"/>
    <w:rsid w:val="461707DD"/>
    <w:rsid w:val="46250CEB"/>
    <w:rsid w:val="4627738D"/>
    <w:rsid w:val="46415F8F"/>
    <w:rsid w:val="46433B5B"/>
    <w:rsid w:val="46577FD6"/>
    <w:rsid w:val="46620F2E"/>
    <w:rsid w:val="46715CDF"/>
    <w:rsid w:val="46A15B50"/>
    <w:rsid w:val="46A8004D"/>
    <w:rsid w:val="46AA2F9F"/>
    <w:rsid w:val="46B1257F"/>
    <w:rsid w:val="46B227A3"/>
    <w:rsid w:val="46C7188E"/>
    <w:rsid w:val="46D955A7"/>
    <w:rsid w:val="470710C1"/>
    <w:rsid w:val="47133957"/>
    <w:rsid w:val="471857CE"/>
    <w:rsid w:val="475E64F4"/>
    <w:rsid w:val="478603D0"/>
    <w:rsid w:val="47883760"/>
    <w:rsid w:val="479723C0"/>
    <w:rsid w:val="47A07E0C"/>
    <w:rsid w:val="47AD037B"/>
    <w:rsid w:val="47C156A2"/>
    <w:rsid w:val="47CF3EC9"/>
    <w:rsid w:val="47D52B86"/>
    <w:rsid w:val="480E5EDB"/>
    <w:rsid w:val="48254D9C"/>
    <w:rsid w:val="482A7699"/>
    <w:rsid w:val="482A7DA0"/>
    <w:rsid w:val="483D406D"/>
    <w:rsid w:val="48424C50"/>
    <w:rsid w:val="48434213"/>
    <w:rsid w:val="484D0086"/>
    <w:rsid w:val="48563697"/>
    <w:rsid w:val="485A4513"/>
    <w:rsid w:val="486B22A1"/>
    <w:rsid w:val="4870272E"/>
    <w:rsid w:val="48790A25"/>
    <w:rsid w:val="48990517"/>
    <w:rsid w:val="489A4C15"/>
    <w:rsid w:val="489B7CEB"/>
    <w:rsid w:val="48A95C04"/>
    <w:rsid w:val="48B43AC4"/>
    <w:rsid w:val="48BC7ABC"/>
    <w:rsid w:val="48C1632A"/>
    <w:rsid w:val="48C45194"/>
    <w:rsid w:val="48DB7DD5"/>
    <w:rsid w:val="48DE126C"/>
    <w:rsid w:val="48E011C4"/>
    <w:rsid w:val="48E74544"/>
    <w:rsid w:val="49072873"/>
    <w:rsid w:val="491C7B82"/>
    <w:rsid w:val="491D5CAA"/>
    <w:rsid w:val="49254A1B"/>
    <w:rsid w:val="493475FC"/>
    <w:rsid w:val="4935417C"/>
    <w:rsid w:val="49365C90"/>
    <w:rsid w:val="493755EF"/>
    <w:rsid w:val="497254AC"/>
    <w:rsid w:val="497453EA"/>
    <w:rsid w:val="49747FC0"/>
    <w:rsid w:val="49981261"/>
    <w:rsid w:val="499B1CB9"/>
    <w:rsid w:val="49A00CEC"/>
    <w:rsid w:val="49B92BE5"/>
    <w:rsid w:val="49C46ABD"/>
    <w:rsid w:val="49DC7715"/>
    <w:rsid w:val="49E83E9E"/>
    <w:rsid w:val="49F92273"/>
    <w:rsid w:val="4A023139"/>
    <w:rsid w:val="4A056E0D"/>
    <w:rsid w:val="4A2A0AC1"/>
    <w:rsid w:val="4A31063D"/>
    <w:rsid w:val="4A3937C3"/>
    <w:rsid w:val="4A3C731C"/>
    <w:rsid w:val="4A5B1180"/>
    <w:rsid w:val="4A777823"/>
    <w:rsid w:val="4A7B576F"/>
    <w:rsid w:val="4A88265D"/>
    <w:rsid w:val="4AC611A0"/>
    <w:rsid w:val="4AF561A9"/>
    <w:rsid w:val="4B164B1E"/>
    <w:rsid w:val="4B1C23E8"/>
    <w:rsid w:val="4B250304"/>
    <w:rsid w:val="4B3F0159"/>
    <w:rsid w:val="4B400391"/>
    <w:rsid w:val="4B517E8D"/>
    <w:rsid w:val="4B5F03F4"/>
    <w:rsid w:val="4B670BB6"/>
    <w:rsid w:val="4B765438"/>
    <w:rsid w:val="4B7F7590"/>
    <w:rsid w:val="4B800118"/>
    <w:rsid w:val="4BB007DF"/>
    <w:rsid w:val="4BB12D03"/>
    <w:rsid w:val="4BC324E4"/>
    <w:rsid w:val="4BC6773C"/>
    <w:rsid w:val="4BE20D87"/>
    <w:rsid w:val="4BED1F56"/>
    <w:rsid w:val="4BFA1A36"/>
    <w:rsid w:val="4C09268B"/>
    <w:rsid w:val="4C1B5DAB"/>
    <w:rsid w:val="4C260E56"/>
    <w:rsid w:val="4C2C21EA"/>
    <w:rsid w:val="4C3617F6"/>
    <w:rsid w:val="4C3A36A3"/>
    <w:rsid w:val="4C4A0649"/>
    <w:rsid w:val="4C6A6E24"/>
    <w:rsid w:val="4C7D6483"/>
    <w:rsid w:val="4C7E5ECA"/>
    <w:rsid w:val="4C876AA5"/>
    <w:rsid w:val="4C9200F5"/>
    <w:rsid w:val="4C974DBE"/>
    <w:rsid w:val="4CAA5AA7"/>
    <w:rsid w:val="4CAD5B30"/>
    <w:rsid w:val="4CDD5ADD"/>
    <w:rsid w:val="4CFB4554"/>
    <w:rsid w:val="4D0E00FB"/>
    <w:rsid w:val="4D176606"/>
    <w:rsid w:val="4D3B5302"/>
    <w:rsid w:val="4D3D4B6D"/>
    <w:rsid w:val="4D4B103D"/>
    <w:rsid w:val="4D5C4C8E"/>
    <w:rsid w:val="4D6B35F3"/>
    <w:rsid w:val="4D79143C"/>
    <w:rsid w:val="4D8D4A02"/>
    <w:rsid w:val="4D993FFA"/>
    <w:rsid w:val="4DCE1529"/>
    <w:rsid w:val="4DCE6BDD"/>
    <w:rsid w:val="4DCF2E83"/>
    <w:rsid w:val="4DD65499"/>
    <w:rsid w:val="4DDE38A1"/>
    <w:rsid w:val="4DEC4FB0"/>
    <w:rsid w:val="4DF704F4"/>
    <w:rsid w:val="4E075D8A"/>
    <w:rsid w:val="4E2F19A7"/>
    <w:rsid w:val="4E611B8B"/>
    <w:rsid w:val="4E615A70"/>
    <w:rsid w:val="4E640624"/>
    <w:rsid w:val="4E644602"/>
    <w:rsid w:val="4E90211D"/>
    <w:rsid w:val="4EA004C6"/>
    <w:rsid w:val="4EC00FAD"/>
    <w:rsid w:val="4EC92B5C"/>
    <w:rsid w:val="4ED64C03"/>
    <w:rsid w:val="4F0F42E7"/>
    <w:rsid w:val="4F1D16E4"/>
    <w:rsid w:val="4F214723"/>
    <w:rsid w:val="4F2A1CF5"/>
    <w:rsid w:val="4F2E29BF"/>
    <w:rsid w:val="4F405132"/>
    <w:rsid w:val="4F40681C"/>
    <w:rsid w:val="4F50369F"/>
    <w:rsid w:val="4F6A3059"/>
    <w:rsid w:val="4F7D4F74"/>
    <w:rsid w:val="4F873110"/>
    <w:rsid w:val="4F9843DC"/>
    <w:rsid w:val="4FB05B2D"/>
    <w:rsid w:val="4FB235F0"/>
    <w:rsid w:val="4FB87E9E"/>
    <w:rsid w:val="4FC62A8C"/>
    <w:rsid w:val="4FE20F0D"/>
    <w:rsid w:val="4FE51552"/>
    <w:rsid w:val="4FE84FCD"/>
    <w:rsid w:val="4FF7706B"/>
    <w:rsid w:val="4FF905E6"/>
    <w:rsid w:val="50061D14"/>
    <w:rsid w:val="5016661E"/>
    <w:rsid w:val="50206971"/>
    <w:rsid w:val="503A1A4F"/>
    <w:rsid w:val="50504C4B"/>
    <w:rsid w:val="505D4240"/>
    <w:rsid w:val="506A211C"/>
    <w:rsid w:val="507A7756"/>
    <w:rsid w:val="507C0CEF"/>
    <w:rsid w:val="50855026"/>
    <w:rsid w:val="508608F2"/>
    <w:rsid w:val="508B6775"/>
    <w:rsid w:val="5095249E"/>
    <w:rsid w:val="50966D98"/>
    <w:rsid w:val="509C6E7C"/>
    <w:rsid w:val="50A303E4"/>
    <w:rsid w:val="50AA0669"/>
    <w:rsid w:val="50C36206"/>
    <w:rsid w:val="50F639B0"/>
    <w:rsid w:val="50FE4193"/>
    <w:rsid w:val="510A5A20"/>
    <w:rsid w:val="510D7B55"/>
    <w:rsid w:val="511B2C87"/>
    <w:rsid w:val="5123212B"/>
    <w:rsid w:val="512C1DA9"/>
    <w:rsid w:val="5132036F"/>
    <w:rsid w:val="513A3314"/>
    <w:rsid w:val="515211E3"/>
    <w:rsid w:val="51525D80"/>
    <w:rsid w:val="515E50B1"/>
    <w:rsid w:val="5162104E"/>
    <w:rsid w:val="516522D2"/>
    <w:rsid w:val="51705511"/>
    <w:rsid w:val="51921EEB"/>
    <w:rsid w:val="51BC0D22"/>
    <w:rsid w:val="51C21AE4"/>
    <w:rsid w:val="51E17B12"/>
    <w:rsid w:val="520914C1"/>
    <w:rsid w:val="5210664C"/>
    <w:rsid w:val="52111504"/>
    <w:rsid w:val="5213765B"/>
    <w:rsid w:val="5221162F"/>
    <w:rsid w:val="527F2855"/>
    <w:rsid w:val="52BD1B60"/>
    <w:rsid w:val="52CA571B"/>
    <w:rsid w:val="52F85E4C"/>
    <w:rsid w:val="52FB2B3F"/>
    <w:rsid w:val="5304233A"/>
    <w:rsid w:val="53114877"/>
    <w:rsid w:val="531672EA"/>
    <w:rsid w:val="531E4C1F"/>
    <w:rsid w:val="535B6ABC"/>
    <w:rsid w:val="537B6780"/>
    <w:rsid w:val="538D5602"/>
    <w:rsid w:val="53952049"/>
    <w:rsid w:val="53A039CC"/>
    <w:rsid w:val="53A1505A"/>
    <w:rsid w:val="53B30040"/>
    <w:rsid w:val="53F41ABE"/>
    <w:rsid w:val="53F61BC2"/>
    <w:rsid w:val="54063E08"/>
    <w:rsid w:val="543437E8"/>
    <w:rsid w:val="54350854"/>
    <w:rsid w:val="54400E38"/>
    <w:rsid w:val="54483245"/>
    <w:rsid w:val="545A2D3C"/>
    <w:rsid w:val="54705A24"/>
    <w:rsid w:val="54900C2B"/>
    <w:rsid w:val="549F2C45"/>
    <w:rsid w:val="54A43A9F"/>
    <w:rsid w:val="54C25A5B"/>
    <w:rsid w:val="54EF20D8"/>
    <w:rsid w:val="54F73313"/>
    <w:rsid w:val="54F80955"/>
    <w:rsid w:val="54FB4D10"/>
    <w:rsid w:val="55014D8C"/>
    <w:rsid w:val="55096A38"/>
    <w:rsid w:val="55247B3E"/>
    <w:rsid w:val="554B1F06"/>
    <w:rsid w:val="555170A7"/>
    <w:rsid w:val="555D4DC6"/>
    <w:rsid w:val="5587536D"/>
    <w:rsid w:val="559B174B"/>
    <w:rsid w:val="559E3BD9"/>
    <w:rsid w:val="55A171AA"/>
    <w:rsid w:val="55AD5081"/>
    <w:rsid w:val="55B50C49"/>
    <w:rsid w:val="55B6114A"/>
    <w:rsid w:val="55B7239A"/>
    <w:rsid w:val="55B8305D"/>
    <w:rsid w:val="55C43DC6"/>
    <w:rsid w:val="55CE0CF4"/>
    <w:rsid w:val="55CE6CAA"/>
    <w:rsid w:val="55D4097C"/>
    <w:rsid w:val="55DF4A13"/>
    <w:rsid w:val="562462AC"/>
    <w:rsid w:val="562C6624"/>
    <w:rsid w:val="564C58C4"/>
    <w:rsid w:val="5651096C"/>
    <w:rsid w:val="56521689"/>
    <w:rsid w:val="56644F18"/>
    <w:rsid w:val="567221FA"/>
    <w:rsid w:val="567B3E04"/>
    <w:rsid w:val="568C05CA"/>
    <w:rsid w:val="569A6D80"/>
    <w:rsid w:val="56B22A9C"/>
    <w:rsid w:val="56B77EF7"/>
    <w:rsid w:val="56BE0AE1"/>
    <w:rsid w:val="56FB1D20"/>
    <w:rsid w:val="56FB39A8"/>
    <w:rsid w:val="57217FAD"/>
    <w:rsid w:val="57341C3D"/>
    <w:rsid w:val="574D26C1"/>
    <w:rsid w:val="576F41C6"/>
    <w:rsid w:val="578D66F1"/>
    <w:rsid w:val="57995095"/>
    <w:rsid w:val="57B72A76"/>
    <w:rsid w:val="57C3426C"/>
    <w:rsid w:val="57CD1B05"/>
    <w:rsid w:val="57CE1F93"/>
    <w:rsid w:val="57F75F47"/>
    <w:rsid w:val="58150F62"/>
    <w:rsid w:val="581D7A74"/>
    <w:rsid w:val="5833493B"/>
    <w:rsid w:val="58386683"/>
    <w:rsid w:val="583D7215"/>
    <w:rsid w:val="58792706"/>
    <w:rsid w:val="588648EC"/>
    <w:rsid w:val="588743D1"/>
    <w:rsid w:val="5887701A"/>
    <w:rsid w:val="58943FE7"/>
    <w:rsid w:val="58A23EBD"/>
    <w:rsid w:val="58B73C1F"/>
    <w:rsid w:val="58BB2CED"/>
    <w:rsid w:val="58D2260D"/>
    <w:rsid w:val="58D64D3E"/>
    <w:rsid w:val="58D77C23"/>
    <w:rsid w:val="58E6114E"/>
    <w:rsid w:val="58F85DEC"/>
    <w:rsid w:val="59076B22"/>
    <w:rsid w:val="591C25D0"/>
    <w:rsid w:val="592117E6"/>
    <w:rsid w:val="5929031A"/>
    <w:rsid w:val="59294EE0"/>
    <w:rsid w:val="59375C7D"/>
    <w:rsid w:val="59411A9E"/>
    <w:rsid w:val="594241CB"/>
    <w:rsid w:val="59436B98"/>
    <w:rsid w:val="59490613"/>
    <w:rsid w:val="594A5FC3"/>
    <w:rsid w:val="594C2225"/>
    <w:rsid w:val="595507D5"/>
    <w:rsid w:val="5961385B"/>
    <w:rsid w:val="599975CF"/>
    <w:rsid w:val="59A06A15"/>
    <w:rsid w:val="59A535E0"/>
    <w:rsid w:val="59A5770B"/>
    <w:rsid w:val="59AD59DC"/>
    <w:rsid w:val="59C0439F"/>
    <w:rsid w:val="59C363BB"/>
    <w:rsid w:val="59D129FB"/>
    <w:rsid w:val="59D14FBA"/>
    <w:rsid w:val="59EB1149"/>
    <w:rsid w:val="59F45B65"/>
    <w:rsid w:val="5A124512"/>
    <w:rsid w:val="5A1B2637"/>
    <w:rsid w:val="5A1B531B"/>
    <w:rsid w:val="5A1E571F"/>
    <w:rsid w:val="5A1E64AA"/>
    <w:rsid w:val="5A256BF3"/>
    <w:rsid w:val="5A271E38"/>
    <w:rsid w:val="5A392579"/>
    <w:rsid w:val="5A417165"/>
    <w:rsid w:val="5A666BA6"/>
    <w:rsid w:val="5A6B7CAE"/>
    <w:rsid w:val="5A6F45A8"/>
    <w:rsid w:val="5A82349C"/>
    <w:rsid w:val="5A937C42"/>
    <w:rsid w:val="5AA26D24"/>
    <w:rsid w:val="5ABE2233"/>
    <w:rsid w:val="5AD831A9"/>
    <w:rsid w:val="5AD9775B"/>
    <w:rsid w:val="5AE40D1D"/>
    <w:rsid w:val="5AF36778"/>
    <w:rsid w:val="5AF80FE3"/>
    <w:rsid w:val="5B01542B"/>
    <w:rsid w:val="5B132DE6"/>
    <w:rsid w:val="5B15357A"/>
    <w:rsid w:val="5B1C77D4"/>
    <w:rsid w:val="5B3F25C5"/>
    <w:rsid w:val="5B58254C"/>
    <w:rsid w:val="5B833531"/>
    <w:rsid w:val="5B865931"/>
    <w:rsid w:val="5B9E3325"/>
    <w:rsid w:val="5B9F5D30"/>
    <w:rsid w:val="5BA72C4E"/>
    <w:rsid w:val="5BB16401"/>
    <w:rsid w:val="5BB60C73"/>
    <w:rsid w:val="5BDA1434"/>
    <w:rsid w:val="5BDF5D95"/>
    <w:rsid w:val="5BE77832"/>
    <w:rsid w:val="5BFD0845"/>
    <w:rsid w:val="5BFE7528"/>
    <w:rsid w:val="5C1A0E69"/>
    <w:rsid w:val="5C2822FC"/>
    <w:rsid w:val="5C427AAA"/>
    <w:rsid w:val="5C7F23CD"/>
    <w:rsid w:val="5C8E1531"/>
    <w:rsid w:val="5C8F6CD6"/>
    <w:rsid w:val="5C904263"/>
    <w:rsid w:val="5CA21335"/>
    <w:rsid w:val="5CA82D89"/>
    <w:rsid w:val="5CB20421"/>
    <w:rsid w:val="5CE57C34"/>
    <w:rsid w:val="5CEA4308"/>
    <w:rsid w:val="5CEB0232"/>
    <w:rsid w:val="5D0C4DB1"/>
    <w:rsid w:val="5D2F3F6C"/>
    <w:rsid w:val="5D694CBD"/>
    <w:rsid w:val="5D9F75B9"/>
    <w:rsid w:val="5DC3214E"/>
    <w:rsid w:val="5DCE1B39"/>
    <w:rsid w:val="5DD27805"/>
    <w:rsid w:val="5DD77C9E"/>
    <w:rsid w:val="5DDB01B6"/>
    <w:rsid w:val="5DE15CD9"/>
    <w:rsid w:val="5DE76BE1"/>
    <w:rsid w:val="5DFF7C75"/>
    <w:rsid w:val="5E227112"/>
    <w:rsid w:val="5E2376F0"/>
    <w:rsid w:val="5E2467F1"/>
    <w:rsid w:val="5E2C7A84"/>
    <w:rsid w:val="5E5020D4"/>
    <w:rsid w:val="5E6521A3"/>
    <w:rsid w:val="5E67605B"/>
    <w:rsid w:val="5E6C2AC7"/>
    <w:rsid w:val="5EA649C5"/>
    <w:rsid w:val="5EBD22AE"/>
    <w:rsid w:val="5EC879C5"/>
    <w:rsid w:val="5ED739BB"/>
    <w:rsid w:val="5EE47449"/>
    <w:rsid w:val="5EE83F36"/>
    <w:rsid w:val="5F1A2B43"/>
    <w:rsid w:val="5F3E090B"/>
    <w:rsid w:val="5F4678B1"/>
    <w:rsid w:val="5F7D6E58"/>
    <w:rsid w:val="5FAA42E4"/>
    <w:rsid w:val="5FB837BB"/>
    <w:rsid w:val="5FF44AC9"/>
    <w:rsid w:val="5FFA2AE8"/>
    <w:rsid w:val="600725AB"/>
    <w:rsid w:val="604A1853"/>
    <w:rsid w:val="606643BE"/>
    <w:rsid w:val="6067567F"/>
    <w:rsid w:val="60710CEE"/>
    <w:rsid w:val="609944AA"/>
    <w:rsid w:val="609D7126"/>
    <w:rsid w:val="60A131A9"/>
    <w:rsid w:val="60A8158C"/>
    <w:rsid w:val="60BE446B"/>
    <w:rsid w:val="60CC405A"/>
    <w:rsid w:val="60D17A5F"/>
    <w:rsid w:val="60DA64AB"/>
    <w:rsid w:val="60FE7FD9"/>
    <w:rsid w:val="61306B02"/>
    <w:rsid w:val="614E0C9F"/>
    <w:rsid w:val="616834A5"/>
    <w:rsid w:val="616E47ED"/>
    <w:rsid w:val="617318F7"/>
    <w:rsid w:val="61B7149A"/>
    <w:rsid w:val="61D6456D"/>
    <w:rsid w:val="61E215D8"/>
    <w:rsid w:val="61EB0BE3"/>
    <w:rsid w:val="61FD6FC8"/>
    <w:rsid w:val="61FE7CC8"/>
    <w:rsid w:val="621B3775"/>
    <w:rsid w:val="622079D0"/>
    <w:rsid w:val="62364782"/>
    <w:rsid w:val="625D23BD"/>
    <w:rsid w:val="626555AC"/>
    <w:rsid w:val="62874E74"/>
    <w:rsid w:val="629B2AAD"/>
    <w:rsid w:val="62B801DE"/>
    <w:rsid w:val="62C751AC"/>
    <w:rsid w:val="633863A0"/>
    <w:rsid w:val="63534126"/>
    <w:rsid w:val="63817634"/>
    <w:rsid w:val="6394356A"/>
    <w:rsid w:val="639F0EF4"/>
    <w:rsid w:val="63C61B2C"/>
    <w:rsid w:val="63C743E9"/>
    <w:rsid w:val="63D1325E"/>
    <w:rsid w:val="63D40BE9"/>
    <w:rsid w:val="63D4206B"/>
    <w:rsid w:val="63EA7CD7"/>
    <w:rsid w:val="64102431"/>
    <w:rsid w:val="64124746"/>
    <w:rsid w:val="643B6378"/>
    <w:rsid w:val="64424F4F"/>
    <w:rsid w:val="64511C2F"/>
    <w:rsid w:val="64542A70"/>
    <w:rsid w:val="64547BE1"/>
    <w:rsid w:val="646B5BD8"/>
    <w:rsid w:val="64831E4A"/>
    <w:rsid w:val="6488588C"/>
    <w:rsid w:val="64960FD2"/>
    <w:rsid w:val="64A5243A"/>
    <w:rsid w:val="64B13954"/>
    <w:rsid w:val="64B4230E"/>
    <w:rsid w:val="64B442FB"/>
    <w:rsid w:val="64BD60DB"/>
    <w:rsid w:val="64D05D80"/>
    <w:rsid w:val="64DD3C13"/>
    <w:rsid w:val="64F531DE"/>
    <w:rsid w:val="64F65AE8"/>
    <w:rsid w:val="650565DC"/>
    <w:rsid w:val="65373578"/>
    <w:rsid w:val="653974C9"/>
    <w:rsid w:val="65474383"/>
    <w:rsid w:val="65541C63"/>
    <w:rsid w:val="655D3D19"/>
    <w:rsid w:val="656430C2"/>
    <w:rsid w:val="656848F7"/>
    <w:rsid w:val="657824FA"/>
    <w:rsid w:val="65921AA2"/>
    <w:rsid w:val="659275B8"/>
    <w:rsid w:val="659D5800"/>
    <w:rsid w:val="65EC0012"/>
    <w:rsid w:val="66074E00"/>
    <w:rsid w:val="66187DFD"/>
    <w:rsid w:val="662D4050"/>
    <w:rsid w:val="663F4B1D"/>
    <w:rsid w:val="664D387D"/>
    <w:rsid w:val="665F74AA"/>
    <w:rsid w:val="66676D13"/>
    <w:rsid w:val="66692C8E"/>
    <w:rsid w:val="667E51BF"/>
    <w:rsid w:val="668549C3"/>
    <w:rsid w:val="66873E0A"/>
    <w:rsid w:val="66A71599"/>
    <w:rsid w:val="66B3296E"/>
    <w:rsid w:val="66C003F5"/>
    <w:rsid w:val="66D46BEA"/>
    <w:rsid w:val="66DB4CC2"/>
    <w:rsid w:val="66ED4C27"/>
    <w:rsid w:val="66F91781"/>
    <w:rsid w:val="670C46A0"/>
    <w:rsid w:val="671F124A"/>
    <w:rsid w:val="673D306E"/>
    <w:rsid w:val="67453E05"/>
    <w:rsid w:val="677A33C6"/>
    <w:rsid w:val="679145F3"/>
    <w:rsid w:val="679B6404"/>
    <w:rsid w:val="67A30C66"/>
    <w:rsid w:val="67A403EE"/>
    <w:rsid w:val="67A86149"/>
    <w:rsid w:val="67B54006"/>
    <w:rsid w:val="67BC29B2"/>
    <w:rsid w:val="67E804B6"/>
    <w:rsid w:val="67F01ABC"/>
    <w:rsid w:val="68015888"/>
    <w:rsid w:val="681F6961"/>
    <w:rsid w:val="68467466"/>
    <w:rsid w:val="68610A2F"/>
    <w:rsid w:val="686142B9"/>
    <w:rsid w:val="68652C8E"/>
    <w:rsid w:val="68656962"/>
    <w:rsid w:val="686B3172"/>
    <w:rsid w:val="68805514"/>
    <w:rsid w:val="68895A57"/>
    <w:rsid w:val="68900A54"/>
    <w:rsid w:val="68AA399B"/>
    <w:rsid w:val="68AD1BBD"/>
    <w:rsid w:val="68C00BD5"/>
    <w:rsid w:val="68C60DE7"/>
    <w:rsid w:val="68C6706A"/>
    <w:rsid w:val="68C71E6F"/>
    <w:rsid w:val="68CA2ABC"/>
    <w:rsid w:val="68E71F9D"/>
    <w:rsid w:val="691634BF"/>
    <w:rsid w:val="691A298E"/>
    <w:rsid w:val="691C6520"/>
    <w:rsid w:val="69261D01"/>
    <w:rsid w:val="69316E2F"/>
    <w:rsid w:val="693E4987"/>
    <w:rsid w:val="69405D20"/>
    <w:rsid w:val="694E2071"/>
    <w:rsid w:val="69694032"/>
    <w:rsid w:val="69766163"/>
    <w:rsid w:val="697A3B33"/>
    <w:rsid w:val="69977CA6"/>
    <w:rsid w:val="69995D70"/>
    <w:rsid w:val="69A04061"/>
    <w:rsid w:val="69A26446"/>
    <w:rsid w:val="69B07AF6"/>
    <w:rsid w:val="69B416E8"/>
    <w:rsid w:val="69C22959"/>
    <w:rsid w:val="69CA436D"/>
    <w:rsid w:val="69D327FA"/>
    <w:rsid w:val="69D42CAE"/>
    <w:rsid w:val="69D44760"/>
    <w:rsid w:val="69DF4B8A"/>
    <w:rsid w:val="69F42AB8"/>
    <w:rsid w:val="69F57284"/>
    <w:rsid w:val="69F744B3"/>
    <w:rsid w:val="6A03545E"/>
    <w:rsid w:val="6A08202A"/>
    <w:rsid w:val="6A144F86"/>
    <w:rsid w:val="6A3051C0"/>
    <w:rsid w:val="6A350C4E"/>
    <w:rsid w:val="6A425588"/>
    <w:rsid w:val="6A520EC7"/>
    <w:rsid w:val="6A5A0C6B"/>
    <w:rsid w:val="6A6908F7"/>
    <w:rsid w:val="6A8F0140"/>
    <w:rsid w:val="6A97711C"/>
    <w:rsid w:val="6AA63EE1"/>
    <w:rsid w:val="6ABC136F"/>
    <w:rsid w:val="6AC754D5"/>
    <w:rsid w:val="6AE4628F"/>
    <w:rsid w:val="6AF87E20"/>
    <w:rsid w:val="6B0D03AE"/>
    <w:rsid w:val="6B243F13"/>
    <w:rsid w:val="6B322639"/>
    <w:rsid w:val="6B32518D"/>
    <w:rsid w:val="6B465558"/>
    <w:rsid w:val="6B4D7B01"/>
    <w:rsid w:val="6B533A81"/>
    <w:rsid w:val="6B544938"/>
    <w:rsid w:val="6B5732AF"/>
    <w:rsid w:val="6B595A2D"/>
    <w:rsid w:val="6B5E4114"/>
    <w:rsid w:val="6B840A2A"/>
    <w:rsid w:val="6B931178"/>
    <w:rsid w:val="6BA10C2C"/>
    <w:rsid w:val="6BAF4A30"/>
    <w:rsid w:val="6BB804F5"/>
    <w:rsid w:val="6BBF7FB5"/>
    <w:rsid w:val="6BDF2FD6"/>
    <w:rsid w:val="6BEE46C4"/>
    <w:rsid w:val="6BF764C5"/>
    <w:rsid w:val="6BFD39ED"/>
    <w:rsid w:val="6C164AAF"/>
    <w:rsid w:val="6C2147F0"/>
    <w:rsid w:val="6C395950"/>
    <w:rsid w:val="6C3B6B9B"/>
    <w:rsid w:val="6C4B3F39"/>
    <w:rsid w:val="6C636C38"/>
    <w:rsid w:val="6C7209F2"/>
    <w:rsid w:val="6C8A3963"/>
    <w:rsid w:val="6C8D4BB8"/>
    <w:rsid w:val="6C9253D7"/>
    <w:rsid w:val="6CBD4F2A"/>
    <w:rsid w:val="6CC90CE7"/>
    <w:rsid w:val="6CE14908"/>
    <w:rsid w:val="6CE7737B"/>
    <w:rsid w:val="6CED23F1"/>
    <w:rsid w:val="6D1763FC"/>
    <w:rsid w:val="6D2154B9"/>
    <w:rsid w:val="6D2806C8"/>
    <w:rsid w:val="6D30302E"/>
    <w:rsid w:val="6D3429BE"/>
    <w:rsid w:val="6D3C22F3"/>
    <w:rsid w:val="6D626736"/>
    <w:rsid w:val="6D9F53C4"/>
    <w:rsid w:val="6DB34098"/>
    <w:rsid w:val="6DB545B6"/>
    <w:rsid w:val="6DB71030"/>
    <w:rsid w:val="6DE02FB4"/>
    <w:rsid w:val="6DE43EE6"/>
    <w:rsid w:val="6DEA7B5C"/>
    <w:rsid w:val="6DF53B24"/>
    <w:rsid w:val="6E02353D"/>
    <w:rsid w:val="6E041BA0"/>
    <w:rsid w:val="6E351A38"/>
    <w:rsid w:val="6E405C54"/>
    <w:rsid w:val="6E441824"/>
    <w:rsid w:val="6E4C0052"/>
    <w:rsid w:val="6E514CED"/>
    <w:rsid w:val="6E526DF7"/>
    <w:rsid w:val="6E6E0C46"/>
    <w:rsid w:val="6E7272D1"/>
    <w:rsid w:val="6E7B078A"/>
    <w:rsid w:val="6E893520"/>
    <w:rsid w:val="6E8D1BB3"/>
    <w:rsid w:val="6E926B0A"/>
    <w:rsid w:val="6E957575"/>
    <w:rsid w:val="6EB563D5"/>
    <w:rsid w:val="6ED92677"/>
    <w:rsid w:val="6EF068D9"/>
    <w:rsid w:val="6F062110"/>
    <w:rsid w:val="6F225983"/>
    <w:rsid w:val="6F255735"/>
    <w:rsid w:val="6F305EE6"/>
    <w:rsid w:val="6F4656AB"/>
    <w:rsid w:val="6F4A18AD"/>
    <w:rsid w:val="6F513429"/>
    <w:rsid w:val="6F5940B4"/>
    <w:rsid w:val="6F5B1008"/>
    <w:rsid w:val="6F601930"/>
    <w:rsid w:val="6F663391"/>
    <w:rsid w:val="6F8530E3"/>
    <w:rsid w:val="6F9208F0"/>
    <w:rsid w:val="6FA72DB6"/>
    <w:rsid w:val="6FCF4484"/>
    <w:rsid w:val="6FED6382"/>
    <w:rsid w:val="6FFC5590"/>
    <w:rsid w:val="6FFE593C"/>
    <w:rsid w:val="7002486E"/>
    <w:rsid w:val="70107034"/>
    <w:rsid w:val="703E5095"/>
    <w:rsid w:val="704F15E7"/>
    <w:rsid w:val="70524142"/>
    <w:rsid w:val="705D3AC2"/>
    <w:rsid w:val="706D1DD0"/>
    <w:rsid w:val="70856B87"/>
    <w:rsid w:val="708A202C"/>
    <w:rsid w:val="709240EC"/>
    <w:rsid w:val="70BD0C0D"/>
    <w:rsid w:val="70CB6351"/>
    <w:rsid w:val="70CE3C7A"/>
    <w:rsid w:val="70D527EE"/>
    <w:rsid w:val="70DB44C3"/>
    <w:rsid w:val="70DC015C"/>
    <w:rsid w:val="70DE5412"/>
    <w:rsid w:val="70E6230F"/>
    <w:rsid w:val="70F5325E"/>
    <w:rsid w:val="71046347"/>
    <w:rsid w:val="712331C2"/>
    <w:rsid w:val="714D7468"/>
    <w:rsid w:val="715A6472"/>
    <w:rsid w:val="715B5300"/>
    <w:rsid w:val="71762845"/>
    <w:rsid w:val="718C2E5B"/>
    <w:rsid w:val="71922E29"/>
    <w:rsid w:val="719B5548"/>
    <w:rsid w:val="719C4588"/>
    <w:rsid w:val="71A22FE8"/>
    <w:rsid w:val="71A74B72"/>
    <w:rsid w:val="71D10252"/>
    <w:rsid w:val="71D27F8A"/>
    <w:rsid w:val="71E155BF"/>
    <w:rsid w:val="72002031"/>
    <w:rsid w:val="72024FD9"/>
    <w:rsid w:val="72085083"/>
    <w:rsid w:val="72203BED"/>
    <w:rsid w:val="723A0CAA"/>
    <w:rsid w:val="72426965"/>
    <w:rsid w:val="72553024"/>
    <w:rsid w:val="728F3B49"/>
    <w:rsid w:val="729D0137"/>
    <w:rsid w:val="72BA0D33"/>
    <w:rsid w:val="73050897"/>
    <w:rsid w:val="73061D31"/>
    <w:rsid w:val="73122968"/>
    <w:rsid w:val="731F5D5E"/>
    <w:rsid w:val="7327134F"/>
    <w:rsid w:val="734743DE"/>
    <w:rsid w:val="734771F4"/>
    <w:rsid w:val="737B000E"/>
    <w:rsid w:val="73AB1F81"/>
    <w:rsid w:val="73C51AD5"/>
    <w:rsid w:val="73C755C0"/>
    <w:rsid w:val="73E60782"/>
    <w:rsid w:val="74013D40"/>
    <w:rsid w:val="74024296"/>
    <w:rsid w:val="741E793C"/>
    <w:rsid w:val="74303B8D"/>
    <w:rsid w:val="74351464"/>
    <w:rsid w:val="745E3944"/>
    <w:rsid w:val="74697D72"/>
    <w:rsid w:val="74714F64"/>
    <w:rsid w:val="74750E9A"/>
    <w:rsid w:val="74BD0C0B"/>
    <w:rsid w:val="74CD713E"/>
    <w:rsid w:val="750C00A6"/>
    <w:rsid w:val="75196F2E"/>
    <w:rsid w:val="751A2B98"/>
    <w:rsid w:val="751A4668"/>
    <w:rsid w:val="75247523"/>
    <w:rsid w:val="75790588"/>
    <w:rsid w:val="75811CBD"/>
    <w:rsid w:val="758F0062"/>
    <w:rsid w:val="759601D7"/>
    <w:rsid w:val="75B23A9A"/>
    <w:rsid w:val="75B3507E"/>
    <w:rsid w:val="75BE7B04"/>
    <w:rsid w:val="75D80984"/>
    <w:rsid w:val="76104981"/>
    <w:rsid w:val="762075E9"/>
    <w:rsid w:val="76273F80"/>
    <w:rsid w:val="7631269F"/>
    <w:rsid w:val="7635099D"/>
    <w:rsid w:val="76473A2B"/>
    <w:rsid w:val="76815B20"/>
    <w:rsid w:val="76935A6A"/>
    <w:rsid w:val="76C157B9"/>
    <w:rsid w:val="76C515AB"/>
    <w:rsid w:val="76D85FC1"/>
    <w:rsid w:val="76F90355"/>
    <w:rsid w:val="77000431"/>
    <w:rsid w:val="770A6C7F"/>
    <w:rsid w:val="771B741D"/>
    <w:rsid w:val="773C5D50"/>
    <w:rsid w:val="7756518C"/>
    <w:rsid w:val="77610A4D"/>
    <w:rsid w:val="776A7C51"/>
    <w:rsid w:val="77762421"/>
    <w:rsid w:val="77853B0F"/>
    <w:rsid w:val="778D13C9"/>
    <w:rsid w:val="77900CEB"/>
    <w:rsid w:val="77A82576"/>
    <w:rsid w:val="77B56B1F"/>
    <w:rsid w:val="77C031EF"/>
    <w:rsid w:val="780B56E4"/>
    <w:rsid w:val="780C434F"/>
    <w:rsid w:val="780F09F4"/>
    <w:rsid w:val="781B0EBA"/>
    <w:rsid w:val="78220048"/>
    <w:rsid w:val="78574485"/>
    <w:rsid w:val="785F03BE"/>
    <w:rsid w:val="78657FA9"/>
    <w:rsid w:val="786A5172"/>
    <w:rsid w:val="787013EB"/>
    <w:rsid w:val="788473F0"/>
    <w:rsid w:val="788C4569"/>
    <w:rsid w:val="789622FC"/>
    <w:rsid w:val="78A90480"/>
    <w:rsid w:val="78CE4FE9"/>
    <w:rsid w:val="78D0234D"/>
    <w:rsid w:val="78D11300"/>
    <w:rsid w:val="78D77FAE"/>
    <w:rsid w:val="78DF2EE4"/>
    <w:rsid w:val="78F66786"/>
    <w:rsid w:val="790548E5"/>
    <w:rsid w:val="790F51B3"/>
    <w:rsid w:val="791B49F2"/>
    <w:rsid w:val="791D139E"/>
    <w:rsid w:val="79392587"/>
    <w:rsid w:val="793D18CD"/>
    <w:rsid w:val="794257EF"/>
    <w:rsid w:val="796F522D"/>
    <w:rsid w:val="798A6237"/>
    <w:rsid w:val="798D1338"/>
    <w:rsid w:val="798E0F3F"/>
    <w:rsid w:val="79E10816"/>
    <w:rsid w:val="79E74F41"/>
    <w:rsid w:val="79EC0E78"/>
    <w:rsid w:val="7A0B19CB"/>
    <w:rsid w:val="7A0D4347"/>
    <w:rsid w:val="7A140A4B"/>
    <w:rsid w:val="7A141457"/>
    <w:rsid w:val="7A194895"/>
    <w:rsid w:val="7A311E10"/>
    <w:rsid w:val="7A364017"/>
    <w:rsid w:val="7A490483"/>
    <w:rsid w:val="7A491DEF"/>
    <w:rsid w:val="7A696827"/>
    <w:rsid w:val="7A7B1087"/>
    <w:rsid w:val="7A812B29"/>
    <w:rsid w:val="7A8265E1"/>
    <w:rsid w:val="7A9D2068"/>
    <w:rsid w:val="7AAC6C4F"/>
    <w:rsid w:val="7AE21B03"/>
    <w:rsid w:val="7AEF7BF9"/>
    <w:rsid w:val="7B0615CD"/>
    <w:rsid w:val="7B064216"/>
    <w:rsid w:val="7B132C4F"/>
    <w:rsid w:val="7B2561A1"/>
    <w:rsid w:val="7B2A09E6"/>
    <w:rsid w:val="7B5D37EA"/>
    <w:rsid w:val="7B686D42"/>
    <w:rsid w:val="7B815A48"/>
    <w:rsid w:val="7B841746"/>
    <w:rsid w:val="7B990400"/>
    <w:rsid w:val="7BD15226"/>
    <w:rsid w:val="7BF3685A"/>
    <w:rsid w:val="7BF77C6C"/>
    <w:rsid w:val="7C027952"/>
    <w:rsid w:val="7C2E4877"/>
    <w:rsid w:val="7C4B4649"/>
    <w:rsid w:val="7C6C5AC7"/>
    <w:rsid w:val="7C7C24D2"/>
    <w:rsid w:val="7C961A20"/>
    <w:rsid w:val="7CA503D6"/>
    <w:rsid w:val="7CC6544B"/>
    <w:rsid w:val="7CCD7BA6"/>
    <w:rsid w:val="7CCE3ADE"/>
    <w:rsid w:val="7CCE4633"/>
    <w:rsid w:val="7CD85121"/>
    <w:rsid w:val="7CE877CA"/>
    <w:rsid w:val="7CEE14F0"/>
    <w:rsid w:val="7CEE3E7D"/>
    <w:rsid w:val="7CEE4B67"/>
    <w:rsid w:val="7CF60F14"/>
    <w:rsid w:val="7D0239FF"/>
    <w:rsid w:val="7D0278AA"/>
    <w:rsid w:val="7D080444"/>
    <w:rsid w:val="7D1B1F25"/>
    <w:rsid w:val="7D2B7EA2"/>
    <w:rsid w:val="7D2C4132"/>
    <w:rsid w:val="7D3F0CB9"/>
    <w:rsid w:val="7D4274B2"/>
    <w:rsid w:val="7D5E40CD"/>
    <w:rsid w:val="7D762C9B"/>
    <w:rsid w:val="7DB21766"/>
    <w:rsid w:val="7DBA30C5"/>
    <w:rsid w:val="7DC516F6"/>
    <w:rsid w:val="7DC527A2"/>
    <w:rsid w:val="7DCD56F2"/>
    <w:rsid w:val="7DD346EA"/>
    <w:rsid w:val="7E016620"/>
    <w:rsid w:val="7E0503E2"/>
    <w:rsid w:val="7E1370A0"/>
    <w:rsid w:val="7E211BAF"/>
    <w:rsid w:val="7E5917AF"/>
    <w:rsid w:val="7E6B382C"/>
    <w:rsid w:val="7E7135B2"/>
    <w:rsid w:val="7EA92AB2"/>
    <w:rsid w:val="7EB739E9"/>
    <w:rsid w:val="7EDA1C52"/>
    <w:rsid w:val="7EED378C"/>
    <w:rsid w:val="7EF84E47"/>
    <w:rsid w:val="7EFB7EF0"/>
    <w:rsid w:val="7F001CE7"/>
    <w:rsid w:val="7F1F3297"/>
    <w:rsid w:val="7F572FBC"/>
    <w:rsid w:val="7F5D6402"/>
    <w:rsid w:val="7F753458"/>
    <w:rsid w:val="7F9162E5"/>
    <w:rsid w:val="7FA61CC5"/>
    <w:rsid w:val="7FAC72C4"/>
    <w:rsid w:val="7FC23245"/>
    <w:rsid w:val="7FCD7C4C"/>
    <w:rsid w:val="7FDB2F8A"/>
    <w:rsid w:val="7FE02D4E"/>
    <w:rsid w:val="7FE22DE5"/>
    <w:rsid w:val="7FE47E50"/>
    <w:rsid w:val="7FF434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name="heading 3" w:locked="1"/>
    <w:lsdException w:qFormat="1" w:unhideWhenUsed="0" w:uiPriority="1" w:semiHidden="0" w:name="heading 4" w:locked="1"/>
    <w:lsdException w:qFormat="1" w:uiPriority="0" w:name="heading 5" w:locked="1"/>
    <w:lsdException w:qFormat="1" w:uiPriority="0" w:name="heading 6" w:locked="1"/>
    <w:lsdException w:qFormat="1" w:uiPriority="0" w:semiHidden="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35"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locked/>
    <w:uiPriority w:val="0"/>
    <w:pPr>
      <w:keepNext/>
      <w:keepLines/>
      <w:spacing w:line="416" w:lineRule="auto"/>
      <w:outlineLvl w:val="1"/>
    </w:pPr>
    <w:rPr>
      <w:rFonts w:ascii="Arial" w:hAnsi="Arial" w:eastAsia="黑体" w:cs="Arial"/>
      <w:b/>
      <w:bCs/>
      <w:sz w:val="32"/>
      <w:szCs w:val="32"/>
    </w:rPr>
  </w:style>
  <w:style w:type="paragraph" w:styleId="7">
    <w:name w:val="heading 4"/>
    <w:basedOn w:val="1"/>
    <w:next w:val="8"/>
    <w:qFormat/>
    <w:locked/>
    <w:uiPriority w:val="1"/>
    <w:pPr>
      <w:spacing w:before="1" w:beforeLines="0" w:afterLines="0"/>
      <w:ind w:left="748"/>
      <w:outlineLvl w:val="4"/>
    </w:pPr>
    <w:rPr>
      <w:rFonts w:hint="eastAsia"/>
      <w:b/>
      <w:sz w:val="24"/>
    </w:rPr>
  </w:style>
  <w:style w:type="paragraph" w:styleId="10">
    <w:name w:val="heading 7"/>
    <w:basedOn w:val="1"/>
    <w:next w:val="1"/>
    <w:unhideWhenUsed/>
    <w:qFormat/>
    <w:locked/>
    <w:uiPriority w:val="0"/>
    <w:pPr>
      <w:keepNext/>
      <w:keepLines/>
      <w:tabs>
        <w:tab w:val="left" w:pos="1296"/>
      </w:tabs>
      <w:spacing w:line="360" w:lineRule="auto"/>
      <w:ind w:left="0" w:firstLine="0"/>
      <w:outlineLvl w:val="6"/>
    </w:pPr>
    <w:rPr>
      <w:rFonts w:ascii="Times New Roman" w:hAnsi="Times New Roman" w:eastAsia="宋体"/>
      <w:b/>
      <w:bCs/>
      <w:sz w:val="24"/>
      <w:szCs w:val="24"/>
    </w:rPr>
  </w:style>
  <w:style w:type="character" w:default="1" w:styleId="37">
    <w:name w:val="Default Paragraph Font"/>
    <w:semiHidden/>
    <w:qFormat/>
    <w:uiPriority w:val="0"/>
  </w:style>
  <w:style w:type="table" w:default="1" w:styleId="35">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样式 样式 样式 四号 左侧:  1.53 厘米 + 首行缩进:  2 字符 + 居中 左侧:  2 字符 首行缩进:  2..."/>
    <w:basedOn w:val="3"/>
    <w:qFormat/>
    <w:uiPriority w:val="0"/>
    <w:pPr>
      <w:snapToGrid w:val="0"/>
      <w:spacing w:line="500" w:lineRule="exact"/>
      <w:jc w:val="center"/>
    </w:pPr>
    <w:rPr>
      <w:rFonts w:ascii="Times New Roman" w:hAnsi="Times New Roman"/>
    </w:rPr>
  </w:style>
  <w:style w:type="paragraph" w:customStyle="1" w:styleId="3">
    <w:name w:val="样式 样式 四号 左侧:  1.53 厘米 + 首行缩进:  2 字符"/>
    <w:basedOn w:val="4"/>
    <w:qFormat/>
    <w:uiPriority w:val="0"/>
    <w:pPr>
      <w:ind w:left="200" w:leftChars="200"/>
    </w:pPr>
    <w:rPr>
      <w:szCs w:val="20"/>
    </w:rPr>
  </w:style>
  <w:style w:type="paragraph" w:customStyle="1" w:styleId="4">
    <w:name w:val="样式 四号 左侧:  1.53 厘米"/>
    <w:basedOn w:val="1"/>
    <w:qFormat/>
    <w:uiPriority w:val="0"/>
    <w:pPr>
      <w:adjustRightInd w:val="0"/>
    </w:pPr>
    <w:rPr>
      <w:rFonts w:ascii="华康简仿宋" w:hAnsi="华康简仿宋" w:eastAsia="华文中宋" w:cs="华康简仿宋"/>
      <w:w w:val="90"/>
      <w:sz w:val="28"/>
      <w:szCs w:val="28"/>
    </w:rPr>
  </w:style>
  <w:style w:type="paragraph" w:styleId="8">
    <w:name w:val="Body Text"/>
    <w:basedOn w:val="1"/>
    <w:next w:val="9"/>
    <w:link w:val="45"/>
    <w:qFormat/>
    <w:uiPriority w:val="0"/>
    <w:pPr>
      <w:widowControl/>
      <w:snapToGrid w:val="0"/>
      <w:spacing w:before="60" w:after="160" w:line="259" w:lineRule="auto"/>
      <w:ind w:right="113"/>
    </w:pPr>
    <w:rPr>
      <w:kern w:val="0"/>
      <w:sz w:val="18"/>
      <w:szCs w:val="20"/>
    </w:rPr>
  </w:style>
  <w:style w:type="paragraph" w:customStyle="1" w:styleId="9">
    <w:name w:val="默认段落"/>
    <w:basedOn w:val="1"/>
    <w:qFormat/>
    <w:uiPriority w:val="99"/>
    <w:pPr>
      <w:autoSpaceDE w:val="0"/>
      <w:autoSpaceDN w:val="0"/>
      <w:spacing w:line="240" w:lineRule="auto"/>
      <w:ind w:firstLine="0" w:firstLineChars="0"/>
      <w:jc w:val="left"/>
    </w:pPr>
    <w:rPr>
      <w:rFonts w:ascii="宋体" w:hAnsi="宋体" w:cs="宋体"/>
      <w:kern w:val="0"/>
      <w:sz w:val="22"/>
      <w:szCs w:val="22"/>
      <w:lang w:val="zh-CN" w:bidi="zh-CN"/>
    </w:rPr>
  </w:style>
  <w:style w:type="paragraph" w:styleId="11">
    <w:name w:val="Normal Indent"/>
    <w:basedOn w:val="1"/>
    <w:next w:val="12"/>
    <w:qFormat/>
    <w:locked/>
    <w:uiPriority w:val="0"/>
    <w:pPr>
      <w:ind w:firstLine="420" w:firstLineChars="200"/>
    </w:pPr>
    <w:rPr>
      <w:sz w:val="21"/>
      <w:szCs w:val="21"/>
    </w:rPr>
  </w:style>
  <w:style w:type="paragraph" w:styleId="12">
    <w:name w:val="toc 1"/>
    <w:basedOn w:val="1"/>
    <w:next w:val="1"/>
    <w:unhideWhenUsed/>
    <w:qFormat/>
    <w:locked/>
    <w:uiPriority w:val="39"/>
  </w:style>
  <w:style w:type="paragraph" w:styleId="13">
    <w:name w:val="caption"/>
    <w:basedOn w:val="1"/>
    <w:next w:val="1"/>
    <w:unhideWhenUsed/>
    <w:qFormat/>
    <w:locked/>
    <w:uiPriority w:val="35"/>
    <w:pPr>
      <w:keepNext/>
      <w:snapToGrid w:val="0"/>
      <w:jc w:val="center"/>
    </w:pPr>
    <w:rPr>
      <w:rFonts w:ascii="Times New Roman" w:hAnsi="Times New Roman" w:eastAsia="宋体" w:cs="Times New Roman"/>
      <w:b/>
      <w:sz w:val="24"/>
      <w:szCs w:val="20"/>
    </w:rPr>
  </w:style>
  <w:style w:type="paragraph" w:styleId="14">
    <w:name w:val="index 5"/>
    <w:next w:val="1"/>
    <w:qFormat/>
    <w:locked/>
    <w:uiPriority w:val="0"/>
    <w:pPr>
      <w:widowControl w:val="0"/>
      <w:ind w:left="800" w:leftChars="800"/>
      <w:jc w:val="both"/>
    </w:pPr>
    <w:rPr>
      <w:rFonts w:ascii="Times New Roman" w:hAnsi="Times New Roman" w:eastAsia="宋体" w:cs="Times New Roman"/>
      <w:kern w:val="2"/>
      <w:sz w:val="21"/>
      <w:szCs w:val="24"/>
      <w:lang w:val="en-US" w:eastAsia="zh-CN" w:bidi="ar-SA"/>
    </w:rPr>
  </w:style>
  <w:style w:type="paragraph" w:styleId="15">
    <w:name w:val="annotation text"/>
    <w:basedOn w:val="1"/>
    <w:link w:val="46"/>
    <w:semiHidden/>
    <w:qFormat/>
    <w:uiPriority w:val="0"/>
    <w:pPr>
      <w:jc w:val="left"/>
    </w:pPr>
    <w:rPr>
      <w:kern w:val="0"/>
      <w:sz w:val="24"/>
      <w:szCs w:val="20"/>
    </w:rPr>
  </w:style>
  <w:style w:type="paragraph" w:styleId="16">
    <w:name w:val="Body Text Indent"/>
    <w:basedOn w:val="1"/>
    <w:next w:val="1"/>
    <w:link w:val="47"/>
    <w:qFormat/>
    <w:uiPriority w:val="0"/>
    <w:pPr>
      <w:spacing w:after="120"/>
      <w:ind w:left="420" w:leftChars="200"/>
    </w:pPr>
    <w:rPr>
      <w:kern w:val="0"/>
      <w:sz w:val="24"/>
      <w:szCs w:val="20"/>
    </w:rPr>
  </w:style>
  <w:style w:type="paragraph" w:styleId="17">
    <w:name w:val="Block Text"/>
    <w:basedOn w:val="1"/>
    <w:next w:val="1"/>
    <w:qFormat/>
    <w:locked/>
    <w:uiPriority w:val="0"/>
    <w:pPr>
      <w:widowControl/>
      <w:ind w:left="113" w:right="113" w:firstLine="555"/>
      <w:jc w:val="left"/>
    </w:pPr>
    <w:rPr>
      <w:rFonts w:hint="eastAsia" w:ascii="宋体" w:hAnsi="宋体"/>
      <w:sz w:val="28"/>
    </w:rPr>
  </w:style>
  <w:style w:type="paragraph" w:styleId="18">
    <w:name w:val="Plain Text"/>
    <w:basedOn w:val="1"/>
    <w:qFormat/>
    <w:locked/>
    <w:uiPriority w:val="0"/>
    <w:rPr>
      <w:rFonts w:ascii="宋体" w:hAnsi="Courier New" w:cs="Courier New"/>
      <w:szCs w:val="21"/>
    </w:rPr>
  </w:style>
  <w:style w:type="paragraph" w:styleId="19">
    <w:name w:val="List Bullet 5"/>
    <w:basedOn w:val="1"/>
    <w:qFormat/>
    <w:locked/>
    <w:uiPriority w:val="0"/>
    <w:pPr>
      <w:numPr>
        <w:ilvl w:val="0"/>
        <w:numId w:val="1"/>
      </w:numPr>
    </w:pPr>
  </w:style>
  <w:style w:type="paragraph" w:styleId="20">
    <w:name w:val="Date"/>
    <w:basedOn w:val="1"/>
    <w:next w:val="1"/>
    <w:link w:val="49"/>
    <w:qFormat/>
    <w:uiPriority w:val="0"/>
    <w:pPr>
      <w:ind w:left="100" w:leftChars="2500"/>
    </w:pPr>
    <w:rPr>
      <w:kern w:val="0"/>
      <w:sz w:val="24"/>
      <w:szCs w:val="20"/>
    </w:rPr>
  </w:style>
  <w:style w:type="paragraph" w:styleId="21">
    <w:name w:val="Body Text Indent 2"/>
    <w:basedOn w:val="1"/>
    <w:qFormat/>
    <w:locked/>
    <w:uiPriority w:val="0"/>
    <w:pPr>
      <w:spacing w:line="360" w:lineRule="exact"/>
      <w:ind w:right="34" w:firstLine="480" w:firstLineChars="200"/>
    </w:pPr>
    <w:rPr>
      <w:sz w:val="24"/>
    </w:rPr>
  </w:style>
  <w:style w:type="paragraph" w:styleId="22">
    <w:name w:val="endnote text"/>
    <w:basedOn w:val="1"/>
    <w:unhideWhenUsed/>
    <w:qFormat/>
    <w:locked/>
    <w:uiPriority w:val="0"/>
    <w:pPr>
      <w:snapToGrid w:val="0"/>
      <w:spacing w:beforeLines="0" w:afterLines="0"/>
      <w:jc w:val="left"/>
    </w:pPr>
    <w:rPr>
      <w:rFonts w:hint="default" w:ascii="Calibri" w:hAnsi="Calibri" w:eastAsia="宋体"/>
      <w:sz w:val="24"/>
      <w:szCs w:val="24"/>
    </w:rPr>
  </w:style>
  <w:style w:type="paragraph" w:styleId="23">
    <w:name w:val="Balloon Text"/>
    <w:basedOn w:val="1"/>
    <w:link w:val="50"/>
    <w:semiHidden/>
    <w:qFormat/>
    <w:uiPriority w:val="0"/>
    <w:rPr>
      <w:kern w:val="0"/>
      <w:sz w:val="18"/>
      <w:szCs w:val="20"/>
    </w:rPr>
  </w:style>
  <w:style w:type="paragraph" w:styleId="24">
    <w:name w:val="footer"/>
    <w:basedOn w:val="1"/>
    <w:link w:val="51"/>
    <w:qFormat/>
    <w:uiPriority w:val="99"/>
    <w:pPr>
      <w:tabs>
        <w:tab w:val="center" w:pos="4153"/>
        <w:tab w:val="right" w:pos="8306"/>
      </w:tabs>
      <w:snapToGrid w:val="0"/>
      <w:jc w:val="left"/>
    </w:pPr>
    <w:rPr>
      <w:kern w:val="0"/>
      <w:sz w:val="18"/>
      <w:szCs w:val="20"/>
    </w:rPr>
  </w:style>
  <w:style w:type="paragraph" w:styleId="25">
    <w:name w:val="header"/>
    <w:basedOn w:val="1"/>
    <w:next w:val="26"/>
    <w:link w:val="48"/>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6">
    <w:name w:val="样式5"/>
    <w:basedOn w:val="27"/>
    <w:next w:val="22"/>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27">
    <w:name w:val="正文1"/>
    <w:basedOn w:val="1"/>
    <w:next w:val="1"/>
    <w:qFormat/>
    <w:uiPriority w:val="0"/>
    <w:pPr>
      <w:snapToGrid w:val="0"/>
      <w:spacing w:line="500" w:lineRule="exact"/>
      <w:ind w:firstLine="480" w:firstLineChars="200"/>
    </w:pPr>
    <w:rPr>
      <w:sz w:val="24"/>
      <w:szCs w:val="24"/>
    </w:rPr>
  </w:style>
  <w:style w:type="paragraph" w:styleId="28">
    <w:name w:val="List"/>
    <w:basedOn w:val="1"/>
    <w:qFormat/>
    <w:locked/>
    <w:uiPriority w:val="0"/>
    <w:pPr>
      <w:spacing w:line="320" w:lineRule="exact"/>
      <w:jc w:val="center"/>
    </w:pPr>
    <w:rPr>
      <w:rFonts w:hint="default" w:ascii="Times New Roman" w:hAnsi="Times New Roman"/>
      <w:sz w:val="22"/>
      <w:szCs w:val="24"/>
    </w:rPr>
  </w:style>
  <w:style w:type="paragraph" w:styleId="29">
    <w:name w:val="Body Text Indent 3"/>
    <w:basedOn w:val="1"/>
    <w:qFormat/>
    <w:locked/>
    <w:uiPriority w:val="0"/>
    <w:pPr>
      <w:ind w:firstLine="570"/>
    </w:pPr>
    <w:rPr>
      <w:sz w:val="24"/>
    </w:rPr>
  </w:style>
  <w:style w:type="paragraph" w:styleId="30">
    <w:name w:val="table of figures"/>
    <w:basedOn w:val="1"/>
    <w:next w:val="1"/>
    <w:qFormat/>
    <w:locked/>
    <w:uiPriority w:val="0"/>
    <w:pPr>
      <w:ind w:left="200" w:leftChars="200" w:hanging="200" w:hangingChars="200"/>
    </w:pPr>
    <w:rPr>
      <w:rFonts w:ascii="Times New Roman" w:hAnsi="Times New Roman" w:eastAsia="宋体" w:cs="Times New Roman"/>
    </w:rPr>
  </w:style>
  <w:style w:type="paragraph" w:styleId="31">
    <w:name w:val="Normal (Web)"/>
    <w:basedOn w:val="1"/>
    <w:link w:val="52"/>
    <w:qFormat/>
    <w:uiPriority w:val="0"/>
    <w:pPr>
      <w:widowControl/>
      <w:spacing w:before="100" w:beforeAutospacing="1" w:after="100" w:afterAutospacing="1"/>
      <w:jc w:val="left"/>
    </w:pPr>
    <w:rPr>
      <w:rFonts w:ascii="宋体" w:hAnsi="宋体"/>
      <w:kern w:val="0"/>
      <w:sz w:val="24"/>
      <w:szCs w:val="20"/>
    </w:rPr>
  </w:style>
  <w:style w:type="paragraph" w:styleId="32">
    <w:name w:val="annotation subject"/>
    <w:basedOn w:val="15"/>
    <w:next w:val="15"/>
    <w:link w:val="53"/>
    <w:semiHidden/>
    <w:qFormat/>
    <w:uiPriority w:val="0"/>
    <w:rPr>
      <w:b/>
      <w:sz w:val="24"/>
      <w:szCs w:val="20"/>
    </w:rPr>
  </w:style>
  <w:style w:type="paragraph" w:styleId="33">
    <w:name w:val="Body Text First Indent"/>
    <w:basedOn w:val="8"/>
    <w:next w:val="1"/>
    <w:unhideWhenUsed/>
    <w:qFormat/>
    <w:locked/>
    <w:uiPriority w:val="0"/>
    <w:pPr>
      <w:spacing w:beforeLines="0"/>
      <w:ind w:firstLine="420" w:firstLineChars="100"/>
    </w:pPr>
    <w:rPr>
      <w:rFonts w:hint="default"/>
      <w:sz w:val="21"/>
      <w:szCs w:val="24"/>
    </w:rPr>
  </w:style>
  <w:style w:type="paragraph" w:styleId="34">
    <w:name w:val="Body Text First Indent 2"/>
    <w:basedOn w:val="16"/>
    <w:next w:val="1"/>
    <w:qFormat/>
    <w:locked/>
    <w:uiPriority w:val="0"/>
    <w:pPr>
      <w:ind w:firstLine="420" w:firstLineChars="200"/>
    </w:pPr>
  </w:style>
  <w:style w:type="table" w:styleId="36">
    <w:name w:val="Table Grid"/>
    <w:basedOn w:val="3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page number"/>
    <w:basedOn w:val="37"/>
    <w:qFormat/>
    <w:locked/>
    <w:uiPriority w:val="0"/>
  </w:style>
  <w:style w:type="character" w:styleId="39">
    <w:name w:val="Hyperlink"/>
    <w:basedOn w:val="37"/>
    <w:qFormat/>
    <w:locked/>
    <w:uiPriority w:val="0"/>
    <w:rPr>
      <w:color w:val="0000FF"/>
      <w:u w:val="single"/>
    </w:rPr>
  </w:style>
  <w:style w:type="character" w:styleId="40">
    <w:name w:val="annotation reference"/>
    <w:semiHidden/>
    <w:qFormat/>
    <w:uiPriority w:val="0"/>
    <w:rPr>
      <w:sz w:val="21"/>
    </w:rPr>
  </w:style>
  <w:style w:type="paragraph" w:customStyle="1" w:styleId="41">
    <w:name w:val="样式 正文文本缩进 + 行距: 1.5 倍行距"/>
    <w:basedOn w:val="1"/>
    <w:qFormat/>
    <w:uiPriority w:val="0"/>
    <w:pPr>
      <w:spacing w:after="120" w:line="360" w:lineRule="auto"/>
      <w:ind w:left="90" w:leftChars="32" w:firstLine="560" w:firstLineChars="200"/>
    </w:pPr>
    <w:rPr>
      <w:rFonts w:cs="宋体"/>
    </w:rPr>
  </w:style>
  <w:style w:type="paragraph" w:customStyle="1" w:styleId="42">
    <w:name w:val="样式 正文文本 + 首行缩进:  2 字符"/>
    <w:basedOn w:val="8"/>
    <w:next w:val="1"/>
    <w:qFormat/>
    <w:uiPriority w:val="0"/>
    <w:pPr>
      <w:widowControl/>
      <w:snapToGrid w:val="0"/>
      <w:spacing w:before="60" w:after="0" w:line="540" w:lineRule="exact"/>
      <w:ind w:right="113"/>
      <w:jc w:val="center"/>
    </w:pPr>
    <w:rPr>
      <w:rFonts w:ascii="黑体" w:hAnsi="黑体" w:eastAsia="黑体" w:cs="Times New Roman"/>
      <w:b/>
      <w:kern w:val="0"/>
      <w:sz w:val="24"/>
      <w:szCs w:val="20"/>
      <w:lang w:val="en-US" w:eastAsia="zh-CN" w:bidi="ar-SA"/>
    </w:rPr>
  </w:style>
  <w:style w:type="paragraph" w:customStyle="1" w:styleId="43">
    <w:name w:val="Default"/>
    <w:basedOn w:val="44"/>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纯文本1"/>
    <w:qFormat/>
    <w:uiPriority w:val="0"/>
    <w:pPr>
      <w:widowControl/>
      <w:spacing w:beforeLines="10" w:afterLines="10" w:line="360" w:lineRule="auto"/>
      <w:ind w:firstLine="200" w:firstLineChars="200"/>
      <w:jc w:val="left"/>
    </w:pPr>
    <w:rPr>
      <w:rFonts w:ascii="Times New Roman" w:hAnsi="宋体" w:eastAsia="宋体" w:cs="宋体"/>
      <w:kern w:val="0"/>
      <w:sz w:val="24"/>
      <w:szCs w:val="24"/>
      <w:lang w:val="en-US" w:eastAsia="zh-CN" w:bidi="ar-SA"/>
    </w:rPr>
  </w:style>
  <w:style w:type="character" w:customStyle="1" w:styleId="45">
    <w:name w:val="正文文本 Char"/>
    <w:link w:val="8"/>
    <w:qFormat/>
    <w:locked/>
    <w:uiPriority w:val="0"/>
    <w:rPr>
      <w:sz w:val="18"/>
    </w:rPr>
  </w:style>
  <w:style w:type="character" w:customStyle="1" w:styleId="46">
    <w:name w:val="批注文字 Char"/>
    <w:link w:val="15"/>
    <w:qFormat/>
    <w:locked/>
    <w:uiPriority w:val="0"/>
    <w:rPr>
      <w:rFonts w:ascii="Times New Roman" w:hAnsi="Times New Roman" w:eastAsia="宋体"/>
      <w:sz w:val="24"/>
    </w:rPr>
  </w:style>
  <w:style w:type="character" w:customStyle="1" w:styleId="47">
    <w:name w:val="正文文本缩进 Char"/>
    <w:link w:val="16"/>
    <w:semiHidden/>
    <w:qFormat/>
    <w:locked/>
    <w:uiPriority w:val="0"/>
    <w:rPr>
      <w:rFonts w:ascii="Times New Roman" w:hAnsi="Times New Roman" w:eastAsia="宋体"/>
      <w:sz w:val="24"/>
    </w:rPr>
  </w:style>
  <w:style w:type="character" w:customStyle="1" w:styleId="48">
    <w:name w:val="页眉 Char"/>
    <w:link w:val="25"/>
    <w:qFormat/>
    <w:locked/>
    <w:uiPriority w:val="0"/>
    <w:rPr>
      <w:sz w:val="18"/>
    </w:rPr>
  </w:style>
  <w:style w:type="character" w:customStyle="1" w:styleId="49">
    <w:name w:val="日期 Char"/>
    <w:link w:val="20"/>
    <w:qFormat/>
    <w:locked/>
    <w:uiPriority w:val="0"/>
    <w:rPr>
      <w:rFonts w:ascii="Times New Roman" w:hAnsi="Times New Roman" w:eastAsia="宋体"/>
      <w:sz w:val="24"/>
    </w:rPr>
  </w:style>
  <w:style w:type="character" w:customStyle="1" w:styleId="50">
    <w:name w:val="批注框文本 Char"/>
    <w:link w:val="23"/>
    <w:semiHidden/>
    <w:qFormat/>
    <w:locked/>
    <w:uiPriority w:val="0"/>
    <w:rPr>
      <w:rFonts w:ascii="Times New Roman" w:hAnsi="Times New Roman" w:eastAsia="宋体"/>
      <w:sz w:val="18"/>
    </w:rPr>
  </w:style>
  <w:style w:type="character" w:customStyle="1" w:styleId="51">
    <w:name w:val="页脚 Char"/>
    <w:link w:val="24"/>
    <w:qFormat/>
    <w:locked/>
    <w:uiPriority w:val="99"/>
    <w:rPr>
      <w:sz w:val="18"/>
    </w:rPr>
  </w:style>
  <w:style w:type="character" w:customStyle="1" w:styleId="52">
    <w:name w:val="普通(网站) Char"/>
    <w:link w:val="31"/>
    <w:qFormat/>
    <w:locked/>
    <w:uiPriority w:val="0"/>
    <w:rPr>
      <w:rFonts w:ascii="宋体" w:hAnsi="宋体" w:eastAsia="宋体"/>
      <w:sz w:val="24"/>
    </w:rPr>
  </w:style>
  <w:style w:type="character" w:customStyle="1" w:styleId="53">
    <w:name w:val="批注主题 Char"/>
    <w:link w:val="32"/>
    <w:semiHidden/>
    <w:qFormat/>
    <w:locked/>
    <w:uiPriority w:val="0"/>
    <w:rPr>
      <w:rFonts w:ascii="Times New Roman" w:hAnsi="Times New Roman" w:eastAsia="宋体"/>
      <w:b/>
      <w:kern w:val="2"/>
      <w:sz w:val="24"/>
    </w:rPr>
  </w:style>
  <w:style w:type="character" w:customStyle="1" w:styleId="54">
    <w:name w:val="正文文本 字符1"/>
    <w:semiHidden/>
    <w:qFormat/>
    <w:uiPriority w:val="0"/>
    <w:rPr>
      <w:rFonts w:ascii="Times New Roman" w:hAnsi="Times New Roman" w:eastAsia="宋体"/>
      <w:sz w:val="24"/>
    </w:rPr>
  </w:style>
  <w:style w:type="character" w:customStyle="1" w:styleId="55">
    <w:name w:val="正文文字 Char"/>
    <w:qFormat/>
    <w:uiPriority w:val="0"/>
    <w:rPr>
      <w:rFonts w:eastAsia="宋体"/>
      <w:kern w:val="2"/>
      <w:sz w:val="24"/>
      <w:lang w:val="en-US" w:eastAsia="zh-CN"/>
    </w:rPr>
  </w:style>
  <w:style w:type="character" w:customStyle="1" w:styleId="56">
    <w:name w:val="页脚 字符"/>
    <w:basedOn w:val="37"/>
    <w:qFormat/>
    <w:uiPriority w:val="99"/>
  </w:style>
  <w:style w:type="character" w:customStyle="1" w:styleId="57">
    <w:name w:val="日期 字符"/>
    <w:semiHidden/>
    <w:qFormat/>
    <w:uiPriority w:val="0"/>
    <w:rPr>
      <w:rFonts w:ascii="Times New Roman" w:hAnsi="Times New Roman" w:eastAsia="宋体"/>
      <w:sz w:val="24"/>
    </w:rPr>
  </w:style>
  <w:style w:type="character" w:customStyle="1" w:styleId="58">
    <w:name w:val="批注文字 字符1"/>
    <w:semiHidden/>
    <w:qFormat/>
    <w:uiPriority w:val="0"/>
    <w:rPr>
      <w:rFonts w:ascii="Times New Roman" w:hAnsi="Times New Roman" w:eastAsia="宋体"/>
      <w:sz w:val="24"/>
    </w:rPr>
  </w:style>
  <w:style w:type="character" w:customStyle="1" w:styleId="59">
    <w:name w:val="表格 Char"/>
    <w:link w:val="60"/>
    <w:qFormat/>
    <w:locked/>
    <w:uiPriority w:val="0"/>
    <w:rPr>
      <w:rFonts w:ascii="宋体"/>
      <w:sz w:val="21"/>
    </w:rPr>
  </w:style>
  <w:style w:type="paragraph" w:customStyle="1" w:styleId="60">
    <w:name w:val="表格"/>
    <w:basedOn w:val="27"/>
    <w:next w:val="1"/>
    <w:link w:val="59"/>
    <w:qFormat/>
    <w:uiPriority w:val="0"/>
    <w:pPr>
      <w:adjustRightInd w:val="0"/>
      <w:snapToGrid w:val="0"/>
      <w:spacing w:beforeLines="10" w:afterLines="10" w:line="259" w:lineRule="auto"/>
      <w:jc w:val="center"/>
    </w:pPr>
    <w:rPr>
      <w:rFonts w:ascii="宋体"/>
      <w:kern w:val="0"/>
      <w:szCs w:val="20"/>
    </w:rPr>
  </w:style>
  <w:style w:type="paragraph" w:customStyle="1" w:styleId="61">
    <w:name w:val="表头样式1"/>
    <w:basedOn w:val="1"/>
    <w:qFormat/>
    <w:uiPriority w:val="0"/>
    <w:pPr>
      <w:tabs>
        <w:tab w:val="center" w:pos="4505"/>
      </w:tabs>
      <w:jc w:val="center"/>
    </w:pPr>
    <w:rPr>
      <w:b/>
      <w:szCs w:val="22"/>
    </w:rPr>
  </w:style>
  <w:style w:type="paragraph" w:customStyle="1" w:styleId="62">
    <w:name w:val="表格文字2"/>
    <w:basedOn w:val="1"/>
    <w:qFormat/>
    <w:uiPriority w:val="0"/>
    <w:pPr>
      <w:adjustRightInd w:val="0"/>
      <w:spacing w:before="60"/>
      <w:jc w:val="center"/>
      <w:textAlignment w:val="baseline"/>
    </w:pPr>
    <w:rPr>
      <w:kern w:val="0"/>
      <w:sz w:val="24"/>
      <w:szCs w:val="24"/>
    </w:rPr>
  </w:style>
  <w:style w:type="paragraph" w:customStyle="1" w:styleId="63">
    <w:name w:val="图名表头"/>
    <w:basedOn w:val="1"/>
    <w:qFormat/>
    <w:uiPriority w:val="0"/>
    <w:pPr>
      <w:spacing w:line="360" w:lineRule="auto"/>
      <w:jc w:val="center"/>
    </w:pPr>
    <w:rPr>
      <w:rFonts w:ascii="宋体" w:hAnsi="宋体" w:cs="宋体"/>
      <w:sz w:val="24"/>
      <w:szCs w:val="21"/>
    </w:rPr>
  </w:style>
  <w:style w:type="paragraph" w:customStyle="1" w:styleId="64">
    <w:name w:val="样式2"/>
    <w:basedOn w:val="1"/>
    <w:qFormat/>
    <w:uiPriority w:val="0"/>
    <w:pPr>
      <w:adjustRightInd w:val="0"/>
      <w:ind w:left="170"/>
      <w:jc w:val="left"/>
      <w:textAlignment w:val="baseline"/>
    </w:pPr>
    <w:rPr>
      <w:b/>
      <w:kern w:val="0"/>
      <w:sz w:val="24"/>
      <w:szCs w:val="20"/>
    </w:rPr>
  </w:style>
  <w:style w:type="paragraph" w:customStyle="1" w:styleId="65">
    <w:name w:val="p0"/>
    <w:basedOn w:val="1"/>
    <w:qFormat/>
    <w:uiPriority w:val="0"/>
    <w:pPr>
      <w:widowControl/>
    </w:pPr>
    <w:rPr>
      <w:kern w:val="0"/>
    </w:rPr>
  </w:style>
  <w:style w:type="paragraph" w:customStyle="1" w:styleId="66">
    <w:name w:val="环评表格"/>
    <w:basedOn w:val="67"/>
    <w:next w:val="1"/>
    <w:qFormat/>
    <w:uiPriority w:val="0"/>
    <w:rPr>
      <w:color w:val="0000FF"/>
    </w:rPr>
  </w:style>
  <w:style w:type="paragraph" w:customStyle="1" w:styleId="67">
    <w:name w:val="表格内容"/>
    <w:basedOn w:val="1"/>
    <w:qFormat/>
    <w:uiPriority w:val="0"/>
    <w:pPr>
      <w:spacing w:line="280" w:lineRule="exact"/>
      <w:jc w:val="center"/>
    </w:pPr>
    <w:rPr>
      <w:rFonts w:ascii="font404" w:hAnsi="font404" w:eastAsia="font404"/>
      <w:kern w:val="0"/>
      <w:sz w:val="18"/>
      <w:szCs w:val="18"/>
    </w:rPr>
  </w:style>
  <w:style w:type="paragraph" w:customStyle="1" w:styleId="6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9">
    <w:name w:val="报告正文"/>
    <w:basedOn w:val="1"/>
    <w:qFormat/>
    <w:uiPriority w:val="99"/>
    <w:pPr>
      <w:spacing w:line="480" w:lineRule="exact"/>
      <w:ind w:firstLine="200" w:firstLineChars="200"/>
    </w:pPr>
    <w:rPr>
      <w:color w:val="000000"/>
      <w:sz w:val="24"/>
      <w:szCs w:val="24"/>
    </w:rPr>
  </w:style>
  <w:style w:type="paragraph" w:customStyle="1" w:styleId="70">
    <w:name w:val="样式 正文（首行缩进两字） + 宋体 小四 加粗 行距: 固定值 24 磅"/>
    <w:basedOn w:val="11"/>
    <w:qFormat/>
    <w:uiPriority w:val="0"/>
    <w:pPr>
      <w:spacing w:line="400" w:lineRule="exact"/>
      <w:ind w:firstLine="0" w:firstLineChars="0"/>
    </w:pPr>
    <w:rPr>
      <w:sz w:val="28"/>
      <w:szCs w:val="28"/>
    </w:rPr>
  </w:style>
  <w:style w:type="paragraph" w:customStyle="1" w:styleId="71">
    <w:name w:val="Table Paragraph"/>
    <w:basedOn w:val="1"/>
    <w:qFormat/>
    <w:uiPriority w:val="1"/>
    <w:rPr>
      <w:rFonts w:eastAsia="仿宋_GB2312"/>
      <w:sz w:val="28"/>
    </w:rPr>
  </w:style>
  <w:style w:type="paragraph" w:customStyle="1" w:styleId="72">
    <w:name w:val="正文正"/>
    <w:basedOn w:val="1"/>
    <w:qFormat/>
    <w:uiPriority w:val="0"/>
    <w:pPr>
      <w:ind w:firstLine="560" w:firstLineChars="200"/>
    </w:pPr>
    <w:rPr>
      <w:sz w:val="28"/>
      <w:szCs w:val="24"/>
    </w:rPr>
  </w:style>
  <w:style w:type="paragraph" w:customStyle="1" w:styleId="73">
    <w:name w:val="表格文字"/>
    <w:basedOn w:val="8"/>
    <w:next w:val="1"/>
    <w:qFormat/>
    <w:uiPriority w:val="0"/>
    <w:pPr>
      <w:keepNext w:val="0"/>
      <w:keepLines w:val="0"/>
      <w:widowControl/>
      <w:suppressLineNumbers w:val="0"/>
      <w:adjustRightInd w:val="0"/>
      <w:spacing w:before="0" w:beforeAutospacing="0" w:after="120" w:afterAutospacing="0" w:line="320" w:lineRule="exact"/>
      <w:ind w:left="0" w:right="0"/>
      <w:jc w:val="center"/>
    </w:pPr>
    <w:rPr>
      <w:rFonts w:hint="eastAsia" w:ascii="宋体" w:hAnsi="宋体"/>
      <w:color w:val="FF0000"/>
      <w:kern w:val="0"/>
      <w:szCs w:val="20"/>
    </w:rPr>
  </w:style>
  <w:style w:type="paragraph" w:customStyle="1" w:styleId="74">
    <w:name w:val="Char Char Char Char Char Char Char Char Char1 Char"/>
    <w:basedOn w:val="1"/>
    <w:qFormat/>
    <w:uiPriority w:val="0"/>
    <w:pPr>
      <w:spacing w:line="360" w:lineRule="auto"/>
      <w:ind w:firstLine="200" w:firstLineChars="200"/>
    </w:pPr>
    <w:rPr>
      <w:rFonts w:hAnsi="宋体" w:cs="宋体"/>
      <w:spacing w:val="0"/>
      <w:sz w:val="24"/>
      <w:szCs w:val="24"/>
    </w:rPr>
  </w:style>
  <w:style w:type="paragraph" w:customStyle="1" w:styleId="75">
    <w:name w:val="标题111"/>
    <w:basedOn w:val="1"/>
    <w:qFormat/>
    <w:uiPriority w:val="99"/>
    <w:pPr>
      <w:spacing w:line="480" w:lineRule="exact"/>
    </w:pPr>
    <w:rPr>
      <w:b/>
      <w:sz w:val="24"/>
      <w:szCs w:val="24"/>
    </w:rPr>
  </w:style>
  <w:style w:type="paragraph" w:customStyle="1" w:styleId="76">
    <w:name w:val="样式 表格样式"/>
    <w:basedOn w:val="1"/>
    <w:qFormat/>
    <w:uiPriority w:val="0"/>
    <w:pPr>
      <w:snapToGrid w:val="0"/>
      <w:spacing w:line="240" w:lineRule="atLeast"/>
    </w:pPr>
    <w:rPr>
      <w:rFonts w:cs="宋体"/>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二级无标题条"/>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79">
    <w:name w:val="中文报告书样式"/>
    <w:basedOn w:val="1"/>
    <w:qFormat/>
    <w:uiPriority w:val="0"/>
    <w:pPr>
      <w:adjustRightInd w:val="0"/>
      <w:spacing w:line="480" w:lineRule="atLeast"/>
      <w:ind w:firstLine="482"/>
    </w:pPr>
    <w:rPr>
      <w:rFonts w:ascii="font404" w:hAnsi="font404" w:eastAsia="font404"/>
      <w:kern w:val="24"/>
      <w:sz w:val="24"/>
      <w:szCs w:val="20"/>
    </w:rPr>
  </w:style>
  <w:style w:type="paragraph" w:customStyle="1" w:styleId="80">
    <w:name w:val="报告书表格"/>
    <w:basedOn w:val="1"/>
    <w:unhideWhenUsed/>
    <w:qFormat/>
    <w:uiPriority w:val="0"/>
    <w:pPr>
      <w:adjustRightInd w:val="0"/>
      <w:spacing w:before="60" w:beforeLines="0" w:after="60" w:afterLines="0" w:line="240" w:lineRule="atLeast"/>
      <w:jc w:val="center"/>
    </w:pPr>
    <w:rPr>
      <w:rFonts w:hint="default"/>
      <w:kern w:val="0"/>
      <w:sz w:val="21"/>
      <w:szCs w:val="24"/>
    </w:rPr>
  </w:style>
  <w:style w:type="paragraph" w:customStyle="1" w:styleId="81">
    <w:name w:val="（.a正文"/>
    <w:unhideWhenUsed/>
    <w:qFormat/>
    <w:uiPriority w:val="0"/>
    <w:pPr>
      <w:adjustRightInd w:val="0"/>
      <w:spacing w:beforeLines="0" w:afterLines="0" w:line="480" w:lineRule="exact"/>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82">
    <w:name w:val="表头"/>
    <w:basedOn w:val="33"/>
    <w:next w:val="1"/>
    <w:unhideWhenUsed/>
    <w:qFormat/>
    <w:uiPriority w:val="0"/>
    <w:pPr>
      <w:spacing w:beforeLines="0"/>
      <w:ind w:firstLine="1440" w:firstLineChars="200"/>
      <w:jc w:val="center"/>
    </w:pPr>
    <w:rPr>
      <w:rFonts w:hint="eastAsia" w:ascii="Times New Roman" w:hAnsi="Times New Roman" w:eastAsia="Times New Roman"/>
      <w:sz w:val="25"/>
      <w:szCs w:val="24"/>
    </w:rPr>
  </w:style>
  <w:style w:type="paragraph" w:customStyle="1" w:styleId="83">
    <w:name w:val="表格样式文化"/>
    <w:qFormat/>
    <w:uiPriority w:val="0"/>
    <w:pPr>
      <w:widowControl w:val="0"/>
      <w:ind w:left="51" w:right="51"/>
      <w:jc w:val="center"/>
    </w:pPr>
    <w:rPr>
      <w:rFonts w:ascii="Times New Roman" w:hAnsi="Times New Roman" w:eastAsia="宋体" w:cs="Times New Roman"/>
      <w:snapToGrid w:val="0"/>
      <w:kern w:val="0"/>
      <w:sz w:val="21"/>
      <w:szCs w:val="21"/>
      <w:lang w:val="en-US" w:eastAsia="zh-CN" w:bidi="ar-SA"/>
    </w:rPr>
  </w:style>
  <w:style w:type="paragraph" w:customStyle="1" w:styleId="84">
    <w:name w:val="表"/>
    <w:qFormat/>
    <w:uiPriority w:val="0"/>
    <w:pPr>
      <w:spacing w:line="440" w:lineRule="exact"/>
      <w:ind w:firstLine="200" w:firstLineChars="200"/>
      <w:jc w:val="both"/>
    </w:pPr>
    <w:rPr>
      <w:rFonts w:ascii="Times New Roman" w:hAnsi="Times New Roman" w:eastAsia="宋体" w:cs="Times New Roman"/>
      <w:sz w:val="24"/>
      <w:lang w:val="en-US" w:eastAsia="zh-CN" w:bidi="ar-SA"/>
    </w:rPr>
  </w:style>
  <w:style w:type="paragraph" w:customStyle="1" w:styleId="85">
    <w:name w:val="2.1.1"/>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86">
    <w:name w:val="样式 正文文字 + 首行缩进:  2 字符 行距: 最小值 24 磅"/>
    <w:qFormat/>
    <w:uiPriority w:val="0"/>
    <w:pPr>
      <w:widowControl w:val="0"/>
      <w:adjustRightInd w:val="0"/>
      <w:snapToGrid w:val="0"/>
      <w:spacing w:line="480" w:lineRule="atLeast"/>
      <w:ind w:firstLine="480" w:firstLineChars="200"/>
      <w:jc w:val="both"/>
    </w:pPr>
    <w:rPr>
      <w:rFonts w:ascii="Times New Roman" w:hAnsi="Times New Roman" w:eastAsia="宋体" w:cs="Times New Roman"/>
      <w:kern w:val="2"/>
      <w:sz w:val="21"/>
      <w:szCs w:val="20"/>
      <w:lang w:val="en-US" w:eastAsia="zh-CN" w:bidi="ar-SA"/>
    </w:rPr>
  </w:style>
  <w:style w:type="paragraph" w:customStyle="1" w:styleId="87">
    <w:name w:val="表格文化"/>
    <w:qFormat/>
    <w:uiPriority w:val="0"/>
    <w:pPr>
      <w:widowControl/>
      <w:spacing w:beforeLines="25" w:afterLines="25" w:line="360" w:lineRule="auto"/>
      <w:jc w:val="center"/>
    </w:pPr>
    <w:rPr>
      <w:rFonts w:ascii="Times New Roman" w:hAnsi="Times New Roman" w:eastAsia="宋体" w:cs="Times New Roman"/>
      <w:b/>
      <w:bCs/>
      <w:snapToGrid w:val="0"/>
      <w:kern w:val="0"/>
      <w:sz w:val="24"/>
      <w:szCs w:val="24"/>
      <w:lang w:val="en-US" w:eastAsia="zh-CN" w:bidi="ar-SA"/>
    </w:rPr>
  </w:style>
  <w:style w:type="paragraph" w:customStyle="1" w:styleId="88">
    <w:name w:val="List Paragraph"/>
    <w:basedOn w:val="1"/>
    <w:qFormat/>
    <w:uiPriority w:val="0"/>
    <w:pPr>
      <w:keepNext w:val="0"/>
      <w:keepLines w:val="0"/>
      <w:widowControl w:val="0"/>
      <w:suppressLineNumbers w:val="0"/>
      <w:adjustRightInd w:val="0"/>
      <w:spacing w:before="0" w:beforeAutospacing="0" w:after="0" w:afterAutospacing="0" w:line="360" w:lineRule="atLeast"/>
      <w:ind w:left="0" w:right="0" w:firstLine="420" w:firstLineChars="200"/>
      <w:jc w:val="left"/>
      <w:textAlignment w:val="baseline"/>
    </w:pPr>
    <w:rPr>
      <w:rFonts w:hint="default" w:ascii="Times New Roman" w:hAnsi="Times New Roman" w:eastAsia="宋体" w:cs="Times New Roman"/>
      <w:kern w:val="0"/>
      <w:sz w:val="24"/>
      <w:szCs w:val="24"/>
      <w:lang w:val="en-US" w:eastAsia="zh-CN" w:bidi="ar"/>
    </w:rPr>
  </w:style>
  <w:style w:type="paragraph" w:customStyle="1" w:styleId="89">
    <w:name w:val="正文 + 仿宋_GB2312"/>
    <w:basedOn w:val="1"/>
    <w:qFormat/>
    <w:uiPriority w:val="0"/>
    <w:pPr>
      <w:keepNext w:val="0"/>
      <w:keepLines w:val="0"/>
      <w:widowControl w:val="0"/>
      <w:suppressLineNumbers w:val="0"/>
      <w:spacing w:before="0" w:beforeAutospacing="0" w:after="0" w:afterAutospacing="0"/>
      <w:ind w:left="0" w:right="0" w:firstLine="480" w:firstLineChars="200"/>
      <w:jc w:val="both"/>
    </w:pPr>
    <w:rPr>
      <w:rFonts w:hint="default" w:ascii="仿宋_GB2312" w:hAnsi="宋体" w:eastAsia="仿宋_GB2312" w:cs="仿宋_GB2312"/>
      <w:kern w:val="2"/>
      <w:sz w:val="24"/>
      <w:szCs w:val="24"/>
      <w:lang w:val="en-US" w:eastAsia="zh-CN" w:bidi="ar"/>
    </w:rPr>
  </w:style>
  <w:style w:type="table" w:customStyle="1" w:styleId="90">
    <w:name w:val="网格型1"/>
    <w:basedOn w:val="35"/>
    <w:qFormat/>
    <w:uiPriority w:val="0"/>
    <w:pPr>
      <w:jc w:val="center"/>
    </w:pPr>
    <w:tblPr>
      <w:tblBorders>
        <w:top w:val="single" w:color="auto" w:sz="12" w:space="0"/>
        <w:bottom w:val="single" w:color="auto" w:sz="12" w:space="0"/>
        <w:insideH w:val="single" w:color="000000" w:sz="4" w:space="0"/>
        <w:insideV w:val="single" w:color="000000" w:sz="4" w:space="0"/>
      </w:tblBorders>
    </w:tblPr>
  </w:style>
  <w:style w:type="paragraph" w:customStyle="1" w:styleId="91">
    <w:name w:val="正常格式"/>
    <w:basedOn w:val="92"/>
    <w:qFormat/>
    <w:uiPriority w:val="0"/>
    <w:pPr>
      <w:spacing w:line="480" w:lineRule="exact"/>
      <w:ind w:firstLine="600" w:firstLineChars="200"/>
    </w:pPr>
    <w:rPr>
      <w:rFonts w:ascii="Times New Roman" w:hAnsi="Times New Roman" w:eastAsia="宋体"/>
      <w:snapToGrid w:val="0"/>
      <w:kern w:val="0"/>
      <w:sz w:val="24"/>
    </w:rPr>
  </w:style>
  <w:style w:type="paragraph" w:customStyle="1" w:styleId="92">
    <w:name w:val="正文2"/>
    <w:basedOn w:val="93"/>
    <w:qFormat/>
    <w:uiPriority w:val="0"/>
    <w:pPr>
      <w:spacing w:line="360" w:lineRule="auto"/>
      <w:ind w:firstLine="480" w:firstLineChars="200"/>
    </w:pPr>
    <w:rPr>
      <w:rFonts w:ascii="宋体" w:hAnsi="宋体"/>
      <w:sz w:val="24"/>
      <w:szCs w:val="24"/>
    </w:rPr>
  </w:style>
  <w:style w:type="paragraph" w:customStyle="1" w:styleId="93">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94">
    <w:name w:val="WPSOffice手动目录 1"/>
    <w:qFormat/>
    <w:uiPriority w:val="0"/>
    <w:pPr>
      <w:ind w:leftChars="0"/>
    </w:pPr>
    <w:rPr>
      <w:rFonts w:ascii="Times New Roman" w:hAnsi="Times New Roman" w:eastAsia="宋体" w:cs="Times New Roman"/>
      <w:sz w:val="20"/>
      <w:szCs w:val="20"/>
    </w:rPr>
  </w:style>
  <w:style w:type="character" w:customStyle="1" w:styleId="95">
    <w:name w:val="NormalCharacter"/>
    <w:qFormat/>
    <w:uiPriority w:val="0"/>
  </w:style>
  <w:style w:type="paragraph" w:customStyle="1" w:styleId="96">
    <w:name w:val="_Style 3"/>
    <w:qFormat/>
    <w:uiPriority w:val="99"/>
    <w:pPr>
      <w:ind w:firstLine="480" w:firstLineChars="200"/>
      <w:jc w:val="both"/>
    </w:pPr>
    <w:rPr>
      <w:rFonts w:ascii="Times New Roman" w:hAnsi="Times New Roman" w:eastAsia="宋体" w:cs="Times New Roman"/>
      <w:sz w:val="24"/>
      <w:szCs w:val="24"/>
      <w:lang w:val="en-US" w:eastAsia="zh-CN" w:bidi="ar-SA"/>
    </w:rPr>
  </w:style>
  <w:style w:type="character" w:customStyle="1" w:styleId="97">
    <w:name w:val="表格内文字"/>
    <w:qFormat/>
    <w:uiPriority w:val="99"/>
    <w:rPr>
      <w:rFonts w:ascii="Times New Roman" w:hAnsi="Times New Roman" w:eastAsia="宋体"/>
      <w:kern w:val="0"/>
      <w:sz w:val="21"/>
      <w:lang w:val="en-US" w:eastAsia="zh-CN"/>
    </w:rPr>
  </w:style>
  <w:style w:type="paragraph" w:customStyle="1" w:styleId="98">
    <w:name w:val="图表标题"/>
    <w:basedOn w:val="30"/>
    <w:next w:val="1"/>
    <w:qFormat/>
    <w:uiPriority w:val="0"/>
    <w:pPr>
      <w:adjustRightInd w:val="0"/>
      <w:snapToGrid w:val="0"/>
      <w:spacing w:beforeLines="50" w:line="240" w:lineRule="auto"/>
      <w:ind w:left="0" w:leftChars="0" w:firstLine="0" w:firstLineChars="0"/>
      <w:jc w:val="center"/>
    </w:pPr>
    <w:rPr>
      <w:rFonts w:ascii="Times New Roman" w:hAnsi="Times New Roman" w:eastAsia="黑体" w:cs="Times New Roman"/>
      <w:szCs w:val="21"/>
      <w:lang w:val="zh-CN"/>
    </w:rPr>
  </w:style>
  <w:style w:type="paragraph" w:customStyle="1" w:styleId="99">
    <w:name w:val="【表格】"/>
    <w:next w:val="1"/>
    <w:qFormat/>
    <w:uiPriority w:val="99"/>
    <w:pPr>
      <w:spacing w:line="240" w:lineRule="atLeast"/>
      <w:jc w:val="center"/>
    </w:pPr>
    <w:rPr>
      <w:rFonts w:ascii="Times New Roman" w:hAnsi="Times New Roman" w:eastAsia="宋体" w:cs="Times New Roman"/>
      <w:sz w:val="21"/>
      <w:szCs w:val="24"/>
      <w:lang w:val="en-US" w:eastAsia="zh-CN" w:bidi="ar-SA"/>
    </w:rPr>
  </w:style>
  <w:style w:type="paragraph" w:customStyle="1" w:styleId="100">
    <w:name w:val="正文001"/>
    <w:basedOn w:val="1"/>
    <w:qFormat/>
    <w:uiPriority w:val="99"/>
    <w:pPr>
      <w:ind w:firstLine="482"/>
    </w:pPr>
  </w:style>
  <w:style w:type="paragraph" w:customStyle="1" w:styleId="101">
    <w:name w:val="Body text|2"/>
    <w:basedOn w:val="1"/>
    <w:qFormat/>
    <w:uiPriority w:val="0"/>
    <w:pPr>
      <w:widowControl w:val="0"/>
      <w:shd w:val="clear" w:color="auto" w:fill="auto"/>
      <w:spacing w:line="412" w:lineRule="exact"/>
      <w:ind w:left="1980" w:firstLine="460"/>
    </w:pPr>
    <w:rPr>
      <w:rFonts w:ascii="宋体" w:hAnsi="宋体" w:eastAsia="宋体" w:cs="宋体"/>
      <w:sz w:val="19"/>
      <w:szCs w:val="19"/>
      <w:u w:val="none"/>
      <w:shd w:val="clear" w:color="auto" w:fill="auto"/>
      <w:lang w:val="zh-TW" w:eastAsia="zh-TW" w:bidi="zh-TW"/>
    </w:rPr>
  </w:style>
  <w:style w:type="paragraph" w:customStyle="1" w:styleId="102">
    <w:name w:val="Header or footer|1"/>
    <w:basedOn w:val="1"/>
    <w:qFormat/>
    <w:uiPriority w:val="0"/>
    <w:pPr>
      <w:widowControl w:val="0"/>
      <w:shd w:val="clear" w:color="auto" w:fill="auto"/>
    </w:pPr>
    <w:rPr>
      <w:rFonts w:ascii="宋体" w:hAnsi="宋体" w:eastAsia="宋体" w:cs="宋体"/>
      <w:sz w:val="16"/>
      <w:szCs w:val="16"/>
      <w:u w:val="none"/>
      <w:shd w:val="clear" w:color="auto" w:fill="auto"/>
      <w:lang w:val="zh-TW" w:eastAsia="zh-TW" w:bidi="zh-TW"/>
    </w:rPr>
  </w:style>
  <w:style w:type="paragraph" w:customStyle="1" w:styleId="103">
    <w:name w:val="正文格式"/>
    <w:qFormat/>
    <w:uiPriority w:val="0"/>
    <w:pPr>
      <w:spacing w:line="360" w:lineRule="auto"/>
      <w:ind w:firstLine="480" w:firstLineChars="200"/>
      <w:jc w:val="both"/>
    </w:pPr>
    <w:rPr>
      <w:rFonts w:ascii="Times New Roman" w:hAnsi="Times New Roman" w:eastAsia="宋体" w:cs="Times New Roman"/>
      <w:sz w:val="24"/>
      <w:szCs w:val="24"/>
      <w:lang w:val="en-US" w:eastAsia="zh-CN" w:bidi="ar-SA"/>
    </w:rPr>
  </w:style>
  <w:style w:type="character" w:customStyle="1" w:styleId="104">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105">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paragraph" w:customStyle="1" w:styleId="106">
    <w:name w:val="2"/>
    <w:basedOn w:val="1"/>
    <w:next w:val="29"/>
    <w:qFormat/>
    <w:uiPriority w:val="0"/>
    <w:pPr>
      <w:ind w:firstLine="527" w:firstLineChars="200"/>
    </w:pPr>
  </w:style>
  <w:style w:type="paragraph" w:customStyle="1" w:styleId="107">
    <w:name w:val="Other|1"/>
    <w:basedOn w:val="1"/>
    <w:qFormat/>
    <w:uiPriority w:val="0"/>
    <w:pPr>
      <w:widowControl w:val="0"/>
      <w:shd w:val="clear" w:color="auto" w:fill="auto"/>
      <w:spacing w:after="300"/>
      <w:ind w:firstLine="400"/>
    </w:pPr>
    <w:rPr>
      <w:rFonts w:ascii="宋体" w:hAnsi="宋体" w:eastAsia="宋体" w:cs="宋体"/>
      <w:sz w:val="26"/>
      <w:szCs w:val="26"/>
      <w:u w:val="none"/>
      <w:shd w:val="clear" w:color="auto" w:fill="auto"/>
      <w:lang w:val="zh-TW" w:eastAsia="zh-TW" w:bidi="zh-TW"/>
    </w:rPr>
  </w:style>
  <w:style w:type="paragraph" w:customStyle="1" w:styleId="108">
    <w:name w:val="Heading #3|1"/>
    <w:basedOn w:val="1"/>
    <w:qFormat/>
    <w:uiPriority w:val="0"/>
    <w:pPr>
      <w:widowControl w:val="0"/>
      <w:shd w:val="clear" w:color="auto" w:fill="auto"/>
      <w:spacing w:after="190"/>
      <w:jc w:val="center"/>
      <w:outlineLvl w:val="2"/>
    </w:pPr>
    <w:rPr>
      <w:rFonts w:ascii="宋体" w:hAnsi="宋体" w:eastAsia="宋体" w:cs="宋体"/>
      <w:sz w:val="26"/>
      <w:szCs w:val="26"/>
      <w:u w:val="none"/>
      <w:shd w:val="clear" w:color="auto" w:fill="auto"/>
      <w:lang w:val="zh-TW" w:eastAsia="zh-TW" w:bidi="zh-TW"/>
    </w:rPr>
  </w:style>
  <w:style w:type="paragraph" w:customStyle="1" w:styleId="109">
    <w:name w:val="报告书"/>
    <w:basedOn w:val="1"/>
    <w:qFormat/>
    <w:uiPriority w:val="0"/>
    <w:pPr>
      <w:spacing w:line="360" w:lineRule="auto"/>
      <w:ind w:firstLine="482"/>
    </w:pPr>
  </w:style>
  <w:style w:type="character" w:customStyle="1" w:styleId="110">
    <w:name w:val="fontstyle01"/>
    <w:basedOn w:val="37"/>
    <w:qFormat/>
    <w:uiPriority w:val="0"/>
    <w:rPr>
      <w:rFonts w:ascii="黑体" w:hAnsi="宋体" w:eastAsia="黑体" w:cs="黑体"/>
      <w:color w:val="000000"/>
      <w:sz w:val="22"/>
      <w:szCs w:val="22"/>
    </w:rPr>
  </w:style>
  <w:style w:type="paragraph" w:customStyle="1" w:styleId="111">
    <w:name w:val="UserStyle_0"/>
    <w:basedOn w:val="1"/>
    <w:qFormat/>
    <w:uiPriority w:val="0"/>
    <w:pPr>
      <w:textAlignment w:val="baseline"/>
    </w:pPr>
    <w:rPr>
      <w:rFonts w:ascii="宋体" w:hAnsi="宋体" w:eastAsia="宋体"/>
    </w:rPr>
  </w:style>
  <w:style w:type="table" w:customStyle="1" w:styleId="1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7.bin"/><Relationship Id="rId98" Type="http://schemas.openxmlformats.org/officeDocument/2006/relationships/image" Target="media/image45.wmf"/><Relationship Id="rId97" Type="http://schemas.openxmlformats.org/officeDocument/2006/relationships/oleObject" Target="embeddings/oleObject46.bin"/><Relationship Id="rId96" Type="http://schemas.openxmlformats.org/officeDocument/2006/relationships/image" Target="media/image44.wmf"/><Relationship Id="rId95" Type="http://schemas.openxmlformats.org/officeDocument/2006/relationships/oleObject" Target="embeddings/oleObject45.bin"/><Relationship Id="rId94" Type="http://schemas.openxmlformats.org/officeDocument/2006/relationships/image" Target="media/image43.wmf"/><Relationship Id="rId93" Type="http://schemas.openxmlformats.org/officeDocument/2006/relationships/oleObject" Target="embeddings/oleObject44.bin"/><Relationship Id="rId92" Type="http://schemas.openxmlformats.org/officeDocument/2006/relationships/image" Target="media/image42.wmf"/><Relationship Id="rId91" Type="http://schemas.openxmlformats.org/officeDocument/2006/relationships/oleObject" Target="embeddings/oleObject43.bin"/><Relationship Id="rId90" Type="http://schemas.openxmlformats.org/officeDocument/2006/relationships/image" Target="media/image41.wmf"/><Relationship Id="rId9" Type="http://schemas.openxmlformats.org/officeDocument/2006/relationships/image" Target="media/image1.emf"/><Relationship Id="rId89" Type="http://schemas.openxmlformats.org/officeDocument/2006/relationships/oleObject" Target="embeddings/oleObject42.bin"/><Relationship Id="rId88" Type="http://schemas.openxmlformats.org/officeDocument/2006/relationships/image" Target="media/image40.wmf"/><Relationship Id="rId87" Type="http://schemas.openxmlformats.org/officeDocument/2006/relationships/oleObject" Target="embeddings/oleObject41.bin"/><Relationship Id="rId86" Type="http://schemas.openxmlformats.org/officeDocument/2006/relationships/image" Target="media/image39.wmf"/><Relationship Id="rId85" Type="http://schemas.openxmlformats.org/officeDocument/2006/relationships/oleObject" Target="embeddings/oleObject40.bin"/><Relationship Id="rId84" Type="http://schemas.openxmlformats.org/officeDocument/2006/relationships/oleObject" Target="embeddings/oleObject39.bin"/><Relationship Id="rId83" Type="http://schemas.openxmlformats.org/officeDocument/2006/relationships/image" Target="media/image38.wmf"/><Relationship Id="rId82" Type="http://schemas.openxmlformats.org/officeDocument/2006/relationships/oleObject" Target="embeddings/oleObject38.bin"/><Relationship Id="rId81" Type="http://schemas.openxmlformats.org/officeDocument/2006/relationships/oleObject" Target="embeddings/oleObject37.bin"/><Relationship Id="rId80" Type="http://schemas.openxmlformats.org/officeDocument/2006/relationships/image" Target="media/image37.wmf"/><Relationship Id="rId8" Type="http://schemas.openxmlformats.org/officeDocument/2006/relationships/oleObject" Target="embeddings/oleObject1.bin"/><Relationship Id="rId79" Type="http://schemas.openxmlformats.org/officeDocument/2006/relationships/oleObject" Target="embeddings/oleObject36.bin"/><Relationship Id="rId78" Type="http://schemas.openxmlformats.org/officeDocument/2006/relationships/image" Target="media/image36.wmf"/><Relationship Id="rId77" Type="http://schemas.openxmlformats.org/officeDocument/2006/relationships/oleObject" Target="embeddings/oleObject35.bin"/><Relationship Id="rId76" Type="http://schemas.openxmlformats.org/officeDocument/2006/relationships/image" Target="media/image35.wmf"/><Relationship Id="rId75" Type="http://schemas.openxmlformats.org/officeDocument/2006/relationships/oleObject" Target="embeddings/oleObject34.bin"/><Relationship Id="rId74" Type="http://schemas.openxmlformats.org/officeDocument/2006/relationships/oleObject" Target="embeddings/oleObject33.bin"/><Relationship Id="rId73" Type="http://schemas.openxmlformats.org/officeDocument/2006/relationships/image" Target="media/image34.wmf"/><Relationship Id="rId72" Type="http://schemas.openxmlformats.org/officeDocument/2006/relationships/oleObject" Target="embeddings/oleObject32.bin"/><Relationship Id="rId71" Type="http://schemas.openxmlformats.org/officeDocument/2006/relationships/image" Target="media/image33.wmf"/><Relationship Id="rId70" Type="http://schemas.openxmlformats.org/officeDocument/2006/relationships/oleObject" Target="embeddings/oleObject31.bin"/><Relationship Id="rId7" Type="http://schemas.openxmlformats.org/officeDocument/2006/relationships/theme" Target="theme/theme1.xml"/><Relationship Id="rId69" Type="http://schemas.openxmlformats.org/officeDocument/2006/relationships/image" Target="media/image32.wmf"/><Relationship Id="rId68" Type="http://schemas.openxmlformats.org/officeDocument/2006/relationships/oleObject" Target="embeddings/oleObject30.bin"/><Relationship Id="rId67" Type="http://schemas.openxmlformats.org/officeDocument/2006/relationships/image" Target="media/image31.wmf"/><Relationship Id="rId66" Type="http://schemas.openxmlformats.org/officeDocument/2006/relationships/oleObject" Target="embeddings/oleObject29.bin"/><Relationship Id="rId65" Type="http://schemas.openxmlformats.org/officeDocument/2006/relationships/image" Target="media/image30.wmf"/><Relationship Id="rId64" Type="http://schemas.openxmlformats.org/officeDocument/2006/relationships/oleObject" Target="embeddings/oleObject28.bin"/><Relationship Id="rId63" Type="http://schemas.openxmlformats.org/officeDocument/2006/relationships/image" Target="media/image29.wmf"/><Relationship Id="rId62" Type="http://schemas.openxmlformats.org/officeDocument/2006/relationships/oleObject" Target="embeddings/oleObject27.bin"/><Relationship Id="rId61" Type="http://schemas.openxmlformats.org/officeDocument/2006/relationships/image" Target="media/image28.wmf"/><Relationship Id="rId60" Type="http://schemas.openxmlformats.org/officeDocument/2006/relationships/oleObject" Target="embeddings/oleObject26.bin"/><Relationship Id="rId6" Type="http://schemas.openxmlformats.org/officeDocument/2006/relationships/footer" Target="footer4.xml"/><Relationship Id="rId59" Type="http://schemas.openxmlformats.org/officeDocument/2006/relationships/image" Target="media/image27.wmf"/><Relationship Id="rId58" Type="http://schemas.openxmlformats.org/officeDocument/2006/relationships/oleObject" Target="embeddings/oleObject25.bin"/><Relationship Id="rId57" Type="http://schemas.openxmlformats.org/officeDocument/2006/relationships/image" Target="media/image26.wmf"/><Relationship Id="rId56" Type="http://schemas.openxmlformats.org/officeDocument/2006/relationships/oleObject" Target="embeddings/oleObject24.bin"/><Relationship Id="rId55" Type="http://schemas.openxmlformats.org/officeDocument/2006/relationships/image" Target="media/image25.wmf"/><Relationship Id="rId54" Type="http://schemas.openxmlformats.org/officeDocument/2006/relationships/oleObject" Target="embeddings/oleObject23.bin"/><Relationship Id="rId53" Type="http://schemas.openxmlformats.org/officeDocument/2006/relationships/image" Target="media/image24.wmf"/><Relationship Id="rId52" Type="http://schemas.openxmlformats.org/officeDocument/2006/relationships/oleObject" Target="embeddings/oleObject22.bin"/><Relationship Id="rId51" Type="http://schemas.openxmlformats.org/officeDocument/2006/relationships/image" Target="media/image23.wmf"/><Relationship Id="rId50" Type="http://schemas.openxmlformats.org/officeDocument/2006/relationships/oleObject" Target="embeddings/oleObject21.bin"/><Relationship Id="rId5" Type="http://schemas.openxmlformats.org/officeDocument/2006/relationships/footer" Target="footer3.xml"/><Relationship Id="rId49" Type="http://schemas.openxmlformats.org/officeDocument/2006/relationships/image" Target="media/image22.wmf"/><Relationship Id="rId48" Type="http://schemas.openxmlformats.org/officeDocument/2006/relationships/oleObject" Target="embeddings/oleObject20.bin"/><Relationship Id="rId47" Type="http://schemas.openxmlformats.org/officeDocument/2006/relationships/image" Target="media/image21.wmf"/><Relationship Id="rId46" Type="http://schemas.openxmlformats.org/officeDocument/2006/relationships/oleObject" Target="embeddings/oleObject19.bin"/><Relationship Id="rId45" Type="http://schemas.openxmlformats.org/officeDocument/2006/relationships/image" Target="media/image20.wmf"/><Relationship Id="rId44" Type="http://schemas.openxmlformats.org/officeDocument/2006/relationships/oleObject" Target="embeddings/oleObject18.bin"/><Relationship Id="rId43" Type="http://schemas.openxmlformats.org/officeDocument/2006/relationships/image" Target="media/image19.wmf"/><Relationship Id="rId42" Type="http://schemas.openxmlformats.org/officeDocument/2006/relationships/oleObject" Target="embeddings/oleObject17.bin"/><Relationship Id="rId41" Type="http://schemas.openxmlformats.org/officeDocument/2006/relationships/image" Target="media/image18.wmf"/><Relationship Id="rId40" Type="http://schemas.openxmlformats.org/officeDocument/2006/relationships/oleObject" Target="embeddings/oleObject16.bin"/><Relationship Id="rId4" Type="http://schemas.openxmlformats.org/officeDocument/2006/relationships/footer" Target="footer2.xml"/><Relationship Id="rId39" Type="http://schemas.openxmlformats.org/officeDocument/2006/relationships/image" Target="media/image17.wmf"/><Relationship Id="rId38" Type="http://schemas.openxmlformats.org/officeDocument/2006/relationships/oleObject" Target="embeddings/oleObject15.bin"/><Relationship Id="rId37" Type="http://schemas.openxmlformats.org/officeDocument/2006/relationships/image" Target="media/image16.wmf"/><Relationship Id="rId36" Type="http://schemas.openxmlformats.org/officeDocument/2006/relationships/oleObject" Target="embeddings/oleObject14.bin"/><Relationship Id="rId35" Type="http://schemas.openxmlformats.org/officeDocument/2006/relationships/image" Target="media/image15.wmf"/><Relationship Id="rId34" Type="http://schemas.openxmlformats.org/officeDocument/2006/relationships/oleObject" Target="embeddings/oleObject13.bin"/><Relationship Id="rId33" Type="http://schemas.openxmlformats.org/officeDocument/2006/relationships/image" Target="media/image14.wmf"/><Relationship Id="rId32" Type="http://schemas.openxmlformats.org/officeDocument/2006/relationships/oleObject" Target="embeddings/oleObject12.bin"/><Relationship Id="rId31" Type="http://schemas.openxmlformats.org/officeDocument/2006/relationships/image" Target="media/image13.wmf"/><Relationship Id="rId30" Type="http://schemas.openxmlformats.org/officeDocument/2006/relationships/oleObject" Target="embeddings/oleObject11.bin"/><Relationship Id="rId3" Type="http://schemas.openxmlformats.org/officeDocument/2006/relationships/footer" Target="footer1.xml"/><Relationship Id="rId29" Type="http://schemas.openxmlformats.org/officeDocument/2006/relationships/image" Target="media/image12.wmf"/><Relationship Id="rId28" Type="http://schemas.openxmlformats.org/officeDocument/2006/relationships/oleObject" Target="embeddings/oleObject10.bin"/><Relationship Id="rId27" Type="http://schemas.openxmlformats.org/officeDocument/2006/relationships/image" Target="media/image11.wmf"/><Relationship Id="rId26" Type="http://schemas.openxmlformats.org/officeDocument/2006/relationships/oleObject" Target="embeddings/oleObject9.bin"/><Relationship Id="rId25" Type="http://schemas.openxmlformats.org/officeDocument/2006/relationships/image" Target="media/image10.wmf"/><Relationship Id="rId24" Type="http://schemas.openxmlformats.org/officeDocument/2006/relationships/oleObject" Target="embeddings/oleObject8.bin"/><Relationship Id="rId23" Type="http://schemas.openxmlformats.org/officeDocument/2006/relationships/image" Target="media/image9.wmf"/><Relationship Id="rId22" Type="http://schemas.openxmlformats.org/officeDocument/2006/relationships/oleObject" Target="embeddings/oleObject7.bin"/><Relationship Id="rId21" Type="http://schemas.openxmlformats.org/officeDocument/2006/relationships/image" Target="media/image8.png"/><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6.emf"/><Relationship Id="rId17" Type="http://schemas.openxmlformats.org/officeDocument/2006/relationships/oleObject" Target="embeddings/oleObject5.bin"/><Relationship Id="rId16" Type="http://schemas.openxmlformats.org/officeDocument/2006/relationships/image" Target="media/image5.png"/><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9" Type="http://schemas.openxmlformats.org/officeDocument/2006/relationships/fontTable" Target="fontTable.xml"/><Relationship Id="rId128" Type="http://schemas.openxmlformats.org/officeDocument/2006/relationships/numbering" Target="numbering.xml"/><Relationship Id="rId127" Type="http://schemas.openxmlformats.org/officeDocument/2006/relationships/customXml" Target="../customXml/item1.xml"/><Relationship Id="rId126" Type="http://schemas.openxmlformats.org/officeDocument/2006/relationships/image" Target="media/image60.png"/><Relationship Id="rId125" Type="http://schemas.openxmlformats.org/officeDocument/2006/relationships/image" Target="media/image59.png"/><Relationship Id="rId124" Type="http://schemas.openxmlformats.org/officeDocument/2006/relationships/image" Target="media/image58.png"/><Relationship Id="rId123" Type="http://schemas.openxmlformats.org/officeDocument/2006/relationships/image" Target="media/image57.wmf"/><Relationship Id="rId122" Type="http://schemas.openxmlformats.org/officeDocument/2006/relationships/oleObject" Target="embeddings/oleObject59.bin"/><Relationship Id="rId121" Type="http://schemas.openxmlformats.org/officeDocument/2006/relationships/image" Target="media/image56.wmf"/><Relationship Id="rId120" Type="http://schemas.openxmlformats.org/officeDocument/2006/relationships/oleObject" Target="embeddings/oleObject58.bin"/><Relationship Id="rId12" Type="http://schemas.openxmlformats.org/officeDocument/2006/relationships/oleObject" Target="embeddings/oleObject3.bin"/><Relationship Id="rId119" Type="http://schemas.openxmlformats.org/officeDocument/2006/relationships/image" Target="media/image55.wmf"/><Relationship Id="rId118" Type="http://schemas.openxmlformats.org/officeDocument/2006/relationships/oleObject" Target="embeddings/oleObject57.bin"/><Relationship Id="rId117" Type="http://schemas.openxmlformats.org/officeDocument/2006/relationships/image" Target="media/image54.wmf"/><Relationship Id="rId116" Type="http://schemas.openxmlformats.org/officeDocument/2006/relationships/oleObject" Target="embeddings/oleObject56.bin"/><Relationship Id="rId115" Type="http://schemas.openxmlformats.org/officeDocument/2006/relationships/image" Target="media/image53.wmf"/><Relationship Id="rId114" Type="http://schemas.openxmlformats.org/officeDocument/2006/relationships/oleObject" Target="embeddings/oleObject55.bin"/><Relationship Id="rId113" Type="http://schemas.openxmlformats.org/officeDocument/2006/relationships/image" Target="media/image52.wmf"/><Relationship Id="rId112" Type="http://schemas.openxmlformats.org/officeDocument/2006/relationships/oleObject" Target="embeddings/oleObject54.bin"/><Relationship Id="rId111" Type="http://schemas.openxmlformats.org/officeDocument/2006/relationships/image" Target="media/image51.wmf"/><Relationship Id="rId110" Type="http://schemas.openxmlformats.org/officeDocument/2006/relationships/oleObject" Target="embeddings/oleObject53.bin"/><Relationship Id="rId11" Type="http://schemas.openxmlformats.org/officeDocument/2006/relationships/image" Target="media/image2.emf"/><Relationship Id="rId109" Type="http://schemas.openxmlformats.org/officeDocument/2006/relationships/image" Target="media/image50.wmf"/><Relationship Id="rId108" Type="http://schemas.openxmlformats.org/officeDocument/2006/relationships/oleObject" Target="embeddings/oleObject52.bin"/><Relationship Id="rId107" Type="http://schemas.openxmlformats.org/officeDocument/2006/relationships/image" Target="media/image49.wmf"/><Relationship Id="rId106" Type="http://schemas.openxmlformats.org/officeDocument/2006/relationships/oleObject" Target="embeddings/oleObject51.bin"/><Relationship Id="rId105" Type="http://schemas.openxmlformats.org/officeDocument/2006/relationships/image" Target="media/image48.wmf"/><Relationship Id="rId104" Type="http://schemas.openxmlformats.org/officeDocument/2006/relationships/oleObject" Target="embeddings/oleObject50.bin"/><Relationship Id="rId103" Type="http://schemas.openxmlformats.org/officeDocument/2006/relationships/oleObject" Target="embeddings/oleObject49.bin"/><Relationship Id="rId102" Type="http://schemas.openxmlformats.org/officeDocument/2006/relationships/image" Target="media/image47.wmf"/><Relationship Id="rId101" Type="http://schemas.openxmlformats.org/officeDocument/2006/relationships/oleObject" Target="embeddings/oleObject48.bin"/><Relationship Id="rId100" Type="http://schemas.openxmlformats.org/officeDocument/2006/relationships/image" Target="media/image46.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70</Pages>
  <Words>39285</Words>
  <Characters>46266</Characters>
  <Lines>1</Lines>
  <Paragraphs>1</Paragraphs>
  <TotalTime>7</TotalTime>
  <ScaleCrop>false</ScaleCrop>
  <LinksUpToDate>false</LinksUpToDate>
  <CharactersWithSpaces>46714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可心</cp:lastModifiedBy>
  <cp:lastPrinted>2021-03-19T10:02:00Z</cp:lastPrinted>
  <dcterms:modified xsi:type="dcterms:W3CDTF">2023-06-07T01:58:29Z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5FE63C341EFD4D1699CFD08340855135</vt:lpwstr>
  </property>
</Properties>
</file>