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63" w:rsidRDefault="00F54263">
      <w:pPr>
        <w:widowControl/>
        <w:spacing w:line="218" w:lineRule="atLeast"/>
        <w:ind w:firstLine="240"/>
        <w:jc w:val="left"/>
        <w:rPr>
          <w:rFonts w:ascii="仿宋_GB2312" w:hAnsi="宋体" w:cs="宋体"/>
          <w:color w:val="000000"/>
          <w:kern w:val="0"/>
        </w:rPr>
      </w:pPr>
    </w:p>
    <w:p w:rsidR="00F54263" w:rsidRDefault="00CE604F" w:rsidP="00757523">
      <w:pPr>
        <w:widowControl/>
        <w:spacing w:line="218" w:lineRule="atLeas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唐山高新区人民</w:t>
      </w:r>
      <w:r w:rsidR="00B05442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法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院</w:t>
      </w:r>
      <w:r w:rsidR="00757523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绩效</w:t>
      </w:r>
      <w:r w:rsidR="000D36AC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自评报告</w:t>
      </w:r>
    </w:p>
    <w:p w:rsidR="00CE604F" w:rsidRDefault="00CE604F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仿宋" w:cs="宋体"/>
          <w:color w:val="000000"/>
          <w:kern w:val="0"/>
        </w:rPr>
      </w:pPr>
    </w:p>
    <w:p w:rsidR="00F54263" w:rsidRDefault="000D36AC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  <w:r>
        <w:rPr>
          <w:rFonts w:ascii="仿宋_GB2312" w:hAnsi="宋体" w:cs="宋体" w:hint="eastAsia"/>
          <w:color w:val="000000"/>
          <w:kern w:val="0"/>
        </w:rPr>
        <w:t>（一）项目概况</w:t>
      </w:r>
    </w:p>
    <w:p w:rsidR="00F54263" w:rsidRDefault="000D36AC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  <w:r>
        <w:rPr>
          <w:rFonts w:ascii="仿宋_GB2312" w:hAnsi="宋体" w:cs="宋体" w:hint="eastAsia"/>
          <w:color w:val="000000"/>
          <w:kern w:val="0"/>
        </w:rPr>
        <w:t>1．项目立项背景</w:t>
      </w:r>
    </w:p>
    <w:p w:rsidR="00F54263" w:rsidRPr="00CE604F" w:rsidRDefault="00CE604F" w:rsidP="00CE604F">
      <w:pPr>
        <w:ind w:firstLineChars="200" w:firstLine="640"/>
        <w:rPr>
          <w:rFonts w:ascii="仿宋_GB2312"/>
        </w:rPr>
      </w:pPr>
      <w:r>
        <w:rPr>
          <w:rFonts w:ascii="仿宋_GB2312" w:hint="eastAsia"/>
        </w:rPr>
        <w:t>唐山高新区人民</w:t>
      </w:r>
      <w:r w:rsidR="00E83ED0">
        <w:rPr>
          <w:rFonts w:ascii="仿宋_GB2312" w:hint="eastAsia"/>
        </w:rPr>
        <w:t>法</w:t>
      </w:r>
      <w:r>
        <w:rPr>
          <w:rFonts w:ascii="仿宋_GB2312" w:hint="eastAsia"/>
        </w:rPr>
        <w:t>院</w:t>
      </w:r>
      <w:r>
        <w:rPr>
          <w:rFonts w:ascii="仿宋_GB2312" w:hAnsi="宋体" w:hint="eastAsia"/>
        </w:rPr>
        <w:t>为正</w:t>
      </w:r>
      <w:r>
        <w:rPr>
          <w:rFonts w:ascii="仿宋_GB2312" w:hint="eastAsia"/>
        </w:rPr>
        <w:t>县级院</w:t>
      </w:r>
      <w:r>
        <w:rPr>
          <w:rFonts w:ascii="仿宋_GB2312" w:hAnsi="宋体" w:hint="eastAsia"/>
        </w:rPr>
        <w:t>，性质是行政单位，经费形式为财政拨款。</w:t>
      </w:r>
      <w:r w:rsidR="00E83ED0" w:rsidRPr="00D851ED">
        <w:rPr>
          <w:rFonts w:ascii="仿宋_GB2312" w:hint="eastAsia"/>
        </w:rPr>
        <w:t>我院包含法院和老庄子法庭，</w:t>
      </w:r>
      <w:r w:rsidR="00E83ED0" w:rsidRPr="00113235">
        <w:rPr>
          <w:rFonts w:ascii="仿宋_GB2312" w:hint="eastAsia"/>
        </w:rPr>
        <w:t>单位性质属行政单位</w:t>
      </w:r>
      <w:r w:rsidR="00E83ED0">
        <w:rPr>
          <w:rFonts w:ascii="仿宋_GB2312" w:hint="eastAsia"/>
        </w:rPr>
        <w:t>，</w:t>
      </w:r>
      <w:r w:rsidR="00E83ED0" w:rsidRPr="00113235">
        <w:rPr>
          <w:rFonts w:ascii="仿宋_GB2312" w:hint="eastAsia"/>
        </w:rPr>
        <w:t>正处级</w:t>
      </w:r>
      <w:r w:rsidR="00E83ED0">
        <w:rPr>
          <w:rFonts w:ascii="仿宋_GB2312" w:hint="eastAsia"/>
        </w:rPr>
        <w:t>，</w:t>
      </w:r>
      <w:r w:rsidR="00E83ED0" w:rsidRPr="00113235">
        <w:rPr>
          <w:rFonts w:ascii="仿宋_GB2312" w:hint="eastAsia"/>
        </w:rPr>
        <w:t>经费形式财政拨款</w:t>
      </w:r>
      <w:r w:rsidR="00E83ED0">
        <w:rPr>
          <w:rFonts w:ascii="仿宋_GB2312" w:hint="eastAsia"/>
        </w:rPr>
        <w:t>，</w:t>
      </w:r>
      <w:r w:rsidR="00E83ED0" w:rsidRPr="00D851ED">
        <w:rPr>
          <w:rFonts w:ascii="仿宋_GB2312" w:hint="eastAsia"/>
        </w:rPr>
        <w:t>法院下设7个机构，分别为办公室、立案庭、民事审判庭、刑事审判庭、行政审判监督庭、执行局、司法警察大队；下设一个</w:t>
      </w:r>
      <w:r w:rsidR="00E83ED0">
        <w:rPr>
          <w:rFonts w:ascii="仿宋_GB2312" w:hint="eastAsia"/>
        </w:rPr>
        <w:t>派出法庭</w:t>
      </w:r>
      <w:r w:rsidR="00E83ED0" w:rsidRPr="00D851ED">
        <w:rPr>
          <w:rFonts w:ascii="仿宋_GB2312" w:hint="eastAsia"/>
        </w:rPr>
        <w:t>：老庄子法庭</w:t>
      </w:r>
      <w:r w:rsidR="000D36AC">
        <w:rPr>
          <w:rFonts w:ascii="仿宋_GB2312" w:hAnsi="宋体" w:cs="宋体" w:hint="eastAsia"/>
          <w:color w:val="000000"/>
          <w:kern w:val="0"/>
        </w:rPr>
        <w:t>，</w:t>
      </w:r>
      <w:r w:rsidR="00E83ED0">
        <w:rPr>
          <w:rFonts w:ascii="仿宋_GB2312" w:hAnsi="宋体" w:cs="宋体" w:hint="eastAsia"/>
          <w:color w:val="000000"/>
          <w:kern w:val="0"/>
        </w:rPr>
        <w:t>2020</w:t>
      </w:r>
      <w:r w:rsidR="000D36AC">
        <w:rPr>
          <w:rFonts w:ascii="仿宋_GB2312" w:hAnsi="宋体" w:cs="宋体" w:hint="eastAsia"/>
          <w:color w:val="000000"/>
          <w:kern w:val="0"/>
        </w:rPr>
        <w:t>年预算批复</w:t>
      </w:r>
      <w:r>
        <w:rPr>
          <w:rFonts w:ascii="仿宋_GB2312" w:hAnsi="宋体" w:cs="宋体" w:hint="eastAsia"/>
          <w:color w:val="000000"/>
          <w:kern w:val="0"/>
        </w:rPr>
        <w:t>办案业务费50</w:t>
      </w:r>
      <w:r w:rsidR="000D36AC">
        <w:rPr>
          <w:rFonts w:ascii="仿宋_GB2312" w:hAnsi="宋体" w:cs="宋体" w:hint="eastAsia"/>
          <w:color w:val="000000"/>
          <w:kern w:val="0"/>
        </w:rPr>
        <w:t>万元</w:t>
      </w:r>
      <w:r w:rsidR="00081128">
        <w:rPr>
          <w:rFonts w:ascii="仿宋_GB2312" w:hAnsi="宋体" w:cs="宋体" w:hint="eastAsia"/>
          <w:color w:val="000000"/>
          <w:kern w:val="0"/>
        </w:rPr>
        <w:t>,公检法大楼物业服务费96万元。</w:t>
      </w:r>
    </w:p>
    <w:p w:rsidR="00F54263" w:rsidRDefault="000D36AC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  <w:r>
        <w:rPr>
          <w:rFonts w:ascii="仿宋_GB2312" w:hAnsi="宋体" w:cs="宋体" w:hint="eastAsia"/>
          <w:color w:val="000000"/>
          <w:kern w:val="0"/>
        </w:rPr>
        <w:t>项目绩效目标</w:t>
      </w:r>
    </w:p>
    <w:p w:rsidR="00F54263" w:rsidRPr="00CE604F" w:rsidRDefault="00E83ED0" w:rsidP="00CE604F">
      <w:pPr>
        <w:pStyle w:val="a3"/>
        <w:ind w:firstLineChars="150" w:firstLine="480"/>
        <w:rPr>
          <w:rFonts w:ascii="仿宋_GB2312"/>
        </w:rPr>
      </w:pPr>
      <w:r w:rsidRPr="00E83ED0">
        <w:rPr>
          <w:rFonts w:ascii="仿宋_GB2312" w:hint="eastAsia"/>
        </w:rPr>
        <w:t>依法审判法律规定由县级人民法院管辖的刑事、民事、行政等一审案件，依法办理发生法律效力判决、其他法律文书的执行，做好审判管理工作。妥善审理经济转型过程中引发的各类矛盾纠纷，依法维护国家安全和社会稳定，严惩各类严重刑事犯罪</w:t>
      </w:r>
      <w:r>
        <w:rPr>
          <w:rFonts w:ascii="仿宋_GB2312" w:hint="eastAsia"/>
        </w:rPr>
        <w:t>。</w:t>
      </w:r>
      <w:r w:rsidR="00B05442">
        <w:rPr>
          <w:rFonts w:ascii="仿宋_GB2312" w:hint="eastAsia"/>
        </w:rPr>
        <w:t>完成涉法涉诉</w:t>
      </w:r>
      <w:r w:rsidRPr="00E83ED0">
        <w:rPr>
          <w:rFonts w:ascii="仿宋_GB2312" w:hint="eastAsia"/>
        </w:rPr>
        <w:t>案件的息诉罢访工作，依法办理国家赔偿案件。</w:t>
      </w:r>
    </w:p>
    <w:p w:rsidR="00F54263" w:rsidRDefault="000D36AC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  <w:r>
        <w:rPr>
          <w:rFonts w:ascii="仿宋_GB2312" w:hAnsi="宋体" w:cs="宋体" w:hint="eastAsia"/>
          <w:color w:val="000000"/>
          <w:kern w:val="0"/>
        </w:rPr>
        <w:t>经费来源</w:t>
      </w:r>
    </w:p>
    <w:p w:rsidR="00F54263" w:rsidRDefault="00E83ED0">
      <w:pPr>
        <w:widowControl/>
        <w:adjustRightInd w:val="0"/>
        <w:snapToGrid w:val="0"/>
        <w:spacing w:line="560" w:lineRule="exact"/>
        <w:ind w:left="238"/>
        <w:jc w:val="left"/>
        <w:rPr>
          <w:rFonts w:ascii="仿宋_GB2312" w:eastAsia="仿宋" w:hAnsi="宋体" w:cs="宋体"/>
          <w:color w:val="000000"/>
          <w:kern w:val="0"/>
        </w:rPr>
      </w:pPr>
      <w:r>
        <w:rPr>
          <w:rFonts w:ascii="仿宋" w:eastAsia="仿宋" w:hAnsi="仿宋" w:hint="eastAsia"/>
        </w:rPr>
        <w:t>2020</w:t>
      </w:r>
      <w:r w:rsidR="000D36AC">
        <w:rPr>
          <w:rFonts w:ascii="仿宋" w:eastAsia="仿宋" w:hAnsi="仿宋" w:hint="eastAsia"/>
        </w:rPr>
        <w:t>年</w:t>
      </w:r>
      <w:r w:rsidR="00CE604F">
        <w:rPr>
          <w:rFonts w:ascii="仿宋_GB2312" w:hAnsi="宋体" w:hint="eastAsia"/>
        </w:rPr>
        <w:t>经费形式为财政拨款</w:t>
      </w:r>
      <w:r w:rsidR="000D36AC">
        <w:rPr>
          <w:rFonts w:ascii="仿宋" w:eastAsia="仿宋" w:hAnsi="仿宋" w:hint="eastAsia"/>
        </w:rPr>
        <w:t>。</w:t>
      </w:r>
    </w:p>
    <w:p w:rsidR="00F54263" w:rsidRDefault="000D36AC"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  <w:r>
        <w:rPr>
          <w:rFonts w:ascii="仿宋_GB2312" w:hAnsi="宋体" w:cs="宋体" w:hint="eastAsia"/>
          <w:color w:val="000000"/>
          <w:kern w:val="0"/>
        </w:rPr>
        <w:t>项目绩效目标完成情况</w:t>
      </w:r>
    </w:p>
    <w:p w:rsidR="00F54263" w:rsidRDefault="00E83ED0" w:rsidP="00E83ED0">
      <w:pPr>
        <w:widowControl/>
        <w:adjustRightInd w:val="0"/>
        <w:snapToGrid w:val="0"/>
        <w:spacing w:line="560" w:lineRule="exact"/>
        <w:ind w:left="567"/>
        <w:jc w:val="left"/>
        <w:rPr>
          <w:rFonts w:ascii="仿宋_GB2312" w:hAnsi="宋体" w:cs="宋体"/>
          <w:color w:val="000000"/>
          <w:kern w:val="0"/>
        </w:rPr>
      </w:pPr>
      <w:r w:rsidRPr="00E83ED0">
        <w:rPr>
          <w:rFonts w:ascii="仿宋_GB2312" w:hAnsi="宋体" w:cs="宋体" w:hint="eastAsia"/>
          <w:color w:val="000000"/>
          <w:kern w:val="0"/>
        </w:rPr>
        <w:t>2020年</w:t>
      </w:r>
      <w:r w:rsidR="00065B74" w:rsidRPr="00E83ED0">
        <w:rPr>
          <w:rFonts w:ascii="仿宋_GB2312" w:hAnsi="宋体" w:cs="宋体" w:hint="eastAsia"/>
          <w:color w:val="000000"/>
          <w:kern w:val="0"/>
        </w:rPr>
        <w:t>受理案件</w:t>
      </w:r>
      <w:r w:rsidRPr="00E83ED0">
        <w:rPr>
          <w:rFonts w:ascii="仿宋_GB2312" w:hAnsi="宋体" w:cs="宋体" w:hint="eastAsia"/>
          <w:color w:val="000000"/>
          <w:kern w:val="0"/>
        </w:rPr>
        <w:t>1171</w:t>
      </w:r>
      <w:r w:rsidR="00757523" w:rsidRPr="00E83ED0">
        <w:rPr>
          <w:rFonts w:ascii="仿宋_GB2312" w:hAnsi="宋体" w:cs="宋体" w:hint="eastAsia"/>
          <w:color w:val="000000"/>
          <w:kern w:val="0"/>
        </w:rPr>
        <w:t>件</w:t>
      </w:r>
      <w:r w:rsidR="00065B74" w:rsidRPr="00E83ED0">
        <w:rPr>
          <w:rFonts w:ascii="仿宋_GB2312" w:hAnsi="宋体" w:cs="宋体" w:hint="eastAsia"/>
          <w:color w:val="000000"/>
          <w:kern w:val="0"/>
        </w:rPr>
        <w:t>，审结</w:t>
      </w:r>
      <w:r w:rsidRPr="00E83ED0">
        <w:rPr>
          <w:rFonts w:ascii="仿宋_GB2312" w:hAnsi="宋体" w:cs="宋体" w:hint="eastAsia"/>
          <w:color w:val="000000"/>
          <w:kern w:val="0"/>
        </w:rPr>
        <w:t>1169</w:t>
      </w:r>
      <w:r w:rsidR="00065B74" w:rsidRPr="00E83ED0">
        <w:rPr>
          <w:rFonts w:ascii="仿宋_GB2312" w:hAnsi="宋体" w:cs="宋体" w:hint="eastAsia"/>
          <w:color w:val="000000"/>
          <w:kern w:val="0"/>
        </w:rPr>
        <w:t>件。</w:t>
      </w:r>
    </w:p>
    <w:p w:rsidR="00F54263" w:rsidRDefault="000D36AC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  <w:r>
        <w:rPr>
          <w:rFonts w:ascii="仿宋_GB2312" w:hAnsi="宋体" w:cs="宋体" w:hint="eastAsia"/>
          <w:color w:val="000000"/>
          <w:kern w:val="0"/>
        </w:rPr>
        <w:lastRenderedPageBreak/>
        <w:t>（二）绩效分析及评价结论</w:t>
      </w:r>
    </w:p>
    <w:p w:rsidR="003258C9" w:rsidRDefault="003258C9" w:rsidP="003258C9">
      <w:pPr>
        <w:spacing w:line="560" w:lineRule="exact"/>
        <w:ind w:firstLineChars="200" w:firstLine="640"/>
        <w:rPr>
          <w:rFonts w:ascii="仿宋_GB2312" w:hAnsi="宋体" w:cs="方正仿宋_GBK"/>
          <w:kern w:val="0"/>
        </w:rPr>
      </w:pPr>
      <w:r>
        <w:rPr>
          <w:rFonts w:ascii="仿宋_GB2312" w:hAnsi="宋体" w:cs="方正仿宋_GBK" w:hint="eastAsia"/>
          <w:kern w:val="0"/>
        </w:rPr>
        <w:t>1.</w:t>
      </w:r>
      <w:r w:rsidR="00B05442">
        <w:rPr>
          <w:rFonts w:ascii="仿宋_GB2312" w:hAnsi="宋体" w:cs="方正仿宋_GBK" w:hint="eastAsia"/>
          <w:kern w:val="0"/>
        </w:rPr>
        <w:t>司法</w:t>
      </w:r>
      <w:r>
        <w:rPr>
          <w:rFonts w:ascii="仿宋_GB2312" w:hAnsi="宋体" w:cs="方正仿宋_GBK" w:hint="eastAsia"/>
          <w:kern w:val="0"/>
        </w:rPr>
        <w:t>公开力度加大。</w:t>
      </w:r>
    </w:p>
    <w:p w:rsidR="003258C9" w:rsidRDefault="003258C9" w:rsidP="003258C9">
      <w:pPr>
        <w:spacing w:line="560" w:lineRule="exact"/>
        <w:ind w:firstLineChars="200" w:firstLine="640"/>
        <w:rPr>
          <w:rFonts w:ascii="仿宋_GB2312" w:hAnsi="宋体" w:cs="方正仿宋_GBK"/>
          <w:kern w:val="0"/>
        </w:rPr>
      </w:pPr>
      <w:r>
        <w:rPr>
          <w:rFonts w:ascii="仿宋_GB2312" w:hAnsi="宋体" w:cs="方正仿宋_GBK" w:hint="eastAsia"/>
          <w:kern w:val="0"/>
        </w:rPr>
        <w:t>2.理性平和文明执法水平提高。</w:t>
      </w:r>
    </w:p>
    <w:p w:rsidR="003258C9" w:rsidRDefault="003258C9" w:rsidP="003258C9">
      <w:pPr>
        <w:spacing w:line="560" w:lineRule="exact"/>
        <w:ind w:firstLineChars="200" w:firstLine="640"/>
        <w:rPr>
          <w:rFonts w:ascii="仿宋_GB2312" w:hAnsi="宋体" w:cs="方正仿宋_GBK"/>
          <w:kern w:val="0"/>
        </w:rPr>
      </w:pPr>
      <w:r>
        <w:rPr>
          <w:rFonts w:ascii="仿宋_GB2312" w:hAnsi="宋体" w:cs="方正仿宋_GBK" w:hint="eastAsia"/>
          <w:kern w:val="0"/>
        </w:rPr>
        <w:t>3.执法理念提高。</w:t>
      </w:r>
    </w:p>
    <w:p w:rsidR="003258C9" w:rsidRDefault="003258C9" w:rsidP="003258C9">
      <w:pPr>
        <w:spacing w:line="560" w:lineRule="exact"/>
        <w:ind w:firstLineChars="200" w:firstLine="640"/>
        <w:rPr>
          <w:rFonts w:ascii="仿宋_GB2312" w:hAnsi="宋体" w:cs="方正仿宋_GBK"/>
          <w:kern w:val="0"/>
        </w:rPr>
      </w:pPr>
      <w:r>
        <w:rPr>
          <w:rFonts w:ascii="仿宋_GB2312" w:hAnsi="宋体" w:cs="方正仿宋_GBK" w:hint="eastAsia"/>
          <w:kern w:val="0"/>
        </w:rPr>
        <w:t>4.执法行为规范</w:t>
      </w:r>
    </w:p>
    <w:p w:rsidR="003258C9" w:rsidRDefault="003258C9" w:rsidP="003258C9">
      <w:pPr>
        <w:spacing w:line="560" w:lineRule="exact"/>
        <w:ind w:firstLineChars="200" w:firstLine="640"/>
        <w:rPr>
          <w:rFonts w:ascii="仿宋_GB2312" w:hAnsi="宋体" w:cs="方正仿宋_GBK"/>
          <w:kern w:val="0"/>
        </w:rPr>
      </w:pPr>
      <w:r>
        <w:rPr>
          <w:rFonts w:ascii="仿宋_GB2312" w:hAnsi="宋体" w:cs="方正仿宋_GBK" w:hint="eastAsia"/>
          <w:kern w:val="0"/>
        </w:rPr>
        <w:t>5.办案质量提高</w:t>
      </w:r>
    </w:p>
    <w:p w:rsidR="003258C9" w:rsidRDefault="003258C9" w:rsidP="003258C9">
      <w:pPr>
        <w:spacing w:line="560" w:lineRule="exact"/>
        <w:ind w:firstLineChars="200" w:firstLine="640"/>
        <w:rPr>
          <w:rFonts w:ascii="仿宋_GB2312" w:hAnsi="宋体" w:cs="方正仿宋_GBK"/>
          <w:kern w:val="0"/>
        </w:rPr>
      </w:pPr>
      <w:r>
        <w:rPr>
          <w:rFonts w:ascii="仿宋_GB2312" w:hAnsi="宋体" w:cs="方正仿宋_GBK" w:hint="eastAsia"/>
          <w:kern w:val="0"/>
        </w:rPr>
        <w:t>6.社会满意度调查结果为100%。</w:t>
      </w:r>
    </w:p>
    <w:p w:rsidR="00F54263" w:rsidRDefault="000D36AC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  <w:r>
        <w:rPr>
          <w:rFonts w:ascii="仿宋_GB2312" w:hAnsi="宋体" w:cs="宋体" w:hint="eastAsia"/>
          <w:color w:val="000000"/>
          <w:kern w:val="0"/>
        </w:rPr>
        <w:t>2．评价结论</w:t>
      </w:r>
    </w:p>
    <w:p w:rsidR="003258C9" w:rsidRPr="00065B74" w:rsidRDefault="003258C9" w:rsidP="003258C9">
      <w:pPr>
        <w:spacing w:line="560" w:lineRule="exact"/>
        <w:ind w:firstLine="645"/>
        <w:rPr>
          <w:rFonts w:ascii="仿宋_GB2312" w:hAnsi="仿宋" w:cs="宋体"/>
          <w:kern w:val="0"/>
        </w:rPr>
      </w:pPr>
      <w:r w:rsidRPr="00065B74">
        <w:rPr>
          <w:rFonts w:ascii="仿宋_GB2312" w:hAnsi="仿宋" w:cs="宋体" w:hint="eastAsia"/>
          <w:kern w:val="0"/>
        </w:rPr>
        <w:t>在百分制绩效评价指标体系考核中，唐山</w:t>
      </w:r>
      <w:r w:rsidR="00065B74" w:rsidRPr="00065B74">
        <w:rPr>
          <w:rFonts w:ascii="仿宋_GB2312" w:hAnsi="仿宋" w:cs="宋体" w:hint="eastAsia"/>
          <w:kern w:val="0"/>
        </w:rPr>
        <w:t>高新区</w:t>
      </w:r>
      <w:r w:rsidRPr="00065B74">
        <w:rPr>
          <w:rFonts w:ascii="仿宋_GB2312" w:hAnsi="仿宋" w:cs="宋体" w:hint="eastAsia"/>
          <w:kern w:val="0"/>
        </w:rPr>
        <w:t>人民</w:t>
      </w:r>
      <w:r w:rsidR="00E83ED0">
        <w:rPr>
          <w:rFonts w:ascii="仿宋_GB2312" w:hAnsi="仿宋" w:cs="宋体" w:hint="eastAsia"/>
          <w:kern w:val="0"/>
        </w:rPr>
        <w:t>法</w:t>
      </w:r>
      <w:r w:rsidRPr="00065B74">
        <w:rPr>
          <w:rFonts w:ascii="仿宋_GB2312" w:hAnsi="仿宋" w:cs="宋体" w:hint="eastAsia"/>
          <w:kern w:val="0"/>
        </w:rPr>
        <w:t>院项目</w:t>
      </w:r>
      <w:r w:rsidR="00065B74" w:rsidRPr="00065B74">
        <w:rPr>
          <w:rFonts w:ascii="仿宋_GB2312" w:hAnsi="仿宋" w:cs="宋体" w:hint="eastAsia"/>
          <w:kern w:val="0"/>
        </w:rPr>
        <w:t>结果绩效</w:t>
      </w:r>
      <w:r w:rsidRPr="00065B74">
        <w:rPr>
          <w:rFonts w:ascii="仿宋_GB2312" w:hAnsi="仿宋" w:cs="宋体" w:hint="eastAsia"/>
          <w:kern w:val="0"/>
        </w:rPr>
        <w:t>评价得分9</w:t>
      </w:r>
      <w:r w:rsidR="00B05442">
        <w:rPr>
          <w:rFonts w:ascii="仿宋_GB2312" w:hAnsi="仿宋" w:cs="宋体" w:hint="eastAsia"/>
          <w:kern w:val="0"/>
        </w:rPr>
        <w:t>8</w:t>
      </w:r>
      <w:r w:rsidRPr="00065B74">
        <w:rPr>
          <w:rFonts w:ascii="仿宋_GB2312" w:hAnsi="仿宋" w:cs="宋体" w:hint="eastAsia"/>
          <w:kern w:val="0"/>
        </w:rPr>
        <w:t>分，结果评价结果为优秀。</w:t>
      </w:r>
    </w:p>
    <w:p w:rsidR="00F54263" w:rsidRDefault="000D36AC" w:rsidP="00065B74">
      <w:pPr>
        <w:widowControl/>
        <w:adjustRightInd w:val="0"/>
        <w:snapToGrid w:val="0"/>
        <w:spacing w:line="560" w:lineRule="exact"/>
        <w:ind w:firstLineChars="100" w:firstLine="320"/>
        <w:jc w:val="left"/>
        <w:rPr>
          <w:rFonts w:ascii="仿宋_GB2312" w:hAnsi="宋体" w:cs="宋体"/>
          <w:color w:val="000000"/>
          <w:kern w:val="0"/>
        </w:rPr>
      </w:pPr>
      <w:r>
        <w:rPr>
          <w:rFonts w:ascii="仿宋_GB2312" w:hAnsi="宋体" w:cs="宋体" w:hint="eastAsia"/>
          <w:color w:val="000000"/>
          <w:kern w:val="0"/>
        </w:rPr>
        <w:t>（三）主要经验及做法、存在的问题及相关建议</w:t>
      </w:r>
    </w:p>
    <w:p w:rsidR="00B05442" w:rsidRDefault="00B05442" w:rsidP="00B05442">
      <w:pPr>
        <w:spacing w:line="560" w:lineRule="exact"/>
        <w:ind w:firstLine="645"/>
        <w:rPr>
          <w:rFonts w:ascii="仿宋" w:eastAsia="仿宋" w:hAnsi="仿宋" w:cs="宋体"/>
          <w:b/>
          <w:kern w:val="0"/>
        </w:rPr>
      </w:pPr>
      <w:r>
        <w:rPr>
          <w:rFonts w:ascii="仿宋_GB2312" w:hAnsi="楷体" w:cs="宋体" w:hint="eastAsia"/>
          <w:b/>
          <w:kern w:val="0"/>
        </w:rPr>
        <w:t>一是加强重视。</w:t>
      </w:r>
      <w:r>
        <w:rPr>
          <w:rFonts w:ascii="仿宋_GB2312" w:hAnsi="仿宋" w:cs="宋体" w:hint="eastAsia"/>
          <w:kern w:val="0"/>
        </w:rPr>
        <w:t>充分认识项目专项资金绩效评价工作的重要意义，把此项工作放在工作的首位。扎实做好预算、组织、协调和控制的每一个环节，确保该项工作落实到位。进一步完善项目目标管理。落实绩效预算管理规定，切实加强项目管理，进一步细化、量化绩效指标，努力使目标做到全面、合理、可评价。</w:t>
      </w:r>
    </w:p>
    <w:p w:rsidR="00B05442" w:rsidRDefault="00B05442" w:rsidP="00B05442">
      <w:pPr>
        <w:spacing w:line="560" w:lineRule="exact"/>
        <w:ind w:firstLine="645"/>
        <w:rPr>
          <w:rFonts w:ascii="仿宋_GB2312" w:hAnsi="仿宋" w:cs="宋体"/>
          <w:kern w:val="0"/>
        </w:rPr>
      </w:pPr>
      <w:r>
        <w:rPr>
          <w:rFonts w:ascii="仿宋_GB2312" w:hAnsi="楷体" w:cs="宋体" w:hint="eastAsia"/>
          <w:b/>
          <w:kern w:val="0"/>
        </w:rPr>
        <w:t>二是强化组织。</w:t>
      </w:r>
      <w:r>
        <w:rPr>
          <w:rFonts w:ascii="仿宋_GB2312" w:hAnsi="仿宋" w:cs="宋体" w:hint="eastAsia"/>
          <w:kern w:val="0"/>
        </w:rPr>
        <w:t>财务部门要加强与业务处室之间的沟通协调，早谋划，早布置，严格按照规范流程确保每一笔资金的使用都有的方式，真正实现人尽其才、物尽其用。进一步加强项目组织管理。按照区政府决策部署和工作实际，制定详实的项目实施计划，定期督导项目实施，及时组织项目自评，确保达到预期绩效目标。</w:t>
      </w:r>
    </w:p>
    <w:p w:rsidR="00B05442" w:rsidRDefault="00B05442" w:rsidP="00B05442">
      <w:pPr>
        <w:spacing w:line="560" w:lineRule="exact"/>
        <w:ind w:firstLine="645"/>
        <w:rPr>
          <w:rFonts w:ascii="仿宋_GB2312" w:hAnsi="仿宋" w:cs="宋体"/>
          <w:kern w:val="0"/>
        </w:rPr>
      </w:pPr>
      <w:r>
        <w:rPr>
          <w:rFonts w:ascii="仿宋_GB2312" w:hAnsi="楷体" w:cs="宋体" w:hint="eastAsia"/>
          <w:b/>
          <w:kern w:val="0"/>
        </w:rPr>
        <w:t>三是注重细节。</w:t>
      </w:r>
      <w:r>
        <w:rPr>
          <w:rFonts w:ascii="仿宋_GB2312" w:hAnsi="仿宋" w:cs="宋体" w:hint="eastAsia"/>
          <w:kern w:val="0"/>
        </w:rPr>
        <w:t>进一步落实财务制度管理办法，确实强</w:t>
      </w:r>
      <w:r>
        <w:rPr>
          <w:rFonts w:ascii="仿宋_GB2312" w:hAnsi="仿宋" w:cs="宋体" w:hint="eastAsia"/>
          <w:kern w:val="0"/>
        </w:rPr>
        <w:lastRenderedPageBreak/>
        <w:t>化项目管理，进一步细化指标，量化考核，做好财务预算，切实提高资金的使用效率。进一步提升项目结果绩效。从提升工作实绩出发，切实采取得力措施，确保计划项目顺利实施，力求达到或超过预期绩效。</w:t>
      </w:r>
    </w:p>
    <w:p w:rsidR="00F54263" w:rsidRDefault="000D36AC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  <w:r>
        <w:rPr>
          <w:rFonts w:ascii="仿宋_GB2312" w:hAnsi="宋体" w:cs="宋体" w:hint="eastAsia"/>
          <w:color w:val="000000"/>
          <w:kern w:val="0"/>
        </w:rPr>
        <w:t>（四）项目绩效评价指标表</w:t>
      </w:r>
    </w:p>
    <w:p w:rsidR="00B05442" w:rsidRDefault="00B05442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</w:p>
    <w:p w:rsidR="00B05442" w:rsidRDefault="00B05442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</w:p>
    <w:p w:rsidR="00B05442" w:rsidRDefault="00B05442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</w:p>
    <w:p w:rsidR="00B05442" w:rsidRPr="00B05442" w:rsidRDefault="00B05442" w:rsidP="00B05442">
      <w:pPr>
        <w:adjustRightInd w:val="0"/>
        <w:snapToGrid w:val="0"/>
        <w:spacing w:line="500" w:lineRule="exact"/>
        <w:rPr>
          <w:rFonts w:ascii="宋体" w:eastAsia="方正小标宋_GBK" w:hAnsi="宋体"/>
          <w:b/>
          <w:sz w:val="36"/>
          <w:szCs w:val="36"/>
        </w:rPr>
      </w:pPr>
    </w:p>
    <w:tbl>
      <w:tblPr>
        <w:tblpPr w:leftFromText="180" w:rightFromText="180" w:tblpY="600"/>
        <w:tblW w:w="87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4"/>
        <w:gridCol w:w="816"/>
        <w:gridCol w:w="913"/>
        <w:gridCol w:w="425"/>
        <w:gridCol w:w="3119"/>
        <w:gridCol w:w="2126"/>
        <w:gridCol w:w="425"/>
      </w:tblGrid>
      <w:tr w:rsidR="00B05442" w:rsidTr="00C67DD7">
        <w:trPr>
          <w:trHeight w:val="317"/>
          <w:tblCellSpacing w:w="0" w:type="dxa"/>
        </w:trPr>
        <w:tc>
          <w:tcPr>
            <w:tcW w:w="1730" w:type="dxa"/>
            <w:gridSpan w:val="2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shd w:val="clear" w:color="auto" w:fill="FFFFFF"/>
              </w:rPr>
              <w:lastRenderedPageBreak/>
              <w:t>基本指标</w:t>
            </w: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具体指标</w:t>
            </w:r>
          </w:p>
        </w:tc>
        <w:tc>
          <w:tcPr>
            <w:tcW w:w="425" w:type="dxa"/>
            <w:vMerge w:val="restart"/>
            <w:shd w:val="solid" w:color="FFFFFF" w:fill="auto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分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值</w:t>
            </w:r>
          </w:p>
        </w:tc>
        <w:tc>
          <w:tcPr>
            <w:tcW w:w="3119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指标解释</w:t>
            </w:r>
          </w:p>
        </w:tc>
        <w:tc>
          <w:tcPr>
            <w:tcW w:w="2126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评分标准</w:t>
            </w:r>
          </w:p>
        </w:tc>
        <w:tc>
          <w:tcPr>
            <w:tcW w:w="425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评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分</w:t>
            </w:r>
          </w:p>
        </w:tc>
      </w:tr>
      <w:tr w:rsidR="00B05442" w:rsidTr="00C67DD7">
        <w:trPr>
          <w:trHeight w:val="408"/>
          <w:tblCellSpacing w:w="0" w:type="dxa"/>
        </w:trPr>
        <w:tc>
          <w:tcPr>
            <w:tcW w:w="914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一级指标</w:t>
            </w:r>
          </w:p>
        </w:tc>
        <w:tc>
          <w:tcPr>
            <w:tcW w:w="816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二级指标</w:t>
            </w: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shd w:val="clear" w:color="auto" w:fill="FFFFFF"/>
              </w:rPr>
              <w:t>三级指标</w:t>
            </w:r>
          </w:p>
        </w:tc>
        <w:tc>
          <w:tcPr>
            <w:tcW w:w="425" w:type="dxa"/>
            <w:vMerge/>
            <w:shd w:val="solid" w:color="FFFFFF" w:fill="auto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119" w:type="dxa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6" w:type="dxa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" w:type="dxa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B05442" w:rsidTr="00C67DD7">
        <w:trPr>
          <w:trHeight w:val="814"/>
          <w:tblCellSpacing w:w="0" w:type="dxa"/>
        </w:trPr>
        <w:tc>
          <w:tcPr>
            <w:tcW w:w="914" w:type="dxa"/>
            <w:vMerge w:val="restart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管理绩效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</w:t>
            </w:r>
          </w:p>
        </w:tc>
        <w:tc>
          <w:tcPr>
            <w:tcW w:w="816" w:type="dxa"/>
            <w:vMerge w:val="restart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目标设定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</w:t>
            </w: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目标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明确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5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楷体_GB2312" w:hAnsi="宋体" w:cs="宋体" w:hint="eastAsia"/>
                <w:kern w:val="0"/>
                <w:sz w:val="18"/>
                <w:szCs w:val="18"/>
              </w:rPr>
              <w:t>制定的目标明确，履行监督职能。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项目绩效目标明确得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分，否则得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05442" w:rsidTr="00C67DD7">
        <w:trPr>
          <w:trHeight w:val="680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目标细化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3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楷体_GB2312" w:hAnsi="宋体" w:cs="宋体" w:hint="eastAsia"/>
                <w:kern w:val="0"/>
                <w:sz w:val="18"/>
                <w:szCs w:val="18"/>
              </w:rPr>
              <w:t>依法审判，营造稳定和谐的环境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。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项目绩效目标细化得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分，否则得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05442" w:rsidTr="00C67DD7">
        <w:trPr>
          <w:trHeight w:val="638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目标量化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3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目标符合量化要求，便于考核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。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项目绩效目标量化得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分，否则得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B05442" w:rsidTr="00C67DD7">
        <w:trPr>
          <w:trHeight w:val="668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组织管理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</w:t>
            </w: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项目组织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3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负责项目实施的组织机构健全、人员分工明确、责任落实到人。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机构健全得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分，分工明确得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分，责任落实得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B05442" w:rsidTr="00C67DD7">
        <w:trPr>
          <w:trHeight w:val="761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项目计划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3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制定整体方案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实施计划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，内容详实可行。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确立方案规划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分，计划详实可行得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B05442" w:rsidTr="00C67DD7">
        <w:trPr>
          <w:trHeight w:val="928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项目实施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3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项目按方案时间节点稳步推进。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全部按计划时间节点完成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分，大部分按计划完成得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分，否则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B05442" w:rsidTr="00C67DD7">
        <w:trPr>
          <w:trHeight w:val="815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项目验收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3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办案质量是否达到达标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办案质量达标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分，否则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B05442" w:rsidTr="00C67DD7">
        <w:trPr>
          <w:trHeight w:val="826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16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资金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落实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</w:t>
            </w: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资金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到位率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5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资金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实际到位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数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计划到位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数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*100%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根据项目资金实际到位率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*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计算得分。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</w:p>
        </w:tc>
      </w:tr>
      <w:tr w:rsidR="00B05442" w:rsidTr="00C67DD7">
        <w:trPr>
          <w:trHeight w:val="1069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实际支出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14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</w:t>
            </w: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项目资金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使用合规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虚列套取扣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分；截留、挤占、挪用扣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分；依据不合规扣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分；超标准超预算开支扣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分；扣完为止。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05442" w:rsidTr="00C67DD7">
        <w:trPr>
          <w:trHeight w:val="702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资金支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出进度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3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资金支出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应到位资金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*100%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资金支出进度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*7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B05442" w:rsidTr="00C67DD7">
        <w:trPr>
          <w:trHeight w:val="840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财务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管理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</w:t>
            </w: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资金管理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制定了相关资金管理办法。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制定了相应资金管理办法得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分，资金管理办法健全、规范得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分，否则得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</w:p>
        </w:tc>
      </w:tr>
      <w:tr w:rsidR="00B05442" w:rsidTr="00C67DD7">
        <w:trPr>
          <w:trHeight w:val="546"/>
          <w:tblCellSpacing w:w="0" w:type="dxa"/>
        </w:trPr>
        <w:tc>
          <w:tcPr>
            <w:tcW w:w="914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ind w:firstLineChars="50" w:firstLine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16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13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会计核算</w:t>
            </w:r>
          </w:p>
        </w:tc>
        <w:tc>
          <w:tcPr>
            <w:tcW w:w="425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2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119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会计核算符合相关会计制度规定。</w:t>
            </w:r>
          </w:p>
        </w:tc>
        <w:tc>
          <w:tcPr>
            <w:tcW w:w="2126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会计核算规范得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分，否则得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425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3</w:t>
            </w:r>
          </w:p>
        </w:tc>
      </w:tr>
    </w:tbl>
    <w:p w:rsidR="00B05442" w:rsidRDefault="00B05442" w:rsidP="00081128">
      <w:pPr>
        <w:adjustRightInd w:val="0"/>
        <w:snapToGrid w:val="0"/>
        <w:spacing w:afterLines="40" w:line="500" w:lineRule="exact"/>
        <w:ind w:left="238"/>
        <w:jc w:val="center"/>
        <w:rPr>
          <w:rFonts w:ascii="宋体" w:eastAsia="方正小标宋_GBK" w:hAnsi="宋体"/>
        </w:rPr>
      </w:pPr>
    </w:p>
    <w:p w:rsidR="00B05442" w:rsidRDefault="00B05442" w:rsidP="00081128">
      <w:pPr>
        <w:adjustRightInd w:val="0"/>
        <w:snapToGrid w:val="0"/>
        <w:spacing w:afterLines="40" w:line="500" w:lineRule="exact"/>
        <w:ind w:left="238"/>
        <w:jc w:val="center"/>
        <w:rPr>
          <w:rFonts w:ascii="宋体" w:eastAsia="方正小标宋_GBK" w:hAnsi="宋体"/>
        </w:rPr>
      </w:pPr>
    </w:p>
    <w:p w:rsidR="00B05442" w:rsidRDefault="00B05442" w:rsidP="00081128">
      <w:pPr>
        <w:adjustRightInd w:val="0"/>
        <w:snapToGrid w:val="0"/>
        <w:spacing w:afterLines="40" w:line="500" w:lineRule="exact"/>
        <w:ind w:left="238"/>
        <w:jc w:val="center"/>
        <w:rPr>
          <w:rFonts w:ascii="宋体" w:eastAsia="方正小标宋_GBK" w:hAnsi="宋体"/>
        </w:rPr>
      </w:pPr>
    </w:p>
    <w:p w:rsidR="00B05442" w:rsidRDefault="00B05442" w:rsidP="00081128">
      <w:pPr>
        <w:adjustRightInd w:val="0"/>
        <w:snapToGrid w:val="0"/>
        <w:spacing w:afterLines="40" w:line="500" w:lineRule="exact"/>
        <w:ind w:left="238"/>
        <w:jc w:val="center"/>
        <w:rPr>
          <w:rFonts w:ascii="宋体" w:eastAsia="方正小标宋_GBK" w:hAnsi="宋体"/>
        </w:rPr>
      </w:pPr>
    </w:p>
    <w:p w:rsidR="00B05442" w:rsidRPr="000A6E36" w:rsidRDefault="00B05442" w:rsidP="00081128">
      <w:pPr>
        <w:adjustRightInd w:val="0"/>
        <w:snapToGrid w:val="0"/>
        <w:spacing w:afterLines="40" w:line="500" w:lineRule="exact"/>
        <w:ind w:left="238"/>
        <w:jc w:val="center"/>
        <w:rPr>
          <w:rFonts w:ascii="宋体" w:eastAsia="方正小标宋_GBK" w:hAnsi="宋体"/>
        </w:rPr>
      </w:pPr>
    </w:p>
    <w:tbl>
      <w:tblPr>
        <w:tblW w:w="873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1"/>
        <w:gridCol w:w="850"/>
        <w:gridCol w:w="931"/>
        <w:gridCol w:w="399"/>
        <w:gridCol w:w="2622"/>
        <w:gridCol w:w="2410"/>
        <w:gridCol w:w="567"/>
      </w:tblGrid>
      <w:tr w:rsidR="00B05442" w:rsidTr="00C67DD7">
        <w:trPr>
          <w:trHeight w:val="383"/>
          <w:tblCellSpacing w:w="0" w:type="dxa"/>
          <w:jc w:val="center"/>
        </w:trPr>
        <w:tc>
          <w:tcPr>
            <w:tcW w:w="1801" w:type="dxa"/>
            <w:gridSpan w:val="2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shd w:val="clear" w:color="auto" w:fill="FFFFFF"/>
              </w:rPr>
              <w:t>基本指标</w:t>
            </w:r>
          </w:p>
        </w:tc>
        <w:tc>
          <w:tcPr>
            <w:tcW w:w="931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具体指标</w:t>
            </w:r>
          </w:p>
        </w:tc>
        <w:tc>
          <w:tcPr>
            <w:tcW w:w="399" w:type="dxa"/>
            <w:vMerge w:val="restart"/>
            <w:shd w:val="solid" w:color="FFFFFF" w:fill="auto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分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值</w:t>
            </w:r>
          </w:p>
        </w:tc>
        <w:tc>
          <w:tcPr>
            <w:tcW w:w="2622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指标解释</w:t>
            </w:r>
          </w:p>
        </w:tc>
        <w:tc>
          <w:tcPr>
            <w:tcW w:w="2410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评分标准</w:t>
            </w:r>
          </w:p>
        </w:tc>
        <w:tc>
          <w:tcPr>
            <w:tcW w:w="567" w:type="dxa"/>
            <w:vMerge w:val="restart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评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分</w:t>
            </w:r>
          </w:p>
        </w:tc>
      </w:tr>
      <w:tr w:rsidR="00B05442" w:rsidTr="00C67DD7">
        <w:trPr>
          <w:trHeight w:val="492"/>
          <w:tblCellSpacing w:w="0" w:type="dxa"/>
          <w:jc w:val="center"/>
        </w:trPr>
        <w:tc>
          <w:tcPr>
            <w:tcW w:w="951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一级指标</w:t>
            </w:r>
          </w:p>
        </w:tc>
        <w:tc>
          <w:tcPr>
            <w:tcW w:w="850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  <w:t>二级指标</w:t>
            </w:r>
          </w:p>
        </w:tc>
        <w:tc>
          <w:tcPr>
            <w:tcW w:w="931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sz w:val="18"/>
                <w:szCs w:val="18"/>
                <w:shd w:val="clear" w:color="auto" w:fill="FFFFFF"/>
              </w:rPr>
              <w:t>三级指标</w:t>
            </w:r>
          </w:p>
        </w:tc>
        <w:tc>
          <w:tcPr>
            <w:tcW w:w="399" w:type="dxa"/>
            <w:vMerge/>
            <w:shd w:val="solid" w:color="FFFFFF" w:fill="auto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22" w:type="dxa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vMerge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B05442" w:rsidTr="00C67DD7">
        <w:trPr>
          <w:trHeight w:val="674"/>
          <w:tblCellSpacing w:w="0" w:type="dxa"/>
          <w:jc w:val="center"/>
        </w:trPr>
        <w:tc>
          <w:tcPr>
            <w:tcW w:w="951" w:type="dxa"/>
            <w:vMerge w:val="restart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结果绩效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45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</w:t>
            </w:r>
          </w:p>
        </w:tc>
        <w:tc>
          <w:tcPr>
            <w:tcW w:w="850" w:type="dxa"/>
            <w:vMerge w:val="restart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产出指标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</w:t>
            </w:r>
          </w:p>
        </w:tc>
        <w:tc>
          <w:tcPr>
            <w:tcW w:w="931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司法公开</w:t>
            </w:r>
          </w:p>
        </w:tc>
        <w:tc>
          <w:tcPr>
            <w:tcW w:w="399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4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6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pacing w:line="22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司法公开力度加大</w:t>
            </w:r>
          </w:p>
        </w:tc>
        <w:tc>
          <w:tcPr>
            <w:tcW w:w="241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按照最高法司法公开内容全部完成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分，未完成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56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B05442" w:rsidTr="00C67DD7">
        <w:trPr>
          <w:trHeight w:val="668"/>
          <w:tblCellSpacing w:w="0" w:type="dxa"/>
          <w:jc w:val="center"/>
        </w:trPr>
        <w:tc>
          <w:tcPr>
            <w:tcW w:w="951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31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执法行为</w:t>
            </w:r>
          </w:p>
        </w:tc>
        <w:tc>
          <w:tcPr>
            <w:tcW w:w="399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4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6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pacing w:line="22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执法行为是否规范</w:t>
            </w:r>
          </w:p>
        </w:tc>
        <w:tc>
          <w:tcPr>
            <w:tcW w:w="241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年底工作评价时，执法行为规范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分，执法行为不规范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56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 xml:space="preserve">　</w:t>
            </w:r>
          </w:p>
        </w:tc>
      </w:tr>
      <w:tr w:rsidR="00B05442" w:rsidTr="00C67DD7">
        <w:trPr>
          <w:trHeight w:val="550"/>
          <w:tblCellSpacing w:w="0" w:type="dxa"/>
          <w:jc w:val="center"/>
        </w:trPr>
        <w:tc>
          <w:tcPr>
            <w:tcW w:w="951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ind w:left="90" w:hangingChars="50" w:hanging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1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办案质量</w:t>
            </w:r>
          </w:p>
        </w:tc>
        <w:tc>
          <w:tcPr>
            <w:tcW w:w="399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3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6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办案质量是否提高</w:t>
            </w:r>
          </w:p>
        </w:tc>
        <w:tc>
          <w:tcPr>
            <w:tcW w:w="241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年底工作评价时，办案质量提高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分，办案质量未提高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分，办案质量下降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56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B05442" w:rsidTr="00C67DD7">
        <w:trPr>
          <w:trHeight w:val="661"/>
          <w:tblCellSpacing w:w="0" w:type="dxa"/>
          <w:jc w:val="center"/>
        </w:trPr>
        <w:tc>
          <w:tcPr>
            <w:tcW w:w="951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ind w:left="90" w:hangingChars="50" w:hanging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1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质量审核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9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3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6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办案质量是否达到达标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专案办案质量达标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分，否则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56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</w:p>
        </w:tc>
      </w:tr>
      <w:tr w:rsidR="00B05442" w:rsidTr="00C67DD7">
        <w:trPr>
          <w:trHeight w:val="826"/>
          <w:tblCellSpacing w:w="0" w:type="dxa"/>
          <w:jc w:val="center"/>
        </w:trPr>
        <w:tc>
          <w:tcPr>
            <w:tcW w:w="951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ind w:left="90" w:hangingChars="50" w:hanging="9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效果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指标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</w:t>
            </w:r>
          </w:p>
        </w:tc>
        <w:tc>
          <w:tcPr>
            <w:tcW w:w="931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办案效果</w:t>
            </w:r>
          </w:p>
        </w:tc>
        <w:tc>
          <w:tcPr>
            <w:tcW w:w="399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5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10</w:t>
            </w:r>
          </w:p>
          <w:p w:rsidR="00B05442" w:rsidRDefault="00B05442" w:rsidP="00081128">
            <w:pPr>
              <w:shd w:val="solid" w:color="FFFFFF" w:fill="auto"/>
              <w:autoSpaceDN w:val="0"/>
              <w:spacing w:beforeLines="50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6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办案效果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lef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依法审判效果优秀为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分，良好为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分，合格为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6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分，否则为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56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10</w:t>
            </w:r>
          </w:p>
        </w:tc>
      </w:tr>
      <w:tr w:rsidR="00B05442" w:rsidTr="00C67DD7">
        <w:trPr>
          <w:trHeight w:val="1027"/>
          <w:tblCellSpacing w:w="0" w:type="dxa"/>
          <w:jc w:val="center"/>
        </w:trPr>
        <w:tc>
          <w:tcPr>
            <w:tcW w:w="951" w:type="dxa"/>
            <w:vMerge/>
            <w:shd w:val="solid" w:color="FFFFFF" w:fill="auto"/>
            <w:vAlign w:val="center"/>
          </w:tcPr>
          <w:p w:rsidR="00B05442" w:rsidRDefault="00B05442" w:rsidP="00C67DD7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满意度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指标</w:t>
            </w:r>
          </w:p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分</w:t>
            </w:r>
          </w:p>
        </w:tc>
        <w:tc>
          <w:tcPr>
            <w:tcW w:w="931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社会公众满意度</w:t>
            </w:r>
          </w:p>
        </w:tc>
        <w:tc>
          <w:tcPr>
            <w:tcW w:w="399" w:type="dxa"/>
            <w:shd w:val="solid" w:color="FFFFFF" w:fill="auto"/>
          </w:tcPr>
          <w:p w:rsidR="00B05442" w:rsidRDefault="00B05442" w:rsidP="00081128">
            <w:pPr>
              <w:shd w:val="solid" w:color="FFFFFF" w:fill="auto"/>
              <w:autoSpaceDN w:val="0"/>
              <w:spacing w:beforeLines="75"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2622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对项目实施效果的满意程度</w:t>
            </w:r>
          </w:p>
        </w:tc>
        <w:tc>
          <w:tcPr>
            <w:tcW w:w="2410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项目实施效果满意度达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%-100%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%-9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%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80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%-8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%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75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%-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8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0%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为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分，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75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%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以下为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0</w:t>
            </w: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567" w:type="dxa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081128">
            <w:pPr>
              <w:shd w:val="solid" w:color="FFFFFF" w:fill="auto"/>
              <w:autoSpaceDN w:val="0"/>
              <w:spacing w:beforeLines="50" w:line="375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15</w:t>
            </w:r>
          </w:p>
        </w:tc>
      </w:tr>
      <w:tr w:rsidR="00B05442" w:rsidTr="00C67DD7">
        <w:trPr>
          <w:trHeight w:val="450"/>
          <w:tblCellSpacing w:w="0" w:type="dxa"/>
          <w:jc w:val="center"/>
        </w:trPr>
        <w:tc>
          <w:tcPr>
            <w:tcW w:w="2732" w:type="dxa"/>
            <w:gridSpan w:val="3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 xml:space="preserve">　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合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 xml:space="preserve">      </w:t>
            </w: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计</w:t>
            </w:r>
          </w:p>
        </w:tc>
        <w:tc>
          <w:tcPr>
            <w:tcW w:w="399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2622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zCs w:val="18"/>
                <w:shd w:val="clear" w:color="auto" w:fill="FFFFFF"/>
              </w:rPr>
              <w:t xml:space="preserve">　</w:t>
            </w:r>
          </w:p>
        </w:tc>
        <w:tc>
          <w:tcPr>
            <w:tcW w:w="2410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shd w:val="solid" w:color="FFFFFF" w:fill="auto"/>
            <w:vAlign w:val="center"/>
          </w:tcPr>
          <w:p w:rsidR="00B05442" w:rsidRDefault="00B05442" w:rsidP="00C67DD7">
            <w:pPr>
              <w:shd w:val="solid" w:color="FFFFFF" w:fill="auto"/>
              <w:autoSpaceDN w:val="0"/>
              <w:spacing w:line="240" w:lineRule="exac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98</w:t>
            </w:r>
          </w:p>
        </w:tc>
      </w:tr>
    </w:tbl>
    <w:p w:rsidR="00B05442" w:rsidRDefault="00B05442" w:rsidP="00B05442">
      <w:pPr>
        <w:pStyle w:val="a3"/>
        <w:widowControl/>
        <w:adjustRightInd w:val="0"/>
        <w:snapToGrid w:val="0"/>
        <w:spacing w:line="560" w:lineRule="exact"/>
        <w:ind w:left="958" w:firstLineChars="0" w:firstLine="0"/>
        <w:jc w:val="left"/>
        <w:rPr>
          <w:rFonts w:ascii="仿宋_GB2312" w:hAnsi="宋体" w:cs="宋体"/>
          <w:color w:val="000000"/>
          <w:kern w:val="0"/>
        </w:rPr>
      </w:pPr>
    </w:p>
    <w:p w:rsidR="00B05442" w:rsidRDefault="00B05442">
      <w:pPr>
        <w:widowControl/>
        <w:adjustRightInd w:val="0"/>
        <w:snapToGrid w:val="0"/>
        <w:spacing w:line="560" w:lineRule="exact"/>
        <w:ind w:firstLine="238"/>
        <w:jc w:val="left"/>
        <w:rPr>
          <w:rFonts w:ascii="仿宋_GB2312" w:hAnsi="宋体" w:cs="宋体"/>
          <w:color w:val="000000"/>
          <w:kern w:val="0"/>
        </w:rPr>
      </w:pPr>
    </w:p>
    <w:sectPr w:rsidR="00B05442" w:rsidSect="00F54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1E8" w:rsidRDefault="002A61E8" w:rsidP="00E83ED0">
      <w:r>
        <w:separator/>
      </w:r>
    </w:p>
  </w:endnote>
  <w:endnote w:type="continuationSeparator" w:id="1">
    <w:p w:rsidR="002A61E8" w:rsidRDefault="002A61E8" w:rsidP="00E83E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小标宋简体"/>
    <w:charset w:val="86"/>
    <w:family w:val="script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仿宋简体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1E8" w:rsidRDefault="002A61E8" w:rsidP="00E83ED0">
      <w:r>
        <w:separator/>
      </w:r>
    </w:p>
  </w:footnote>
  <w:footnote w:type="continuationSeparator" w:id="1">
    <w:p w:rsidR="002A61E8" w:rsidRDefault="002A61E8" w:rsidP="00E83E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4446"/>
    <w:multiLevelType w:val="singleLevel"/>
    <w:tmpl w:val="1FDC4446"/>
    <w:lvl w:ilvl="0">
      <w:start w:val="2"/>
      <w:numFmt w:val="decimal"/>
      <w:suff w:val="nothing"/>
      <w:lvlText w:val="%1．"/>
      <w:lvlJc w:val="left"/>
    </w:lvl>
  </w:abstractNum>
  <w:abstractNum w:abstractNumId="1">
    <w:nsid w:val="69930425"/>
    <w:multiLevelType w:val="hybridMultilevel"/>
    <w:tmpl w:val="A2D073BE"/>
    <w:lvl w:ilvl="0" w:tplc="F69E8E54">
      <w:start w:val="1"/>
      <w:numFmt w:val="decimalEnclosedParen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EF3A1F"/>
    <w:rsid w:val="00065B74"/>
    <w:rsid w:val="00081128"/>
    <w:rsid w:val="000D36AC"/>
    <w:rsid w:val="002A61E8"/>
    <w:rsid w:val="003258C9"/>
    <w:rsid w:val="00757523"/>
    <w:rsid w:val="0086108A"/>
    <w:rsid w:val="00AD17A2"/>
    <w:rsid w:val="00B05442"/>
    <w:rsid w:val="00C34991"/>
    <w:rsid w:val="00CC350D"/>
    <w:rsid w:val="00CE604F"/>
    <w:rsid w:val="00E12E89"/>
    <w:rsid w:val="00E83ED0"/>
    <w:rsid w:val="00F54263"/>
    <w:rsid w:val="6CEF3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263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CE604F"/>
    <w:pPr>
      <w:ind w:firstLineChars="200" w:firstLine="420"/>
    </w:pPr>
  </w:style>
  <w:style w:type="paragraph" w:styleId="a4">
    <w:name w:val="header"/>
    <w:basedOn w:val="a"/>
    <w:link w:val="Char"/>
    <w:rsid w:val="00E83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3ED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83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3ED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1880</Characters>
  <Application>Microsoft Office Word</Application>
  <DocSecurity>0</DocSecurity>
  <Lines>15</Lines>
  <Paragraphs>4</Paragraphs>
  <ScaleCrop>false</ScaleCrop>
  <Company>CHINA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Administrator</cp:lastModifiedBy>
  <cp:revision>4</cp:revision>
  <cp:lastPrinted>2021-01-15T06:31:00Z</cp:lastPrinted>
  <dcterms:created xsi:type="dcterms:W3CDTF">2021-01-15T06:30:00Z</dcterms:created>
  <dcterms:modified xsi:type="dcterms:W3CDTF">2021-01-15T06:32:00Z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