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outlineLvl w:val="0"/>
        <w:rPr>
          <w:rFonts w:ascii="方正小标宋_GBK" w:hAnsi="方正小标宋_GBK" w:eastAsia="方正小标宋_GBK" w:cs="方正小标宋_GBK"/>
          <w:color w:val="000000"/>
          <w:sz w:val="72"/>
        </w:rPr>
      </w:pPr>
      <w:r>
        <w:rPr>
          <w:rFonts w:ascii="黑体" w:hAnsi="黑体" w:eastAsia="黑体" w:cs="黑体"/>
          <w:b/>
          <w:color w:val="000000"/>
          <w:sz w:val="44"/>
        </w:rPr>
        <w:t>202</w:t>
      </w:r>
      <w:r>
        <w:rPr>
          <w:rFonts w:hint="eastAsia" w:ascii="黑体" w:hAnsi="黑体" w:eastAsia="黑体" w:cs="黑体"/>
          <w:b/>
          <w:color w:val="000000"/>
          <w:sz w:val="44"/>
          <w:lang w:val="en-US" w:eastAsia="zh-CN"/>
        </w:rPr>
        <w:t>3</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所属单位预算</w:t>
      </w:r>
    </w:p>
    <w:p>
      <w:pPr>
        <w:pStyle w:val="5"/>
        <w:tabs>
          <w:tab w:val="right" w:leader="dot" w:pos="14562"/>
        </w:tabs>
      </w:pPr>
      <w:r>
        <w:rPr>
          <w:rFonts w:hint="eastAsia"/>
          <w:lang w:eastAsia="zh-CN"/>
        </w:rPr>
        <w:t>一、唐山高新技术产业开发区群众工作中心（本级）</w:t>
      </w: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收支预算</w:t>
      </w:r>
      <w:r>
        <w:tab/>
      </w:r>
      <w:r>
        <w:rPr>
          <w:rFonts w:hint="eastAsia"/>
          <w:lang w:val="en-US" w:eastAsia="zh-CN"/>
        </w:rPr>
        <w:t>1</w:t>
      </w:r>
      <w:r>
        <w:fldChar w:fldCharType="end"/>
      </w:r>
    </w:p>
    <w:p>
      <w:pPr>
        <w:pStyle w:val="5"/>
        <w:tabs>
          <w:tab w:val="right" w:leader="dot" w:pos="14562"/>
        </w:tabs>
      </w:pPr>
      <w:r>
        <w:fldChar w:fldCharType="begin"/>
      </w:r>
      <w:r>
        <w:instrText xml:space="preserve"> HYPERLINK \l "_Toc_2_2_0000000003" </w:instrText>
      </w:r>
      <w:r>
        <w:fldChar w:fldCharType="separate"/>
      </w:r>
      <w:r>
        <w:fldChar w:fldCharType="end"/>
      </w:r>
    </w:p>
    <w:p>
      <w:pPr>
        <w:pStyle w:val="5"/>
        <w:tabs>
          <w:tab w:val="right" w:leader="dot" w:pos="14562"/>
        </w:tabs>
      </w:pPr>
    </w:p>
    <w:p>
      <w:pPr>
        <w:pStyle w:val="5"/>
        <w:tabs>
          <w:tab w:val="right" w:leader="dot" w:pos="14562"/>
        </w:tabs>
        <w:rPr>
          <w:rFonts w:hint="eastAsia" w:eastAsia="方正仿宋_GBK"/>
          <w:lang w:val="en-US" w:eastAsia="zh-CN"/>
        </w:rPr>
      </w:pPr>
    </w:p>
    <w:p>
      <w:pPr>
        <w:pStyle w:val="5"/>
        <w:tabs>
          <w:tab w:val="right" w:leader="dot" w:pos="14562"/>
        </w:tabs>
        <w:rPr>
          <w:rFonts w:hint="eastAsia" w:eastAsia="方正仿宋_GBK"/>
          <w:lang w:val="en-US" w:eastAsia="zh-CN"/>
        </w:rPr>
      </w:pPr>
    </w:p>
    <w:p>
      <w:pPr>
        <w:pStyle w:val="5"/>
        <w:tabs>
          <w:tab w:val="right" w:leader="dot" w:pos="14562"/>
        </w:tabs>
        <w:rPr>
          <w:rFonts w:hint="eastAsia" w:eastAsia="方正仿宋_GBK"/>
          <w:lang w:val="en-US" w:eastAsia="zh-CN"/>
        </w:rPr>
      </w:pPr>
    </w:p>
    <w:p>
      <w:pPr>
        <w:pStyle w:val="5"/>
        <w:tabs>
          <w:tab w:val="right" w:leader="dot" w:pos="14562"/>
        </w:tabs>
        <w:rPr>
          <w:rFonts w:hint="eastAsia" w:eastAsia="方正仿宋_GBK"/>
          <w:lang w:val="en-US" w:eastAsia="zh-CN"/>
        </w:rPr>
      </w:pPr>
    </w:p>
    <w:p>
      <w:pPr>
        <w:widowControl w:val="0"/>
        <w:numPr>
          <w:ilvl w:val="0"/>
          <w:numId w:val="0"/>
        </w:numPr>
        <w:jc w:val="center"/>
        <w:outlineLvl w:val="0"/>
        <w:rPr>
          <w:rFonts w:ascii="方正小标宋_GBK" w:hAnsi="方正小标宋_GBK" w:eastAsia="方正小标宋_GBK" w:cs="方正小标宋_GBK"/>
          <w:color w:val="000000"/>
          <w:sz w:val="72"/>
        </w:rPr>
        <w:sectPr>
          <w:pgSz w:w="16840" w:h="11900" w:orient="landscape"/>
          <w:pgMar w:top="1361" w:right="1020" w:bottom="1134" w:left="1020" w:header="720" w:footer="720" w:gutter="0"/>
          <w:cols w:space="720" w:num="1"/>
        </w:sectPr>
      </w:pPr>
      <w:r>
        <w:fldChar w:fldCharType="end"/>
      </w:r>
    </w:p>
    <w:p>
      <w:pPr>
        <w:jc w:val="center"/>
        <w:outlineLvl w:val="3"/>
      </w:pPr>
      <w:bookmarkStart w:id="0" w:name="_Toc_4_4_0000000019"/>
      <w:r>
        <w:rPr>
          <w:rFonts w:ascii="方正小标宋_GBK" w:hAnsi="方正小标宋_GBK" w:eastAsia="方正小标宋_GBK" w:cs="方正小标宋_GBK"/>
          <w:color w:val="000000"/>
          <w:sz w:val="44"/>
        </w:rPr>
        <w:t>一、唐山高新技术产业开发区群众工作中心收支预算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112001唐山高新技术产业开发区群众工作中心</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4"/>
            </w:pPr>
            <w:r>
              <w:t>一、一般公共预算拨款收入</w:t>
            </w:r>
          </w:p>
        </w:tc>
        <w:tc>
          <w:tcPr>
            <w:tcW w:w="2126" w:type="dxa"/>
            <w:vAlign w:val="center"/>
          </w:tcPr>
          <w:p>
            <w:pPr>
              <w:pStyle w:val="15"/>
            </w:pPr>
            <w:r>
              <w:t>300.12</w:t>
            </w:r>
          </w:p>
        </w:tc>
        <w:tc>
          <w:tcPr>
            <w:tcW w:w="4535" w:type="dxa"/>
            <w:vAlign w:val="center"/>
          </w:tcPr>
          <w:p>
            <w:pPr>
              <w:pStyle w:val="14"/>
            </w:pPr>
            <w:r>
              <w:t>一、一般公共服务支出</w:t>
            </w:r>
          </w:p>
        </w:tc>
        <w:tc>
          <w:tcPr>
            <w:tcW w:w="2126" w:type="dxa"/>
            <w:vAlign w:val="center"/>
          </w:tcPr>
          <w:p>
            <w:pPr>
              <w:pStyle w:val="15"/>
            </w:pPr>
            <w:r>
              <w:t>258.81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4"/>
            </w:pPr>
            <w:r>
              <w:t>二、政府性基金预算拨款收入</w:t>
            </w:r>
          </w:p>
        </w:tc>
        <w:tc>
          <w:tcPr>
            <w:tcW w:w="2126" w:type="dxa"/>
            <w:vAlign w:val="center"/>
          </w:tcPr>
          <w:p>
            <w:pPr>
              <w:pStyle w:val="15"/>
            </w:pPr>
          </w:p>
        </w:tc>
        <w:tc>
          <w:tcPr>
            <w:tcW w:w="4535" w:type="dxa"/>
            <w:vAlign w:val="center"/>
          </w:tcPr>
          <w:p>
            <w:pPr>
              <w:pStyle w:val="14"/>
            </w:pPr>
            <w:r>
              <w:t>二、外交支出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4"/>
            </w:pPr>
            <w:r>
              <w:t>三、国有资本经营预算拨款收入</w:t>
            </w:r>
          </w:p>
        </w:tc>
        <w:tc>
          <w:tcPr>
            <w:tcW w:w="2126" w:type="dxa"/>
            <w:vAlign w:val="center"/>
          </w:tcPr>
          <w:p>
            <w:pPr>
              <w:pStyle w:val="15"/>
            </w:pPr>
          </w:p>
        </w:tc>
        <w:tc>
          <w:tcPr>
            <w:tcW w:w="4535" w:type="dxa"/>
            <w:vAlign w:val="center"/>
          </w:tcPr>
          <w:p>
            <w:pPr>
              <w:pStyle w:val="14"/>
            </w:pPr>
            <w:r>
              <w:t>三、国防支出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4"/>
            </w:pPr>
            <w:r>
              <w:t>四、财政专户管理资金收入</w:t>
            </w:r>
          </w:p>
        </w:tc>
        <w:tc>
          <w:tcPr>
            <w:tcW w:w="2126" w:type="dxa"/>
            <w:vAlign w:val="center"/>
          </w:tcPr>
          <w:p>
            <w:pPr>
              <w:pStyle w:val="15"/>
            </w:pPr>
          </w:p>
        </w:tc>
        <w:tc>
          <w:tcPr>
            <w:tcW w:w="4535" w:type="dxa"/>
            <w:vAlign w:val="center"/>
          </w:tcPr>
          <w:p>
            <w:pPr>
              <w:pStyle w:val="14"/>
            </w:pPr>
            <w:r>
              <w:t>四、公共安全支出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4"/>
            </w:pPr>
            <w:r>
              <w:t>五、事业收入</w:t>
            </w:r>
          </w:p>
        </w:tc>
        <w:tc>
          <w:tcPr>
            <w:tcW w:w="2126" w:type="dxa"/>
            <w:vAlign w:val="center"/>
          </w:tcPr>
          <w:p>
            <w:pPr>
              <w:pStyle w:val="15"/>
            </w:pPr>
          </w:p>
        </w:tc>
        <w:tc>
          <w:tcPr>
            <w:tcW w:w="4535" w:type="dxa"/>
            <w:vAlign w:val="center"/>
          </w:tcPr>
          <w:p>
            <w:pPr>
              <w:pStyle w:val="14"/>
            </w:pPr>
            <w:r>
              <w:t>五、教育支出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4"/>
            </w:pPr>
            <w:r>
              <w:t>六、事业单位经营收入</w:t>
            </w:r>
          </w:p>
        </w:tc>
        <w:tc>
          <w:tcPr>
            <w:tcW w:w="2126" w:type="dxa"/>
            <w:vAlign w:val="center"/>
          </w:tcPr>
          <w:p>
            <w:pPr>
              <w:pStyle w:val="15"/>
            </w:pPr>
          </w:p>
        </w:tc>
        <w:tc>
          <w:tcPr>
            <w:tcW w:w="4535" w:type="dxa"/>
            <w:vAlign w:val="center"/>
          </w:tcPr>
          <w:p>
            <w:pPr>
              <w:pStyle w:val="14"/>
            </w:pPr>
            <w:r>
              <w:t>六、科学技术支出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4"/>
            </w:pPr>
            <w:r>
              <w:t>七、上级补助收入</w:t>
            </w:r>
          </w:p>
        </w:tc>
        <w:tc>
          <w:tcPr>
            <w:tcW w:w="2126" w:type="dxa"/>
            <w:vAlign w:val="center"/>
          </w:tcPr>
          <w:p>
            <w:pPr>
              <w:pStyle w:val="15"/>
            </w:pPr>
          </w:p>
        </w:tc>
        <w:tc>
          <w:tcPr>
            <w:tcW w:w="4535" w:type="dxa"/>
            <w:vAlign w:val="center"/>
          </w:tcPr>
          <w:p>
            <w:pPr>
              <w:pStyle w:val="14"/>
            </w:pPr>
            <w:r>
              <w:t>七、文化旅游体育与传媒支出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4"/>
            </w:pPr>
            <w:r>
              <w:t>八、附属单位上缴收入</w:t>
            </w:r>
          </w:p>
        </w:tc>
        <w:tc>
          <w:tcPr>
            <w:tcW w:w="2126" w:type="dxa"/>
            <w:vAlign w:val="center"/>
          </w:tcPr>
          <w:p>
            <w:pPr>
              <w:pStyle w:val="15"/>
            </w:pPr>
          </w:p>
        </w:tc>
        <w:tc>
          <w:tcPr>
            <w:tcW w:w="4535" w:type="dxa"/>
            <w:vAlign w:val="center"/>
          </w:tcPr>
          <w:p>
            <w:pPr>
              <w:pStyle w:val="14"/>
            </w:pPr>
            <w:r>
              <w:t>八、社会保障和就业支出</w:t>
            </w:r>
          </w:p>
        </w:tc>
        <w:tc>
          <w:tcPr>
            <w:tcW w:w="2126" w:type="dxa"/>
            <w:vAlign w:val="center"/>
          </w:tcPr>
          <w:p>
            <w:pPr>
              <w:pStyle w:val="15"/>
            </w:pPr>
            <w:r>
              <w:t>17.60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4"/>
            </w:pPr>
            <w:r>
              <w:t>九、其他收入</w:t>
            </w:r>
          </w:p>
        </w:tc>
        <w:tc>
          <w:tcPr>
            <w:tcW w:w="2126" w:type="dxa"/>
            <w:vAlign w:val="center"/>
          </w:tcPr>
          <w:p>
            <w:pPr>
              <w:pStyle w:val="15"/>
            </w:pPr>
          </w:p>
        </w:tc>
        <w:tc>
          <w:tcPr>
            <w:tcW w:w="4535" w:type="dxa"/>
            <w:vAlign w:val="center"/>
          </w:tcPr>
          <w:p>
            <w:pPr>
              <w:pStyle w:val="14"/>
            </w:pPr>
            <w:r>
              <w:t>九、社会保险基金支出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十、卫生健康支出</w:t>
            </w:r>
          </w:p>
        </w:tc>
        <w:tc>
          <w:tcPr>
            <w:tcW w:w="2126" w:type="dxa"/>
            <w:vAlign w:val="center"/>
          </w:tcPr>
          <w:p>
            <w:pPr>
              <w:pStyle w:val="15"/>
            </w:pPr>
            <w:r>
              <w:t>7.83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十一、节能环保支出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十二、城乡社区支出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十三、农林水支出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十四、交通运输支出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十五、资源勘探工业信息等支出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十六、商业服务业等支出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十七、金融支出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十八、援助其他地区支出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十九、自然资源海洋气象等支出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二十、住房保障支出</w:t>
            </w:r>
          </w:p>
        </w:tc>
        <w:tc>
          <w:tcPr>
            <w:tcW w:w="2126" w:type="dxa"/>
            <w:vAlign w:val="center"/>
          </w:tcPr>
          <w:p>
            <w:pPr>
              <w:pStyle w:val="15"/>
            </w:pPr>
            <w:r>
              <w:t>15.88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二十一、粮油物资储备支出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二十二、国有资本经营预算支出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二十三、灾害防治及应急管理支出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二十四、预备费</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二十五、其他支出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二十六、转移性支出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二十七、债务还本支出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二十八、债务付息支出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二十九、债务发行费用支出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三十、抗疫特别国债安排的支出</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p>
        </w:tc>
        <w:tc>
          <w:tcPr>
            <w:tcW w:w="2126" w:type="dxa"/>
            <w:vAlign w:val="center"/>
          </w:tcPr>
          <w:p>
            <w:pPr>
              <w:pStyle w:val="15"/>
            </w:pPr>
          </w:p>
        </w:tc>
        <w:tc>
          <w:tcPr>
            <w:tcW w:w="4535" w:type="dxa"/>
            <w:vAlign w:val="center"/>
          </w:tcPr>
          <w:p>
            <w:pPr>
              <w:pStyle w:val="14"/>
            </w:pPr>
            <w:r>
              <w:t>三十一、人行科目</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6"/>
            </w:pPr>
            <w:r>
              <w:t>本年收入合计</w:t>
            </w:r>
          </w:p>
        </w:tc>
        <w:tc>
          <w:tcPr>
            <w:tcW w:w="2126" w:type="dxa"/>
            <w:vAlign w:val="center"/>
          </w:tcPr>
          <w:p>
            <w:pPr>
              <w:pStyle w:val="17"/>
            </w:pPr>
            <w:r>
              <w:t>300.12</w:t>
            </w:r>
          </w:p>
        </w:tc>
        <w:tc>
          <w:tcPr>
            <w:tcW w:w="4535" w:type="dxa"/>
            <w:vAlign w:val="center"/>
          </w:tcPr>
          <w:p>
            <w:pPr>
              <w:pStyle w:val="16"/>
            </w:pPr>
            <w:r>
              <w:t>本年支出合计</w:t>
            </w:r>
          </w:p>
        </w:tc>
        <w:tc>
          <w:tcPr>
            <w:tcW w:w="2126" w:type="dxa"/>
            <w:vAlign w:val="center"/>
          </w:tcPr>
          <w:p>
            <w:pPr>
              <w:pStyle w:val="17"/>
            </w:pPr>
            <w:r>
              <w:t>300.12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上年结转结余</w:t>
            </w:r>
          </w:p>
        </w:tc>
        <w:tc>
          <w:tcPr>
            <w:tcW w:w="2126" w:type="dxa"/>
            <w:vAlign w:val="center"/>
          </w:tcPr>
          <w:p>
            <w:pPr>
              <w:pStyle w:val="15"/>
            </w:pPr>
          </w:p>
        </w:tc>
        <w:tc>
          <w:tcPr>
            <w:tcW w:w="4535" w:type="dxa"/>
            <w:vAlign w:val="center"/>
          </w:tcPr>
          <w:p>
            <w:pPr>
              <w:pStyle w:val="14"/>
            </w:pPr>
            <w:r>
              <w:t>年终结转结余</w:t>
            </w:r>
          </w:p>
        </w:tc>
        <w:tc>
          <w:tcPr>
            <w:tcW w:w="212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6"/>
            </w:pPr>
            <w:r>
              <w:t>收入总计</w:t>
            </w:r>
          </w:p>
        </w:tc>
        <w:tc>
          <w:tcPr>
            <w:tcW w:w="2126" w:type="dxa"/>
            <w:vAlign w:val="center"/>
          </w:tcPr>
          <w:p>
            <w:pPr>
              <w:pStyle w:val="17"/>
            </w:pPr>
            <w:r>
              <w:t>300.12</w:t>
            </w:r>
          </w:p>
        </w:tc>
        <w:tc>
          <w:tcPr>
            <w:tcW w:w="4535" w:type="dxa"/>
            <w:vAlign w:val="center"/>
          </w:tcPr>
          <w:p>
            <w:pPr>
              <w:pStyle w:val="16"/>
            </w:pPr>
            <w:r>
              <w:t>支出总计</w:t>
            </w:r>
          </w:p>
        </w:tc>
        <w:tc>
          <w:tcPr>
            <w:tcW w:w="2126" w:type="dxa"/>
            <w:vAlign w:val="center"/>
          </w:tcPr>
          <w:p>
            <w:pPr>
              <w:pStyle w:val="17"/>
            </w:pPr>
            <w:r>
              <w:t>300.12</w:t>
            </w:r>
          </w:p>
        </w:tc>
      </w:tr>
    </w:tbl>
    <w:p>
      <w:pPr>
        <w:sectPr>
          <w:footerReference r:id="rId3" w:type="default"/>
          <w:pgSz w:w="16840" w:h="11900" w:orient="landscape"/>
          <w:pgMar w:top="1361" w:right="1020" w:bottom="1134" w:left="1020" w:header="720" w:footer="720" w:gutter="0"/>
          <w:pgNumType w:fmt="decimal"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112001唐山高新技术产业开发区群众工作中心</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300.12</w:t>
            </w:r>
          </w:p>
        </w:tc>
        <w:tc>
          <w:tcPr>
            <w:tcW w:w="1134" w:type="dxa"/>
            <w:vAlign w:val="center"/>
          </w:tcPr>
          <w:p>
            <w:pPr>
              <w:pStyle w:val="17"/>
            </w:pPr>
            <w:r>
              <w:t>300.12</w:t>
            </w:r>
          </w:p>
        </w:tc>
        <w:tc>
          <w:tcPr>
            <w:tcW w:w="1134" w:type="dxa"/>
            <w:vAlign w:val="center"/>
          </w:tcPr>
          <w:p>
            <w:pPr>
              <w:pStyle w:val="17"/>
            </w:pPr>
            <w:r>
              <w:t>300.12</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5"/>
            </w:pPr>
            <w:r>
              <w:t>258.81</w:t>
            </w:r>
          </w:p>
        </w:tc>
        <w:tc>
          <w:tcPr>
            <w:tcW w:w="1134" w:type="dxa"/>
            <w:vAlign w:val="center"/>
          </w:tcPr>
          <w:p>
            <w:pPr>
              <w:pStyle w:val="15"/>
            </w:pPr>
            <w:r>
              <w:t>258.81</w:t>
            </w:r>
          </w:p>
        </w:tc>
        <w:tc>
          <w:tcPr>
            <w:tcW w:w="1134" w:type="dxa"/>
            <w:vAlign w:val="center"/>
          </w:tcPr>
          <w:p>
            <w:pPr>
              <w:pStyle w:val="15"/>
            </w:pPr>
            <w:r>
              <w:t>258.81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4"/>
            </w:pPr>
            <w:r>
              <w:t>20103</w:t>
            </w:r>
          </w:p>
        </w:tc>
        <w:tc>
          <w:tcPr>
            <w:tcW w:w="1559" w:type="dxa"/>
            <w:vAlign w:val="center"/>
          </w:tcPr>
          <w:p>
            <w:pPr>
              <w:pStyle w:val="14"/>
            </w:pPr>
            <w:r>
              <w:t>政府办公厅（室）及相关机构事务</w:t>
            </w:r>
          </w:p>
        </w:tc>
        <w:tc>
          <w:tcPr>
            <w:tcW w:w="1134" w:type="dxa"/>
            <w:vAlign w:val="center"/>
          </w:tcPr>
          <w:p>
            <w:pPr>
              <w:pStyle w:val="15"/>
            </w:pPr>
            <w:r>
              <w:t>258.81</w:t>
            </w:r>
          </w:p>
        </w:tc>
        <w:tc>
          <w:tcPr>
            <w:tcW w:w="1134" w:type="dxa"/>
            <w:vAlign w:val="center"/>
          </w:tcPr>
          <w:p>
            <w:pPr>
              <w:pStyle w:val="15"/>
            </w:pPr>
            <w:r>
              <w:t>258.81</w:t>
            </w:r>
          </w:p>
        </w:tc>
        <w:tc>
          <w:tcPr>
            <w:tcW w:w="1134" w:type="dxa"/>
            <w:vAlign w:val="center"/>
          </w:tcPr>
          <w:p>
            <w:pPr>
              <w:pStyle w:val="15"/>
            </w:pPr>
            <w:r>
              <w:t>258.81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4"/>
            </w:pPr>
            <w:r>
              <w:t>2010301</w:t>
            </w:r>
          </w:p>
        </w:tc>
        <w:tc>
          <w:tcPr>
            <w:tcW w:w="1559" w:type="dxa"/>
            <w:vAlign w:val="center"/>
          </w:tcPr>
          <w:p>
            <w:pPr>
              <w:pStyle w:val="14"/>
            </w:pPr>
            <w:r>
              <w:t>行政运行</w:t>
            </w:r>
          </w:p>
        </w:tc>
        <w:tc>
          <w:tcPr>
            <w:tcW w:w="1134" w:type="dxa"/>
            <w:vAlign w:val="center"/>
          </w:tcPr>
          <w:p>
            <w:pPr>
              <w:pStyle w:val="15"/>
            </w:pPr>
            <w:r>
              <w:t>178.81</w:t>
            </w:r>
          </w:p>
        </w:tc>
        <w:tc>
          <w:tcPr>
            <w:tcW w:w="1134" w:type="dxa"/>
            <w:vAlign w:val="center"/>
          </w:tcPr>
          <w:p>
            <w:pPr>
              <w:pStyle w:val="15"/>
            </w:pPr>
            <w:r>
              <w:t>178.81</w:t>
            </w:r>
          </w:p>
        </w:tc>
        <w:tc>
          <w:tcPr>
            <w:tcW w:w="1134" w:type="dxa"/>
            <w:vAlign w:val="center"/>
          </w:tcPr>
          <w:p>
            <w:pPr>
              <w:pStyle w:val="15"/>
            </w:pPr>
            <w:r>
              <w:t>178.81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4"/>
            </w:pPr>
            <w:r>
              <w:t>2010308</w:t>
            </w:r>
          </w:p>
        </w:tc>
        <w:tc>
          <w:tcPr>
            <w:tcW w:w="1559" w:type="dxa"/>
            <w:vAlign w:val="center"/>
          </w:tcPr>
          <w:p>
            <w:pPr>
              <w:pStyle w:val="14"/>
            </w:pPr>
            <w:r>
              <w:t>信访事务</w:t>
            </w:r>
          </w:p>
        </w:tc>
        <w:tc>
          <w:tcPr>
            <w:tcW w:w="1134" w:type="dxa"/>
            <w:vAlign w:val="center"/>
          </w:tcPr>
          <w:p>
            <w:pPr>
              <w:pStyle w:val="15"/>
            </w:pPr>
            <w:r>
              <w:t>80.00</w:t>
            </w:r>
          </w:p>
        </w:tc>
        <w:tc>
          <w:tcPr>
            <w:tcW w:w="1134" w:type="dxa"/>
            <w:vAlign w:val="center"/>
          </w:tcPr>
          <w:p>
            <w:pPr>
              <w:pStyle w:val="15"/>
            </w:pPr>
            <w:r>
              <w:t>80.00</w:t>
            </w:r>
          </w:p>
        </w:tc>
        <w:tc>
          <w:tcPr>
            <w:tcW w:w="1134" w:type="dxa"/>
            <w:vAlign w:val="center"/>
          </w:tcPr>
          <w:p>
            <w:pPr>
              <w:pStyle w:val="15"/>
            </w:pPr>
            <w:r>
              <w:t>80.00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5"/>
            </w:pPr>
            <w:r>
              <w:t>17.60</w:t>
            </w:r>
          </w:p>
        </w:tc>
        <w:tc>
          <w:tcPr>
            <w:tcW w:w="1134" w:type="dxa"/>
            <w:vAlign w:val="center"/>
          </w:tcPr>
          <w:p>
            <w:pPr>
              <w:pStyle w:val="15"/>
            </w:pPr>
            <w:r>
              <w:t>17.60</w:t>
            </w:r>
          </w:p>
        </w:tc>
        <w:tc>
          <w:tcPr>
            <w:tcW w:w="1134" w:type="dxa"/>
            <w:vAlign w:val="center"/>
          </w:tcPr>
          <w:p>
            <w:pPr>
              <w:pStyle w:val="15"/>
            </w:pPr>
            <w:r>
              <w:t>17.60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5"/>
            </w:pPr>
            <w:r>
              <w:t>17.60</w:t>
            </w:r>
          </w:p>
        </w:tc>
        <w:tc>
          <w:tcPr>
            <w:tcW w:w="1134" w:type="dxa"/>
            <w:vAlign w:val="center"/>
          </w:tcPr>
          <w:p>
            <w:pPr>
              <w:pStyle w:val="15"/>
            </w:pPr>
            <w:r>
              <w:t>17.60</w:t>
            </w:r>
          </w:p>
        </w:tc>
        <w:tc>
          <w:tcPr>
            <w:tcW w:w="1134" w:type="dxa"/>
            <w:vAlign w:val="center"/>
          </w:tcPr>
          <w:p>
            <w:pPr>
              <w:pStyle w:val="15"/>
            </w:pPr>
            <w:r>
              <w:t>17.60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5"/>
            </w:pPr>
            <w:r>
              <w:t>17.60</w:t>
            </w:r>
          </w:p>
        </w:tc>
        <w:tc>
          <w:tcPr>
            <w:tcW w:w="1134" w:type="dxa"/>
            <w:vAlign w:val="center"/>
          </w:tcPr>
          <w:p>
            <w:pPr>
              <w:pStyle w:val="15"/>
            </w:pPr>
            <w:r>
              <w:t>17.60</w:t>
            </w:r>
          </w:p>
        </w:tc>
        <w:tc>
          <w:tcPr>
            <w:tcW w:w="1134" w:type="dxa"/>
            <w:vAlign w:val="center"/>
          </w:tcPr>
          <w:p>
            <w:pPr>
              <w:pStyle w:val="15"/>
            </w:pPr>
            <w:r>
              <w:t>17.60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5"/>
            </w:pPr>
            <w:r>
              <w:t>7.83</w:t>
            </w:r>
          </w:p>
        </w:tc>
        <w:tc>
          <w:tcPr>
            <w:tcW w:w="1134" w:type="dxa"/>
            <w:vAlign w:val="center"/>
          </w:tcPr>
          <w:p>
            <w:pPr>
              <w:pStyle w:val="15"/>
            </w:pPr>
            <w:r>
              <w:t>7.83</w:t>
            </w:r>
          </w:p>
        </w:tc>
        <w:tc>
          <w:tcPr>
            <w:tcW w:w="1134" w:type="dxa"/>
            <w:vAlign w:val="center"/>
          </w:tcPr>
          <w:p>
            <w:pPr>
              <w:pStyle w:val="15"/>
            </w:pPr>
            <w:r>
              <w:t>7.83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5"/>
            </w:pPr>
            <w:r>
              <w:t>7.83</w:t>
            </w:r>
          </w:p>
        </w:tc>
        <w:tc>
          <w:tcPr>
            <w:tcW w:w="1134" w:type="dxa"/>
            <w:vAlign w:val="center"/>
          </w:tcPr>
          <w:p>
            <w:pPr>
              <w:pStyle w:val="15"/>
            </w:pPr>
            <w:r>
              <w:t>7.83</w:t>
            </w:r>
          </w:p>
        </w:tc>
        <w:tc>
          <w:tcPr>
            <w:tcW w:w="1134" w:type="dxa"/>
            <w:vAlign w:val="center"/>
          </w:tcPr>
          <w:p>
            <w:pPr>
              <w:pStyle w:val="15"/>
            </w:pPr>
            <w:r>
              <w:t>7.83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5"/>
            </w:pPr>
            <w:r>
              <w:t>3.90</w:t>
            </w:r>
          </w:p>
        </w:tc>
        <w:tc>
          <w:tcPr>
            <w:tcW w:w="1134" w:type="dxa"/>
            <w:vAlign w:val="center"/>
          </w:tcPr>
          <w:p>
            <w:pPr>
              <w:pStyle w:val="15"/>
            </w:pPr>
            <w:r>
              <w:t>3.90</w:t>
            </w:r>
          </w:p>
        </w:tc>
        <w:tc>
          <w:tcPr>
            <w:tcW w:w="1134" w:type="dxa"/>
            <w:vAlign w:val="center"/>
          </w:tcPr>
          <w:p>
            <w:pPr>
              <w:pStyle w:val="15"/>
            </w:pPr>
            <w:r>
              <w:t>3.90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4"/>
            </w:pPr>
            <w:r>
              <w:t>2101102</w:t>
            </w:r>
          </w:p>
        </w:tc>
        <w:tc>
          <w:tcPr>
            <w:tcW w:w="1559" w:type="dxa"/>
            <w:vAlign w:val="center"/>
          </w:tcPr>
          <w:p>
            <w:pPr>
              <w:pStyle w:val="14"/>
            </w:pPr>
            <w:r>
              <w:t>事业单位医疗</w:t>
            </w:r>
          </w:p>
        </w:tc>
        <w:tc>
          <w:tcPr>
            <w:tcW w:w="1134" w:type="dxa"/>
            <w:vAlign w:val="center"/>
          </w:tcPr>
          <w:p>
            <w:pPr>
              <w:pStyle w:val="15"/>
            </w:pPr>
            <w:r>
              <w:t>3.93</w:t>
            </w:r>
          </w:p>
        </w:tc>
        <w:tc>
          <w:tcPr>
            <w:tcW w:w="1134" w:type="dxa"/>
            <w:vAlign w:val="center"/>
          </w:tcPr>
          <w:p>
            <w:pPr>
              <w:pStyle w:val="15"/>
            </w:pPr>
            <w:r>
              <w:t>3.93</w:t>
            </w:r>
          </w:p>
        </w:tc>
        <w:tc>
          <w:tcPr>
            <w:tcW w:w="1134" w:type="dxa"/>
            <w:vAlign w:val="center"/>
          </w:tcPr>
          <w:p>
            <w:pPr>
              <w:pStyle w:val="15"/>
            </w:pPr>
            <w:r>
              <w:t>3.93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5"/>
            </w:pPr>
            <w:r>
              <w:t>15.88</w:t>
            </w:r>
          </w:p>
        </w:tc>
        <w:tc>
          <w:tcPr>
            <w:tcW w:w="1134" w:type="dxa"/>
            <w:vAlign w:val="center"/>
          </w:tcPr>
          <w:p>
            <w:pPr>
              <w:pStyle w:val="15"/>
            </w:pPr>
            <w:r>
              <w:t>15.88</w:t>
            </w:r>
          </w:p>
        </w:tc>
        <w:tc>
          <w:tcPr>
            <w:tcW w:w="1134" w:type="dxa"/>
            <w:vAlign w:val="center"/>
          </w:tcPr>
          <w:p>
            <w:pPr>
              <w:pStyle w:val="15"/>
            </w:pPr>
            <w:r>
              <w:t>15.88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5"/>
            </w:pPr>
            <w:r>
              <w:t>15.88</w:t>
            </w:r>
          </w:p>
        </w:tc>
        <w:tc>
          <w:tcPr>
            <w:tcW w:w="1134" w:type="dxa"/>
            <w:vAlign w:val="center"/>
          </w:tcPr>
          <w:p>
            <w:pPr>
              <w:pStyle w:val="15"/>
            </w:pPr>
            <w:r>
              <w:t>15.88</w:t>
            </w:r>
          </w:p>
        </w:tc>
        <w:tc>
          <w:tcPr>
            <w:tcW w:w="1134" w:type="dxa"/>
            <w:vAlign w:val="center"/>
          </w:tcPr>
          <w:p>
            <w:pPr>
              <w:pStyle w:val="15"/>
            </w:pPr>
            <w:r>
              <w:t>15.88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5"/>
            </w:pPr>
            <w:r>
              <w:t>15.88</w:t>
            </w:r>
          </w:p>
        </w:tc>
        <w:tc>
          <w:tcPr>
            <w:tcW w:w="1134" w:type="dxa"/>
            <w:vAlign w:val="center"/>
          </w:tcPr>
          <w:p>
            <w:pPr>
              <w:pStyle w:val="15"/>
            </w:pPr>
            <w:r>
              <w:t>15.88</w:t>
            </w:r>
          </w:p>
        </w:tc>
        <w:tc>
          <w:tcPr>
            <w:tcW w:w="1134" w:type="dxa"/>
            <w:vAlign w:val="center"/>
          </w:tcPr>
          <w:p>
            <w:pPr>
              <w:pStyle w:val="15"/>
            </w:pPr>
            <w:r>
              <w:t>15.88</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112001唐山高新技术产业开发区群众工作中心</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300.12</w:t>
            </w:r>
          </w:p>
        </w:tc>
        <w:tc>
          <w:tcPr>
            <w:tcW w:w="1361" w:type="dxa"/>
            <w:vAlign w:val="center"/>
          </w:tcPr>
          <w:p>
            <w:pPr>
              <w:pStyle w:val="17"/>
            </w:pPr>
            <w:r>
              <w:t>220.12</w:t>
            </w:r>
          </w:p>
        </w:tc>
        <w:tc>
          <w:tcPr>
            <w:tcW w:w="1361" w:type="dxa"/>
            <w:vAlign w:val="center"/>
          </w:tcPr>
          <w:p>
            <w:pPr>
              <w:pStyle w:val="17"/>
            </w:pPr>
            <w:r>
              <w:t>80.00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5"/>
            </w:pPr>
            <w:r>
              <w:t>258.81</w:t>
            </w:r>
          </w:p>
        </w:tc>
        <w:tc>
          <w:tcPr>
            <w:tcW w:w="1361" w:type="dxa"/>
            <w:vAlign w:val="center"/>
          </w:tcPr>
          <w:p>
            <w:pPr>
              <w:pStyle w:val="15"/>
            </w:pPr>
            <w:r>
              <w:t>178.81</w:t>
            </w:r>
          </w:p>
        </w:tc>
        <w:tc>
          <w:tcPr>
            <w:tcW w:w="1361" w:type="dxa"/>
            <w:vAlign w:val="center"/>
          </w:tcPr>
          <w:p>
            <w:pPr>
              <w:pStyle w:val="15"/>
            </w:pPr>
            <w:r>
              <w:t>80.00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4"/>
            </w:pPr>
            <w:r>
              <w:t>20103</w:t>
            </w:r>
          </w:p>
        </w:tc>
        <w:tc>
          <w:tcPr>
            <w:tcW w:w="4535" w:type="dxa"/>
            <w:vAlign w:val="center"/>
          </w:tcPr>
          <w:p>
            <w:pPr>
              <w:pStyle w:val="14"/>
            </w:pPr>
            <w:r>
              <w:t>政府办公厅（室）及相关机构事务</w:t>
            </w:r>
          </w:p>
        </w:tc>
        <w:tc>
          <w:tcPr>
            <w:tcW w:w="1361" w:type="dxa"/>
            <w:vAlign w:val="center"/>
          </w:tcPr>
          <w:p>
            <w:pPr>
              <w:pStyle w:val="15"/>
            </w:pPr>
            <w:r>
              <w:t>258.81</w:t>
            </w:r>
          </w:p>
        </w:tc>
        <w:tc>
          <w:tcPr>
            <w:tcW w:w="1361" w:type="dxa"/>
            <w:vAlign w:val="center"/>
          </w:tcPr>
          <w:p>
            <w:pPr>
              <w:pStyle w:val="15"/>
            </w:pPr>
            <w:r>
              <w:t>178.81</w:t>
            </w:r>
          </w:p>
        </w:tc>
        <w:tc>
          <w:tcPr>
            <w:tcW w:w="1361" w:type="dxa"/>
            <w:vAlign w:val="center"/>
          </w:tcPr>
          <w:p>
            <w:pPr>
              <w:pStyle w:val="15"/>
            </w:pPr>
            <w:r>
              <w:t>80.00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4"/>
            </w:pPr>
            <w:r>
              <w:t>2010301</w:t>
            </w:r>
          </w:p>
        </w:tc>
        <w:tc>
          <w:tcPr>
            <w:tcW w:w="4535" w:type="dxa"/>
            <w:vAlign w:val="center"/>
          </w:tcPr>
          <w:p>
            <w:pPr>
              <w:pStyle w:val="14"/>
            </w:pPr>
            <w:r>
              <w:t>行政运行</w:t>
            </w:r>
          </w:p>
        </w:tc>
        <w:tc>
          <w:tcPr>
            <w:tcW w:w="1361" w:type="dxa"/>
            <w:vAlign w:val="center"/>
          </w:tcPr>
          <w:p>
            <w:pPr>
              <w:pStyle w:val="15"/>
            </w:pPr>
            <w:r>
              <w:t>178.81</w:t>
            </w:r>
          </w:p>
        </w:tc>
        <w:tc>
          <w:tcPr>
            <w:tcW w:w="1361" w:type="dxa"/>
            <w:vAlign w:val="center"/>
          </w:tcPr>
          <w:p>
            <w:pPr>
              <w:pStyle w:val="15"/>
            </w:pPr>
            <w:r>
              <w:t>178.81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4"/>
            </w:pPr>
            <w:r>
              <w:t>2010308</w:t>
            </w:r>
          </w:p>
        </w:tc>
        <w:tc>
          <w:tcPr>
            <w:tcW w:w="4535" w:type="dxa"/>
            <w:vAlign w:val="center"/>
          </w:tcPr>
          <w:p>
            <w:pPr>
              <w:pStyle w:val="14"/>
            </w:pPr>
            <w:r>
              <w:t>信访事务</w:t>
            </w:r>
          </w:p>
        </w:tc>
        <w:tc>
          <w:tcPr>
            <w:tcW w:w="1361" w:type="dxa"/>
            <w:vAlign w:val="center"/>
          </w:tcPr>
          <w:p>
            <w:pPr>
              <w:pStyle w:val="15"/>
            </w:pPr>
            <w:r>
              <w:t>80.00</w:t>
            </w:r>
          </w:p>
        </w:tc>
        <w:tc>
          <w:tcPr>
            <w:tcW w:w="1361" w:type="dxa"/>
            <w:vAlign w:val="center"/>
          </w:tcPr>
          <w:p>
            <w:pPr>
              <w:pStyle w:val="15"/>
            </w:pPr>
          </w:p>
        </w:tc>
        <w:tc>
          <w:tcPr>
            <w:tcW w:w="1361" w:type="dxa"/>
            <w:vAlign w:val="center"/>
          </w:tcPr>
          <w:p>
            <w:pPr>
              <w:pStyle w:val="15"/>
            </w:pPr>
            <w:r>
              <w:t>80.00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5"/>
            </w:pPr>
            <w:r>
              <w:t>17.60</w:t>
            </w:r>
          </w:p>
        </w:tc>
        <w:tc>
          <w:tcPr>
            <w:tcW w:w="1361" w:type="dxa"/>
            <w:vAlign w:val="center"/>
          </w:tcPr>
          <w:p>
            <w:pPr>
              <w:pStyle w:val="15"/>
            </w:pPr>
            <w:r>
              <w:t>17.60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5"/>
            </w:pPr>
            <w:r>
              <w:t>17.60</w:t>
            </w:r>
          </w:p>
        </w:tc>
        <w:tc>
          <w:tcPr>
            <w:tcW w:w="1361" w:type="dxa"/>
            <w:vAlign w:val="center"/>
          </w:tcPr>
          <w:p>
            <w:pPr>
              <w:pStyle w:val="15"/>
            </w:pPr>
            <w:r>
              <w:t>17.60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5"/>
            </w:pPr>
            <w:r>
              <w:t>17.60</w:t>
            </w:r>
          </w:p>
        </w:tc>
        <w:tc>
          <w:tcPr>
            <w:tcW w:w="1361" w:type="dxa"/>
            <w:vAlign w:val="center"/>
          </w:tcPr>
          <w:p>
            <w:pPr>
              <w:pStyle w:val="15"/>
            </w:pPr>
            <w:r>
              <w:t>17.60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5"/>
            </w:pPr>
            <w:r>
              <w:t>7.83</w:t>
            </w:r>
          </w:p>
        </w:tc>
        <w:tc>
          <w:tcPr>
            <w:tcW w:w="1361" w:type="dxa"/>
            <w:vAlign w:val="center"/>
          </w:tcPr>
          <w:p>
            <w:pPr>
              <w:pStyle w:val="15"/>
            </w:pPr>
            <w:r>
              <w:t>7.83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5"/>
            </w:pPr>
            <w:r>
              <w:t>7.83</w:t>
            </w:r>
          </w:p>
        </w:tc>
        <w:tc>
          <w:tcPr>
            <w:tcW w:w="1361" w:type="dxa"/>
            <w:vAlign w:val="center"/>
          </w:tcPr>
          <w:p>
            <w:pPr>
              <w:pStyle w:val="15"/>
            </w:pPr>
            <w:r>
              <w:t>7.83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5"/>
            </w:pPr>
            <w:r>
              <w:t>3.90</w:t>
            </w:r>
          </w:p>
        </w:tc>
        <w:tc>
          <w:tcPr>
            <w:tcW w:w="1361" w:type="dxa"/>
            <w:vAlign w:val="center"/>
          </w:tcPr>
          <w:p>
            <w:pPr>
              <w:pStyle w:val="15"/>
            </w:pPr>
            <w:r>
              <w:t>3.90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4"/>
            </w:pPr>
            <w:r>
              <w:t>2101102</w:t>
            </w:r>
          </w:p>
        </w:tc>
        <w:tc>
          <w:tcPr>
            <w:tcW w:w="4535" w:type="dxa"/>
            <w:vAlign w:val="center"/>
          </w:tcPr>
          <w:p>
            <w:pPr>
              <w:pStyle w:val="14"/>
            </w:pPr>
            <w:r>
              <w:t>事业单位医疗</w:t>
            </w:r>
          </w:p>
        </w:tc>
        <w:tc>
          <w:tcPr>
            <w:tcW w:w="1361" w:type="dxa"/>
            <w:vAlign w:val="center"/>
          </w:tcPr>
          <w:p>
            <w:pPr>
              <w:pStyle w:val="15"/>
            </w:pPr>
            <w:r>
              <w:t>3.93</w:t>
            </w:r>
          </w:p>
        </w:tc>
        <w:tc>
          <w:tcPr>
            <w:tcW w:w="1361" w:type="dxa"/>
            <w:vAlign w:val="center"/>
          </w:tcPr>
          <w:p>
            <w:pPr>
              <w:pStyle w:val="15"/>
            </w:pPr>
            <w:r>
              <w:t>3.93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5"/>
            </w:pPr>
            <w:r>
              <w:t>15.88</w:t>
            </w:r>
          </w:p>
        </w:tc>
        <w:tc>
          <w:tcPr>
            <w:tcW w:w="1361" w:type="dxa"/>
            <w:vAlign w:val="center"/>
          </w:tcPr>
          <w:p>
            <w:pPr>
              <w:pStyle w:val="15"/>
            </w:pPr>
            <w:r>
              <w:t>15.88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5"/>
            </w:pPr>
            <w:r>
              <w:t>15.88</w:t>
            </w:r>
          </w:p>
        </w:tc>
        <w:tc>
          <w:tcPr>
            <w:tcW w:w="1361" w:type="dxa"/>
            <w:vAlign w:val="center"/>
          </w:tcPr>
          <w:p>
            <w:pPr>
              <w:pStyle w:val="15"/>
            </w:pPr>
            <w:r>
              <w:t>15.88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5"/>
            </w:pPr>
            <w:r>
              <w:t>15.88</w:t>
            </w:r>
          </w:p>
        </w:tc>
        <w:tc>
          <w:tcPr>
            <w:tcW w:w="1361" w:type="dxa"/>
            <w:vAlign w:val="center"/>
          </w:tcPr>
          <w:p>
            <w:pPr>
              <w:pStyle w:val="15"/>
            </w:pPr>
            <w:r>
              <w:t>15.88</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112001唐山高新技术产业开发区群众工作中心</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4"/>
            </w:pPr>
            <w:r>
              <w:t>一、一般公共预算拨款</w:t>
            </w:r>
          </w:p>
        </w:tc>
        <w:tc>
          <w:tcPr>
            <w:tcW w:w="1474" w:type="dxa"/>
            <w:vAlign w:val="center"/>
          </w:tcPr>
          <w:p>
            <w:pPr>
              <w:pStyle w:val="15"/>
            </w:pPr>
            <w:r>
              <w:t>300.12</w:t>
            </w:r>
          </w:p>
        </w:tc>
        <w:tc>
          <w:tcPr>
            <w:tcW w:w="3402" w:type="dxa"/>
            <w:vAlign w:val="center"/>
          </w:tcPr>
          <w:p>
            <w:pPr>
              <w:pStyle w:val="14"/>
            </w:pPr>
            <w:r>
              <w:t>一、一般公共服务支出</w:t>
            </w:r>
          </w:p>
        </w:tc>
        <w:tc>
          <w:tcPr>
            <w:tcW w:w="1474" w:type="dxa"/>
            <w:vAlign w:val="center"/>
          </w:tcPr>
          <w:p>
            <w:pPr>
              <w:pStyle w:val="15"/>
            </w:pPr>
            <w:r>
              <w:t>258.81</w:t>
            </w:r>
          </w:p>
        </w:tc>
        <w:tc>
          <w:tcPr>
            <w:tcW w:w="1474" w:type="dxa"/>
            <w:vAlign w:val="center"/>
          </w:tcPr>
          <w:p>
            <w:pPr>
              <w:pStyle w:val="15"/>
            </w:pPr>
            <w:r>
              <w:t>258.81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4"/>
            </w:pPr>
            <w:r>
              <w:t>二、政府性基金预算拨款</w:t>
            </w:r>
          </w:p>
        </w:tc>
        <w:tc>
          <w:tcPr>
            <w:tcW w:w="1474" w:type="dxa"/>
            <w:vAlign w:val="center"/>
          </w:tcPr>
          <w:p>
            <w:pPr>
              <w:pStyle w:val="15"/>
            </w:pPr>
          </w:p>
        </w:tc>
        <w:tc>
          <w:tcPr>
            <w:tcW w:w="3402" w:type="dxa"/>
            <w:vAlign w:val="center"/>
          </w:tcPr>
          <w:p>
            <w:pPr>
              <w:pStyle w:val="14"/>
            </w:pPr>
            <w:r>
              <w:t>二、外交支出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4"/>
            </w:pPr>
            <w:r>
              <w:t>三、国有资本经营预算拨款</w:t>
            </w:r>
          </w:p>
        </w:tc>
        <w:tc>
          <w:tcPr>
            <w:tcW w:w="1474" w:type="dxa"/>
            <w:vAlign w:val="center"/>
          </w:tcPr>
          <w:p>
            <w:pPr>
              <w:pStyle w:val="15"/>
            </w:pPr>
          </w:p>
        </w:tc>
        <w:tc>
          <w:tcPr>
            <w:tcW w:w="3402" w:type="dxa"/>
            <w:vAlign w:val="center"/>
          </w:tcPr>
          <w:p>
            <w:pPr>
              <w:pStyle w:val="14"/>
            </w:pPr>
            <w:r>
              <w:t>三、国防支出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四、公共安全支出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五、教育支出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六、科学技术支出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七、文化旅游体育与传媒支出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八、社会保障和就业支出</w:t>
            </w:r>
          </w:p>
        </w:tc>
        <w:tc>
          <w:tcPr>
            <w:tcW w:w="1474" w:type="dxa"/>
            <w:vAlign w:val="center"/>
          </w:tcPr>
          <w:p>
            <w:pPr>
              <w:pStyle w:val="15"/>
            </w:pPr>
            <w:r>
              <w:t>17.60</w:t>
            </w:r>
          </w:p>
        </w:tc>
        <w:tc>
          <w:tcPr>
            <w:tcW w:w="1474" w:type="dxa"/>
            <w:vAlign w:val="center"/>
          </w:tcPr>
          <w:p>
            <w:pPr>
              <w:pStyle w:val="15"/>
            </w:pPr>
            <w:r>
              <w:t>17.60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九、社会保险基金支出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十、卫生健康支出</w:t>
            </w:r>
          </w:p>
        </w:tc>
        <w:tc>
          <w:tcPr>
            <w:tcW w:w="1474" w:type="dxa"/>
            <w:vAlign w:val="center"/>
          </w:tcPr>
          <w:p>
            <w:pPr>
              <w:pStyle w:val="15"/>
            </w:pPr>
            <w:r>
              <w:t>7.83</w:t>
            </w:r>
          </w:p>
        </w:tc>
        <w:tc>
          <w:tcPr>
            <w:tcW w:w="1474" w:type="dxa"/>
            <w:vAlign w:val="center"/>
          </w:tcPr>
          <w:p>
            <w:pPr>
              <w:pStyle w:val="15"/>
            </w:pPr>
            <w:r>
              <w:t>7.83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十一、节能环保支出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十二、城乡社区支出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十三、农林水支出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十四、交通运输支出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十五、资源勘探工业信息等支出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十六、商业服务业等支出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十七、金融支出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十八、援助其他地区支出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十九、自然资源海洋气象等支出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二十、住房保障支出</w:t>
            </w:r>
          </w:p>
        </w:tc>
        <w:tc>
          <w:tcPr>
            <w:tcW w:w="1474" w:type="dxa"/>
            <w:vAlign w:val="center"/>
          </w:tcPr>
          <w:p>
            <w:pPr>
              <w:pStyle w:val="15"/>
            </w:pPr>
            <w:r>
              <w:t>15.88</w:t>
            </w:r>
          </w:p>
        </w:tc>
        <w:tc>
          <w:tcPr>
            <w:tcW w:w="1474" w:type="dxa"/>
            <w:vAlign w:val="center"/>
          </w:tcPr>
          <w:p>
            <w:pPr>
              <w:pStyle w:val="15"/>
            </w:pPr>
            <w:r>
              <w:t>15.88</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二十一、粮油物资储备支出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二十二、国有资本经营预算支出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二十三、灾害防治及应急管理支出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二十四、预备费</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二十五、其他支出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二十六、转移性支出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二十七、债务还本支出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二十八、债务付息支出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二十九、债务发行费用支出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三十、抗疫特别国债安排的支出</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p>
        </w:tc>
        <w:tc>
          <w:tcPr>
            <w:tcW w:w="1474" w:type="dxa"/>
            <w:vAlign w:val="center"/>
          </w:tcPr>
          <w:p>
            <w:pPr>
              <w:pStyle w:val="15"/>
            </w:pPr>
          </w:p>
        </w:tc>
        <w:tc>
          <w:tcPr>
            <w:tcW w:w="3402" w:type="dxa"/>
            <w:vAlign w:val="center"/>
          </w:tcPr>
          <w:p>
            <w:pPr>
              <w:pStyle w:val="14"/>
            </w:pPr>
            <w:r>
              <w:t>三十一、人行科目</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6"/>
            </w:pPr>
            <w:r>
              <w:t>本年收入合计</w:t>
            </w:r>
          </w:p>
        </w:tc>
        <w:tc>
          <w:tcPr>
            <w:tcW w:w="1474" w:type="dxa"/>
            <w:vAlign w:val="center"/>
          </w:tcPr>
          <w:p>
            <w:pPr>
              <w:pStyle w:val="17"/>
            </w:pPr>
            <w:r>
              <w:t>300.12</w:t>
            </w:r>
          </w:p>
        </w:tc>
        <w:tc>
          <w:tcPr>
            <w:tcW w:w="3402" w:type="dxa"/>
            <w:vAlign w:val="center"/>
          </w:tcPr>
          <w:p>
            <w:pPr>
              <w:pStyle w:val="16"/>
            </w:pPr>
            <w:r>
              <w:t>本年支出合计</w:t>
            </w:r>
          </w:p>
        </w:tc>
        <w:tc>
          <w:tcPr>
            <w:tcW w:w="1474" w:type="dxa"/>
            <w:vAlign w:val="center"/>
          </w:tcPr>
          <w:p>
            <w:pPr>
              <w:pStyle w:val="17"/>
            </w:pPr>
            <w:r>
              <w:t>300.12</w:t>
            </w:r>
          </w:p>
        </w:tc>
        <w:tc>
          <w:tcPr>
            <w:tcW w:w="1474" w:type="dxa"/>
            <w:vAlign w:val="center"/>
          </w:tcPr>
          <w:p>
            <w:pPr>
              <w:pStyle w:val="17"/>
            </w:pPr>
            <w:r>
              <w:t>300.12</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4"/>
            </w:pPr>
            <w:r>
              <w:t>年初财政拨款结转和结余</w:t>
            </w:r>
          </w:p>
        </w:tc>
        <w:tc>
          <w:tcPr>
            <w:tcW w:w="1474" w:type="dxa"/>
            <w:vAlign w:val="center"/>
          </w:tcPr>
          <w:p>
            <w:pPr>
              <w:pStyle w:val="15"/>
            </w:pPr>
          </w:p>
        </w:tc>
        <w:tc>
          <w:tcPr>
            <w:tcW w:w="3402" w:type="dxa"/>
            <w:vAlign w:val="center"/>
          </w:tcPr>
          <w:p>
            <w:pPr>
              <w:pStyle w:val="14"/>
            </w:pPr>
            <w:r>
              <w:t>年末财政拨款结转和结余</w:t>
            </w: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4"/>
            </w:pPr>
            <w:r>
              <w:t>一、一般公共预算拨款</w:t>
            </w:r>
          </w:p>
        </w:tc>
        <w:tc>
          <w:tcPr>
            <w:tcW w:w="1474" w:type="dxa"/>
            <w:vAlign w:val="center"/>
          </w:tcPr>
          <w:p>
            <w:pPr>
              <w:pStyle w:val="15"/>
            </w:pPr>
          </w:p>
        </w:tc>
        <w:tc>
          <w:tcPr>
            <w:tcW w:w="3402" w:type="dxa"/>
            <w:vAlign w:val="center"/>
          </w:tcPr>
          <w:p>
            <w:pPr>
              <w:pStyle w:val="14"/>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4"/>
            </w:pPr>
            <w:r>
              <w:t>二、政府性基金预算拨款</w:t>
            </w:r>
          </w:p>
        </w:tc>
        <w:tc>
          <w:tcPr>
            <w:tcW w:w="1474" w:type="dxa"/>
            <w:vAlign w:val="center"/>
          </w:tcPr>
          <w:p>
            <w:pPr>
              <w:pStyle w:val="15"/>
            </w:pPr>
          </w:p>
        </w:tc>
        <w:tc>
          <w:tcPr>
            <w:tcW w:w="3402" w:type="dxa"/>
            <w:vAlign w:val="center"/>
          </w:tcPr>
          <w:p>
            <w:pPr>
              <w:pStyle w:val="14"/>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三、国有资本经营预算拨款</w:t>
            </w:r>
          </w:p>
        </w:tc>
        <w:tc>
          <w:tcPr>
            <w:tcW w:w="1474" w:type="dxa"/>
            <w:vAlign w:val="center"/>
          </w:tcPr>
          <w:p>
            <w:pPr>
              <w:pStyle w:val="15"/>
            </w:pPr>
          </w:p>
        </w:tc>
        <w:tc>
          <w:tcPr>
            <w:tcW w:w="3402" w:type="dxa"/>
            <w:vAlign w:val="center"/>
          </w:tcPr>
          <w:p>
            <w:pPr>
              <w:pStyle w:val="14"/>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6"/>
            </w:pPr>
            <w:r>
              <w:t>收入总计</w:t>
            </w:r>
          </w:p>
        </w:tc>
        <w:tc>
          <w:tcPr>
            <w:tcW w:w="1474" w:type="dxa"/>
            <w:vAlign w:val="center"/>
          </w:tcPr>
          <w:p>
            <w:pPr>
              <w:pStyle w:val="17"/>
            </w:pPr>
            <w:r>
              <w:t>300.12</w:t>
            </w:r>
          </w:p>
        </w:tc>
        <w:tc>
          <w:tcPr>
            <w:tcW w:w="3402" w:type="dxa"/>
            <w:vAlign w:val="center"/>
          </w:tcPr>
          <w:p>
            <w:pPr>
              <w:pStyle w:val="16"/>
            </w:pPr>
            <w:r>
              <w:t>支出总计</w:t>
            </w:r>
          </w:p>
        </w:tc>
        <w:tc>
          <w:tcPr>
            <w:tcW w:w="1474" w:type="dxa"/>
            <w:vAlign w:val="center"/>
          </w:tcPr>
          <w:p>
            <w:pPr>
              <w:pStyle w:val="17"/>
            </w:pPr>
            <w:r>
              <w:t>300.12</w:t>
            </w:r>
          </w:p>
        </w:tc>
        <w:tc>
          <w:tcPr>
            <w:tcW w:w="1474" w:type="dxa"/>
            <w:vAlign w:val="center"/>
          </w:tcPr>
          <w:p>
            <w:pPr>
              <w:pStyle w:val="17"/>
            </w:pPr>
            <w:r>
              <w:t>300.12</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112001唐山高新技术产业开发区群众工作中心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300.12</w:t>
            </w:r>
          </w:p>
        </w:tc>
        <w:tc>
          <w:tcPr>
            <w:tcW w:w="2551" w:type="dxa"/>
            <w:vAlign w:val="center"/>
          </w:tcPr>
          <w:p>
            <w:pPr>
              <w:pStyle w:val="17"/>
            </w:pPr>
            <w:r>
              <w:t>220.12</w:t>
            </w:r>
          </w:p>
        </w:tc>
        <w:tc>
          <w:tcPr>
            <w:tcW w:w="2551" w:type="dxa"/>
            <w:vAlign w:val="center"/>
          </w:tcPr>
          <w:p>
            <w:pPr>
              <w:pStyle w:val="17"/>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5"/>
            </w:pPr>
            <w:r>
              <w:t>258.81</w:t>
            </w:r>
          </w:p>
        </w:tc>
        <w:tc>
          <w:tcPr>
            <w:tcW w:w="2551" w:type="dxa"/>
            <w:vAlign w:val="center"/>
          </w:tcPr>
          <w:p>
            <w:pPr>
              <w:pStyle w:val="15"/>
            </w:pPr>
            <w:r>
              <w:t>178.81</w:t>
            </w:r>
          </w:p>
        </w:tc>
        <w:tc>
          <w:tcPr>
            <w:tcW w:w="2551" w:type="dxa"/>
            <w:vAlign w:val="center"/>
          </w:tcPr>
          <w:p>
            <w:pPr>
              <w:pStyle w:val="15"/>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4"/>
            </w:pPr>
            <w:r>
              <w:t>20103</w:t>
            </w:r>
          </w:p>
        </w:tc>
        <w:tc>
          <w:tcPr>
            <w:tcW w:w="4535" w:type="dxa"/>
            <w:vAlign w:val="center"/>
          </w:tcPr>
          <w:p>
            <w:pPr>
              <w:pStyle w:val="14"/>
            </w:pPr>
            <w:r>
              <w:t>政府办公厅（室）及相关机构事务</w:t>
            </w:r>
          </w:p>
        </w:tc>
        <w:tc>
          <w:tcPr>
            <w:tcW w:w="2551" w:type="dxa"/>
            <w:vAlign w:val="center"/>
          </w:tcPr>
          <w:p>
            <w:pPr>
              <w:pStyle w:val="15"/>
            </w:pPr>
            <w:r>
              <w:t>258.81</w:t>
            </w:r>
          </w:p>
        </w:tc>
        <w:tc>
          <w:tcPr>
            <w:tcW w:w="2551" w:type="dxa"/>
            <w:vAlign w:val="center"/>
          </w:tcPr>
          <w:p>
            <w:pPr>
              <w:pStyle w:val="15"/>
            </w:pPr>
            <w:r>
              <w:t>178.81</w:t>
            </w:r>
          </w:p>
        </w:tc>
        <w:tc>
          <w:tcPr>
            <w:tcW w:w="2551" w:type="dxa"/>
            <w:vAlign w:val="center"/>
          </w:tcPr>
          <w:p>
            <w:pPr>
              <w:pStyle w:val="15"/>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4"/>
            </w:pPr>
            <w:r>
              <w:t>2010301</w:t>
            </w:r>
          </w:p>
        </w:tc>
        <w:tc>
          <w:tcPr>
            <w:tcW w:w="4535" w:type="dxa"/>
            <w:vAlign w:val="center"/>
          </w:tcPr>
          <w:p>
            <w:pPr>
              <w:pStyle w:val="14"/>
            </w:pPr>
            <w:r>
              <w:t>行政运行</w:t>
            </w:r>
          </w:p>
        </w:tc>
        <w:tc>
          <w:tcPr>
            <w:tcW w:w="2551" w:type="dxa"/>
            <w:vAlign w:val="center"/>
          </w:tcPr>
          <w:p>
            <w:pPr>
              <w:pStyle w:val="15"/>
            </w:pPr>
            <w:r>
              <w:t>178.81</w:t>
            </w:r>
          </w:p>
        </w:tc>
        <w:tc>
          <w:tcPr>
            <w:tcW w:w="2551" w:type="dxa"/>
            <w:vAlign w:val="center"/>
          </w:tcPr>
          <w:p>
            <w:pPr>
              <w:pStyle w:val="15"/>
            </w:pPr>
            <w:r>
              <w:t>178.81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4"/>
            </w:pPr>
            <w:r>
              <w:t>2010308</w:t>
            </w:r>
          </w:p>
        </w:tc>
        <w:tc>
          <w:tcPr>
            <w:tcW w:w="4535" w:type="dxa"/>
            <w:vAlign w:val="center"/>
          </w:tcPr>
          <w:p>
            <w:pPr>
              <w:pStyle w:val="14"/>
            </w:pPr>
            <w:r>
              <w:t>信访事务</w:t>
            </w:r>
          </w:p>
        </w:tc>
        <w:tc>
          <w:tcPr>
            <w:tcW w:w="2551" w:type="dxa"/>
            <w:vAlign w:val="center"/>
          </w:tcPr>
          <w:p>
            <w:pPr>
              <w:pStyle w:val="15"/>
            </w:pPr>
            <w:r>
              <w:t>80.00</w:t>
            </w:r>
          </w:p>
        </w:tc>
        <w:tc>
          <w:tcPr>
            <w:tcW w:w="2551" w:type="dxa"/>
            <w:vAlign w:val="center"/>
          </w:tcPr>
          <w:p>
            <w:pPr>
              <w:pStyle w:val="15"/>
            </w:pPr>
          </w:p>
        </w:tc>
        <w:tc>
          <w:tcPr>
            <w:tcW w:w="2551" w:type="dxa"/>
            <w:vAlign w:val="center"/>
          </w:tcPr>
          <w:p>
            <w:pPr>
              <w:pStyle w:val="15"/>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5"/>
            </w:pPr>
            <w:r>
              <w:t>17.60</w:t>
            </w:r>
          </w:p>
        </w:tc>
        <w:tc>
          <w:tcPr>
            <w:tcW w:w="2551" w:type="dxa"/>
            <w:vAlign w:val="center"/>
          </w:tcPr>
          <w:p>
            <w:pPr>
              <w:pStyle w:val="15"/>
            </w:pPr>
            <w:r>
              <w:t>17.60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5"/>
            </w:pPr>
            <w:r>
              <w:t>17.60</w:t>
            </w:r>
          </w:p>
        </w:tc>
        <w:tc>
          <w:tcPr>
            <w:tcW w:w="2551" w:type="dxa"/>
            <w:vAlign w:val="center"/>
          </w:tcPr>
          <w:p>
            <w:pPr>
              <w:pStyle w:val="15"/>
            </w:pPr>
            <w:r>
              <w:t>17.60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5"/>
            </w:pPr>
            <w:r>
              <w:t>17.60</w:t>
            </w:r>
          </w:p>
        </w:tc>
        <w:tc>
          <w:tcPr>
            <w:tcW w:w="2551" w:type="dxa"/>
            <w:vAlign w:val="center"/>
          </w:tcPr>
          <w:p>
            <w:pPr>
              <w:pStyle w:val="15"/>
            </w:pPr>
            <w:r>
              <w:t>17.60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5"/>
            </w:pPr>
            <w:r>
              <w:t>7.83</w:t>
            </w:r>
          </w:p>
        </w:tc>
        <w:tc>
          <w:tcPr>
            <w:tcW w:w="2551" w:type="dxa"/>
            <w:vAlign w:val="center"/>
          </w:tcPr>
          <w:p>
            <w:pPr>
              <w:pStyle w:val="15"/>
            </w:pPr>
            <w:r>
              <w:t>7.83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5"/>
            </w:pPr>
            <w:r>
              <w:t>7.83</w:t>
            </w:r>
          </w:p>
        </w:tc>
        <w:tc>
          <w:tcPr>
            <w:tcW w:w="2551" w:type="dxa"/>
            <w:vAlign w:val="center"/>
          </w:tcPr>
          <w:p>
            <w:pPr>
              <w:pStyle w:val="15"/>
            </w:pPr>
            <w:r>
              <w:t>7.83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5"/>
            </w:pPr>
            <w:r>
              <w:t>3.90</w:t>
            </w:r>
          </w:p>
        </w:tc>
        <w:tc>
          <w:tcPr>
            <w:tcW w:w="2551" w:type="dxa"/>
            <w:vAlign w:val="center"/>
          </w:tcPr>
          <w:p>
            <w:pPr>
              <w:pStyle w:val="15"/>
            </w:pPr>
            <w:r>
              <w:t>3.90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4"/>
            </w:pPr>
            <w:r>
              <w:t>2101102</w:t>
            </w:r>
          </w:p>
        </w:tc>
        <w:tc>
          <w:tcPr>
            <w:tcW w:w="4535" w:type="dxa"/>
            <w:vAlign w:val="center"/>
          </w:tcPr>
          <w:p>
            <w:pPr>
              <w:pStyle w:val="14"/>
            </w:pPr>
            <w:r>
              <w:t>事业单位医疗</w:t>
            </w:r>
          </w:p>
        </w:tc>
        <w:tc>
          <w:tcPr>
            <w:tcW w:w="2551" w:type="dxa"/>
            <w:vAlign w:val="center"/>
          </w:tcPr>
          <w:p>
            <w:pPr>
              <w:pStyle w:val="15"/>
            </w:pPr>
            <w:r>
              <w:t>3.93</w:t>
            </w:r>
          </w:p>
        </w:tc>
        <w:tc>
          <w:tcPr>
            <w:tcW w:w="2551" w:type="dxa"/>
            <w:vAlign w:val="center"/>
          </w:tcPr>
          <w:p>
            <w:pPr>
              <w:pStyle w:val="15"/>
            </w:pPr>
            <w:r>
              <w:t>3.93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5"/>
            </w:pPr>
            <w:r>
              <w:t>15.88</w:t>
            </w:r>
          </w:p>
        </w:tc>
        <w:tc>
          <w:tcPr>
            <w:tcW w:w="2551" w:type="dxa"/>
            <w:vAlign w:val="center"/>
          </w:tcPr>
          <w:p>
            <w:pPr>
              <w:pStyle w:val="15"/>
            </w:pPr>
            <w:r>
              <w:t>15.88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5"/>
            </w:pPr>
            <w:r>
              <w:t>15.88</w:t>
            </w:r>
          </w:p>
        </w:tc>
        <w:tc>
          <w:tcPr>
            <w:tcW w:w="2551" w:type="dxa"/>
            <w:vAlign w:val="center"/>
          </w:tcPr>
          <w:p>
            <w:pPr>
              <w:pStyle w:val="15"/>
            </w:pPr>
            <w:r>
              <w:t>15.88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5"/>
            </w:pPr>
            <w:r>
              <w:t>15.88</w:t>
            </w:r>
          </w:p>
        </w:tc>
        <w:tc>
          <w:tcPr>
            <w:tcW w:w="2551" w:type="dxa"/>
            <w:vAlign w:val="center"/>
          </w:tcPr>
          <w:p>
            <w:pPr>
              <w:pStyle w:val="15"/>
            </w:pPr>
            <w:r>
              <w:t>15.88</w:t>
            </w:r>
          </w:p>
        </w:tc>
        <w:tc>
          <w:tcPr>
            <w:tcW w:w="2551"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112001唐山高新技术产业开发区群众工作中心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w:t>
            </w:r>
            <w:r>
              <w:rPr>
                <w:rFonts w:hint="eastAsia"/>
                <w:lang w:eastAsia="zh-CN"/>
              </w:rPr>
              <w:t>单位</w:t>
            </w:r>
            <w:r>
              <w:t>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220.12</w:t>
            </w:r>
          </w:p>
        </w:tc>
        <w:tc>
          <w:tcPr>
            <w:tcW w:w="2551" w:type="dxa"/>
            <w:vAlign w:val="center"/>
          </w:tcPr>
          <w:p>
            <w:pPr>
              <w:pStyle w:val="17"/>
            </w:pPr>
            <w:r>
              <w:t>210.59</w:t>
            </w:r>
          </w:p>
        </w:tc>
        <w:tc>
          <w:tcPr>
            <w:tcW w:w="2551" w:type="dxa"/>
            <w:vAlign w:val="center"/>
          </w:tcPr>
          <w:p>
            <w:pPr>
              <w:pStyle w:val="17"/>
            </w:pPr>
            <w:r>
              <w:t>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5"/>
            </w:pPr>
            <w:r>
              <w:t>210.56</w:t>
            </w:r>
          </w:p>
        </w:tc>
        <w:tc>
          <w:tcPr>
            <w:tcW w:w="2551" w:type="dxa"/>
            <w:vAlign w:val="center"/>
          </w:tcPr>
          <w:p>
            <w:pPr>
              <w:pStyle w:val="15"/>
            </w:pPr>
            <w:r>
              <w:t>210.56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5"/>
            </w:pPr>
            <w:r>
              <w:t>44.14</w:t>
            </w:r>
          </w:p>
        </w:tc>
        <w:tc>
          <w:tcPr>
            <w:tcW w:w="2551" w:type="dxa"/>
            <w:vAlign w:val="center"/>
          </w:tcPr>
          <w:p>
            <w:pPr>
              <w:pStyle w:val="15"/>
            </w:pPr>
            <w:r>
              <w:t>44.14</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5"/>
            </w:pPr>
            <w:r>
              <w:t>28.89</w:t>
            </w:r>
          </w:p>
        </w:tc>
        <w:tc>
          <w:tcPr>
            <w:tcW w:w="2551" w:type="dxa"/>
            <w:vAlign w:val="center"/>
          </w:tcPr>
          <w:p>
            <w:pPr>
              <w:pStyle w:val="15"/>
            </w:pPr>
            <w:r>
              <w:t>28.89</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5"/>
            </w:pPr>
            <w:r>
              <w:t>33.57</w:t>
            </w:r>
          </w:p>
        </w:tc>
        <w:tc>
          <w:tcPr>
            <w:tcW w:w="2551" w:type="dxa"/>
            <w:vAlign w:val="center"/>
          </w:tcPr>
          <w:p>
            <w:pPr>
              <w:pStyle w:val="15"/>
            </w:pPr>
            <w:r>
              <w:t>33.57</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5"/>
            </w:pPr>
            <w:r>
              <w:t>32.08</w:t>
            </w:r>
          </w:p>
        </w:tc>
        <w:tc>
          <w:tcPr>
            <w:tcW w:w="2551" w:type="dxa"/>
            <w:vAlign w:val="center"/>
          </w:tcPr>
          <w:p>
            <w:pPr>
              <w:pStyle w:val="15"/>
            </w:pPr>
            <w:r>
              <w:t>32.08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5"/>
            </w:pPr>
            <w:r>
              <w:t>17.60</w:t>
            </w:r>
          </w:p>
        </w:tc>
        <w:tc>
          <w:tcPr>
            <w:tcW w:w="2551" w:type="dxa"/>
            <w:vAlign w:val="center"/>
          </w:tcPr>
          <w:p>
            <w:pPr>
              <w:pStyle w:val="15"/>
            </w:pPr>
            <w:r>
              <w:t>17.60</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5"/>
            </w:pPr>
            <w:r>
              <w:t>7.83</w:t>
            </w:r>
          </w:p>
        </w:tc>
        <w:tc>
          <w:tcPr>
            <w:tcW w:w="2551" w:type="dxa"/>
            <w:vAlign w:val="center"/>
          </w:tcPr>
          <w:p>
            <w:pPr>
              <w:pStyle w:val="15"/>
            </w:pPr>
            <w:r>
              <w:t>7.83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4"/>
            </w:pPr>
            <w:r>
              <w:t>30111</w:t>
            </w:r>
          </w:p>
        </w:tc>
        <w:tc>
          <w:tcPr>
            <w:tcW w:w="4535" w:type="dxa"/>
            <w:vAlign w:val="center"/>
          </w:tcPr>
          <w:p>
            <w:pPr>
              <w:pStyle w:val="14"/>
            </w:pPr>
            <w:r>
              <w:t>公务员医疗补助缴费</w:t>
            </w:r>
          </w:p>
        </w:tc>
        <w:tc>
          <w:tcPr>
            <w:tcW w:w="2551" w:type="dxa"/>
            <w:vAlign w:val="center"/>
          </w:tcPr>
          <w:p>
            <w:pPr>
              <w:pStyle w:val="15"/>
            </w:pPr>
            <w:r>
              <w:t>8.96</w:t>
            </w:r>
          </w:p>
        </w:tc>
        <w:tc>
          <w:tcPr>
            <w:tcW w:w="2551" w:type="dxa"/>
            <w:vAlign w:val="center"/>
          </w:tcPr>
          <w:p>
            <w:pPr>
              <w:pStyle w:val="15"/>
            </w:pPr>
            <w:r>
              <w:t>8.96</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5"/>
            </w:pPr>
            <w:r>
              <w:t>1.53</w:t>
            </w:r>
          </w:p>
        </w:tc>
        <w:tc>
          <w:tcPr>
            <w:tcW w:w="2551" w:type="dxa"/>
            <w:vAlign w:val="center"/>
          </w:tcPr>
          <w:p>
            <w:pPr>
              <w:pStyle w:val="15"/>
            </w:pPr>
            <w:r>
              <w:t>1.53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5"/>
            </w:pPr>
            <w:r>
              <w:t>15.88</w:t>
            </w:r>
          </w:p>
        </w:tc>
        <w:tc>
          <w:tcPr>
            <w:tcW w:w="2551" w:type="dxa"/>
            <w:vAlign w:val="center"/>
          </w:tcPr>
          <w:p>
            <w:pPr>
              <w:pStyle w:val="15"/>
            </w:pPr>
            <w:r>
              <w:t>15.88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5"/>
            </w:pPr>
            <w:r>
              <w:t>20.08</w:t>
            </w:r>
          </w:p>
        </w:tc>
        <w:tc>
          <w:tcPr>
            <w:tcW w:w="2551" w:type="dxa"/>
            <w:vAlign w:val="center"/>
          </w:tcPr>
          <w:p>
            <w:pPr>
              <w:pStyle w:val="15"/>
            </w:pPr>
            <w:r>
              <w:t>20.08</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5"/>
            </w:pPr>
            <w:r>
              <w:t>9.53</w:t>
            </w:r>
          </w:p>
        </w:tc>
        <w:tc>
          <w:tcPr>
            <w:tcW w:w="2551" w:type="dxa"/>
            <w:vAlign w:val="center"/>
          </w:tcPr>
          <w:p>
            <w:pPr>
              <w:pStyle w:val="15"/>
            </w:pPr>
          </w:p>
        </w:tc>
        <w:tc>
          <w:tcPr>
            <w:tcW w:w="2551" w:type="dxa"/>
            <w:vAlign w:val="center"/>
          </w:tcPr>
          <w:p>
            <w:pPr>
              <w:pStyle w:val="15"/>
            </w:pPr>
            <w:r>
              <w:t>9.53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5"/>
            </w:pPr>
            <w:r>
              <w:t>1.65</w:t>
            </w:r>
          </w:p>
        </w:tc>
        <w:tc>
          <w:tcPr>
            <w:tcW w:w="2551" w:type="dxa"/>
            <w:vAlign w:val="center"/>
          </w:tcPr>
          <w:p>
            <w:pPr>
              <w:pStyle w:val="15"/>
            </w:pPr>
          </w:p>
        </w:tc>
        <w:tc>
          <w:tcPr>
            <w:tcW w:w="2551" w:type="dxa"/>
            <w:vAlign w:val="center"/>
          </w:tcPr>
          <w:p>
            <w:pPr>
              <w:pStyle w:val="15"/>
            </w:pPr>
            <w:r>
              <w:t>1.65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5"/>
            </w:pPr>
            <w:r>
              <w:t>1.50</w:t>
            </w:r>
          </w:p>
        </w:tc>
        <w:tc>
          <w:tcPr>
            <w:tcW w:w="2551" w:type="dxa"/>
            <w:vAlign w:val="center"/>
          </w:tcPr>
          <w:p>
            <w:pPr>
              <w:pStyle w:val="15"/>
            </w:pPr>
          </w:p>
        </w:tc>
        <w:tc>
          <w:tcPr>
            <w:tcW w:w="2551" w:type="dxa"/>
            <w:vAlign w:val="center"/>
          </w:tcPr>
          <w:p>
            <w:pPr>
              <w:pStyle w:val="15"/>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5"/>
            </w:pPr>
            <w:r>
              <w:t>0.50</w:t>
            </w:r>
          </w:p>
        </w:tc>
        <w:tc>
          <w:tcPr>
            <w:tcW w:w="2551" w:type="dxa"/>
            <w:vAlign w:val="center"/>
          </w:tcPr>
          <w:p>
            <w:pPr>
              <w:pStyle w:val="15"/>
            </w:pPr>
          </w:p>
        </w:tc>
        <w:tc>
          <w:tcPr>
            <w:tcW w:w="2551" w:type="dxa"/>
            <w:vAlign w:val="center"/>
          </w:tcPr>
          <w:p>
            <w:pPr>
              <w:pStyle w:val="15"/>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4"/>
            </w:pPr>
            <w:r>
              <w:t>30214</w:t>
            </w:r>
          </w:p>
        </w:tc>
        <w:tc>
          <w:tcPr>
            <w:tcW w:w="4535" w:type="dxa"/>
            <w:vAlign w:val="center"/>
          </w:tcPr>
          <w:p>
            <w:pPr>
              <w:pStyle w:val="14"/>
            </w:pPr>
            <w:r>
              <w:t>租赁费</w:t>
            </w:r>
          </w:p>
        </w:tc>
        <w:tc>
          <w:tcPr>
            <w:tcW w:w="2551" w:type="dxa"/>
            <w:vAlign w:val="center"/>
          </w:tcPr>
          <w:p>
            <w:pPr>
              <w:pStyle w:val="15"/>
            </w:pPr>
            <w:r>
              <w:t>1.00</w:t>
            </w:r>
          </w:p>
        </w:tc>
        <w:tc>
          <w:tcPr>
            <w:tcW w:w="2551" w:type="dxa"/>
            <w:vAlign w:val="center"/>
          </w:tcPr>
          <w:p>
            <w:pPr>
              <w:pStyle w:val="15"/>
            </w:pPr>
          </w:p>
        </w:tc>
        <w:tc>
          <w:tcPr>
            <w:tcW w:w="2551" w:type="dxa"/>
            <w:vAlign w:val="center"/>
          </w:tcPr>
          <w:p>
            <w:pPr>
              <w:pStyle w:val="15"/>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5"/>
            </w:pPr>
            <w:r>
              <w:t>0.10</w:t>
            </w:r>
          </w:p>
        </w:tc>
        <w:tc>
          <w:tcPr>
            <w:tcW w:w="2551" w:type="dxa"/>
            <w:vAlign w:val="center"/>
          </w:tcPr>
          <w:p>
            <w:pPr>
              <w:pStyle w:val="15"/>
            </w:pPr>
          </w:p>
        </w:tc>
        <w:tc>
          <w:tcPr>
            <w:tcW w:w="2551" w:type="dxa"/>
            <w:vAlign w:val="center"/>
          </w:tcPr>
          <w:p>
            <w:pPr>
              <w:pStyle w:val="15"/>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5"/>
            </w:pPr>
            <w:r>
              <w:t>1.67</w:t>
            </w:r>
          </w:p>
        </w:tc>
        <w:tc>
          <w:tcPr>
            <w:tcW w:w="2551" w:type="dxa"/>
            <w:vAlign w:val="center"/>
          </w:tcPr>
          <w:p>
            <w:pPr>
              <w:pStyle w:val="15"/>
            </w:pPr>
          </w:p>
        </w:tc>
        <w:tc>
          <w:tcPr>
            <w:tcW w:w="2551" w:type="dxa"/>
            <w:vAlign w:val="center"/>
          </w:tcPr>
          <w:p>
            <w:pPr>
              <w:pStyle w:val="15"/>
            </w:pPr>
            <w:r>
              <w:t>1.67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5"/>
            </w:pPr>
            <w:r>
              <w:t>3.00</w:t>
            </w:r>
          </w:p>
        </w:tc>
        <w:tc>
          <w:tcPr>
            <w:tcW w:w="2551" w:type="dxa"/>
            <w:vAlign w:val="center"/>
          </w:tcPr>
          <w:p>
            <w:pPr>
              <w:pStyle w:val="15"/>
            </w:pPr>
          </w:p>
        </w:tc>
        <w:tc>
          <w:tcPr>
            <w:tcW w:w="2551" w:type="dxa"/>
            <w:vAlign w:val="center"/>
          </w:tcPr>
          <w:p>
            <w:pPr>
              <w:pStyle w:val="15"/>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5"/>
            </w:pPr>
            <w:r>
              <w:t>0.11</w:t>
            </w:r>
          </w:p>
        </w:tc>
        <w:tc>
          <w:tcPr>
            <w:tcW w:w="2551" w:type="dxa"/>
            <w:vAlign w:val="center"/>
          </w:tcPr>
          <w:p>
            <w:pPr>
              <w:pStyle w:val="15"/>
            </w:pPr>
          </w:p>
        </w:tc>
        <w:tc>
          <w:tcPr>
            <w:tcW w:w="2551" w:type="dxa"/>
            <w:vAlign w:val="center"/>
          </w:tcPr>
          <w:p>
            <w:pPr>
              <w:pStyle w:val="15"/>
            </w:pPr>
            <w:r>
              <w:t>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5"/>
            </w:pPr>
            <w:r>
              <w:t>0.03</w:t>
            </w:r>
          </w:p>
        </w:tc>
        <w:tc>
          <w:tcPr>
            <w:tcW w:w="2551" w:type="dxa"/>
            <w:vAlign w:val="center"/>
          </w:tcPr>
          <w:p>
            <w:pPr>
              <w:pStyle w:val="15"/>
            </w:pPr>
            <w:r>
              <w:t>0.03</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4"/>
            </w:pPr>
            <w:r>
              <w:t>30309</w:t>
            </w:r>
          </w:p>
        </w:tc>
        <w:tc>
          <w:tcPr>
            <w:tcW w:w="4535" w:type="dxa"/>
            <w:vAlign w:val="center"/>
          </w:tcPr>
          <w:p>
            <w:pPr>
              <w:pStyle w:val="14"/>
            </w:pPr>
            <w:r>
              <w:t>奖励金</w:t>
            </w:r>
          </w:p>
        </w:tc>
        <w:tc>
          <w:tcPr>
            <w:tcW w:w="2551" w:type="dxa"/>
            <w:vAlign w:val="center"/>
          </w:tcPr>
          <w:p>
            <w:pPr>
              <w:pStyle w:val="15"/>
            </w:pPr>
            <w:r>
              <w:t>0.03</w:t>
            </w:r>
          </w:p>
        </w:tc>
        <w:tc>
          <w:tcPr>
            <w:tcW w:w="2551" w:type="dxa"/>
            <w:vAlign w:val="center"/>
          </w:tcPr>
          <w:p>
            <w:pPr>
              <w:pStyle w:val="15"/>
            </w:pPr>
            <w:r>
              <w:t>0.03</w:t>
            </w:r>
          </w:p>
        </w:tc>
        <w:tc>
          <w:tcPr>
            <w:tcW w:w="2551" w:type="dxa"/>
            <w:vAlign w:val="center"/>
          </w:tcPr>
          <w:p>
            <w:pPr>
              <w:pStyle w:val="15"/>
            </w:pPr>
          </w:p>
        </w:tc>
      </w:tr>
    </w:tbl>
    <w:p>
      <w:pPr>
        <w:sectPr>
          <w:pgSz w:w="16840" w:h="11900" w:orient="landscape"/>
          <w:pgMar w:top="1361" w:right="1020" w:bottom="1134"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112001唐山高新技术产业开发区群众工作中心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4"/>
            </w:pPr>
          </w:p>
        </w:tc>
        <w:tc>
          <w:tcPr>
            <w:tcW w:w="4535" w:type="dxa"/>
            <w:vAlign w:val="center"/>
          </w:tcPr>
          <w:p>
            <w:pPr>
              <w:pStyle w:val="14"/>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112001唐山高新技术产业开发区群众工作中心</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4"/>
            </w:pPr>
          </w:p>
        </w:tc>
        <w:tc>
          <w:tcPr>
            <w:tcW w:w="4535" w:type="dxa"/>
            <w:vAlign w:val="center"/>
          </w:tcPr>
          <w:p>
            <w:pPr>
              <w:pStyle w:val="14"/>
            </w:pPr>
          </w:p>
        </w:tc>
        <w:tc>
          <w:tcPr>
            <w:tcW w:w="2551" w:type="dxa"/>
            <w:vAlign w:val="center"/>
          </w:tcPr>
          <w:p>
            <w:pPr>
              <w:pStyle w:val="15"/>
            </w:pPr>
          </w:p>
        </w:tc>
        <w:tc>
          <w:tcPr>
            <w:tcW w:w="2551" w:type="dxa"/>
            <w:vAlign w:val="center"/>
          </w:tcPr>
          <w:p>
            <w:pPr>
              <w:pStyle w:val="15"/>
            </w:pPr>
          </w:p>
        </w:tc>
        <w:tc>
          <w:tcPr>
            <w:tcW w:w="2551" w:type="dxa"/>
            <w:vAlign w:val="center"/>
          </w:tcPr>
          <w:p>
            <w:pPr>
              <w:pStyle w:val="15"/>
            </w:pPr>
          </w:p>
        </w:tc>
      </w:tr>
    </w:tbl>
    <w:p>
      <w:pPr>
        <w:ind w:firstLine="420"/>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112001唐山高新技术产业开发区群众工作中心</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6"/>
            </w:pPr>
            <w:r>
              <w:t>合计</w:t>
            </w:r>
          </w:p>
        </w:tc>
        <w:tc>
          <w:tcPr>
            <w:tcW w:w="2381" w:type="dxa"/>
            <w:vAlign w:val="center"/>
          </w:tcPr>
          <w:p>
            <w:pPr>
              <w:pStyle w:val="17"/>
            </w:pPr>
            <w:r>
              <w:t>3.00</w:t>
            </w:r>
          </w:p>
        </w:tc>
        <w:tc>
          <w:tcPr>
            <w:tcW w:w="2381" w:type="dxa"/>
            <w:vAlign w:val="center"/>
          </w:tcPr>
          <w:p>
            <w:pPr>
              <w:pStyle w:val="17"/>
            </w:pPr>
            <w:r>
              <w:t>3.00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4"/>
            </w:pPr>
            <w:r>
              <w:t>“三公”经费小计</w:t>
            </w:r>
          </w:p>
        </w:tc>
        <w:tc>
          <w:tcPr>
            <w:tcW w:w="2381" w:type="dxa"/>
            <w:vAlign w:val="center"/>
          </w:tcPr>
          <w:p>
            <w:pPr>
              <w:pStyle w:val="15"/>
            </w:pPr>
            <w:r>
              <w:t>3.00</w:t>
            </w:r>
          </w:p>
        </w:tc>
        <w:tc>
          <w:tcPr>
            <w:tcW w:w="2381" w:type="dxa"/>
            <w:vAlign w:val="center"/>
          </w:tcPr>
          <w:p>
            <w:pPr>
              <w:pStyle w:val="15"/>
            </w:pPr>
            <w:r>
              <w:t>3.00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4"/>
            </w:pPr>
            <w:r>
              <w:t>一、因公出国（境）费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4"/>
            </w:pPr>
            <w:r>
              <w:t xml:space="preserve">    其中：教学科研人员因公出国（境）费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4"/>
            </w:pPr>
            <w:r>
              <w:t xml:space="preserve">          其他因公出国（境）费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4"/>
            </w:pPr>
            <w:r>
              <w:t>二、公务用车购置及运维费</w:t>
            </w:r>
          </w:p>
        </w:tc>
        <w:tc>
          <w:tcPr>
            <w:tcW w:w="2381" w:type="dxa"/>
            <w:vAlign w:val="center"/>
          </w:tcPr>
          <w:p>
            <w:pPr>
              <w:pStyle w:val="15"/>
            </w:pPr>
            <w:r>
              <w:t>3.00</w:t>
            </w:r>
          </w:p>
        </w:tc>
        <w:tc>
          <w:tcPr>
            <w:tcW w:w="2381" w:type="dxa"/>
            <w:vAlign w:val="center"/>
          </w:tcPr>
          <w:p>
            <w:pPr>
              <w:pStyle w:val="15"/>
            </w:pPr>
            <w:r>
              <w:t>3.00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4"/>
            </w:pPr>
            <w:r>
              <w:t xml:space="preserve">    其中：公务用车购置费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4"/>
            </w:pPr>
            <w:r>
              <w:t xml:space="preserve">          公务用车运行维护费</w:t>
            </w:r>
          </w:p>
        </w:tc>
        <w:tc>
          <w:tcPr>
            <w:tcW w:w="2381" w:type="dxa"/>
            <w:vAlign w:val="center"/>
          </w:tcPr>
          <w:p>
            <w:pPr>
              <w:pStyle w:val="15"/>
            </w:pPr>
            <w:r>
              <w:t>3.00</w:t>
            </w:r>
          </w:p>
        </w:tc>
        <w:tc>
          <w:tcPr>
            <w:tcW w:w="2381" w:type="dxa"/>
            <w:vAlign w:val="center"/>
          </w:tcPr>
          <w:p>
            <w:pPr>
              <w:pStyle w:val="15"/>
            </w:pPr>
            <w:r>
              <w:t>3.00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4"/>
            </w:pPr>
            <w:r>
              <w:t>三、公务接待费</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bl>
    <w:p>
      <w:pPr>
        <w:sectPr>
          <w:pgSz w:w="16840" w:h="11900" w:orient="landscape"/>
          <w:pgMar w:top="1361" w:right="1020" w:bottom="1361" w:left="1020" w:header="720" w:footer="720" w:gutter="0"/>
          <w:pgNumType w:fmt="decimal"/>
          <w:cols w:space="720" w:num="1"/>
        </w:sectPr>
      </w:pPr>
    </w:p>
    <w:p>
      <w:pPr>
        <w:jc w:val="center"/>
        <w:outlineLvl w:val="4"/>
      </w:pPr>
      <w:r>
        <w:rPr>
          <w:rFonts w:ascii="方正小标宋_GBK" w:hAnsi="方正小标宋_GBK" w:eastAsia="方正小标宋_GBK" w:cs="方正小标宋_GBK"/>
          <w:color w:val="000000"/>
          <w:sz w:val="44"/>
        </w:rPr>
        <w:t>唐山高新技术产业开发区群众工作中心2023年单位预算信息公开情况说明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按照《预算法》、《地方预决算公开操作规程》和《关于进一步推进预算公开工作的实施意见》规定，现将唐山高新技术产业开发区群众工作中心2023年单位预算公开如下：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ind w:firstLine="640" w:firstLineChars="200"/>
        <w:rPr>
          <w:rFonts w:hint="eastAsia" w:ascii="仿宋" w:hAnsi="仿宋" w:eastAsia="仿宋" w:cs="仿宋"/>
          <w:sz w:val="32"/>
          <w:szCs w:val="32"/>
          <w:lang w:eastAsia="zh-CN"/>
        </w:rPr>
      </w:pPr>
      <w:r>
        <w:rPr>
          <w:rFonts w:ascii="仿宋_GB2312" w:eastAsia="仿宋_GB2312"/>
          <w:sz w:val="32"/>
          <w:szCs w:val="32"/>
        </w:rPr>
        <w:t>1</w:t>
      </w:r>
      <w:r>
        <w:rPr>
          <w:rFonts w:hint="eastAsia" w:ascii="仿宋_GB2312" w:eastAsia="仿宋_GB2312"/>
          <w:sz w:val="32"/>
          <w:szCs w:val="32"/>
        </w:rPr>
        <w:t>、</w:t>
      </w:r>
      <w:r>
        <w:rPr>
          <w:rFonts w:hint="eastAsia" w:ascii="仿宋" w:hAnsi="仿宋" w:eastAsia="仿宋" w:cs="仿宋"/>
          <w:sz w:val="32"/>
          <w:szCs w:val="32"/>
          <w:lang w:eastAsia="zh-CN"/>
        </w:rPr>
        <w:t>负责辖区信访工作，落实信访工作方针政策和地方性法规；定期对当地信访不稳定因素进行排查；负责信访事项的接待处理工作，妥善指导处理群众集体上访和突发性信访事件；参与协调和调查处理重要信访事项；承办协调信访事项的复查受理工作；组织、协调重要政治敏感时期的信访稳定工作；对各基层单位和区直单位的信访工作进行业务指导、综合协调、督促检查；负责高新区党工委、管委会交办的其他事项。</w:t>
      </w:r>
    </w:p>
    <w:p>
      <w:pPr>
        <w:pStyle w:val="19"/>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唐山高新技术产业开发区群众工作中心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rPr>
          <w:rFonts w:ascii="黑体" w:hAnsi="黑体" w:eastAsia="黑体" w:cs="黑体"/>
          <w:color w:val="000000"/>
          <w:sz w:val="32"/>
        </w:rPr>
      </w:pPr>
    </w:p>
    <w:p>
      <w:pPr>
        <w:spacing w:before="10" w:after="10"/>
        <w:ind w:firstLine="640"/>
        <w:outlineLvl w:val="5"/>
      </w:pPr>
      <w:r>
        <w:rPr>
          <w:rFonts w:ascii="黑体" w:hAnsi="黑体" w:eastAsia="黑体" w:cs="黑体"/>
          <w:color w:val="000000"/>
          <w:sz w:val="32"/>
        </w:rPr>
        <w:t>二、单位预算安排的总体情况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收入预算：我</w:t>
      </w:r>
      <w:r>
        <w:rPr>
          <w:rFonts w:hint="eastAsia" w:ascii="仿宋_GB2312" w:eastAsia="仿宋_GB2312"/>
          <w:sz w:val="32"/>
          <w:szCs w:val="32"/>
          <w:lang w:eastAsia="zh-CN"/>
        </w:rPr>
        <w:t>单位</w:t>
      </w: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年预算收入（一般预算拨款）</w:t>
      </w:r>
      <w:r>
        <w:rPr>
          <w:rFonts w:hint="eastAsia" w:ascii="仿宋_GB2312" w:eastAsia="仿宋_GB2312"/>
          <w:sz w:val="32"/>
          <w:szCs w:val="32"/>
          <w:lang w:val="en-US" w:eastAsia="zh-CN"/>
        </w:rPr>
        <w:t>300.12</w:t>
      </w:r>
      <w:r>
        <w:rPr>
          <w:rFonts w:hint="eastAsia" w:ascii="仿宋_GB2312" w:eastAsia="仿宋_GB2312"/>
          <w:sz w:val="32"/>
          <w:szCs w:val="32"/>
        </w:rPr>
        <w:t>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支出预算：预算支出</w:t>
      </w:r>
      <w:r>
        <w:rPr>
          <w:rFonts w:hint="eastAsia" w:ascii="仿宋_GB2312" w:eastAsia="仿宋_GB2312"/>
          <w:sz w:val="32"/>
          <w:szCs w:val="32"/>
          <w:lang w:val="en-US" w:eastAsia="zh-CN"/>
        </w:rPr>
        <w:t>300.12</w:t>
      </w:r>
      <w:r>
        <w:rPr>
          <w:rFonts w:hint="eastAsia" w:ascii="仿宋_GB2312" w:eastAsia="仿宋_GB2312"/>
          <w:sz w:val="32"/>
          <w:szCs w:val="32"/>
        </w:rPr>
        <w:t>万元，其中：人员经费支出</w:t>
      </w:r>
      <w:r>
        <w:rPr>
          <w:rFonts w:hint="eastAsia" w:ascii="仿宋_GB2312" w:eastAsia="仿宋_GB2312"/>
          <w:sz w:val="32"/>
          <w:szCs w:val="32"/>
          <w:lang w:val="en-US" w:eastAsia="zh-CN"/>
        </w:rPr>
        <w:t>210.59</w:t>
      </w:r>
      <w:r>
        <w:rPr>
          <w:rFonts w:hint="eastAsia" w:ascii="仿宋_GB2312" w:eastAsia="仿宋_GB2312"/>
          <w:sz w:val="32"/>
          <w:szCs w:val="32"/>
        </w:rPr>
        <w:t>万元，正常公用经费支出</w:t>
      </w:r>
      <w:r>
        <w:rPr>
          <w:rFonts w:hint="eastAsia" w:ascii="仿宋_GB2312" w:eastAsia="仿宋_GB2312"/>
          <w:sz w:val="32"/>
          <w:szCs w:val="32"/>
          <w:lang w:val="en-US" w:eastAsia="zh-CN"/>
        </w:rPr>
        <w:t>9.53</w:t>
      </w:r>
      <w:r>
        <w:rPr>
          <w:rFonts w:hint="eastAsia" w:ascii="仿宋_GB2312" w:eastAsia="仿宋_GB2312"/>
          <w:sz w:val="32"/>
          <w:szCs w:val="32"/>
        </w:rPr>
        <w:t>万元，</w:t>
      </w:r>
      <w:r>
        <w:rPr>
          <w:rFonts w:hint="eastAsia" w:ascii="仿宋_GB2312" w:eastAsia="仿宋_GB2312"/>
          <w:sz w:val="32"/>
          <w:szCs w:val="32"/>
          <w:lang w:eastAsia="zh-CN"/>
        </w:rPr>
        <w:t>项目支出</w:t>
      </w:r>
      <w:r>
        <w:rPr>
          <w:rFonts w:hint="eastAsia" w:ascii="仿宋_GB2312" w:eastAsia="仿宋_GB2312"/>
          <w:sz w:val="32"/>
          <w:szCs w:val="32"/>
          <w:lang w:val="en-US" w:eastAsia="zh-CN"/>
        </w:rPr>
        <w:t>80万元其中</w:t>
      </w:r>
      <w:r>
        <w:rPr>
          <w:rFonts w:hint="eastAsia" w:ascii="仿宋_GB2312" w:eastAsia="仿宋_GB2312"/>
          <w:sz w:val="32"/>
          <w:szCs w:val="32"/>
          <w:lang w:eastAsia="zh-CN"/>
        </w:rPr>
        <w:t>信访维稳经费</w:t>
      </w:r>
      <w:r>
        <w:rPr>
          <w:rFonts w:hint="eastAsia" w:ascii="仿宋_GB2312" w:eastAsia="仿宋_GB2312"/>
          <w:sz w:val="32"/>
          <w:szCs w:val="32"/>
        </w:rPr>
        <w:t>支出</w:t>
      </w:r>
      <w:r>
        <w:rPr>
          <w:rFonts w:hint="eastAsia" w:ascii="仿宋_GB2312" w:eastAsia="仿宋_GB2312"/>
          <w:sz w:val="32"/>
          <w:szCs w:val="32"/>
          <w:lang w:val="en-US" w:eastAsia="zh-CN"/>
        </w:rPr>
        <w:t>80</w:t>
      </w:r>
      <w:r>
        <w:rPr>
          <w:rFonts w:hint="eastAsia" w:ascii="仿宋_GB2312" w:eastAsia="仿宋_GB2312"/>
          <w:sz w:val="32"/>
          <w:szCs w:val="32"/>
        </w:rPr>
        <w:t>万元。</w:t>
      </w:r>
    </w:p>
    <w:p>
      <w:pPr>
        <w:spacing w:before="10" w:after="10"/>
        <w:ind w:firstLine="640"/>
        <w:outlineLvl w:val="5"/>
        <w:rPr>
          <w:rFonts w:hint="eastAsia" w:ascii="仿宋_GB2312" w:hAnsi="宋体" w:eastAsia="仿宋_GB2312"/>
          <w:sz w:val="32"/>
          <w:szCs w:val="32"/>
        </w:rPr>
      </w:pPr>
      <w:r>
        <w:rPr>
          <w:rFonts w:hint="eastAsia" w:ascii="仿宋_GB2312" w:hAnsi="宋体" w:eastAsia="仿宋_GB2312"/>
          <w:sz w:val="32"/>
          <w:szCs w:val="32"/>
        </w:rPr>
        <w:t>与</w:t>
      </w:r>
      <w:r>
        <w:rPr>
          <w:rFonts w:ascii="仿宋_GB2312" w:hAnsi="宋体" w:eastAsia="仿宋_GB2312"/>
          <w:sz w:val="32"/>
          <w:szCs w:val="32"/>
        </w:rPr>
        <w:t>20</w:t>
      </w:r>
      <w:r>
        <w:rPr>
          <w:rFonts w:hint="eastAsia" w:ascii="仿宋_GB2312" w:hAnsi="宋体" w:eastAsia="仿宋_GB2312"/>
          <w:sz w:val="32"/>
          <w:szCs w:val="32"/>
          <w:lang w:val="en-US" w:eastAsia="zh-CN"/>
        </w:rPr>
        <w:t>22</w:t>
      </w:r>
      <w:r>
        <w:rPr>
          <w:rFonts w:hint="eastAsia" w:ascii="仿宋_GB2312" w:hAnsi="宋体" w:eastAsia="仿宋_GB2312"/>
          <w:sz w:val="32"/>
          <w:szCs w:val="32"/>
        </w:rPr>
        <w:t>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1.36</w:t>
      </w:r>
      <w:r>
        <w:rPr>
          <w:rFonts w:ascii="仿宋_GB2312" w:hAnsi="宋体" w:eastAsia="仿宋_GB2312"/>
          <w:sz w:val="32"/>
          <w:szCs w:val="32"/>
        </w:rPr>
        <w:t>%</w:t>
      </w:r>
      <w:r>
        <w:rPr>
          <w:rFonts w:hint="eastAsia" w:ascii="仿宋_GB2312" w:hAnsi="宋体" w:eastAsia="仿宋_GB2312"/>
          <w:sz w:val="32"/>
          <w:szCs w:val="32"/>
        </w:rPr>
        <w:t>，原因：人员经费</w:t>
      </w:r>
      <w:r>
        <w:rPr>
          <w:rFonts w:hint="eastAsia" w:ascii="仿宋_GB2312" w:hAnsi="宋体" w:eastAsia="仿宋_GB2312"/>
          <w:sz w:val="32"/>
          <w:szCs w:val="32"/>
          <w:lang w:eastAsia="zh-CN"/>
        </w:rPr>
        <w:t>增加</w:t>
      </w:r>
      <w:r>
        <w:rPr>
          <w:rFonts w:hint="eastAsia" w:ascii="仿宋_GB2312" w:hAnsi="宋体" w:eastAsia="仿宋_GB2312"/>
          <w:sz w:val="32"/>
          <w:szCs w:val="32"/>
        </w:rPr>
        <w:t>。</w:t>
      </w:r>
    </w:p>
    <w:p>
      <w:pPr>
        <w:spacing w:before="10" w:after="10"/>
        <w:ind w:firstLine="640"/>
        <w:outlineLvl w:val="5"/>
      </w:pPr>
      <w:r>
        <w:rPr>
          <w:rFonts w:ascii="黑体" w:hAnsi="黑体" w:eastAsia="黑体" w:cs="黑体"/>
          <w:color w:val="000000"/>
          <w:sz w:val="32"/>
        </w:rPr>
        <w:t>三、机关运行经费安排情况</w:t>
      </w:r>
    </w:p>
    <w:p>
      <w:pPr>
        <w:pStyle w:val="20"/>
      </w:pPr>
      <w:r>
        <w:rPr>
          <w:rFonts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年机关运行经费</w:t>
      </w:r>
      <w:r>
        <w:rPr>
          <w:rFonts w:hint="eastAsia" w:ascii="仿宋_GB2312" w:eastAsia="仿宋_GB2312"/>
          <w:sz w:val="32"/>
          <w:szCs w:val="32"/>
          <w:lang w:val="en-US" w:eastAsia="zh-CN"/>
        </w:rPr>
        <w:t>9.53</w:t>
      </w:r>
      <w:r>
        <w:rPr>
          <w:rFonts w:hint="eastAsia" w:ascii="仿宋_GB2312" w:eastAsia="仿宋_GB2312"/>
          <w:sz w:val="32"/>
          <w:szCs w:val="32"/>
        </w:rPr>
        <w:t>万元。包括：办公费</w:t>
      </w:r>
      <w:r>
        <w:rPr>
          <w:rFonts w:ascii="仿宋_GB2312" w:eastAsia="仿宋_GB2312"/>
          <w:sz w:val="32"/>
          <w:szCs w:val="32"/>
        </w:rPr>
        <w:t>1.65</w:t>
      </w:r>
      <w:r>
        <w:rPr>
          <w:rFonts w:hint="eastAsia" w:ascii="仿宋_GB2312" w:eastAsia="仿宋_GB2312"/>
          <w:sz w:val="32"/>
          <w:szCs w:val="32"/>
        </w:rPr>
        <w:t>万元、邮电费</w:t>
      </w:r>
      <w:r>
        <w:rPr>
          <w:rFonts w:ascii="仿宋_GB2312" w:eastAsia="仿宋_GB2312"/>
          <w:sz w:val="32"/>
          <w:szCs w:val="32"/>
        </w:rPr>
        <w:t>1.5</w:t>
      </w:r>
      <w:r>
        <w:rPr>
          <w:rFonts w:hint="eastAsia" w:ascii="仿宋_GB2312" w:eastAsia="仿宋_GB2312"/>
          <w:sz w:val="32"/>
          <w:szCs w:val="32"/>
        </w:rPr>
        <w:t>万元、维修（护）费</w:t>
      </w:r>
      <w:r>
        <w:rPr>
          <w:rFonts w:ascii="仿宋_GB2312" w:eastAsia="仿宋_GB2312"/>
          <w:sz w:val="32"/>
          <w:szCs w:val="32"/>
        </w:rPr>
        <w:t>0.</w:t>
      </w:r>
      <w:r>
        <w:rPr>
          <w:rFonts w:hint="eastAsia" w:ascii="仿宋_GB2312" w:eastAsia="仿宋_GB2312"/>
          <w:sz w:val="32"/>
          <w:szCs w:val="32"/>
          <w:lang w:val="en-US" w:eastAsia="zh-CN"/>
        </w:rPr>
        <w:t>5</w:t>
      </w:r>
      <w:r>
        <w:rPr>
          <w:rFonts w:hint="eastAsia" w:ascii="仿宋_GB2312" w:eastAsia="仿宋_GB2312"/>
          <w:sz w:val="32"/>
          <w:szCs w:val="32"/>
        </w:rPr>
        <w:t>万元、公务用车运行维护费</w:t>
      </w:r>
      <w:r>
        <w:rPr>
          <w:rFonts w:hint="eastAsia" w:ascii="仿宋_GB2312" w:eastAsia="仿宋_GB2312"/>
          <w:sz w:val="32"/>
          <w:szCs w:val="32"/>
          <w:lang w:val="en-US" w:eastAsia="zh-CN"/>
        </w:rPr>
        <w:t>3</w:t>
      </w:r>
      <w:r>
        <w:rPr>
          <w:rFonts w:hint="eastAsia" w:ascii="仿宋_GB2312" w:eastAsia="仿宋_GB2312"/>
          <w:sz w:val="32"/>
          <w:szCs w:val="32"/>
        </w:rPr>
        <w:t>万元、租赁费</w:t>
      </w:r>
      <w:r>
        <w:rPr>
          <w:rFonts w:ascii="仿宋_GB2312" w:eastAsia="仿宋_GB2312"/>
          <w:sz w:val="32"/>
          <w:szCs w:val="32"/>
        </w:rPr>
        <w:t>1</w:t>
      </w:r>
      <w:r>
        <w:rPr>
          <w:rFonts w:hint="eastAsia" w:ascii="仿宋_GB2312" w:eastAsia="仿宋_GB2312"/>
          <w:sz w:val="32"/>
          <w:szCs w:val="32"/>
        </w:rPr>
        <w:t>万元、其他</w:t>
      </w:r>
      <w:r>
        <w:rPr>
          <w:rFonts w:ascii="仿宋_GB2312" w:eastAsia="仿宋_GB2312"/>
          <w:sz w:val="32"/>
          <w:szCs w:val="32"/>
        </w:rPr>
        <w:t>0.11</w:t>
      </w:r>
      <w:r>
        <w:rPr>
          <w:rFonts w:hint="eastAsia" w:ascii="仿宋_GB2312" w:eastAsia="仿宋_GB2312"/>
          <w:sz w:val="32"/>
          <w:szCs w:val="32"/>
        </w:rPr>
        <w:t>万元、培训费</w:t>
      </w:r>
      <w:r>
        <w:rPr>
          <w:rFonts w:ascii="仿宋_GB2312" w:eastAsia="仿宋_GB2312"/>
          <w:sz w:val="32"/>
          <w:szCs w:val="32"/>
        </w:rPr>
        <w:t>0.1</w:t>
      </w:r>
      <w:r>
        <w:rPr>
          <w:rFonts w:hint="eastAsia" w:ascii="仿宋_GB2312" w:eastAsia="仿宋_GB2312"/>
          <w:sz w:val="32"/>
          <w:szCs w:val="32"/>
        </w:rPr>
        <w:t>万元、工会经费</w:t>
      </w:r>
      <w:r>
        <w:rPr>
          <w:rFonts w:ascii="仿宋_GB2312" w:eastAsia="仿宋_GB2312"/>
          <w:sz w:val="32"/>
          <w:szCs w:val="32"/>
        </w:rPr>
        <w:t>1.</w:t>
      </w:r>
      <w:r>
        <w:rPr>
          <w:rFonts w:hint="eastAsia" w:ascii="仿宋_GB2312" w:eastAsia="仿宋_GB2312"/>
          <w:sz w:val="32"/>
          <w:szCs w:val="32"/>
          <w:lang w:val="en-US" w:eastAsia="zh-CN"/>
        </w:rPr>
        <w:t>67</w:t>
      </w:r>
      <w:r>
        <w:rPr>
          <w:rFonts w:hint="eastAsia" w:ascii="仿宋_GB2312" w:eastAsia="仿宋_GB2312"/>
          <w:sz w:val="32"/>
          <w:szCs w:val="32"/>
        </w:rPr>
        <w:t>万元。对比</w:t>
      </w:r>
      <w:r>
        <w:rPr>
          <w:rFonts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w:t>
      </w:r>
      <w:r>
        <w:rPr>
          <w:rFonts w:hint="eastAsia" w:ascii="仿宋_GB2312" w:eastAsia="仿宋_GB2312"/>
          <w:sz w:val="32"/>
          <w:szCs w:val="32"/>
          <w:lang w:eastAsia="zh-CN"/>
        </w:rPr>
        <w:t>减少</w:t>
      </w:r>
      <w:r>
        <w:rPr>
          <w:rFonts w:hint="eastAsia" w:ascii="仿宋_GB2312" w:eastAsia="仿宋_GB2312"/>
          <w:sz w:val="32"/>
          <w:szCs w:val="32"/>
          <w:lang w:val="en-US" w:eastAsia="zh-CN"/>
        </w:rPr>
        <w:t>13.83%，原因：</w:t>
      </w:r>
      <w:r>
        <w:rPr>
          <w:rFonts w:hint="eastAsia" w:ascii="仿宋_GB2312" w:eastAsia="仿宋_GB2312"/>
          <w:sz w:val="32"/>
          <w:szCs w:val="32"/>
        </w:rPr>
        <w:t>公务用车运行维护费</w:t>
      </w:r>
      <w:r>
        <w:rPr>
          <w:rFonts w:hint="eastAsia" w:ascii="仿宋_GB2312" w:eastAsia="仿宋_GB2312"/>
          <w:sz w:val="32"/>
          <w:szCs w:val="32"/>
          <w:lang w:eastAsia="zh-CN"/>
        </w:rPr>
        <w:t>减少，</w:t>
      </w:r>
      <w:r>
        <w:rPr>
          <w:rFonts w:hint="eastAsia" w:ascii="仿宋_GB2312" w:eastAsia="仿宋_GB2312"/>
          <w:sz w:val="32"/>
          <w:szCs w:val="32"/>
        </w:rPr>
        <w:t>工会经费</w:t>
      </w:r>
      <w:r>
        <w:rPr>
          <w:rFonts w:hint="eastAsia" w:ascii="仿宋_GB2312" w:eastAsia="仿宋_GB2312"/>
          <w:sz w:val="32"/>
          <w:szCs w:val="32"/>
          <w:lang w:eastAsia="zh-CN"/>
        </w:rPr>
        <w:t>减少</w:t>
      </w:r>
      <w:r>
        <w:rPr>
          <w:rFonts w:hint="eastAsia" w:ascii="仿宋_GB2312" w:eastAsia="仿宋_GB2312"/>
          <w:sz w:val="32"/>
          <w:szCs w:val="32"/>
          <w:lang w:val="en-US" w:eastAsia="zh-CN"/>
        </w:rPr>
        <w:t>。</w:t>
      </w:r>
    </w:p>
    <w:p>
      <w:pPr>
        <w:spacing w:before="10" w:after="10"/>
        <w:ind w:firstLine="640"/>
        <w:outlineLvl w:val="5"/>
      </w:pPr>
      <w:r>
        <w:rPr>
          <w:rFonts w:ascii="黑体" w:hAnsi="黑体" w:eastAsia="黑体" w:cs="黑体"/>
          <w:color w:val="000000"/>
          <w:sz w:val="32"/>
        </w:rPr>
        <w:t>四、财政拨款“三公”经费预算情况及增减变化原因</w:t>
      </w:r>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年我部门“三公”经费预算安排</w:t>
      </w:r>
      <w:r>
        <w:rPr>
          <w:rFonts w:hint="eastAsia" w:ascii="仿宋_GB2312" w:eastAsia="仿宋_GB2312"/>
          <w:sz w:val="32"/>
          <w:szCs w:val="32"/>
          <w:lang w:val="en-US" w:eastAsia="zh-CN"/>
        </w:rPr>
        <w:t>3</w:t>
      </w:r>
      <w:r>
        <w:rPr>
          <w:rFonts w:hint="eastAsia" w:ascii="仿宋_GB2312" w:eastAsia="仿宋_GB2312"/>
          <w:sz w:val="32"/>
          <w:szCs w:val="32"/>
        </w:rPr>
        <w:t>万元。具体情况如下：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w:t>
      </w:r>
      <w:r>
        <w:rPr>
          <w:rFonts w:hint="eastAsia" w:ascii="仿宋_GB2312" w:eastAsia="仿宋_GB2312"/>
          <w:sz w:val="32"/>
          <w:szCs w:val="32"/>
          <w:lang w:val="en-US" w:eastAsia="zh-CN"/>
        </w:rPr>
        <w:t>0</w:t>
      </w:r>
      <w:r>
        <w:rPr>
          <w:rFonts w:hint="eastAsia" w:ascii="仿宋_GB2312" w:eastAsia="仿宋_GB2312"/>
          <w:sz w:val="32"/>
          <w:szCs w:val="32"/>
        </w:rPr>
        <w:t>万元。</w:t>
      </w:r>
    </w:p>
    <w:p>
      <w:pPr>
        <w:ind w:firstLine="630"/>
        <w:rPr>
          <w:rFonts w:hint="eastAsia" w:ascii="仿宋_GB2312" w:eastAsia="仿宋_GB2312"/>
          <w:sz w:val="32"/>
          <w:szCs w:val="32"/>
          <w:lang w:val="en-US" w:eastAsia="zh-CN"/>
        </w:rPr>
      </w:pPr>
      <w:r>
        <w:rPr>
          <w:rFonts w:ascii="仿宋_GB2312" w:eastAsia="仿宋_GB2312"/>
          <w:sz w:val="32"/>
          <w:szCs w:val="32"/>
        </w:rPr>
        <w:t>1.</w:t>
      </w:r>
      <w:r>
        <w:rPr>
          <w:rFonts w:hint="eastAsia" w:ascii="仿宋_GB2312" w:eastAsia="仿宋_GB2312"/>
          <w:sz w:val="32"/>
          <w:szCs w:val="32"/>
        </w:rPr>
        <w:t>公务用车购置安排</w:t>
      </w:r>
      <w:r>
        <w:rPr>
          <w:rFonts w:hint="eastAsia" w:ascii="仿宋_GB2312" w:eastAsia="仿宋_GB2312"/>
          <w:sz w:val="32"/>
          <w:szCs w:val="32"/>
          <w:lang w:val="en-US" w:eastAsia="zh-CN"/>
        </w:rPr>
        <w:t>0</w:t>
      </w:r>
      <w:r>
        <w:rPr>
          <w:rFonts w:hint="eastAsia" w:ascii="仿宋_GB2312" w:eastAsia="仿宋_GB2312"/>
          <w:sz w:val="32"/>
          <w:szCs w:val="32"/>
        </w:rPr>
        <w:t>万元，与</w:t>
      </w:r>
      <w:r>
        <w:rPr>
          <w:rFonts w:hint="eastAsia" w:ascii="仿宋_GB2312" w:eastAsia="仿宋_GB2312"/>
          <w:sz w:val="32"/>
          <w:szCs w:val="32"/>
          <w:lang w:val="en-US" w:eastAsia="zh-CN"/>
        </w:rPr>
        <w:t>2022年相比减少15万元</w:t>
      </w:r>
      <w:r>
        <w:rPr>
          <w:rFonts w:hint="eastAsia" w:ascii="仿宋_GB2312" w:eastAsia="仿宋_GB2312"/>
          <w:sz w:val="32"/>
          <w:szCs w:val="32"/>
        </w:rPr>
        <w:t>。</w:t>
      </w:r>
      <w:r>
        <w:rPr>
          <w:rFonts w:hint="eastAsia" w:ascii="仿宋_GB2312" w:eastAsia="仿宋_GB2312"/>
          <w:sz w:val="32"/>
          <w:szCs w:val="32"/>
          <w:lang w:eastAsia="zh-CN"/>
        </w:rPr>
        <w:t>主要原因为今年无新车购置安排。</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公务用车运行维护经费共计安排</w:t>
      </w:r>
      <w:r>
        <w:rPr>
          <w:rFonts w:hint="eastAsia" w:ascii="仿宋_GB2312" w:eastAsia="仿宋_GB2312"/>
          <w:sz w:val="32"/>
          <w:szCs w:val="32"/>
          <w:lang w:val="en-US" w:eastAsia="zh-CN"/>
        </w:rPr>
        <w:t>3</w:t>
      </w:r>
      <w:r>
        <w:rPr>
          <w:rFonts w:hint="eastAsia" w:ascii="仿宋_GB2312" w:eastAsia="仿宋_GB2312"/>
          <w:sz w:val="32"/>
          <w:szCs w:val="32"/>
        </w:rPr>
        <w:t>万元，</w:t>
      </w:r>
      <w:r>
        <w:rPr>
          <w:rFonts w:hint="eastAsia" w:ascii="仿宋_GB2312" w:eastAsia="仿宋_GB2312"/>
          <w:sz w:val="32"/>
          <w:szCs w:val="32"/>
          <w:lang w:eastAsia="zh-CN"/>
        </w:rPr>
        <w:t>对比</w:t>
      </w:r>
      <w:r>
        <w:rPr>
          <w:rFonts w:hint="eastAsia" w:ascii="仿宋_GB2312" w:eastAsia="仿宋_GB2312"/>
          <w:sz w:val="32"/>
          <w:szCs w:val="32"/>
        </w:rPr>
        <w:t>上年</w:t>
      </w:r>
      <w:r>
        <w:rPr>
          <w:rFonts w:hint="eastAsia" w:ascii="仿宋_GB2312" w:eastAsia="仿宋_GB2312"/>
          <w:sz w:val="32"/>
          <w:szCs w:val="32"/>
          <w:lang w:eastAsia="zh-CN"/>
        </w:rPr>
        <w:t>减少</w:t>
      </w:r>
      <w:r>
        <w:rPr>
          <w:rFonts w:hint="eastAsia" w:ascii="仿宋_GB2312" w:eastAsia="仿宋_GB2312"/>
          <w:sz w:val="32"/>
          <w:szCs w:val="32"/>
          <w:lang w:val="en-US" w:eastAsia="zh-CN"/>
        </w:rPr>
        <w:t>1.5万元</w:t>
      </w:r>
      <w:r>
        <w:rPr>
          <w:rFonts w:hint="eastAsia" w:ascii="仿宋" w:hAnsi="仿宋" w:eastAsia="仿宋" w:cs="仿宋_GB2312"/>
          <w:sz w:val="32"/>
          <w:szCs w:val="32"/>
        </w:rPr>
        <w:t>。</w:t>
      </w:r>
      <w:r>
        <w:rPr>
          <w:rFonts w:hint="eastAsia" w:ascii="仿宋_GB2312" w:eastAsia="仿宋_GB2312"/>
          <w:sz w:val="32"/>
          <w:szCs w:val="32"/>
          <w:lang w:eastAsia="zh-CN"/>
        </w:rPr>
        <w:t>主要原因</w:t>
      </w:r>
      <w:r>
        <w:rPr>
          <w:rFonts w:hint="eastAsia" w:ascii="仿宋_GB2312" w:eastAsia="仿宋_GB2312"/>
          <w:sz w:val="32"/>
          <w:szCs w:val="32"/>
          <w:lang w:val="en-US" w:eastAsia="zh-CN"/>
        </w:rPr>
        <w:t>为认真落实党政机关厉行节约，反对浪费条例规定从严控制支出。</w:t>
      </w:r>
    </w:p>
    <w:p>
      <w:pPr>
        <w:ind w:firstLine="640" w:firstLineChars="200"/>
        <w:rPr>
          <w:rFonts w:hint="eastAsia" w:eastAsia="仿宋_GB2312"/>
          <w:lang w:eastAsia="zh-CN"/>
        </w:rPr>
      </w:pPr>
      <w:r>
        <w:rPr>
          <w:rFonts w:hint="eastAsia" w:ascii="仿宋_GB2312" w:eastAsia="仿宋_GB2312"/>
          <w:sz w:val="32"/>
          <w:szCs w:val="32"/>
        </w:rPr>
        <w:t>（三）因公出国（境）费安排</w:t>
      </w:r>
      <w:r>
        <w:rPr>
          <w:rFonts w:ascii="仿宋_GB2312" w:eastAsia="仿宋_GB2312"/>
          <w:sz w:val="32"/>
          <w:szCs w:val="32"/>
        </w:rPr>
        <w:t>0</w:t>
      </w:r>
      <w:r>
        <w:rPr>
          <w:rFonts w:hint="eastAsia" w:ascii="仿宋_GB2312" w:eastAsia="仿宋_GB2312"/>
          <w:sz w:val="32"/>
          <w:szCs w:val="32"/>
        </w:rPr>
        <w:t>万元，与上年持平。</w:t>
      </w:r>
      <w:r>
        <w:rPr>
          <w:rFonts w:hint="eastAsia" w:ascii="仿宋_GB2312" w:eastAsia="仿宋_GB2312"/>
          <w:sz w:val="32"/>
          <w:szCs w:val="32"/>
          <w:lang w:eastAsia="zh-CN"/>
        </w:rPr>
        <w:t>原因无</w:t>
      </w:r>
      <w:r>
        <w:rPr>
          <w:rFonts w:hint="eastAsia" w:ascii="仿宋_GB2312" w:eastAsia="仿宋_GB2312"/>
          <w:sz w:val="32"/>
          <w:szCs w:val="32"/>
        </w:rPr>
        <w:t>因公出国（境）费</w:t>
      </w:r>
      <w:r>
        <w:rPr>
          <w:rFonts w:hint="eastAsia" w:ascii="仿宋_GB2312" w:eastAsia="仿宋_GB2312"/>
          <w:sz w:val="32"/>
          <w:szCs w:val="32"/>
          <w:lang w:eastAsia="zh-CN"/>
        </w:rPr>
        <w:t>计划。</w:t>
      </w:r>
    </w:p>
    <w:p>
      <w:pPr>
        <w:ind w:firstLine="420" w:firstLineChars="200"/>
      </w:pPr>
    </w:p>
    <w:p>
      <w:pPr>
        <w:spacing w:before="10" w:after="10"/>
        <w:ind w:firstLine="640" w:firstLineChars="200"/>
        <w:outlineLvl w:val="5"/>
        <w:rPr>
          <w:rFonts w:ascii="黑体" w:hAnsi="黑体" w:eastAsia="黑体" w:cs="黑体"/>
          <w:color w:val="000000"/>
          <w:sz w:val="32"/>
        </w:rPr>
      </w:pPr>
      <w:r>
        <w:rPr>
          <w:rFonts w:ascii="黑体" w:hAnsi="黑体" w:eastAsia="黑体" w:cs="黑体"/>
          <w:color w:val="000000"/>
          <w:sz w:val="32"/>
        </w:rPr>
        <w:t>五、预算绩效信息</w:t>
      </w:r>
    </w:p>
    <w:p>
      <w:pPr>
        <w:spacing w:before="10" w:after="10"/>
        <w:ind w:firstLine="640" w:firstLineChars="200"/>
        <w:outlineLvl w:val="5"/>
        <w:rPr>
          <w:rFonts w:ascii="黑体" w:hAnsi="黑体" w:eastAsia="黑体" w:cs="黑体"/>
          <w:color w:val="000000"/>
          <w:sz w:val="32"/>
        </w:rPr>
      </w:pPr>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群众上访接待率达到100%，疑难重点信访问题向县级分管领导呈报。及时办理中央、省、市三级交办信访事项,办结率达到100%。区级领导批示信访案件办结率达到100%。网上信访案件办理的及时受理率和按期答复率达到95%以上。</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加强对《信访</w:t>
      </w:r>
      <w:r>
        <w:rPr>
          <w:rFonts w:hint="eastAsia" w:ascii="仿宋" w:hAnsi="仿宋" w:eastAsia="仿宋" w:cs="仿宋"/>
          <w:sz w:val="32"/>
          <w:szCs w:val="32"/>
          <w:lang w:eastAsia="zh-CN"/>
        </w:rPr>
        <w:t>工作</w:t>
      </w:r>
      <w:r>
        <w:rPr>
          <w:rFonts w:hint="eastAsia" w:ascii="仿宋" w:hAnsi="仿宋" w:eastAsia="仿宋" w:cs="仿宋"/>
          <w:sz w:val="32"/>
          <w:szCs w:val="32"/>
        </w:rPr>
        <w:t>条例》的学习、宣传和贯彻落实。</w:t>
      </w:r>
    </w:p>
    <w:p>
      <w:pPr>
        <w:ind w:firstLine="640" w:firstLineChars="200"/>
      </w:pPr>
      <w:r>
        <w:rPr>
          <w:rFonts w:hint="eastAsia" w:ascii="仿宋" w:hAnsi="仿宋" w:eastAsia="仿宋" w:cs="仿宋"/>
          <w:sz w:val="32"/>
          <w:szCs w:val="32"/>
        </w:rPr>
        <w:t>我中心认真抓好全体党员干部对《信访</w:t>
      </w:r>
      <w:r>
        <w:rPr>
          <w:rFonts w:hint="eastAsia" w:ascii="仿宋" w:hAnsi="仿宋" w:eastAsia="仿宋" w:cs="仿宋"/>
          <w:sz w:val="32"/>
          <w:szCs w:val="32"/>
          <w:lang w:eastAsia="zh-CN"/>
        </w:rPr>
        <w:t>工作</w:t>
      </w:r>
      <w:r>
        <w:rPr>
          <w:rFonts w:hint="eastAsia" w:ascii="仿宋" w:hAnsi="仿宋" w:eastAsia="仿宋" w:cs="仿宋"/>
          <w:sz w:val="32"/>
          <w:szCs w:val="32"/>
        </w:rPr>
        <w:t>条例》及相关政策法规的学习。通过学习，了解信访案件受理、直接转送、办理、复查和复核等制度及相应的期限，明确法律责任。</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line="580" w:lineRule="exact"/>
        <w:ind w:firstLine="640" w:firstLineChars="200"/>
        <w:rPr>
          <w:rFonts w:hint="eastAsia" w:ascii="仿宋" w:hAnsi="仿宋" w:eastAsia="仿宋" w:cs="仿宋"/>
          <w:b/>
          <w:bCs/>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绩效目标：</w:t>
      </w:r>
      <w:r>
        <w:rPr>
          <w:rFonts w:hint="eastAsia" w:ascii="仿宋" w:hAnsi="仿宋" w:eastAsia="仿宋" w:cs="仿宋"/>
          <w:sz w:val="32"/>
          <w:szCs w:val="32"/>
          <w:lang w:val="en-US" w:eastAsia="zh-CN"/>
        </w:rPr>
        <w:t>组织开展信访重复访化解,对未息诉罢访的信访案件进行梳理,分类建立台账,明确领导包案,落实化解责任,加强协调调度,实行挂账督办,着力清除老案，努力减少信访存量。推进我区领导干部包案督访常态化,确保每个信访事项做到“三个一”(一个办结时限、一套办理纪要、一个办结报告)</w:t>
      </w:r>
      <w:r>
        <w:rPr>
          <w:rFonts w:hint="eastAsia" w:ascii="仿宋" w:hAnsi="仿宋" w:eastAsia="仿宋" w:cs="仿宋"/>
          <w:color w:val="0000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Cs/>
          <w:sz w:val="32"/>
          <w:szCs w:val="32"/>
        </w:rPr>
        <w:t>绩效指标：</w:t>
      </w:r>
      <w:r>
        <w:rPr>
          <w:rFonts w:hint="eastAsia" w:ascii="仿宋" w:hAnsi="仿宋" w:eastAsia="仿宋" w:cs="仿宋"/>
          <w:sz w:val="32"/>
          <w:szCs w:val="32"/>
        </w:rPr>
        <w:t>结合我区实际，按照党工委、管委会要求，充分认识“两会”期间等</w:t>
      </w:r>
      <w:r>
        <w:rPr>
          <w:rFonts w:hint="eastAsia" w:ascii="仿宋" w:hAnsi="仿宋" w:eastAsia="仿宋" w:cs="仿宋"/>
          <w:sz w:val="32"/>
          <w:szCs w:val="32"/>
          <w:lang w:eastAsia="zh-CN"/>
        </w:rPr>
        <w:t>重点</w:t>
      </w:r>
      <w:r>
        <w:rPr>
          <w:rFonts w:hint="eastAsia" w:ascii="仿宋" w:hAnsi="仿宋" w:eastAsia="仿宋" w:cs="仿宋"/>
          <w:sz w:val="32"/>
          <w:szCs w:val="32"/>
        </w:rPr>
        <w:t>敏感时期维稳工作的重要性，深入开展矛盾纠纷化解及重点人稳控工作。</w:t>
      </w:r>
      <w:r>
        <w:rPr>
          <w:rFonts w:hint="eastAsia" w:ascii="仿宋" w:hAnsi="仿宋" w:eastAsia="仿宋" w:cs="仿宋"/>
          <w:sz w:val="32"/>
          <w:szCs w:val="32"/>
          <w:lang w:val="en-US" w:eastAsia="zh-CN"/>
        </w:rPr>
        <w:t>坚持公开接访、重点约访、带案下访相结合,及时解决各类信访问题;做到信访苗头及隐患排查调处工作,排查率100%。</w:t>
      </w:r>
    </w:p>
    <w:p>
      <w:pPr>
        <w:spacing w:line="580" w:lineRule="exact"/>
        <w:ind w:firstLine="640" w:firstLineChars="200"/>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绩效目标：</w:t>
      </w:r>
      <w:r>
        <w:rPr>
          <w:rFonts w:hint="eastAsia" w:ascii="仿宋" w:hAnsi="仿宋" w:eastAsia="仿宋" w:cs="仿宋"/>
          <w:bCs/>
          <w:sz w:val="32"/>
          <w:szCs w:val="32"/>
        </w:rPr>
        <w:t>确保</w:t>
      </w:r>
      <w:r>
        <w:rPr>
          <w:rFonts w:hint="eastAsia" w:ascii="仿宋" w:hAnsi="仿宋" w:eastAsia="仿宋" w:cs="仿宋"/>
          <w:bCs/>
          <w:sz w:val="32"/>
          <w:szCs w:val="32"/>
          <w:lang w:eastAsia="zh-CN"/>
        </w:rPr>
        <w:t>信访</w:t>
      </w:r>
      <w:r>
        <w:rPr>
          <w:rFonts w:hint="eastAsia" w:ascii="仿宋" w:hAnsi="仿宋" w:eastAsia="仿宋" w:cs="仿宋"/>
          <w:bCs/>
          <w:sz w:val="32"/>
          <w:szCs w:val="32"/>
        </w:rPr>
        <w:t>工作顺利开展，组织开展 “</w:t>
      </w:r>
      <w:r>
        <w:rPr>
          <w:rFonts w:hint="eastAsia" w:ascii="仿宋" w:hAnsi="仿宋" w:eastAsia="仿宋" w:cs="仿宋"/>
          <w:bCs/>
          <w:sz w:val="32"/>
          <w:szCs w:val="32"/>
          <w:lang w:eastAsia="zh-CN"/>
        </w:rPr>
        <w:t>信访工作条例</w:t>
      </w:r>
      <w:r>
        <w:rPr>
          <w:rFonts w:hint="eastAsia" w:ascii="仿宋" w:hAnsi="仿宋" w:eastAsia="仿宋" w:cs="仿宋"/>
          <w:bCs/>
          <w:sz w:val="32"/>
          <w:szCs w:val="32"/>
        </w:rPr>
        <w:t>”宣传活动。</w:t>
      </w:r>
    </w:p>
    <w:p>
      <w:pPr>
        <w:spacing w:line="580" w:lineRule="exact"/>
        <w:ind w:firstLine="640" w:firstLineChars="200"/>
      </w:pPr>
      <w:r>
        <w:rPr>
          <w:rFonts w:hint="eastAsia" w:ascii="仿宋" w:hAnsi="仿宋" w:eastAsia="仿宋" w:cs="仿宋"/>
          <w:bCs/>
          <w:sz w:val="32"/>
          <w:szCs w:val="32"/>
        </w:rPr>
        <w:t>绩效指标：深入开展</w:t>
      </w:r>
      <w:r>
        <w:rPr>
          <w:rFonts w:hint="eastAsia" w:ascii="仿宋" w:hAnsi="仿宋" w:eastAsia="仿宋" w:cs="仿宋"/>
          <w:bCs/>
          <w:sz w:val="32"/>
          <w:szCs w:val="32"/>
          <w:lang w:eastAsia="zh-CN"/>
        </w:rPr>
        <w:t>《信访工作条例》</w:t>
      </w:r>
      <w:r>
        <w:rPr>
          <w:rFonts w:hint="eastAsia" w:ascii="仿宋" w:hAnsi="仿宋" w:eastAsia="仿宋" w:cs="仿宋"/>
          <w:bCs/>
          <w:sz w:val="32"/>
          <w:szCs w:val="32"/>
        </w:rPr>
        <w:t>宣传教育活动，</w:t>
      </w:r>
      <w:r>
        <w:rPr>
          <w:rFonts w:hint="eastAsia" w:ascii="仿宋" w:hAnsi="仿宋" w:eastAsia="仿宋" w:cs="仿宋"/>
          <w:bCs/>
          <w:sz w:val="32"/>
          <w:szCs w:val="32"/>
          <w:lang w:eastAsia="zh-CN"/>
        </w:rPr>
        <w:t>《信访工作条例》</w:t>
      </w:r>
      <w:r>
        <w:rPr>
          <w:rFonts w:hint="eastAsia" w:ascii="仿宋" w:hAnsi="仿宋" w:eastAsia="仿宋" w:cs="仿宋"/>
          <w:bCs/>
          <w:sz w:val="32"/>
          <w:szCs w:val="32"/>
        </w:rPr>
        <w:t>宣传到千</w:t>
      </w:r>
      <w:r>
        <w:rPr>
          <w:rFonts w:hint="eastAsia" w:ascii="仿宋" w:hAnsi="仿宋" w:eastAsia="仿宋" w:cs="仿宋"/>
          <w:sz w:val="32"/>
          <w:szCs w:val="32"/>
        </w:rPr>
        <w:t>家万户。通过发放宣传</w:t>
      </w:r>
      <w:r>
        <w:rPr>
          <w:rFonts w:hint="eastAsia" w:ascii="仿宋" w:hAnsi="仿宋" w:eastAsia="仿宋" w:cs="仿宋"/>
          <w:sz w:val="32"/>
          <w:szCs w:val="32"/>
          <w:lang w:eastAsia="zh-CN"/>
        </w:rPr>
        <w:t>册</w:t>
      </w:r>
      <w:r>
        <w:rPr>
          <w:rFonts w:hint="eastAsia" w:ascii="仿宋" w:hAnsi="仿宋" w:eastAsia="仿宋" w:cs="仿宋"/>
          <w:sz w:val="32"/>
          <w:szCs w:val="32"/>
        </w:rPr>
        <w:t>，悬挂宣传横幅</w:t>
      </w:r>
      <w:r>
        <w:rPr>
          <w:rFonts w:hint="eastAsia" w:ascii="仿宋" w:hAnsi="仿宋" w:eastAsia="仿宋" w:cs="仿宋"/>
          <w:sz w:val="32"/>
          <w:szCs w:val="32"/>
          <w:lang w:eastAsia="zh-CN"/>
        </w:rPr>
        <w:t>等形式</w:t>
      </w:r>
      <w:r>
        <w:rPr>
          <w:rFonts w:hint="eastAsia" w:ascii="仿宋" w:hAnsi="仿宋" w:eastAsia="仿宋" w:cs="仿宋"/>
          <w:sz w:val="32"/>
          <w:szCs w:val="32"/>
        </w:rPr>
        <w:t>，使</w:t>
      </w:r>
      <w:r>
        <w:rPr>
          <w:rFonts w:hint="eastAsia" w:ascii="仿宋" w:hAnsi="仿宋" w:eastAsia="仿宋" w:cs="仿宋"/>
          <w:sz w:val="32"/>
          <w:szCs w:val="32"/>
          <w:lang w:val="zh-CN"/>
        </w:rPr>
        <w:t>广大群众增强法律意识，</w:t>
      </w:r>
      <w:r>
        <w:rPr>
          <w:rFonts w:hint="eastAsia" w:ascii="仿宋" w:hAnsi="仿宋" w:eastAsia="仿宋" w:cs="仿宋"/>
          <w:sz w:val="32"/>
          <w:szCs w:val="32"/>
        </w:rPr>
        <w:t>做好相关涉及到多种领域</w:t>
      </w:r>
      <w:r>
        <w:rPr>
          <w:rFonts w:hint="eastAsia" w:ascii="仿宋" w:hAnsi="仿宋" w:eastAsia="仿宋" w:cs="仿宋"/>
          <w:sz w:val="32"/>
          <w:szCs w:val="32"/>
          <w:lang w:eastAsia="zh-CN"/>
        </w:rPr>
        <w:t>信访</w:t>
      </w:r>
      <w:r>
        <w:rPr>
          <w:rFonts w:hint="eastAsia" w:ascii="仿宋" w:hAnsi="仿宋" w:eastAsia="仿宋" w:cs="仿宋"/>
          <w:sz w:val="32"/>
          <w:szCs w:val="32"/>
        </w:rPr>
        <w:t>隐患</w:t>
      </w:r>
      <w:r>
        <w:rPr>
          <w:rFonts w:hint="eastAsia" w:ascii="仿宋" w:hAnsi="仿宋" w:eastAsia="仿宋" w:cs="仿宋"/>
          <w:sz w:val="32"/>
          <w:szCs w:val="32"/>
          <w:lang w:eastAsia="zh-CN"/>
        </w:rPr>
        <w:t>的</w:t>
      </w:r>
      <w:r>
        <w:rPr>
          <w:rFonts w:hint="eastAsia" w:ascii="仿宋" w:hAnsi="仿宋" w:eastAsia="仿宋" w:cs="仿宋"/>
          <w:sz w:val="32"/>
          <w:szCs w:val="32"/>
        </w:rPr>
        <w:t>排查工作，把隐患降到最低，争取辖区内不出现</w:t>
      </w:r>
      <w:r>
        <w:rPr>
          <w:rFonts w:hint="eastAsia" w:ascii="仿宋" w:hAnsi="仿宋" w:eastAsia="仿宋" w:cs="仿宋"/>
          <w:sz w:val="32"/>
          <w:szCs w:val="32"/>
          <w:lang w:eastAsia="zh-CN"/>
        </w:rPr>
        <w:t>大规模</w:t>
      </w:r>
      <w:r>
        <w:rPr>
          <w:rFonts w:hint="eastAsia" w:ascii="仿宋" w:hAnsi="仿宋" w:eastAsia="仿宋" w:cs="仿宋"/>
          <w:sz w:val="32"/>
          <w:szCs w:val="32"/>
        </w:rPr>
        <w:t>群体性</w:t>
      </w:r>
      <w:r>
        <w:rPr>
          <w:rFonts w:hint="eastAsia" w:ascii="仿宋" w:hAnsi="仿宋" w:eastAsia="仿宋" w:cs="仿宋"/>
          <w:sz w:val="32"/>
          <w:szCs w:val="32"/>
          <w:lang w:eastAsia="zh-CN"/>
        </w:rPr>
        <w:t>上访。</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spacing w:line="600" w:lineRule="exact"/>
        <w:ind w:firstLine="640" w:firstLineChars="200"/>
        <w:rPr>
          <w:rFonts w:eastAsia="仿宋_GB2312"/>
          <w:b/>
          <w:bCs/>
          <w:sz w:val="32"/>
          <w:szCs w:val="32"/>
        </w:rPr>
      </w:pPr>
      <w:r>
        <w:rPr>
          <w:rFonts w:hint="eastAsia" w:eastAsia="楷体_GB2312"/>
          <w:sz w:val="32"/>
          <w:szCs w:val="32"/>
        </w:rPr>
        <w:t>1、</w:t>
      </w:r>
      <w:r>
        <w:rPr>
          <w:rFonts w:eastAsia="楷体_GB2312"/>
          <w:sz w:val="32"/>
          <w:szCs w:val="32"/>
        </w:rPr>
        <w:t>强化组织推动。</w:t>
      </w:r>
      <w:r>
        <w:rPr>
          <w:rFonts w:eastAsia="仿宋_GB2312"/>
          <w:sz w:val="32"/>
          <w:szCs w:val="32"/>
        </w:rPr>
        <w:t>成立由局主要领导任组长的预算绩效工作领导小组，下设预算绩效工作领导小组办公室，围绕年度总体绩效目标和分类绩效目标，统筹推进年度绩效工作，加强绩效运行监控，确保绩效目标如期高标准完成。</w:t>
      </w:r>
    </w:p>
    <w:p>
      <w:pPr>
        <w:spacing w:line="600" w:lineRule="exact"/>
        <w:ind w:firstLine="640" w:firstLineChars="200"/>
        <w:rPr>
          <w:rFonts w:eastAsia="仿宋_GB2312"/>
          <w:b/>
          <w:bCs/>
          <w:sz w:val="32"/>
          <w:szCs w:val="32"/>
        </w:rPr>
      </w:pPr>
      <w:r>
        <w:rPr>
          <w:rFonts w:hint="eastAsia" w:eastAsia="楷体_GB2312"/>
          <w:sz w:val="32"/>
          <w:szCs w:val="32"/>
        </w:rPr>
        <w:t>2、</w:t>
      </w:r>
      <w:r>
        <w:rPr>
          <w:rFonts w:eastAsia="楷体_GB2312"/>
          <w:sz w:val="32"/>
          <w:szCs w:val="32"/>
        </w:rPr>
        <w:t>完善制度建设。</w:t>
      </w:r>
      <w:r>
        <w:rPr>
          <w:rFonts w:eastAsia="仿宋_GB2312"/>
          <w:sz w:val="32"/>
          <w:szCs w:val="32"/>
        </w:rPr>
        <w:t>完善</w:t>
      </w:r>
      <w:r>
        <w:rPr>
          <w:rFonts w:hint="eastAsia" w:eastAsia="仿宋_GB2312"/>
          <w:sz w:val="32"/>
          <w:szCs w:val="32"/>
        </w:rPr>
        <w:t>区</w:t>
      </w:r>
      <w:r>
        <w:rPr>
          <w:rFonts w:eastAsia="仿宋_GB2312"/>
          <w:sz w:val="32"/>
          <w:szCs w:val="32"/>
        </w:rPr>
        <w:t>信访局预算绩效管理制度、资金管理办法等，强化制度执行落实，为预算绩效目标的实现提供坚实的制度保障。</w:t>
      </w:r>
    </w:p>
    <w:p>
      <w:pPr>
        <w:spacing w:line="600" w:lineRule="exact"/>
        <w:ind w:firstLine="640" w:firstLineChars="200"/>
        <w:rPr>
          <w:rFonts w:eastAsia="仿宋_GB2312"/>
          <w:sz w:val="32"/>
          <w:szCs w:val="32"/>
        </w:rPr>
      </w:pPr>
      <w:r>
        <w:rPr>
          <w:rFonts w:hint="eastAsia" w:eastAsia="楷体_GB2312"/>
          <w:sz w:val="32"/>
          <w:szCs w:val="32"/>
        </w:rPr>
        <w:t>3、</w:t>
      </w:r>
      <w:r>
        <w:rPr>
          <w:rFonts w:eastAsia="楷体_GB2312"/>
          <w:sz w:val="32"/>
          <w:szCs w:val="32"/>
        </w:rPr>
        <w:t>规范财务管理。</w:t>
      </w:r>
      <w:r>
        <w:rPr>
          <w:rFonts w:eastAsia="仿宋_GB2312"/>
          <w:sz w:val="32"/>
          <w:szCs w:val="32"/>
        </w:rPr>
        <w:t>出台</w:t>
      </w:r>
      <w:r>
        <w:rPr>
          <w:rFonts w:hint="eastAsia" w:eastAsia="仿宋_GB2312"/>
          <w:sz w:val="32"/>
          <w:szCs w:val="32"/>
        </w:rPr>
        <w:t>区</w:t>
      </w:r>
      <w:r>
        <w:rPr>
          <w:rFonts w:eastAsia="仿宋_GB2312"/>
          <w:sz w:val="32"/>
          <w:szCs w:val="32"/>
        </w:rPr>
        <w:t>信访局《财务管理规定》、《固定资产管理办法（试行）》、《办公用品管理规定（试行）》，严格审批程序，加强固定资产登记、使用和报废处置管理，加强财务人员的业务培训，提高业务素质，确保财政资金使用合法合规。</w:t>
      </w:r>
    </w:p>
    <w:p>
      <w:pPr>
        <w:spacing w:line="600" w:lineRule="exact"/>
        <w:ind w:firstLine="640" w:firstLineChars="200"/>
        <w:rPr>
          <w:rFonts w:eastAsia="方正仿宋_GBK"/>
          <w:b/>
          <w:bCs/>
          <w:sz w:val="32"/>
          <w:szCs w:val="32"/>
        </w:rPr>
      </w:pPr>
      <w:r>
        <w:rPr>
          <w:rFonts w:hint="eastAsia" w:eastAsia="楷体_GB2312"/>
          <w:sz w:val="32"/>
          <w:szCs w:val="32"/>
        </w:rPr>
        <w:t>4、</w:t>
      </w:r>
      <w:r>
        <w:rPr>
          <w:rFonts w:eastAsia="楷体_GB2312"/>
          <w:sz w:val="32"/>
          <w:szCs w:val="32"/>
        </w:rPr>
        <w:t>加强支出管理。</w:t>
      </w:r>
      <w:r>
        <w:rPr>
          <w:rFonts w:eastAsia="仿宋_GB2312"/>
          <w:sz w:val="32"/>
          <w:szCs w:val="32"/>
        </w:rPr>
        <w:t>协调各业务处室制定详细支出计划，及时支付资金，确保每月支出进度达标。不断提升政府采购效率，在预算批复后提早进入政府采购程序。</w:t>
      </w:r>
    </w:p>
    <w:p>
      <w:pPr>
        <w:spacing w:line="600" w:lineRule="exact"/>
        <w:ind w:firstLine="640" w:firstLineChars="200"/>
        <w:rPr>
          <w:rFonts w:eastAsia="仿宋_GB2312"/>
          <w:b/>
          <w:bCs/>
          <w:sz w:val="32"/>
          <w:szCs w:val="32"/>
        </w:rPr>
      </w:pPr>
      <w:r>
        <w:rPr>
          <w:rFonts w:hint="eastAsia" w:eastAsia="楷体_GB2312"/>
          <w:sz w:val="32"/>
          <w:szCs w:val="32"/>
        </w:rPr>
        <w:t>5、</w:t>
      </w:r>
      <w:r>
        <w:rPr>
          <w:rFonts w:eastAsia="楷体_GB2312"/>
          <w:sz w:val="32"/>
          <w:szCs w:val="32"/>
        </w:rPr>
        <w:t>压实工作责任。</w:t>
      </w:r>
      <w:r>
        <w:rPr>
          <w:rFonts w:eastAsia="仿宋_GB2312"/>
          <w:sz w:val="32"/>
          <w:szCs w:val="32"/>
        </w:rPr>
        <w:t>按照“谁花钱、谁负责，谁牵</w:t>
      </w:r>
      <w:r>
        <w:rPr>
          <w:rFonts w:hint="eastAsia" w:eastAsia="仿宋_GB2312"/>
          <w:sz w:val="32"/>
          <w:szCs w:val="32"/>
        </w:rPr>
        <w:t>头</w:t>
      </w:r>
      <w:r>
        <w:rPr>
          <w:rFonts w:eastAsia="仿宋_GB2312"/>
          <w:sz w:val="32"/>
          <w:szCs w:val="32"/>
        </w:rPr>
        <w:t>、谁主责”的原则，明确各处室预算绩效管理职责，压实其主要负责人“第一责任人”的责任，按照领导小组指示要求，配合领导小组办公室开展分管项目及内容的预算绩效管理工作。</w:t>
      </w:r>
    </w:p>
    <w:p>
      <w:pPr>
        <w:spacing w:line="600" w:lineRule="exact"/>
        <w:ind w:firstLine="640" w:firstLineChars="200"/>
      </w:pPr>
      <w:r>
        <w:rPr>
          <w:rFonts w:hint="eastAsia" w:eastAsia="楷体_GB2312"/>
          <w:sz w:val="32"/>
          <w:szCs w:val="32"/>
        </w:rPr>
        <w:t>6、</w:t>
      </w:r>
      <w:r>
        <w:rPr>
          <w:rFonts w:eastAsia="楷体_GB2312"/>
          <w:sz w:val="32"/>
          <w:szCs w:val="32"/>
        </w:rPr>
        <w:t>强化过程跟踪。</w:t>
      </w:r>
      <w:r>
        <w:rPr>
          <w:rFonts w:eastAsia="仿宋_GB2312"/>
          <w:sz w:val="32"/>
          <w:szCs w:val="32"/>
        </w:rPr>
        <w:t>加大协调力度和督促指导，及时跟进各处室绩效工作进度，破解工作中的难题，力促预算绩效工作取得扎实成效。</w:t>
      </w:r>
    </w:p>
    <w:p>
      <w:pPr>
        <w:spacing w:before="0" w:after="0" w:line="240" w:lineRule="auto"/>
        <w:ind w:firstLine="640"/>
        <w:jc w:val="left"/>
        <w:outlineLvl w:val="9"/>
        <w:rPr>
          <w:rFonts w:hint="eastAsia" w:eastAsia="方正楷体_GBK"/>
          <w:lang w:val="en-US" w:eastAsia="zh-CN"/>
        </w:rPr>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第二部分</w:t>
      </w:r>
      <w:r>
        <w:rPr>
          <w:rFonts w:hint="eastAsia" w:ascii="方正楷体_GBK" w:hAnsi="方正楷体_GBK" w:eastAsia="方正楷体_GBK" w:cs="方正楷体_GBK"/>
          <w:b/>
          <w:color w:val="000000"/>
          <w:sz w:val="32"/>
          <w:lang w:val="en-US" w:eastAsia="zh-CN"/>
        </w:rPr>
        <w:t xml:space="preserve">  </w:t>
      </w:r>
      <w:r>
        <w:rPr>
          <w:rFonts w:ascii="方正楷体_GBK" w:hAnsi="方正楷体_GBK" w:eastAsia="方正楷体_GBK" w:cs="方正楷体_GBK"/>
          <w:b/>
          <w:color w:val="000000"/>
          <w:sz w:val="32"/>
        </w:rPr>
        <w:t>预算项目绩效</w:t>
      </w:r>
      <w:r>
        <w:rPr>
          <w:rFonts w:hint="eastAsia" w:ascii="方正楷体_GBK" w:hAnsi="方正楷体_GBK" w:eastAsia="方正楷体_GBK" w:cs="方正楷体_GBK"/>
          <w:b/>
          <w:color w:val="000000"/>
          <w:sz w:val="32"/>
          <w:lang w:eastAsia="zh-CN"/>
        </w:rPr>
        <w:t>目标</w:t>
      </w:r>
    </w:p>
    <w:p>
      <w:pPr>
        <w:ind w:firstLine="560"/>
      </w:pPr>
      <w:r>
        <w:rPr>
          <w:rFonts w:ascii="方正仿宋_GBK" w:hAnsi="方正仿宋_GBK" w:eastAsia="方正仿宋_GBK" w:cs="方正仿宋_GBK"/>
          <w:b/>
          <w:color w:val="000000"/>
          <w:sz w:val="28"/>
        </w:rPr>
        <w:t>1、信访维稳经费绩效目标表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line="2" w:lineRule="exact"/>
        <w:jc w:val="center"/>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4"/>
            </w:pPr>
            <w:r>
              <w:t>数量指标</w:t>
            </w:r>
          </w:p>
        </w:tc>
        <w:tc>
          <w:tcPr>
            <w:tcW w:w="2835" w:type="dxa"/>
            <w:vAlign w:val="center"/>
          </w:tcPr>
          <w:p>
            <w:pPr>
              <w:pStyle w:val="14"/>
            </w:pPr>
            <w:r>
              <w:t>信访事项按期受理情况</w:t>
            </w:r>
          </w:p>
        </w:tc>
        <w:tc>
          <w:tcPr>
            <w:tcW w:w="2835" w:type="dxa"/>
            <w:vAlign w:val="center"/>
          </w:tcPr>
          <w:p>
            <w:pPr>
              <w:pStyle w:val="14"/>
            </w:pPr>
            <w:r>
              <w:t>信访事项按期受理情况</w:t>
            </w:r>
          </w:p>
        </w:tc>
        <w:tc>
          <w:tcPr>
            <w:tcW w:w="2551" w:type="dxa"/>
            <w:vAlign w:val="center"/>
          </w:tcPr>
          <w:p>
            <w:pPr>
              <w:pStyle w:val="14"/>
            </w:pPr>
            <w:r>
              <w:t>100%</w:t>
            </w:r>
          </w:p>
        </w:tc>
        <w:tc>
          <w:tcPr>
            <w:tcW w:w="2268" w:type="dxa"/>
            <w:vAlign w:val="center"/>
          </w:tcPr>
          <w:p>
            <w:pPr>
              <w:pStyle w:val="14"/>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结案率</w:t>
            </w:r>
          </w:p>
        </w:tc>
        <w:tc>
          <w:tcPr>
            <w:tcW w:w="2835" w:type="dxa"/>
            <w:vAlign w:val="center"/>
          </w:tcPr>
          <w:p>
            <w:pPr>
              <w:pStyle w:val="14"/>
            </w:pPr>
            <w:r>
              <w:t>信访事项按期结案率</w:t>
            </w:r>
          </w:p>
        </w:tc>
        <w:tc>
          <w:tcPr>
            <w:tcW w:w="2551" w:type="dxa"/>
            <w:vAlign w:val="center"/>
          </w:tcPr>
          <w:p>
            <w:pPr>
              <w:pStyle w:val="14"/>
            </w:pPr>
            <w:r>
              <w:t>≥80%</w:t>
            </w:r>
          </w:p>
        </w:tc>
        <w:tc>
          <w:tcPr>
            <w:tcW w:w="2268" w:type="dxa"/>
            <w:vAlign w:val="center"/>
          </w:tcPr>
          <w:p>
            <w:pPr>
              <w:pStyle w:val="14"/>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解决信访事项</w:t>
            </w:r>
          </w:p>
        </w:tc>
        <w:tc>
          <w:tcPr>
            <w:tcW w:w="2835" w:type="dxa"/>
            <w:vAlign w:val="center"/>
          </w:tcPr>
          <w:p>
            <w:pPr>
              <w:pStyle w:val="14"/>
            </w:pPr>
            <w:r>
              <w:t>推动重要信访事项解决，规范信访事项办理。</w:t>
            </w:r>
          </w:p>
        </w:tc>
        <w:tc>
          <w:tcPr>
            <w:tcW w:w="2551" w:type="dxa"/>
            <w:vAlign w:val="center"/>
          </w:tcPr>
          <w:p>
            <w:pPr>
              <w:pStyle w:val="14"/>
            </w:pPr>
            <w:r>
              <w:t>≥80%</w:t>
            </w:r>
          </w:p>
        </w:tc>
        <w:tc>
          <w:tcPr>
            <w:tcW w:w="2268" w:type="dxa"/>
            <w:vAlign w:val="center"/>
          </w:tcPr>
          <w:p>
            <w:pPr>
              <w:pStyle w:val="14"/>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推动宣传应用</w:t>
            </w:r>
          </w:p>
        </w:tc>
        <w:tc>
          <w:tcPr>
            <w:tcW w:w="2835" w:type="dxa"/>
            <w:vAlign w:val="center"/>
          </w:tcPr>
          <w:p>
            <w:pPr>
              <w:pStyle w:val="14"/>
            </w:pPr>
            <w:r>
              <w:t>广泛宣传《信访工作条例》，进一步提高信访干部业务能力；吸收可行性建议，改进信访工作；提高信访信息化应用水平。</w:t>
            </w:r>
          </w:p>
        </w:tc>
        <w:tc>
          <w:tcPr>
            <w:tcW w:w="2551" w:type="dxa"/>
            <w:vAlign w:val="center"/>
          </w:tcPr>
          <w:p>
            <w:pPr>
              <w:pStyle w:val="14"/>
            </w:pPr>
            <w:r>
              <w:t>≥95%</w:t>
            </w:r>
          </w:p>
        </w:tc>
        <w:tc>
          <w:tcPr>
            <w:tcW w:w="2268" w:type="dxa"/>
            <w:vAlign w:val="center"/>
          </w:tcPr>
          <w:p>
            <w:pPr>
              <w:pStyle w:val="14"/>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4"/>
            </w:pPr>
            <w:r>
              <w:t>社会效益指标</w:t>
            </w:r>
          </w:p>
        </w:tc>
        <w:tc>
          <w:tcPr>
            <w:tcW w:w="2835" w:type="dxa"/>
            <w:vAlign w:val="center"/>
          </w:tcPr>
          <w:p>
            <w:pPr>
              <w:pStyle w:val="14"/>
            </w:pPr>
            <w:r>
              <w:t>按期受理率</w:t>
            </w:r>
          </w:p>
        </w:tc>
        <w:tc>
          <w:tcPr>
            <w:tcW w:w="2835" w:type="dxa"/>
            <w:vAlign w:val="center"/>
          </w:tcPr>
          <w:p>
            <w:pPr>
              <w:pStyle w:val="14"/>
            </w:pPr>
            <w:r>
              <w:t>按期受理案件占全部案件的比率</w:t>
            </w:r>
          </w:p>
        </w:tc>
        <w:tc>
          <w:tcPr>
            <w:tcW w:w="2551" w:type="dxa"/>
            <w:vAlign w:val="center"/>
          </w:tcPr>
          <w:p>
            <w:pPr>
              <w:pStyle w:val="14"/>
            </w:pPr>
            <w:r>
              <w:t>≥90%</w:t>
            </w:r>
          </w:p>
        </w:tc>
        <w:tc>
          <w:tcPr>
            <w:tcW w:w="2268" w:type="dxa"/>
            <w:vAlign w:val="center"/>
          </w:tcPr>
          <w:p>
            <w:pPr>
              <w:pStyle w:val="14"/>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4"/>
            </w:pPr>
            <w:r>
              <w:t>服务对象满意度指标</w:t>
            </w:r>
          </w:p>
        </w:tc>
        <w:tc>
          <w:tcPr>
            <w:tcW w:w="2835" w:type="dxa"/>
            <w:vAlign w:val="center"/>
          </w:tcPr>
          <w:p>
            <w:pPr>
              <w:pStyle w:val="14"/>
            </w:pPr>
            <w:r>
              <w:t>信访群众满意度</w:t>
            </w:r>
          </w:p>
        </w:tc>
        <w:tc>
          <w:tcPr>
            <w:tcW w:w="2835" w:type="dxa"/>
            <w:vAlign w:val="center"/>
          </w:tcPr>
          <w:p>
            <w:pPr>
              <w:pStyle w:val="14"/>
            </w:pPr>
            <w:r>
              <w:t>信访群众满意度</w:t>
            </w:r>
          </w:p>
        </w:tc>
        <w:tc>
          <w:tcPr>
            <w:tcW w:w="2551" w:type="dxa"/>
            <w:vAlign w:val="center"/>
          </w:tcPr>
          <w:p>
            <w:pPr>
              <w:pStyle w:val="14"/>
            </w:pPr>
            <w:r>
              <w:t>≥85%</w:t>
            </w:r>
          </w:p>
        </w:tc>
        <w:tc>
          <w:tcPr>
            <w:tcW w:w="2268" w:type="dxa"/>
            <w:vAlign w:val="center"/>
          </w:tcPr>
          <w:p>
            <w:pPr>
              <w:pStyle w:val="14"/>
            </w:pPr>
            <w:r>
              <w:t>工作经验</w:t>
            </w:r>
          </w:p>
        </w:tc>
      </w:tr>
    </w:tbl>
    <w:p>
      <w:pPr>
        <w:sectPr>
          <w:pgSz w:w="16840" w:h="11900" w:orient="landscape"/>
          <w:pgMar w:top="1361" w:right="1020" w:bottom="1134" w:left="1020" w:header="720" w:footer="720" w:gutter="0"/>
          <w:pgNumType w:fmt="decimal"/>
          <w:cols w:space="720" w:num="1"/>
        </w:sectPr>
      </w:pPr>
    </w:p>
    <w:p>
      <w:pPr>
        <w:spacing w:before="10" w:after="10"/>
        <w:ind w:firstLine="640"/>
        <w:outlineLvl w:val="5"/>
      </w:pPr>
      <w:r>
        <w:rPr>
          <w:rFonts w:ascii="黑体" w:hAnsi="黑体" w:eastAsia="黑体" w:cs="黑体"/>
          <w:color w:val="000000"/>
          <w:sz w:val="32"/>
        </w:rPr>
        <w:t>六、政府采购预算情况</w:t>
      </w:r>
    </w:p>
    <w:p>
      <w:pPr>
        <w:spacing w:line="500" w:lineRule="exact"/>
        <w:ind w:firstLine="560"/>
      </w:pPr>
      <w:r>
        <w:rPr>
          <w:rFonts w:eastAsia="方正仿宋_GBK"/>
          <w:color w:val="000000"/>
          <w:sz w:val="28"/>
        </w:rPr>
        <w:t>2023年，唐山高新技术产业开发区群众工作中心安排政府采购预算0.00万元。具体内容见下表。</w:t>
      </w:r>
    </w:p>
    <w:p>
      <w:pPr>
        <w:jc w:val="cente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112001唐山高新技术产业开发区群众工作中心</w:t>
            </w:r>
          </w:p>
        </w:tc>
        <w:tc>
          <w:tcPr>
            <w:tcW w:w="8674" w:type="dxa"/>
            <w:gridSpan w:val="9"/>
            <w:tcBorders>
              <w:top w:val="single" w:color="FFFFFF" w:sz="6" w:space="0"/>
              <w:left w:val="single" w:color="FFFFFF" w:sz="6" w:space="0"/>
              <w:right w:val="single" w:color="FFFFFF" w:sz="6" w:space="0"/>
            </w:tcBorders>
            <w:vAlign w:val="center"/>
          </w:tcPr>
          <w:p>
            <w:pPr>
              <w:pStyle w:val="22"/>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w:t>
            </w:r>
            <w:r>
              <w:rPr>
                <w:rFonts w:hint="eastAsia"/>
                <w:lang w:eastAsia="zh-CN"/>
              </w:rPr>
              <w:t>单位</w:t>
            </w:r>
            <w:r>
              <w:t>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p>
        </w:tc>
        <w:tc>
          <w:tcPr>
            <w:tcW w:w="964" w:type="dxa"/>
            <w:vAlign w:val="center"/>
          </w:tcPr>
          <w:p>
            <w:pPr>
              <w:pStyle w:val="15"/>
            </w:pPr>
          </w:p>
        </w:tc>
        <w:tc>
          <w:tcPr>
            <w:tcW w:w="1134" w:type="dxa"/>
            <w:vAlign w:val="center"/>
          </w:tcPr>
          <w:p>
            <w:pPr>
              <w:pStyle w:val="14"/>
            </w:pPr>
          </w:p>
        </w:tc>
        <w:tc>
          <w:tcPr>
            <w:tcW w:w="1134" w:type="dxa"/>
            <w:vAlign w:val="center"/>
          </w:tcPr>
          <w:p>
            <w:pPr>
              <w:pStyle w:val="14"/>
            </w:pPr>
          </w:p>
        </w:tc>
        <w:tc>
          <w:tcPr>
            <w:tcW w:w="709" w:type="dxa"/>
            <w:vAlign w:val="center"/>
          </w:tcPr>
          <w:p>
            <w:pPr>
              <w:pStyle w:val="13"/>
            </w:pPr>
          </w:p>
        </w:tc>
        <w:tc>
          <w:tcPr>
            <w:tcW w:w="850" w:type="dxa"/>
            <w:vAlign w:val="center"/>
          </w:tcPr>
          <w:p>
            <w:pPr>
              <w:pStyle w:val="15"/>
            </w:pPr>
          </w:p>
        </w:tc>
        <w:tc>
          <w:tcPr>
            <w:tcW w:w="850"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唐山高新技术产业开发区群众工作中心上年末固定资产金额为</w:t>
      </w:r>
      <w:r>
        <w:rPr>
          <w:rFonts w:hint="eastAsia" w:eastAsia="方正仿宋_GBK"/>
          <w:color w:val="000000"/>
          <w:sz w:val="28"/>
          <w:lang w:val="en-US" w:eastAsia="zh-CN"/>
        </w:rPr>
        <w:t>81.72</w:t>
      </w:r>
      <w:r>
        <w:rPr>
          <w:rFonts w:eastAsia="方正仿宋_GBK"/>
          <w:color w:val="000000"/>
          <w:sz w:val="28"/>
        </w:rPr>
        <w:t>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112唐山高新技术产业开发区群众工作中心</w:t>
            </w:r>
          </w:p>
        </w:tc>
        <w:tc>
          <w:tcPr>
            <w:tcW w:w="5670" w:type="dxa"/>
            <w:gridSpan w:val="2"/>
            <w:tcBorders>
              <w:top w:val="single" w:color="FFFFFF" w:sz="6" w:space="0"/>
              <w:left w:val="single" w:color="FFFFFF" w:sz="6" w:space="0"/>
              <w:right w:val="single" w:color="FFFFFF" w:sz="6" w:space="0"/>
            </w:tcBorders>
            <w:vAlign w:val="center"/>
          </w:tcPr>
          <w:p>
            <w:pPr>
              <w:pStyle w:val="11"/>
            </w:pPr>
            <w:r>
              <w:t>截止时间：202</w:t>
            </w:r>
            <w:r>
              <w:rPr>
                <w:rFonts w:hint="eastAsia"/>
                <w:lang w:val="en-US" w:eastAsia="zh-CN"/>
              </w:rPr>
              <w:t>2-</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center"/>
            </w:pPr>
            <w:r>
              <w:rPr>
                <w:rFonts w:hint="eastAsia" w:ascii="仿宋_GB2312" w:eastAsia="仿宋_GB2312"/>
                <w:sz w:val="32"/>
                <w:szCs w:val="32"/>
              </w:rPr>
              <w:t>合计</w:t>
            </w:r>
          </w:p>
        </w:tc>
        <w:tc>
          <w:tcPr>
            <w:tcW w:w="2835" w:type="dxa"/>
            <w:vAlign w:val="center"/>
          </w:tcPr>
          <w:p>
            <w:pPr>
              <w:jc w:val="center"/>
            </w:pPr>
            <w:r>
              <w:rPr>
                <w:rFonts w:hint="eastAsia" w:ascii="仿宋_GB2312" w:eastAsia="仿宋_GB2312"/>
                <w:sz w:val="32"/>
                <w:szCs w:val="32"/>
                <w:lang w:val="en-US" w:eastAsia="zh-CN"/>
              </w:rPr>
              <w:t>437</w:t>
            </w:r>
          </w:p>
        </w:tc>
        <w:tc>
          <w:tcPr>
            <w:tcW w:w="2835" w:type="dxa"/>
            <w:vAlign w:val="center"/>
          </w:tcPr>
          <w:p>
            <w:pPr>
              <w:jc w:val="center"/>
            </w:pPr>
            <w:r>
              <w:rPr>
                <w:rFonts w:hint="eastAsia" w:ascii="仿宋_GB2312" w:eastAsia="仿宋_GB2312"/>
                <w:sz w:val="32"/>
                <w:szCs w:val="32"/>
                <w:lang w:val="en-US" w:eastAsia="zh-CN"/>
              </w:rPr>
              <w:t>81.72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center"/>
            </w:pPr>
            <w:r>
              <w:rPr>
                <w:rFonts w:hint="eastAsia" w:ascii="仿宋_GB2312" w:eastAsia="仿宋_GB2312"/>
                <w:sz w:val="32"/>
                <w:szCs w:val="32"/>
              </w:rPr>
              <w:t>一、土地房屋及构筑物</w:t>
            </w:r>
          </w:p>
        </w:tc>
        <w:tc>
          <w:tcPr>
            <w:tcW w:w="2835" w:type="dxa"/>
            <w:vAlign w:val="center"/>
          </w:tcPr>
          <w:p>
            <w:pPr>
              <w:jc w:val="center"/>
            </w:pPr>
            <w:r>
              <w:rPr>
                <w:rFonts w:ascii="仿宋_GB2312" w:eastAsia="仿宋_GB2312"/>
                <w:sz w:val="32"/>
                <w:szCs w:val="32"/>
              </w:rPr>
              <w:t>- -</w:t>
            </w:r>
          </w:p>
        </w:tc>
        <w:tc>
          <w:tcPr>
            <w:tcW w:w="2835" w:type="dxa"/>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center"/>
            </w:pPr>
            <w:r>
              <w:rPr>
                <w:rFonts w:hint="eastAsia" w:ascii="仿宋_GB2312" w:eastAsia="仿宋_GB2312"/>
                <w:sz w:val="32"/>
                <w:szCs w:val="32"/>
              </w:rPr>
              <w:t>其中：房屋</w:t>
            </w:r>
          </w:p>
        </w:tc>
        <w:tc>
          <w:tcPr>
            <w:tcW w:w="2835" w:type="dxa"/>
            <w:vAlign w:val="center"/>
          </w:tcPr>
          <w:p>
            <w:pPr>
              <w:jc w:val="center"/>
            </w:pPr>
          </w:p>
        </w:tc>
        <w:tc>
          <w:tcPr>
            <w:tcW w:w="2835" w:type="dxa"/>
            <w:vAlign w:val="center"/>
          </w:tcPr>
          <w:p>
            <w:pPr>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center"/>
            </w:pPr>
            <w:r>
              <w:rPr>
                <w:rFonts w:hint="eastAsia" w:ascii="仿宋_GB2312" w:eastAsia="仿宋_GB2312"/>
                <w:sz w:val="32"/>
                <w:szCs w:val="32"/>
              </w:rPr>
              <w:t>二、通用设备</w:t>
            </w:r>
          </w:p>
        </w:tc>
        <w:tc>
          <w:tcPr>
            <w:tcW w:w="2835" w:type="dxa"/>
            <w:vAlign w:val="center"/>
          </w:tcPr>
          <w:p>
            <w:pPr>
              <w:jc w:val="center"/>
            </w:pPr>
            <w:r>
              <w:rPr>
                <w:rFonts w:hint="eastAsia" w:ascii="仿宋_GB2312" w:eastAsia="仿宋_GB2312"/>
                <w:sz w:val="32"/>
                <w:szCs w:val="32"/>
                <w:lang w:val="en-US" w:eastAsia="zh-CN"/>
              </w:rPr>
              <w:t>99</w:t>
            </w:r>
            <w:r>
              <w:rPr>
                <w:rFonts w:ascii="仿宋_GB2312" w:eastAsia="仿宋_GB2312"/>
                <w:sz w:val="32"/>
                <w:szCs w:val="32"/>
              </w:rPr>
              <w:t>.00</w:t>
            </w:r>
          </w:p>
        </w:tc>
        <w:tc>
          <w:tcPr>
            <w:tcW w:w="2835" w:type="dxa"/>
            <w:vAlign w:val="center"/>
          </w:tcPr>
          <w:p>
            <w:pPr>
              <w:jc w:val="center"/>
            </w:pPr>
            <w:r>
              <w:rPr>
                <w:rFonts w:hint="eastAsia" w:ascii="仿宋_GB2312" w:eastAsia="仿宋_GB2312"/>
                <w:sz w:val="32"/>
                <w:szCs w:val="32"/>
                <w:lang w:val="en-US" w:eastAsia="zh-CN"/>
              </w:rPr>
              <w:t>58.84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center"/>
            </w:pPr>
            <w:r>
              <w:rPr>
                <w:rFonts w:hint="eastAsia" w:ascii="仿宋_GB2312" w:eastAsia="仿宋_GB2312"/>
                <w:sz w:val="32"/>
                <w:szCs w:val="32"/>
              </w:rPr>
              <w:t>其中：汽车</w:t>
            </w:r>
          </w:p>
        </w:tc>
        <w:tc>
          <w:tcPr>
            <w:tcW w:w="2835" w:type="dxa"/>
            <w:vAlign w:val="center"/>
          </w:tcPr>
          <w:p>
            <w:pPr>
              <w:jc w:val="center"/>
            </w:pPr>
            <w:r>
              <w:rPr>
                <w:rFonts w:ascii="仿宋_GB2312" w:eastAsia="仿宋_GB2312"/>
                <w:sz w:val="32"/>
                <w:szCs w:val="32"/>
              </w:rPr>
              <w:t>1.00</w:t>
            </w:r>
          </w:p>
        </w:tc>
        <w:tc>
          <w:tcPr>
            <w:tcW w:w="2835" w:type="dxa"/>
            <w:vAlign w:val="center"/>
          </w:tcPr>
          <w:p>
            <w:pPr>
              <w:jc w:val="center"/>
            </w:pPr>
            <w:r>
              <w:rPr>
                <w:rFonts w:hint="eastAsia" w:ascii="仿宋_GB2312" w:eastAsia="仿宋_GB2312"/>
                <w:sz w:val="32"/>
                <w:szCs w:val="32"/>
                <w:lang w:val="en-US" w:eastAsia="zh-CN"/>
              </w:rPr>
              <w:t>14.58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center"/>
            </w:pPr>
            <w:r>
              <w:rPr>
                <w:rFonts w:hint="eastAsia" w:ascii="仿宋_GB2312" w:eastAsia="仿宋_GB2312"/>
                <w:sz w:val="32"/>
                <w:szCs w:val="32"/>
              </w:rPr>
              <w:t>三、专用设备</w:t>
            </w:r>
          </w:p>
        </w:tc>
        <w:tc>
          <w:tcPr>
            <w:tcW w:w="2835" w:type="dxa"/>
            <w:vAlign w:val="center"/>
          </w:tcPr>
          <w:p>
            <w:pPr>
              <w:jc w:val="center"/>
            </w:pPr>
            <w:r>
              <w:rPr>
                <w:rFonts w:ascii="仿宋_GB2312" w:eastAsia="仿宋_GB2312"/>
                <w:sz w:val="32"/>
                <w:szCs w:val="32"/>
              </w:rPr>
              <w:t>2.00</w:t>
            </w:r>
          </w:p>
        </w:tc>
        <w:tc>
          <w:tcPr>
            <w:tcW w:w="2835" w:type="dxa"/>
            <w:vAlign w:val="center"/>
          </w:tcPr>
          <w:p>
            <w:pPr>
              <w:jc w:val="center"/>
            </w:pPr>
            <w:r>
              <w:rPr>
                <w:rFonts w:ascii="仿宋_GB2312" w:eastAsia="仿宋_GB2312"/>
                <w:sz w:val="32"/>
                <w:szCs w:val="32"/>
              </w:rPr>
              <w:t>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center"/>
            </w:pPr>
            <w:r>
              <w:rPr>
                <w:rFonts w:hint="eastAsia" w:ascii="仿宋_GB2312" w:eastAsia="仿宋_GB2312"/>
                <w:sz w:val="32"/>
                <w:szCs w:val="32"/>
              </w:rPr>
              <w:t>四、文物与陈列品</w:t>
            </w:r>
          </w:p>
        </w:tc>
        <w:tc>
          <w:tcPr>
            <w:tcW w:w="2835" w:type="dxa"/>
            <w:vAlign w:val="center"/>
          </w:tcPr>
          <w:p>
            <w:pPr>
              <w:jc w:val="center"/>
            </w:pPr>
            <w:r>
              <w:rPr>
                <w:rFonts w:hint="eastAsia" w:ascii="仿宋_GB2312" w:eastAsia="仿宋_GB2312"/>
                <w:sz w:val="32"/>
                <w:szCs w:val="32"/>
              </w:rPr>
              <w:t>　</w:t>
            </w:r>
          </w:p>
        </w:tc>
        <w:tc>
          <w:tcPr>
            <w:tcW w:w="2835" w:type="dxa"/>
            <w:vAlign w:val="center"/>
          </w:tcPr>
          <w:p>
            <w:pPr>
              <w:jc w:val="cente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center"/>
            </w:pPr>
            <w:r>
              <w:rPr>
                <w:rFonts w:hint="eastAsia" w:ascii="仿宋_GB2312" w:eastAsia="仿宋_GB2312"/>
                <w:sz w:val="32"/>
                <w:szCs w:val="32"/>
              </w:rPr>
              <w:t>　　其中：文物</w:t>
            </w:r>
          </w:p>
        </w:tc>
        <w:tc>
          <w:tcPr>
            <w:tcW w:w="2835" w:type="dxa"/>
            <w:vAlign w:val="center"/>
          </w:tcPr>
          <w:p>
            <w:pPr>
              <w:jc w:val="center"/>
            </w:pPr>
            <w:r>
              <w:rPr>
                <w:rFonts w:hint="eastAsia" w:ascii="仿宋_GB2312" w:eastAsia="仿宋_GB2312"/>
                <w:sz w:val="32"/>
                <w:szCs w:val="32"/>
              </w:rPr>
              <w:t>　</w:t>
            </w:r>
          </w:p>
        </w:tc>
        <w:tc>
          <w:tcPr>
            <w:tcW w:w="2835" w:type="dxa"/>
            <w:vAlign w:val="center"/>
          </w:tcPr>
          <w:p>
            <w:pPr>
              <w:jc w:val="cente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center"/>
            </w:pPr>
            <w:r>
              <w:rPr>
                <w:rFonts w:hint="eastAsia" w:ascii="仿宋_GB2312" w:eastAsia="仿宋_GB2312"/>
                <w:sz w:val="32"/>
                <w:szCs w:val="32"/>
              </w:rPr>
              <w:t>　　陈列品</w:t>
            </w:r>
          </w:p>
        </w:tc>
        <w:tc>
          <w:tcPr>
            <w:tcW w:w="2835" w:type="dxa"/>
            <w:vAlign w:val="center"/>
          </w:tcPr>
          <w:p>
            <w:pPr>
              <w:jc w:val="center"/>
            </w:pPr>
            <w:r>
              <w:rPr>
                <w:rFonts w:hint="eastAsia" w:ascii="仿宋_GB2312" w:eastAsia="仿宋_GB2312"/>
                <w:sz w:val="32"/>
                <w:szCs w:val="32"/>
              </w:rPr>
              <w:t>　</w:t>
            </w:r>
          </w:p>
        </w:tc>
        <w:tc>
          <w:tcPr>
            <w:tcW w:w="2835" w:type="dxa"/>
            <w:vAlign w:val="center"/>
          </w:tcPr>
          <w:p>
            <w:pPr>
              <w:jc w:val="cente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center"/>
            </w:pPr>
            <w:r>
              <w:rPr>
                <w:rFonts w:hint="eastAsia" w:ascii="仿宋_GB2312" w:eastAsia="仿宋_GB2312"/>
                <w:sz w:val="32"/>
                <w:szCs w:val="32"/>
              </w:rPr>
              <w:t>五、图书档案</w:t>
            </w:r>
          </w:p>
        </w:tc>
        <w:tc>
          <w:tcPr>
            <w:tcW w:w="2835" w:type="dxa"/>
            <w:vAlign w:val="center"/>
          </w:tcPr>
          <w:p>
            <w:pPr>
              <w:jc w:val="center"/>
            </w:pPr>
            <w:r>
              <w:rPr>
                <w:rFonts w:hint="eastAsia" w:ascii="仿宋_GB2312" w:eastAsia="仿宋_GB2312"/>
                <w:sz w:val="32"/>
                <w:szCs w:val="32"/>
              </w:rPr>
              <w:t>　</w:t>
            </w:r>
          </w:p>
        </w:tc>
        <w:tc>
          <w:tcPr>
            <w:tcW w:w="2835" w:type="dxa"/>
            <w:vAlign w:val="center"/>
          </w:tcPr>
          <w:p>
            <w:pPr>
              <w:jc w:val="cente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center"/>
            </w:pPr>
            <w:r>
              <w:rPr>
                <w:rFonts w:hint="eastAsia" w:ascii="仿宋_GB2312" w:eastAsia="仿宋_GB2312"/>
                <w:sz w:val="32"/>
                <w:szCs w:val="32"/>
              </w:rPr>
              <w:t>　　其中：图书资料</w:t>
            </w:r>
          </w:p>
        </w:tc>
        <w:tc>
          <w:tcPr>
            <w:tcW w:w="2835" w:type="dxa"/>
            <w:vAlign w:val="center"/>
          </w:tcPr>
          <w:p>
            <w:pPr>
              <w:jc w:val="center"/>
            </w:pPr>
            <w:r>
              <w:rPr>
                <w:rFonts w:hint="eastAsia" w:ascii="仿宋_GB2312" w:eastAsia="仿宋_GB2312"/>
                <w:sz w:val="32"/>
                <w:szCs w:val="32"/>
              </w:rPr>
              <w:t>　</w:t>
            </w:r>
          </w:p>
        </w:tc>
        <w:tc>
          <w:tcPr>
            <w:tcW w:w="2835" w:type="dxa"/>
            <w:vAlign w:val="center"/>
          </w:tcPr>
          <w:p>
            <w:pPr>
              <w:jc w:val="center"/>
            </w:pPr>
            <w:r>
              <w:rPr>
                <w:rFonts w:hint="eastAsia" w:ascii="仿宋_GB2312" w:eastAsia="仿宋_GB2312"/>
                <w:sz w:val="32"/>
                <w:szCs w:val="32"/>
              </w:rPr>
              <w:t>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center"/>
            </w:pPr>
            <w:r>
              <w:rPr>
                <w:rFonts w:hint="eastAsia" w:ascii="仿宋_GB2312" w:eastAsia="仿宋_GB2312"/>
                <w:sz w:val="32"/>
                <w:szCs w:val="32"/>
              </w:rPr>
              <w:t>六、家具、用具、装具及动植物</w:t>
            </w:r>
          </w:p>
        </w:tc>
        <w:tc>
          <w:tcPr>
            <w:tcW w:w="2835" w:type="dxa"/>
            <w:vAlign w:val="center"/>
          </w:tcPr>
          <w:p>
            <w:pPr>
              <w:jc w:val="center"/>
            </w:pPr>
            <w:r>
              <w:rPr>
                <w:rFonts w:hint="eastAsia" w:ascii="仿宋_GB2312" w:eastAsia="仿宋_GB2312"/>
                <w:sz w:val="32"/>
                <w:szCs w:val="32"/>
                <w:lang w:val="en-US" w:eastAsia="zh-CN"/>
              </w:rPr>
              <w:t>335</w:t>
            </w:r>
          </w:p>
        </w:tc>
        <w:tc>
          <w:tcPr>
            <w:tcW w:w="2835" w:type="dxa"/>
            <w:vAlign w:val="center"/>
          </w:tcPr>
          <w:p>
            <w:pPr>
              <w:jc w:val="center"/>
            </w:pPr>
            <w:r>
              <w:rPr>
                <w:rFonts w:hint="eastAsia" w:ascii="仿宋_GB2312" w:eastAsia="仿宋_GB2312"/>
                <w:sz w:val="32"/>
                <w:szCs w:val="32"/>
                <w:lang w:val="en-US" w:eastAsia="zh-CN"/>
              </w:rPr>
              <w:t>16.97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center"/>
            </w:pPr>
            <w:r>
              <w:rPr>
                <w:rFonts w:hint="eastAsia" w:ascii="仿宋_GB2312" w:eastAsia="仿宋_GB2312"/>
                <w:sz w:val="32"/>
                <w:szCs w:val="32"/>
              </w:rPr>
              <w:t>其中：家具用具</w:t>
            </w:r>
          </w:p>
        </w:tc>
        <w:tc>
          <w:tcPr>
            <w:tcW w:w="2835" w:type="dxa"/>
            <w:vAlign w:val="center"/>
          </w:tcPr>
          <w:p>
            <w:pPr>
              <w:jc w:val="center"/>
            </w:pPr>
            <w:r>
              <w:rPr>
                <w:rFonts w:hint="eastAsia" w:ascii="仿宋_GB2312" w:eastAsia="仿宋_GB2312"/>
                <w:sz w:val="32"/>
                <w:szCs w:val="32"/>
                <w:lang w:val="en-US" w:eastAsia="zh-CN"/>
              </w:rPr>
              <w:t>335</w:t>
            </w:r>
          </w:p>
        </w:tc>
        <w:tc>
          <w:tcPr>
            <w:tcW w:w="2835" w:type="dxa"/>
            <w:vAlign w:val="center"/>
          </w:tcPr>
          <w:p>
            <w:pPr>
              <w:jc w:val="center"/>
            </w:pPr>
            <w:r>
              <w:rPr>
                <w:rFonts w:hint="eastAsia" w:ascii="仿宋_GB2312" w:eastAsia="仿宋_GB2312"/>
                <w:sz w:val="32"/>
                <w:szCs w:val="32"/>
                <w:lang w:val="en-US" w:eastAsia="zh-CN"/>
              </w:rPr>
              <w:t>16.97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jc w:val="center"/>
              <w:rPr>
                <w:rFonts w:hint="eastAsia" w:ascii="仿宋_GB2312" w:hAnsi="Times New Roman" w:eastAsia="仿宋_GB2312" w:cstheme="minorBidi"/>
                <w:kern w:val="2"/>
                <w:sz w:val="32"/>
                <w:szCs w:val="32"/>
                <w:lang w:val="en-US" w:eastAsia="uk-UA" w:bidi="ar-SA"/>
              </w:rPr>
            </w:pPr>
            <w:r>
              <w:rPr>
                <w:rFonts w:hint="eastAsia" w:ascii="仿宋_GB2312" w:eastAsia="仿宋_GB2312"/>
                <w:sz w:val="32"/>
                <w:szCs w:val="32"/>
              </w:rPr>
              <w:t>七、无形资产</w:t>
            </w:r>
          </w:p>
        </w:tc>
        <w:tc>
          <w:tcPr>
            <w:tcW w:w="2835" w:type="dxa"/>
            <w:vAlign w:val="center"/>
          </w:tcPr>
          <w:p>
            <w:pPr>
              <w:jc w:val="center"/>
              <w:rPr>
                <w:rFonts w:hint="eastAsia" w:ascii="仿宋_GB2312" w:hAnsi="Times New Roman" w:eastAsia="仿宋_GB2312" w:cstheme="minorBidi"/>
                <w:kern w:val="2"/>
                <w:sz w:val="32"/>
                <w:szCs w:val="32"/>
                <w:lang w:val="en-US" w:eastAsia="zh-CN" w:bidi="ar-SA"/>
              </w:rPr>
            </w:pPr>
          </w:p>
        </w:tc>
        <w:tc>
          <w:tcPr>
            <w:tcW w:w="2835" w:type="dxa"/>
            <w:vAlign w:val="center"/>
          </w:tcPr>
          <w:p>
            <w:pPr>
              <w:jc w:val="center"/>
              <w:rPr>
                <w:rFonts w:hint="eastAsia" w:ascii="仿宋_GB2312" w:hAnsi="Times New Roman" w:eastAsia="仿宋_GB2312" w:cstheme="minorBidi"/>
                <w:kern w:val="2"/>
                <w:sz w:val="32"/>
                <w:szCs w:val="32"/>
                <w:lang w:val="en-US" w:eastAsia="zh-CN" w:bidi="ar-SA"/>
              </w:rPr>
            </w:pPr>
            <w:r>
              <w:rPr>
                <w:rFonts w:ascii="仿宋_GB2312" w:eastAsia="仿宋_GB2312"/>
                <w:sz w:val="32"/>
                <w:szCs w:val="32"/>
              </w:rPr>
              <w:t>2.00</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bookmarkStart w:id="1" w:name="_GoBack"/>
      <w:bookmarkEnd w:id="1"/>
      <w:r>
        <w:rPr>
          <w:rFonts w:eastAsia="方正仿宋_GBK"/>
          <w:color w:val="000000"/>
          <w:sz w:val="28"/>
        </w:rPr>
        <w:t>级财政预算管理的“三公”经费，是指预算</w:t>
      </w:r>
      <w:r>
        <w:rPr>
          <w:rFonts w:hint="eastAsia" w:eastAsia="方正仿宋_GBK"/>
          <w:color w:val="000000"/>
          <w:sz w:val="28"/>
          <w:lang w:eastAsia="zh-CN"/>
        </w:rPr>
        <w:t>单位</w:t>
      </w:r>
      <w:r>
        <w:rPr>
          <w:rFonts w:eastAsia="方正仿宋_GBK"/>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w:t>
      </w:r>
      <w:r>
        <w:rPr>
          <w:rFonts w:hint="eastAsia" w:eastAsia="方正仿宋_GBK"/>
          <w:color w:val="000000"/>
          <w:sz w:val="28"/>
          <w:lang w:eastAsia="zh-CN"/>
        </w:rPr>
        <w:t>单位</w:t>
      </w:r>
      <w:r>
        <w:rPr>
          <w:rFonts w:eastAsia="方正仿宋_GBK"/>
          <w:color w:val="000000"/>
          <w:sz w:val="28"/>
        </w:rPr>
        <w:t>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方正小标宋_GBK">
    <w:altName w:val="微软雅黑"/>
    <w:panose1 w:val="03000509000000000000"/>
    <w:charset w:val="86"/>
    <w:family w:val="roman"/>
    <w:pitch w:val="default"/>
    <w:sig w:usb0="00000000" w:usb1="00000000" w:usb2="00000000" w:usb3="00000000" w:csb0="00040000" w:csb1="00000000"/>
  </w:font>
  <w:font w:name="方正书宋_GBK">
    <w:altName w:val="微软雅黑"/>
    <w:panose1 w:val="03000509000000000000"/>
    <w:charset w:val="86"/>
    <w:family w:val="roman"/>
    <w:pitch w:val="default"/>
    <w:sig w:usb0="00000000" w:usb1="00000000" w:usb2="00000000" w:usb3="00000000" w:csb0="00040000" w:csb1="00000000"/>
  </w:font>
  <w:font w:name="方正楷体_GBK">
    <w:altName w:val="微软雅黑"/>
    <w:panose1 w:val="03000509000000000000"/>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pt;height:144pt;width:144pt;mso-position-horizontal:outside;mso-position-horizontal-relative:margin;mso-wrap-style:none;z-index:251659264;mso-width-relative:page;mso-height-relative:page;" filled="f" stroked="f" coordsize="21600,21600" o:gfxdata="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SbFzD0wAAAAYBAAAPAAAAAAAAAAEAIAAAACIAAABkcnMvZG93bnJldi54bWxQSwEC&#10;FAAUAAAACACHTuJA4YDTjjICAABhBAAADgAAAAAAAAABACAAAAAiAQAAZHJzL2Uyb0RvYy54bWxQ&#10;SwUGAAAAAAYABgBZAQAAxgU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OGMwNjUwOWVmZmU0MjdkNmNjMDZiMGFkMmIwMTQifQ=="/>
  </w:docVars>
  <w:rsids>
    <w:rsidRoot w:val="00000000"/>
    <w:rsid w:val="085A6992"/>
    <w:rsid w:val="0AF65A54"/>
    <w:rsid w:val="19BA3F4C"/>
    <w:rsid w:val="1E7D2C66"/>
    <w:rsid w:val="2A2A1E8D"/>
    <w:rsid w:val="360B7245"/>
    <w:rsid w:val="373F48EE"/>
    <w:rsid w:val="3C8E705A"/>
    <w:rsid w:val="41D9558A"/>
    <w:rsid w:val="4C89719B"/>
    <w:rsid w:val="5D82090B"/>
    <w:rsid w:val="6D4D2E0E"/>
    <w:rsid w:val="70810BBD"/>
    <w:rsid w:val="7F812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ind w:firstLine="880" w:firstLineChars="200"/>
      <w:outlineLvl w:val="1"/>
    </w:pPr>
    <w:rPr>
      <w:rFonts w:ascii="Arial" w:hAnsi="Arial" w:eastAsia="楷体_GB2312"/>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customStyle="1" w:styleId="8">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21"/>
    <w:basedOn w:val="1"/>
    <w:qFormat/>
    <w:uiPriority w:val="0"/>
    <w:pPr>
      <w:jc w:val="center"/>
    </w:pPr>
    <w:rPr>
      <w:rFonts w:ascii="方正小标宋_GBK" w:hAnsi="方正小标宋_GBK" w:eastAsia="方正小标宋_GBK" w:cs="方正小标宋_GBK"/>
    </w:rPr>
  </w:style>
  <w:style w:type="paragraph" w:customStyle="1" w:styleId="11">
    <w:name w:val="单元格样式22"/>
    <w:basedOn w:val="1"/>
    <w:qFormat/>
    <w:uiPriority w:val="0"/>
    <w:pPr>
      <w:jc w:val="right"/>
    </w:pPr>
    <w:rPr>
      <w:rFonts w:ascii="方正小标宋_GBK" w:hAnsi="方正小标宋_GBK" w:eastAsia="方正小标宋_GBK" w:cs="方正小标宋_GBK"/>
    </w:rPr>
  </w:style>
  <w:style w:type="paragraph" w:customStyle="1" w:styleId="12">
    <w:name w:val="单元格样式1"/>
    <w:basedOn w:val="1"/>
    <w:qFormat/>
    <w:uiPriority w:val="0"/>
    <w:pPr>
      <w:jc w:val="center"/>
    </w:pPr>
    <w:rPr>
      <w:rFonts w:ascii="方正书宋_GBK" w:hAnsi="方正书宋_GBK" w:eastAsia="方正书宋_GBK" w:cs="方正书宋_GBK"/>
      <w:b/>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2"/>
    <w:basedOn w:val="1"/>
    <w:qFormat/>
    <w:uiPriority w:val="0"/>
    <w:rPr>
      <w:rFonts w:ascii="方正书宋_GBK" w:hAnsi="方正书宋_GBK" w:eastAsia="方正书宋_GBK" w:cs="方正书宋_GBK"/>
      <w:sz w:val="21"/>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6"/>
    <w:basedOn w:val="1"/>
    <w:qFormat/>
    <w:uiPriority w:val="0"/>
    <w:pPr>
      <w:jc w:val="center"/>
    </w:pPr>
    <w:rPr>
      <w:rFonts w:ascii="方正书宋_GBK" w:hAnsi="方正书宋_GBK" w:eastAsia="方正书宋_GBK" w:cs="方正书宋_GBK"/>
      <w:b/>
      <w:sz w:val="21"/>
    </w:rPr>
  </w:style>
  <w:style w:type="paragraph" w:customStyle="1" w:styleId="17">
    <w:name w:val="单元格样式7"/>
    <w:basedOn w:val="1"/>
    <w:qFormat/>
    <w:uiPriority w:val="0"/>
    <w:pPr>
      <w:jc w:val="right"/>
    </w:pPr>
    <w:rPr>
      <w:rFonts w:ascii="方正书宋_GBK" w:hAnsi="方正书宋_GBK" w:eastAsia="方正书宋_GBK" w:cs="方正书宋_GBK"/>
      <w:b/>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插入文本样式-插入单位职责文件"/>
    <w:basedOn w:val="1"/>
    <w:qFormat/>
    <w:uiPriority w:val="0"/>
    <w:pPr>
      <w:spacing w:line="500" w:lineRule="exact"/>
      <w:ind w:firstLine="560"/>
    </w:pPr>
    <w:rPr>
      <w:rFonts w:eastAsia="方正仿宋_GBK"/>
      <w:sz w:val="28"/>
    </w:rPr>
  </w:style>
  <w:style w:type="paragraph" w:customStyle="1" w:styleId="20">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单元格样式23"/>
    <w:basedOn w:val="1"/>
    <w:qFormat/>
    <w:uiPriority w:val="0"/>
    <w:pPr>
      <w:jc w:val="right"/>
    </w:pPr>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6142</Words>
  <Characters>7484</Characters>
  <Lines>0</Lines>
  <Paragraphs>0</Paragraphs>
  <TotalTime>3</TotalTime>
  <ScaleCrop>false</ScaleCrop>
  <LinksUpToDate>false</LinksUpToDate>
  <CharactersWithSpaces>7646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Master</dc:creator>
  <cp:lastModifiedBy>妙音</cp:lastModifiedBy>
  <dcterms:modified xsi:type="dcterms:W3CDTF">2023-09-05T07:09:34Z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0464803E86BD4D91B0C9189220851736_13</vt:lpwstr>
  </property>
</Properties>
</file>