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唐高行审环表〔2025〕</w:t>
      </w:r>
      <w:r>
        <w:rPr>
          <w:rFonts w:hint="eastAsia" w:ascii="仿宋" w:hAnsi="仿宋" w:eastAsia="仿宋" w:cs="仿宋"/>
          <w:bCs/>
          <w:color w:val="auto"/>
          <w:kern w:val="2"/>
          <w:sz w:val="32"/>
          <w:szCs w:val="32"/>
          <w:lang w:val="en-US" w:eastAsia="zh-CN" w:bidi="ar-SA"/>
        </w:rPr>
        <w:t>5</w:t>
      </w:r>
      <w:r>
        <w:rPr>
          <w:rFonts w:hint="eastAsia" w:ascii="仿宋" w:hAnsi="仿宋" w:eastAsia="仿宋" w:cs="仿宋"/>
          <w:bCs/>
          <w:color w:val="auto"/>
          <w:kern w:val="2"/>
          <w:sz w:val="32"/>
          <w:szCs w:val="32"/>
          <w:lang w:val="en-US" w:eastAsia="zh-CN" w:bidi="ar-SA"/>
        </w:rPr>
        <w:t>号</w:t>
      </w:r>
    </w:p>
    <w:p w14:paraId="21F1A7DA">
      <w:pPr>
        <w:pStyle w:val="9"/>
        <w:spacing w:line="240" w:lineRule="atLeast"/>
        <w:ind w:firstLine="5372" w:firstLineChars="1700"/>
        <w:jc w:val="both"/>
        <w:rPr>
          <w:rFonts w:hint="eastAsia" w:ascii="仿宋" w:hAnsi="仿宋" w:eastAsia="仿宋" w:cs="仿宋"/>
          <w:bCs/>
          <w:color w:val="auto"/>
          <w:kern w:val="2"/>
          <w:sz w:val="32"/>
          <w:szCs w:val="32"/>
          <w:lang w:val="en-US" w:eastAsia="zh-CN" w:bidi="ar-SA"/>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w:t>
      </w:r>
      <w:r>
        <w:rPr>
          <w:rFonts w:hint="eastAsia" w:ascii="黑体" w:hAnsi="黑体" w:eastAsia="黑体" w:cs="黑体"/>
          <w:color w:val="auto"/>
          <w:w w:val="100"/>
          <w:kern w:val="0"/>
          <w:sz w:val="44"/>
          <w:szCs w:val="44"/>
          <w:lang w:val="en-US" w:eastAsia="zh-CN"/>
        </w:rPr>
        <w:t>综合制剂车间固体制剂生产线制粒工艺技术改造项目</w:t>
      </w: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bidi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lang w:eastAsia="zh-CN"/>
        </w:rPr>
        <w:t>华润三九（唐山）药业有限公司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Cs/>
          <w:color w:val="auto"/>
          <w:sz w:val="32"/>
          <w:szCs w:val="32"/>
          <w:lang w:val="en-US" w:eastAsia="zh-CN"/>
        </w:rPr>
        <w:t>综合制剂车间固体制剂生产线制粒工艺技术改造项目环境影响报告表</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7D48E4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lang w:eastAsia="zh-CN"/>
        </w:rPr>
        <w:t>项目位于河北省唐山高新技术开发区火炬路139号，项目总投资</w:t>
      </w:r>
      <w:r>
        <w:rPr>
          <w:rFonts w:hint="eastAsia" w:ascii="仿宋" w:hAnsi="仿宋" w:eastAsia="仿宋" w:cs="仿宋"/>
          <w:bCs/>
          <w:color w:val="auto"/>
          <w:sz w:val="32"/>
          <w:szCs w:val="32"/>
          <w:lang w:val="en-US" w:eastAsia="zh-CN"/>
        </w:rPr>
        <w:t>195</w:t>
      </w:r>
      <w:r>
        <w:rPr>
          <w:rFonts w:hint="eastAsia" w:ascii="仿宋" w:hAnsi="仿宋" w:eastAsia="仿宋" w:cs="仿宋"/>
          <w:bCs/>
          <w:color w:val="auto"/>
          <w:sz w:val="32"/>
          <w:szCs w:val="32"/>
          <w:lang w:eastAsia="zh-CN"/>
        </w:rPr>
        <w:t>万元，其中环保投资</w:t>
      </w:r>
      <w:r>
        <w:rPr>
          <w:rFonts w:hint="eastAsia" w:ascii="仿宋" w:hAnsi="仿宋" w:eastAsia="仿宋" w:cs="仿宋"/>
          <w:bCs/>
          <w:color w:val="auto"/>
          <w:sz w:val="32"/>
          <w:szCs w:val="32"/>
          <w:lang w:val="en-US" w:eastAsia="zh-CN"/>
        </w:rPr>
        <w:t>30</w:t>
      </w:r>
      <w:r>
        <w:rPr>
          <w:rFonts w:hint="eastAsia" w:ascii="仿宋" w:hAnsi="仿宋" w:eastAsia="仿宋" w:cs="仿宋"/>
          <w:bCs/>
          <w:color w:val="auto"/>
          <w:sz w:val="32"/>
          <w:szCs w:val="32"/>
          <w:lang w:eastAsia="zh-CN"/>
        </w:rPr>
        <w:t>万元。项目建成后年产小儿碳酸钙D</w:t>
      </w:r>
      <w:r>
        <w:rPr>
          <w:rFonts w:hint="eastAsia" w:ascii="仿宋" w:hAnsi="仿宋" w:eastAsia="仿宋" w:cs="仿宋"/>
          <w:bCs/>
          <w:color w:val="auto"/>
          <w:sz w:val="32"/>
          <w:szCs w:val="32"/>
          <w:vertAlign w:val="subscript"/>
          <w:lang w:eastAsia="zh-CN"/>
        </w:rPr>
        <w:t>3</w:t>
      </w:r>
      <w:r>
        <w:rPr>
          <w:rFonts w:hint="eastAsia" w:ascii="仿宋" w:hAnsi="仿宋" w:eastAsia="仿宋" w:cs="仿宋"/>
          <w:bCs/>
          <w:color w:val="auto"/>
          <w:sz w:val="32"/>
          <w:szCs w:val="32"/>
          <w:lang w:eastAsia="zh-CN"/>
        </w:rPr>
        <w:t>颗粒2400万袋、碳酸钙D</w:t>
      </w:r>
      <w:r>
        <w:rPr>
          <w:rFonts w:hint="eastAsia" w:ascii="仿宋" w:hAnsi="仿宋" w:eastAsia="仿宋" w:cs="仿宋"/>
          <w:bCs/>
          <w:color w:val="auto"/>
          <w:sz w:val="32"/>
          <w:szCs w:val="32"/>
          <w:vertAlign w:val="subscript"/>
          <w:lang w:eastAsia="zh-CN"/>
        </w:rPr>
        <w:t>3</w:t>
      </w:r>
      <w:r>
        <w:rPr>
          <w:rFonts w:hint="eastAsia" w:ascii="仿宋" w:hAnsi="仿宋" w:eastAsia="仿宋" w:cs="仿宋"/>
          <w:bCs/>
          <w:color w:val="auto"/>
          <w:sz w:val="32"/>
          <w:szCs w:val="32"/>
          <w:lang w:eastAsia="zh-CN"/>
        </w:rPr>
        <w:t>咀嚼片720万片、碳酸钙D</w:t>
      </w:r>
      <w:r>
        <w:rPr>
          <w:rFonts w:hint="eastAsia" w:ascii="仿宋" w:hAnsi="仿宋" w:eastAsia="仿宋" w:cs="仿宋"/>
          <w:bCs/>
          <w:color w:val="auto"/>
          <w:sz w:val="32"/>
          <w:szCs w:val="32"/>
          <w:vertAlign w:val="subscript"/>
          <w:lang w:eastAsia="zh-CN"/>
        </w:rPr>
        <w:t>3</w:t>
      </w:r>
      <w:r>
        <w:rPr>
          <w:rFonts w:hint="eastAsia" w:ascii="仿宋" w:hAnsi="仿宋" w:eastAsia="仿宋" w:cs="仿宋"/>
          <w:bCs/>
          <w:color w:val="auto"/>
          <w:sz w:val="32"/>
          <w:szCs w:val="32"/>
          <w:lang w:eastAsia="zh-CN"/>
        </w:rPr>
        <w:t>颗粒720万袋、儿童维D钙咀嚼片4200万片</w:t>
      </w:r>
      <w:r>
        <w:rPr>
          <w:rFonts w:hint="eastAsia" w:ascii="仿宋" w:hAnsi="仿宋" w:eastAsia="仿宋" w:cs="仿宋"/>
          <w:bCs/>
          <w:color w:val="auto"/>
          <w:sz w:val="32"/>
          <w:szCs w:val="32"/>
          <w:lang w:val="en-US" w:eastAsia="zh-CN"/>
        </w:rPr>
        <w:t>,全厂口服固体制剂类产品总产能不变</w:t>
      </w:r>
      <w:r>
        <w:rPr>
          <w:rFonts w:hint="eastAsia" w:ascii="仿宋" w:hAnsi="仿宋" w:eastAsia="仿宋" w:cs="仿宋"/>
          <w:bCs/>
          <w:color w:val="auto"/>
          <w:sz w:val="32"/>
          <w:szCs w:val="32"/>
          <w:highlight w:val="none"/>
          <w:lang w:eastAsia="zh-CN"/>
        </w:rPr>
        <w:t>。</w:t>
      </w:r>
    </w:p>
    <w:p w14:paraId="3262DA9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widowControl/>
        <w:suppressLineNumbers w:val="0"/>
        <w:kinsoku/>
        <w:wordWrap/>
        <w:overflowPunct/>
        <w:topLinePunct w:val="0"/>
        <w:bidi w:val="0"/>
        <w:spacing w:line="520" w:lineRule="exact"/>
        <w:ind w:firstLine="632" w:firstLineChars="200"/>
        <w:jc w:val="both"/>
        <w:textAlignment w:val="auto"/>
        <w:rPr>
          <w:rFonts w:hint="eastAsia" w:ascii="仿宋" w:hAnsi="仿宋" w:eastAsia="仿宋" w:cs="仿宋"/>
          <w:bCs/>
          <w:color w:val="0000FF"/>
          <w:sz w:val="32"/>
          <w:szCs w:val="32"/>
          <w:highlight w:val="green"/>
          <w:lang w:val="en-US" w:eastAsia="zh-CN"/>
        </w:rPr>
      </w:pPr>
      <w:r>
        <w:rPr>
          <w:rFonts w:hint="eastAsia" w:ascii="仿宋" w:hAnsi="仿宋" w:eastAsia="仿宋" w:cs="仿宋"/>
          <w:bCs/>
          <w:color w:val="auto"/>
          <w:sz w:val="32"/>
          <w:szCs w:val="32"/>
          <w:highlight w:val="none"/>
        </w:rPr>
        <w:t>项目</w:t>
      </w:r>
      <w:r>
        <w:rPr>
          <w:rFonts w:hint="eastAsia" w:ascii="仿宋" w:hAnsi="仿宋" w:eastAsia="仿宋" w:cs="仿宋"/>
          <w:bCs/>
          <w:color w:val="auto"/>
          <w:sz w:val="32"/>
          <w:szCs w:val="32"/>
          <w:highlight w:val="none"/>
          <w:lang w:val="en-US" w:eastAsia="zh-CN"/>
        </w:rPr>
        <w:t>新增设备清洗废水、纯水制备废水、锅炉供热系统新增废水、维生素D</w:t>
      </w:r>
      <w:r>
        <w:rPr>
          <w:rFonts w:hint="eastAsia" w:ascii="仿宋" w:hAnsi="仿宋" w:eastAsia="仿宋" w:cs="仿宋"/>
          <w:bCs/>
          <w:color w:val="auto"/>
          <w:sz w:val="32"/>
          <w:szCs w:val="32"/>
          <w:highlight w:val="none"/>
          <w:vertAlign w:val="subscript"/>
          <w:lang w:val="en-US" w:eastAsia="zh-CN"/>
        </w:rPr>
        <w:t>3</w:t>
      </w:r>
      <w:r>
        <w:rPr>
          <w:rFonts w:hint="eastAsia" w:ascii="仿宋" w:hAnsi="仿宋" w:eastAsia="仿宋" w:cs="仿宋"/>
          <w:bCs/>
          <w:color w:val="auto"/>
          <w:sz w:val="32"/>
          <w:szCs w:val="32"/>
          <w:highlight w:val="none"/>
          <w:lang w:val="en-US" w:eastAsia="zh-CN"/>
        </w:rPr>
        <w:t>粉生产间接加热废水，经厂区污水总排口排入市政污水管网，最终进入唐山市东北郊污水处理厂处理</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外排</w:t>
      </w:r>
      <w:r>
        <w:rPr>
          <w:rFonts w:hint="eastAsia" w:ascii="仿宋" w:hAnsi="仿宋" w:eastAsia="仿宋" w:cs="仿宋"/>
          <w:bCs/>
          <w:color w:val="auto"/>
          <w:sz w:val="32"/>
          <w:szCs w:val="32"/>
          <w:highlight w:val="none"/>
          <w:lang w:val="en-US" w:eastAsia="zh-CN"/>
        </w:rPr>
        <w:t>污水满足《污水综合排放标准》（GB8978－1996）表4中三级标准及唐山市东北郊污水处理厂进水水质要求</w:t>
      </w:r>
      <w:r>
        <w:rPr>
          <w:rFonts w:hint="eastAsia" w:ascii="仿宋" w:hAnsi="仿宋" w:eastAsia="仿宋" w:cs="仿宋"/>
          <w:bCs/>
          <w:color w:val="auto"/>
          <w:sz w:val="32"/>
          <w:szCs w:val="32"/>
          <w:highlight w:val="none"/>
          <w:lang w:eastAsia="zh-CN"/>
        </w:rPr>
        <w:t>。</w:t>
      </w:r>
    </w:p>
    <w:p w14:paraId="30FD9423">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3F5D7DC9">
      <w:pPr>
        <w:keepNext w:val="0"/>
        <w:keepLines w:val="0"/>
        <w:pageBreakBefore w:val="0"/>
        <w:widowControl w:val="0"/>
        <w:tabs>
          <w:tab w:val="left" w:pos="4425"/>
        </w:tabs>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高效万能粉碎机、三元旋振筛粉碎、筛分废气引入1套布袋除尘器处理，处理后经15m高排气筒排放，颗粒物有组织排放浓度执行《制药工业大气污染物排放标准》（GB 37823-2019）表2大气污染物特别排放限值。</w:t>
      </w:r>
    </w:p>
    <w:p w14:paraId="563B5CF8">
      <w:pPr>
        <w:pStyle w:val="2"/>
        <w:keepNext w:val="0"/>
        <w:keepLines w:val="0"/>
        <w:pageBreakBefore w:val="0"/>
        <w:kinsoku/>
        <w:wordWrap/>
        <w:overflowPunct/>
        <w:topLinePunct w:val="0"/>
        <w:bidi w:val="0"/>
        <w:ind w:firstLine="632" w:firstLineChars="200"/>
        <w:textAlignment w:val="auto"/>
        <w:rPr>
          <w:rFonts w:hint="eastAsia" w:ascii="仿宋" w:hAnsi="仿宋" w:eastAsia="仿宋" w:cs="仿宋"/>
          <w:bCs/>
          <w:color w:val="auto"/>
          <w:sz w:val="32"/>
          <w:szCs w:val="32"/>
          <w:lang w:val="en-US" w:eastAsia="zh-CN"/>
        </w:rPr>
      </w:pPr>
      <w:r>
        <w:rPr>
          <w:rFonts w:hint="default" w:ascii="仿宋" w:hAnsi="仿宋" w:eastAsia="仿宋" w:cs="仿宋"/>
          <w:bCs/>
          <w:color w:val="auto"/>
          <w:kern w:val="2"/>
          <w:sz w:val="32"/>
          <w:szCs w:val="32"/>
          <w:lang w:val="en-US" w:eastAsia="zh-CN" w:bidi="ar-SA"/>
        </w:rPr>
        <w:t>湿法混合制粒机</w:t>
      </w:r>
      <w:r>
        <w:rPr>
          <w:rFonts w:hint="eastAsia" w:ascii="仿宋" w:hAnsi="仿宋" w:eastAsia="仿宋" w:cs="仿宋"/>
          <w:bCs/>
          <w:color w:val="auto"/>
          <w:kern w:val="2"/>
          <w:sz w:val="32"/>
          <w:szCs w:val="32"/>
          <w:lang w:val="en-US" w:eastAsia="zh-CN" w:bidi="ar-SA"/>
        </w:rPr>
        <w:t>混合废气</w:t>
      </w:r>
      <w:r>
        <w:rPr>
          <w:rFonts w:hint="eastAsia" w:ascii="仿宋" w:hAnsi="仿宋" w:eastAsia="仿宋" w:cs="仿宋"/>
          <w:bCs/>
          <w:color w:val="auto"/>
          <w:sz w:val="32"/>
          <w:szCs w:val="32"/>
          <w:lang w:val="en-US" w:eastAsia="zh-CN"/>
        </w:rPr>
        <w:t>引入1套布袋除尘器处理，处理后经15m高排气筒排放；</w:t>
      </w:r>
      <w:r>
        <w:rPr>
          <w:rFonts w:hint="default" w:ascii="仿宋" w:hAnsi="仿宋" w:eastAsia="仿宋" w:cs="仿宋"/>
          <w:bCs/>
          <w:color w:val="auto"/>
          <w:kern w:val="2"/>
          <w:sz w:val="32"/>
          <w:szCs w:val="32"/>
          <w:lang w:val="en-US" w:eastAsia="zh-CN" w:bidi="ar-SA"/>
        </w:rPr>
        <w:t>多功能制粒包衣机</w:t>
      </w:r>
      <w:r>
        <w:rPr>
          <w:rFonts w:hint="eastAsia" w:ascii="仿宋" w:hAnsi="仿宋" w:eastAsia="仿宋" w:cs="仿宋"/>
          <w:bCs/>
          <w:color w:val="auto"/>
          <w:kern w:val="2"/>
          <w:sz w:val="32"/>
          <w:szCs w:val="32"/>
          <w:lang w:val="en-US" w:eastAsia="zh-CN" w:bidi="ar-SA"/>
        </w:rPr>
        <w:t>干燥废气</w:t>
      </w:r>
      <w:r>
        <w:rPr>
          <w:rFonts w:hint="eastAsia" w:ascii="仿宋" w:hAnsi="仿宋" w:eastAsia="仿宋" w:cs="仿宋"/>
          <w:bCs/>
          <w:color w:val="auto"/>
          <w:sz w:val="32"/>
          <w:szCs w:val="32"/>
          <w:lang w:val="en-US" w:eastAsia="zh-CN"/>
        </w:rPr>
        <w:t>引入设备自带布袋除尘器处理，处理后经15m高排气筒排放。颗粒物、非甲烷总烃有组织排放浓度执行《制药工业大气污染物排放标准》（GB 37823-2019）表2大气污染物特别排放限值。</w:t>
      </w:r>
    </w:p>
    <w:p w14:paraId="7FEC84A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锅炉安装低氮燃烧器，废气经15m高排气筒排放，污染物排放</w:t>
      </w:r>
      <w:r>
        <w:rPr>
          <w:rFonts w:hint="eastAsia" w:ascii="仿宋" w:hAnsi="仿宋" w:eastAsia="仿宋" w:cs="仿宋"/>
          <w:bCs/>
          <w:color w:val="auto"/>
          <w:sz w:val="32"/>
          <w:szCs w:val="32"/>
          <w:lang w:val="en-US" w:eastAsia="zh-CN"/>
        </w:rPr>
        <w:t>执行</w:t>
      </w:r>
      <w:r>
        <w:rPr>
          <w:rFonts w:hint="eastAsia" w:ascii="仿宋" w:hAnsi="仿宋" w:eastAsia="仿宋" w:cs="仿宋"/>
          <w:sz w:val="32"/>
          <w:szCs w:val="32"/>
          <w:lang w:val="en-US" w:eastAsia="zh-CN"/>
        </w:rPr>
        <w:t>《锅炉大气污染物排放标准》（DB13/5161-2020）表1中燃气锅炉最高允许排放浓度及《唐山市空气质量综合指数“退后十”攻坚行动方案》（唐字[2020]5号）中排放限值。</w:t>
      </w:r>
    </w:p>
    <w:p w14:paraId="052FFE0B">
      <w:pPr>
        <w:pStyle w:val="3"/>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造粒喷雾塔系统细粉收集废气引入设备自带细粉收集除尘器处理，处理后经15m高排气筒排放；造粒喷雾塔系统造粒干燥废气引入设备自带主塔旋风+布袋除尘器处理，处理后经15m高排气筒排放。颗粒物有组织排放浓度执行《制药工业大气污染物排放标准》（GB 37823-2019）表2大气污染物特别排放限值。</w:t>
      </w:r>
    </w:p>
    <w:p w14:paraId="303F3D5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称量废气经中效过滤器（布袋）+高效过滤器（滤芯）处理后通过顶部送风返回称量室内；摇摆式颗粒机整粒/制粒废气、多功能湿法混合制粒机混合废气、集气装置未捕集废气及经设备自带的滤芯除尘处理后的真空上料废气，依托1#车间内现有空调系统过滤处理。颗粒物无组织排放</w:t>
      </w:r>
      <w:r>
        <w:rPr>
          <w:rFonts w:hint="eastAsia" w:ascii="仿宋" w:hAnsi="仿宋" w:eastAsia="仿宋" w:cs="仿宋"/>
          <w:bCs/>
          <w:color w:val="auto"/>
          <w:sz w:val="32"/>
          <w:szCs w:val="32"/>
          <w:lang w:val="en-US" w:eastAsia="zh-CN"/>
        </w:rPr>
        <w:t>执行</w:t>
      </w:r>
      <w:r>
        <w:rPr>
          <w:rFonts w:hint="eastAsia" w:ascii="仿宋" w:hAnsi="仿宋" w:eastAsia="仿宋" w:cs="仿宋"/>
          <w:sz w:val="32"/>
          <w:szCs w:val="32"/>
          <w:lang w:val="en-US" w:eastAsia="zh-CN"/>
        </w:rPr>
        <w:t>《大气污染物综合排放标准》（GB16297-1996）表2中无组织排放周界外浓度最高点限值；非甲烷总烃无组织排放浓度</w:t>
      </w:r>
      <w:r>
        <w:rPr>
          <w:rFonts w:hint="eastAsia" w:ascii="仿宋" w:hAnsi="仿宋" w:eastAsia="仿宋" w:cs="仿宋"/>
          <w:bCs/>
          <w:color w:val="auto"/>
          <w:sz w:val="32"/>
          <w:szCs w:val="32"/>
          <w:lang w:val="en-US" w:eastAsia="zh-CN"/>
        </w:rPr>
        <w:t>执行</w:t>
      </w:r>
      <w:r>
        <w:rPr>
          <w:rFonts w:hint="eastAsia" w:ascii="仿宋" w:hAnsi="仿宋" w:eastAsia="仿宋" w:cs="仿宋"/>
          <w:sz w:val="32"/>
          <w:szCs w:val="32"/>
          <w:lang w:val="en-US" w:eastAsia="zh-CN"/>
        </w:rPr>
        <w:t>《制药工业大气污染物排放标准》（GB 37823-2019）中厂区内VOCs无组织排放限值及《工业企业挥发性有机物排放控制标准》（DB13/2322-2016）表2企业边界大气污染物浓度限值;无组织臭气浓度</w:t>
      </w:r>
      <w:r>
        <w:rPr>
          <w:rFonts w:hint="eastAsia" w:ascii="仿宋" w:hAnsi="仿宋" w:eastAsia="仿宋" w:cs="仿宋"/>
          <w:bCs/>
          <w:color w:val="auto"/>
          <w:sz w:val="32"/>
          <w:szCs w:val="32"/>
          <w:lang w:val="en-US" w:eastAsia="zh-CN"/>
        </w:rPr>
        <w:t>执行</w:t>
      </w:r>
      <w:r>
        <w:rPr>
          <w:rFonts w:hint="eastAsia" w:ascii="仿宋" w:hAnsi="仿宋" w:eastAsia="仿宋" w:cs="仿宋"/>
          <w:sz w:val="32"/>
          <w:szCs w:val="32"/>
          <w:lang w:val="en-US" w:eastAsia="zh-CN"/>
        </w:rPr>
        <w:t>《恶臭污染物排放标准》（GB14554-1993）表1中恶臭污染物厂界标准值中二级标准。</w:t>
      </w:r>
    </w:p>
    <w:p w14:paraId="3247B753">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（四）严格落实噪声污染防治措施。</w:t>
      </w:r>
    </w:p>
    <w:p w14:paraId="47B4A985">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项目选用低噪声设备，采取减振、隔声降噪等治理措施，厂界噪声</w:t>
      </w:r>
      <w:r>
        <w:rPr>
          <w:rFonts w:hint="eastAsia" w:ascii="仿宋" w:hAnsi="仿宋" w:eastAsia="仿宋" w:cs="仿宋"/>
          <w:bCs/>
          <w:color w:val="auto"/>
          <w:sz w:val="32"/>
          <w:szCs w:val="32"/>
          <w:lang w:val="en-US" w:eastAsia="zh-CN"/>
        </w:rPr>
        <w:t>执行</w:t>
      </w:r>
      <w:r>
        <w:rPr>
          <w:rFonts w:hint="eastAsia" w:ascii="仿宋" w:hAnsi="仿宋" w:eastAsia="仿宋" w:cs="仿宋"/>
          <w:kern w:val="2"/>
          <w:sz w:val="32"/>
          <w:szCs w:val="32"/>
          <w:lang w:val="en-US" w:eastAsia="zh-CN" w:bidi="ar-SA"/>
        </w:rPr>
        <w:t>《工业企业厂界环境噪声排放标准》（GB12348-2008）3类限值。</w:t>
      </w:r>
    </w:p>
    <w:p w14:paraId="2DF36A57">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Cs/>
          <w:color w:val="auto"/>
          <w:sz w:val="32"/>
          <w:szCs w:val="32"/>
          <w:highlight w:val="none"/>
          <w:shd w:val="clear" w:color="auto" w:fill="FFFFFF"/>
          <w:lang w:val="en-US" w:eastAsia="zh-CN"/>
        </w:rPr>
        <w:t>（五）严格落</w:t>
      </w:r>
      <w:r>
        <w:rPr>
          <w:rFonts w:hint="eastAsia" w:ascii="仿宋" w:hAnsi="仿宋" w:eastAsia="仿宋" w:cs="仿宋"/>
          <w:bCs/>
          <w:color w:val="auto"/>
          <w:sz w:val="32"/>
          <w:szCs w:val="32"/>
          <w:highlight w:val="none"/>
          <w:shd w:val="clear" w:color="auto" w:fill="FFFFFF"/>
        </w:rPr>
        <w:t>实固体废物污染防治措施。</w:t>
      </w:r>
    </w:p>
    <w:p w14:paraId="6E92E1FF">
      <w:pPr>
        <w:keepNext w:val="0"/>
        <w:keepLines w:val="0"/>
        <w:pageBreakBefore w:val="0"/>
        <w:kinsoku/>
        <w:wordWrap/>
        <w:overflowPunct/>
        <w:topLinePunct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auto"/>
          <w:sz w:val="32"/>
          <w:szCs w:val="32"/>
          <w:highlight w:val="none"/>
          <w:shd w:val="clear" w:color="auto" w:fill="FFFFFF"/>
        </w:rPr>
        <w:t>废物</w:t>
      </w:r>
      <w:r>
        <w:rPr>
          <w:rFonts w:hint="eastAsia" w:ascii="仿宋" w:hAnsi="仿宋" w:eastAsia="仿宋" w:cs="仿宋"/>
          <w:b w:val="0"/>
          <w:bCs/>
          <w:color w:val="auto"/>
          <w:sz w:val="32"/>
          <w:szCs w:val="32"/>
          <w:highlight w:val="none"/>
        </w:rPr>
        <w:t>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rPr>
        <w:t>）要求。</w:t>
      </w:r>
    </w:p>
    <w:p w14:paraId="3904CAFC">
      <w:pPr>
        <w:keepNext w:val="0"/>
        <w:keepLines w:val="0"/>
        <w:pageBreakBefore w:val="0"/>
        <w:kinsoku/>
        <w:wordWrap/>
        <w:overflowPunct/>
        <w:topLinePunct w:val="0"/>
        <w:bidi w:val="0"/>
        <w:adjustRightInd w:val="0"/>
        <w:snapToGrid w:val="0"/>
        <w:spacing w:line="520" w:lineRule="exact"/>
        <w:ind w:firstLine="632" w:firstLineChars="200"/>
        <w:textAlignment w:val="auto"/>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（六）加强环境风险防范，落实环境风险应急措施。</w:t>
      </w:r>
    </w:p>
    <w:p w14:paraId="70C443C3">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5F8A8AE">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、结合该报告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的计算，</w:t>
      </w:r>
      <w:r>
        <w:rPr>
          <w:rFonts w:hint="eastAsia" w:ascii="仿宋" w:hAnsi="仿宋" w:eastAsia="仿宋" w:cs="仿宋"/>
          <w:b w:val="0"/>
          <w:bCs/>
          <w:color w:val="auto"/>
          <w:sz w:val="32"/>
          <w:szCs w:val="32"/>
          <w:highlight w:val="none"/>
          <w:lang w:eastAsia="zh-CN"/>
        </w:rPr>
        <w:t>该项目</w:t>
      </w:r>
      <w:r>
        <w:rPr>
          <w:rFonts w:hint="eastAsia" w:ascii="仿宋" w:hAnsi="仿宋" w:eastAsia="仿宋" w:cs="仿宋"/>
          <w:b w:val="0"/>
          <w:bCs/>
          <w:color w:val="auto"/>
          <w:sz w:val="32"/>
          <w:szCs w:val="32"/>
          <w:highlight w:val="none"/>
          <w:lang w:val="en-US" w:eastAsia="zh-CN"/>
        </w:rPr>
        <w:t>建成后全厂</w:t>
      </w:r>
      <w:r>
        <w:rPr>
          <w:rFonts w:hint="eastAsia" w:ascii="仿宋" w:hAnsi="仿宋" w:eastAsia="仿宋" w:cs="仿宋"/>
          <w:b w:val="0"/>
          <w:bCs/>
          <w:color w:val="auto"/>
          <w:sz w:val="32"/>
          <w:szCs w:val="32"/>
          <w:highlight w:val="none"/>
        </w:rPr>
        <w:t>污染物排放总量指标为：</w:t>
      </w:r>
      <w:r>
        <w:rPr>
          <w:rFonts w:ascii="仿宋" w:hAnsi="仿宋" w:eastAsia="仿宋" w:cs="仿宋"/>
          <w:bCs/>
          <w:color w:val="auto"/>
          <w:kern w:val="2"/>
          <w:sz w:val="32"/>
          <w:szCs w:val="32"/>
          <w:highlight w:val="none"/>
          <w:lang w:val="en-US" w:eastAsia="zh-CN" w:bidi="ar-SA"/>
        </w:rPr>
        <w:t>COD</w:t>
      </w:r>
      <w:r>
        <w:rPr>
          <w:rFonts w:hint="eastAsia" w:ascii="仿宋" w:hAnsi="仿宋" w:eastAsia="仿宋" w:cs="仿宋"/>
          <w:bCs/>
          <w:color w:val="auto"/>
          <w:kern w:val="2"/>
          <w:sz w:val="32"/>
          <w:szCs w:val="32"/>
          <w:highlight w:val="none"/>
          <w:lang w:val="en-US" w:eastAsia="zh-CN" w:bidi="ar-SA"/>
        </w:rPr>
        <w:t>：12.620</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、氨氮：0.631</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r>
        <w:rPr>
          <w:rFonts w:ascii="仿宋" w:hAnsi="仿宋" w:eastAsia="仿宋" w:cs="仿宋"/>
          <w:bCs/>
          <w:color w:val="auto"/>
          <w:kern w:val="2"/>
          <w:sz w:val="32"/>
          <w:szCs w:val="32"/>
          <w:highlight w:val="none"/>
          <w:lang w:val="en-US" w:eastAsia="zh-CN" w:bidi="ar-SA"/>
        </w:rPr>
        <w:t>SO</w:t>
      </w:r>
      <w:r>
        <w:rPr>
          <w:rFonts w:ascii="仿宋" w:hAnsi="仿宋" w:eastAsia="仿宋" w:cs="仿宋"/>
          <w:bCs/>
          <w:color w:val="auto"/>
          <w:kern w:val="2"/>
          <w:sz w:val="32"/>
          <w:szCs w:val="32"/>
          <w:highlight w:val="none"/>
          <w:vertAlign w:val="subscript"/>
          <w:lang w:val="en-US" w:eastAsia="zh-CN" w:bidi="ar-SA"/>
        </w:rPr>
        <w:t>2</w:t>
      </w:r>
      <w:r>
        <w:rPr>
          <w:rFonts w:hint="eastAsia" w:ascii="仿宋" w:hAnsi="仿宋" w:eastAsia="仿宋" w:cs="仿宋"/>
          <w:bCs/>
          <w:color w:val="auto"/>
          <w:kern w:val="2"/>
          <w:sz w:val="32"/>
          <w:szCs w:val="32"/>
          <w:highlight w:val="none"/>
          <w:lang w:val="en-US" w:eastAsia="zh-CN" w:bidi="ar-SA"/>
        </w:rPr>
        <w:t>：0.302</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r>
        <w:rPr>
          <w:rFonts w:ascii="仿宋" w:hAnsi="仿宋" w:eastAsia="仿宋" w:cs="仿宋"/>
          <w:bCs/>
          <w:color w:val="auto"/>
          <w:kern w:val="2"/>
          <w:sz w:val="32"/>
          <w:szCs w:val="32"/>
          <w:highlight w:val="none"/>
          <w:lang w:val="en-US" w:eastAsia="zh-CN" w:bidi="ar-SA"/>
        </w:rPr>
        <w:t>NO</w:t>
      </w:r>
      <w:r>
        <w:rPr>
          <w:rFonts w:ascii="仿宋" w:hAnsi="仿宋" w:eastAsia="仿宋" w:cs="仿宋"/>
          <w:bCs/>
          <w:color w:val="auto"/>
          <w:kern w:val="2"/>
          <w:sz w:val="32"/>
          <w:szCs w:val="32"/>
          <w:highlight w:val="none"/>
          <w:vertAlign w:val="subscript"/>
          <w:lang w:val="en-US" w:eastAsia="zh-CN" w:bidi="ar-SA"/>
        </w:rPr>
        <w:t>x</w:t>
      </w:r>
      <w:r>
        <w:rPr>
          <w:rFonts w:hint="eastAsia" w:ascii="仿宋" w:hAnsi="仿宋" w:eastAsia="仿宋" w:cs="仿宋"/>
          <w:bCs/>
          <w:color w:val="auto"/>
          <w:kern w:val="2"/>
          <w:sz w:val="32"/>
          <w:szCs w:val="32"/>
          <w:highlight w:val="none"/>
          <w:lang w:val="en-US" w:eastAsia="zh-CN" w:bidi="ar-SA"/>
        </w:rPr>
        <w:t>：0.905</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p>
    <w:p w14:paraId="6DDF8F44">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、严格落实各项建设项目环境管理要求</w:t>
      </w:r>
    </w:p>
    <w:p w14:paraId="5FA04C52">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（一）建立内部生态环境管理机构和制度，明确人员和生态环境保护职责。</w:t>
      </w:r>
    </w:p>
    <w:p w14:paraId="590F6B29">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color w:val="auto"/>
          <w:sz w:val="32"/>
          <w:szCs w:val="32"/>
          <w:highlight w:val="none"/>
          <w:lang w:val="en-US" w:eastAsia="zh-CN"/>
        </w:rPr>
        <w:t>向</w:t>
      </w:r>
      <w:r>
        <w:rPr>
          <w:rFonts w:hint="eastAsia" w:ascii="仿宋" w:hAnsi="仿宋" w:eastAsia="仿宋" w:cs="仿宋"/>
          <w:b w:val="0"/>
          <w:bCs/>
          <w:color w:val="auto"/>
          <w:sz w:val="32"/>
          <w:szCs w:val="32"/>
          <w:highlight w:val="none"/>
        </w:rPr>
        <w:t>我局重新报批或</w:t>
      </w:r>
      <w:r>
        <w:rPr>
          <w:rFonts w:hint="eastAsia" w:ascii="仿宋" w:hAnsi="仿宋" w:eastAsia="仿宋" w:cs="仿宋"/>
          <w:b w:val="0"/>
          <w:bCs/>
          <w:color w:val="auto"/>
          <w:sz w:val="32"/>
          <w:szCs w:val="32"/>
          <w:highlight w:val="none"/>
          <w:lang w:val="en-US" w:eastAsia="zh-CN"/>
        </w:rPr>
        <w:t>申请</w:t>
      </w:r>
      <w:r>
        <w:rPr>
          <w:rFonts w:hint="eastAsia" w:ascii="仿宋" w:hAnsi="仿宋" w:eastAsia="仿宋" w:cs="仿宋"/>
          <w:b w:val="0"/>
          <w:bCs/>
          <w:color w:val="auto"/>
          <w:sz w:val="32"/>
          <w:szCs w:val="32"/>
          <w:highlight w:val="none"/>
        </w:rPr>
        <w:t>重新审核该项目的环境影响报告表。</w:t>
      </w:r>
    </w:p>
    <w:p w14:paraId="3A6186A9">
      <w:pPr>
        <w:pStyle w:val="2"/>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Cs/>
          <w:color w:val="auto"/>
          <w:sz w:val="32"/>
          <w:szCs w:val="32"/>
          <w:highlight w:val="none"/>
          <w:u w:val="none"/>
          <w:lang w:eastAsia="zh-CN"/>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三</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u w:val="none"/>
        </w:rPr>
        <w:t>建</w:t>
      </w:r>
      <w:r>
        <w:rPr>
          <w:rFonts w:hint="eastAsia" w:ascii="仿宋" w:hAnsi="仿宋" w:eastAsia="仿宋" w:cs="仿宋"/>
          <w:bCs/>
          <w:color w:val="auto"/>
          <w:sz w:val="32"/>
          <w:szCs w:val="32"/>
          <w:highlight w:val="none"/>
          <w:u w:val="none"/>
        </w:rPr>
        <w:t>设项目竣工后，建设单位按照</w:t>
      </w:r>
      <w:r>
        <w:rPr>
          <w:rFonts w:hint="eastAsia" w:ascii="仿宋" w:hAnsi="仿宋" w:eastAsia="仿宋" w:cs="仿宋"/>
          <w:bCs/>
          <w:color w:val="auto"/>
          <w:sz w:val="32"/>
          <w:szCs w:val="32"/>
          <w:highlight w:val="none"/>
          <w:u w:val="none"/>
          <w:lang w:eastAsia="zh-CN"/>
        </w:rPr>
        <w:t>有关规定要求</w:t>
      </w:r>
      <w:r>
        <w:rPr>
          <w:rFonts w:hint="eastAsia" w:ascii="仿宋" w:hAnsi="仿宋" w:eastAsia="仿宋" w:cs="仿宋"/>
          <w:bCs/>
          <w:color w:val="auto"/>
          <w:sz w:val="32"/>
          <w:szCs w:val="32"/>
          <w:highlight w:val="none"/>
          <w:u w:val="none"/>
        </w:rPr>
        <w:t>开展自主验收或委托第三方机构编写建设项目竣工环境保护验收报告，依法向社会公开</w:t>
      </w:r>
      <w:r>
        <w:rPr>
          <w:rFonts w:hint="eastAsia" w:ascii="仿宋" w:hAnsi="仿宋" w:eastAsia="仿宋" w:cs="仿宋"/>
          <w:bCs/>
          <w:color w:val="auto"/>
          <w:sz w:val="32"/>
          <w:szCs w:val="32"/>
          <w:highlight w:val="none"/>
          <w:u w:val="none"/>
          <w:lang w:eastAsia="zh-CN"/>
        </w:rPr>
        <w:t>。</w:t>
      </w:r>
    </w:p>
    <w:p w14:paraId="6867D300">
      <w:pPr>
        <w:pStyle w:val="12"/>
        <w:rPr>
          <w:color w:val="0000FF"/>
          <w:highlight w:val="cyan"/>
          <w:lang w:val="en-US" w:eastAsia="zh-CN"/>
        </w:rPr>
      </w:pPr>
    </w:p>
    <w:p w14:paraId="2AF694C5">
      <w:pPr>
        <w:spacing w:line="540" w:lineRule="exact"/>
        <w:ind w:firstLine="5056" w:firstLineChars="1600"/>
        <w:jc w:val="left"/>
        <w:rPr>
          <w:rFonts w:ascii="仿宋" w:hAnsi="仿宋" w:eastAsia="仿宋" w:cs="??_GB2312"/>
          <w:color w:val="auto"/>
          <w:sz w:val="32"/>
          <w:szCs w:val="32"/>
          <w:highlight w:val="none"/>
        </w:rPr>
      </w:pPr>
      <w:r>
        <w:rPr>
          <w:rFonts w:hint="eastAsia" w:ascii="仿宋" w:hAnsi="仿宋" w:eastAsia="仿宋" w:cs="宋体"/>
          <w:color w:val="auto"/>
          <w:sz w:val="32"/>
          <w:szCs w:val="32"/>
          <w:highlight w:val="none"/>
        </w:rPr>
        <w:t>唐山</w:t>
      </w:r>
      <w:r>
        <w:rPr>
          <w:rFonts w:hint="eastAsia" w:ascii="仿宋" w:hAnsi="仿宋" w:eastAsia="仿宋" w:cs="宋体"/>
          <w:color w:val="auto"/>
          <w:sz w:val="32"/>
          <w:szCs w:val="32"/>
          <w:highlight w:val="none"/>
          <w:lang w:eastAsia="zh-CN"/>
        </w:rPr>
        <w:t>高新区</w:t>
      </w:r>
      <w:r>
        <w:rPr>
          <w:rFonts w:hint="eastAsia" w:ascii="仿宋" w:hAnsi="仿宋" w:eastAsia="仿宋" w:cs="宋体"/>
          <w:color w:val="auto"/>
          <w:sz w:val="32"/>
          <w:szCs w:val="32"/>
          <w:highlight w:val="none"/>
        </w:rPr>
        <w:t>行政审批局</w:t>
      </w:r>
    </w:p>
    <w:p w14:paraId="06471D32">
      <w:pPr>
        <w:spacing w:line="540" w:lineRule="exact"/>
        <w:ind w:firstLine="5372" w:firstLineChars="1700"/>
        <w:jc w:val="left"/>
        <w:rPr>
          <w:rFonts w:hint="eastAsia" w:ascii="仿宋" w:hAnsi="仿宋" w:eastAsia="仿宋" w:cs="宋体"/>
          <w:color w:val="0000FF"/>
          <w:sz w:val="32"/>
          <w:szCs w:val="32"/>
          <w:highlight w:val="yellow"/>
        </w:rPr>
      </w:pPr>
      <w:bookmarkStart w:id="0" w:name="_GoBack"/>
      <w:r>
        <w:rPr>
          <w:rFonts w:hint="eastAsia" w:ascii="仿宋" w:hAnsi="仿宋" w:eastAsia="仿宋" w:cs="宋体"/>
          <w:color w:val="auto"/>
          <w:sz w:val="32"/>
          <w:szCs w:val="32"/>
          <w:highlight w:val="none"/>
          <w:lang w:eastAsia="zh-CN"/>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lang w:eastAsia="zh-CN"/>
        </w:rPr>
        <w:t>年</w:t>
      </w:r>
      <w:r>
        <w:rPr>
          <w:rFonts w:hint="eastAsia" w:ascii="仿宋" w:hAnsi="仿宋" w:eastAsia="仿宋" w:cs="宋体"/>
          <w:color w:val="auto"/>
          <w:sz w:val="32"/>
          <w:szCs w:val="32"/>
          <w:highlight w:val="none"/>
          <w:lang w:val="en-US" w:eastAsia="zh-CN"/>
        </w:rPr>
        <w:t>7</w:t>
      </w:r>
      <w:r>
        <w:rPr>
          <w:rFonts w:hint="eastAsia" w:ascii="仿宋" w:hAnsi="仿宋" w:eastAsia="仿宋" w:cs="宋体"/>
          <w:color w:val="auto"/>
          <w:sz w:val="32"/>
          <w:szCs w:val="32"/>
          <w:highlight w:val="none"/>
          <w:lang w:eastAsia="zh-CN"/>
        </w:rPr>
        <w:t>月</w:t>
      </w:r>
      <w:r>
        <w:rPr>
          <w:rFonts w:hint="eastAsia" w:ascii="仿宋" w:hAnsi="仿宋" w:eastAsia="仿宋" w:cs="宋体"/>
          <w:color w:val="auto"/>
          <w:sz w:val="32"/>
          <w:szCs w:val="32"/>
          <w:highlight w:val="none"/>
          <w:lang w:val="en-US" w:eastAsia="zh-CN"/>
        </w:rPr>
        <w:t>1</w:t>
      </w:r>
      <w:r>
        <w:rPr>
          <w:rFonts w:hint="eastAsia" w:ascii="仿宋" w:hAnsi="仿宋" w:eastAsia="仿宋" w:cs="宋体"/>
          <w:color w:val="auto"/>
          <w:sz w:val="32"/>
          <w:szCs w:val="32"/>
          <w:highlight w:val="none"/>
          <w:lang w:eastAsia="zh-CN"/>
        </w:rPr>
        <w:t>7日</w:t>
      </w:r>
      <w:bookmarkEnd w:id="0"/>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20C04E83"/>
    <w:rsid w:val="2B904582"/>
    <w:rsid w:val="656406C0"/>
    <w:rsid w:val="6D6E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4</Pages>
  <Words>2027</Words>
  <Characters>2228</Characters>
  <Lines>0</Lines>
  <Paragraphs>33</Paragraphs>
  <TotalTime>6</TotalTime>
  <ScaleCrop>false</ScaleCrop>
  <LinksUpToDate>false</LinksUpToDate>
  <CharactersWithSpaces>2232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2025-04-07T01:05:00Z</cp:lastPrinted>
  <dcterms:modified xsi:type="dcterms:W3CDTF">2025-07-15T01:47:42Z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eyJoZGlkIjoiZTQ1OTU0ZTE5Njg0MmMzMDZhMWRhZTk2MzFlN2NkYjEifQ==</vt:lpwstr>
  </property>
</Properties>
</file>