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000000"/>
          <w:sz w:val="72"/>
        </w:rPr>
      </w:pPr>
    </w:p>
    <w:p>
      <w:pPr>
        <w:jc w:val="center"/>
        <w:rPr>
          <w:rFonts w:ascii="宋体" w:hAnsi="宋体" w:cs="宋体"/>
          <w:b/>
          <w:color w:val="000000"/>
          <w:sz w:val="72"/>
        </w:rPr>
      </w:pPr>
    </w:p>
    <w:p>
      <w:pPr>
        <w:jc w:val="center"/>
        <w:rPr>
          <w:rFonts w:ascii="宋体" w:hAnsi="宋体" w:cs="宋体"/>
          <w:b/>
          <w:color w:val="000000"/>
          <w:sz w:val="72"/>
        </w:rPr>
      </w:pPr>
    </w:p>
    <w:p>
      <w:pPr>
        <w:jc w:val="center"/>
        <w:rPr>
          <w:rFonts w:ascii="方正小标宋简体" w:hAnsi="方正小标宋简体" w:eastAsia="方正小标宋简体" w:cs="方正小标宋简体"/>
          <w:bCs/>
          <w:color w:val="000000"/>
          <w:sz w:val="52"/>
          <w:szCs w:val="52"/>
        </w:rPr>
      </w:pPr>
      <w:r>
        <w:rPr>
          <w:rFonts w:hint="eastAsia" w:ascii="方正小标宋简体" w:hAnsi="方正小标宋简体" w:eastAsia="方正小标宋简体" w:cs="方正小标宋简体"/>
          <w:bCs/>
          <w:color w:val="000000"/>
          <w:sz w:val="52"/>
          <w:szCs w:val="52"/>
        </w:rPr>
        <w:t>高新区人民法院</w:t>
      </w:r>
    </w:p>
    <w:p>
      <w:pPr>
        <w:jc w:val="center"/>
        <w:rPr>
          <w:rFonts w:ascii="方正小标宋简体" w:hAnsi="方正小标宋简体" w:eastAsia="方正小标宋简体" w:cs="方正小标宋简体"/>
          <w:bCs/>
          <w:color w:val="000000"/>
          <w:sz w:val="52"/>
          <w:szCs w:val="52"/>
        </w:rPr>
      </w:pPr>
      <w:r>
        <w:rPr>
          <w:rFonts w:hint="eastAsia" w:ascii="方正小标宋简体" w:hAnsi="方正小标宋简体" w:eastAsia="方正小标宋简体" w:cs="方正小标宋简体"/>
          <w:bCs/>
          <w:color w:val="000000"/>
          <w:sz w:val="52"/>
          <w:szCs w:val="52"/>
        </w:rPr>
        <w:t>2022年部门预算绩效文本</w:t>
      </w:r>
    </w:p>
    <w:p>
      <w:pPr>
        <w:jc w:val="center"/>
        <w:rPr>
          <w:rFonts w:ascii="宋体" w:hAnsi="宋体" w:cs="宋体"/>
          <w:b/>
          <w:color w:val="000000"/>
          <w:sz w:val="72"/>
        </w:rPr>
      </w:pPr>
    </w:p>
    <w:p>
      <w:pPr>
        <w:jc w:val="center"/>
        <w:rPr>
          <w:rFonts w:ascii="楷体" w:hAnsi="楷体" w:eastAsia="楷体" w:cs="楷体"/>
          <w:b/>
          <w:color w:val="000000"/>
          <w:sz w:val="52"/>
        </w:rPr>
      </w:pPr>
    </w:p>
    <w:p>
      <w:pPr>
        <w:rPr>
          <w:rFonts w:ascii="楷体" w:hAnsi="楷体" w:eastAsia="楷体" w:cs="楷体"/>
          <w:b/>
          <w:color w:val="000000"/>
          <w:sz w:val="52"/>
        </w:rPr>
      </w:pPr>
    </w:p>
    <w:p>
      <w:pPr>
        <w:jc w:val="center"/>
        <w:rPr>
          <w:rFonts w:ascii="楷体" w:hAnsi="楷体" w:eastAsia="楷体" w:cs="楷体"/>
          <w:b/>
          <w:color w:val="000000"/>
          <w:sz w:val="52"/>
        </w:rPr>
      </w:pPr>
    </w:p>
    <w:p>
      <w:pPr>
        <w:jc w:val="center"/>
        <w:rPr>
          <w:rFonts w:ascii="楷体" w:hAnsi="楷体" w:eastAsia="楷体" w:cs="楷体"/>
          <w:b/>
          <w:color w:val="000000"/>
          <w:sz w:val="52"/>
        </w:rPr>
      </w:pPr>
    </w:p>
    <w:p>
      <w:pPr>
        <w:rPr>
          <w:rFonts w:ascii="楷体" w:hAnsi="楷体" w:eastAsia="楷体" w:cs="楷体"/>
          <w:b/>
          <w:color w:val="000000"/>
          <w:sz w:val="52"/>
        </w:rPr>
      </w:pPr>
    </w:p>
    <w:p>
      <w:pPr>
        <w:rPr>
          <w:rFonts w:ascii="楷体" w:hAnsi="楷体" w:eastAsia="楷体" w:cs="楷体"/>
          <w:b/>
          <w:color w:val="000000"/>
          <w:sz w:val="52"/>
        </w:rPr>
      </w:pPr>
    </w:p>
    <w:p>
      <w:pPr>
        <w:rPr>
          <w:rFonts w:ascii="楷体" w:hAnsi="楷体" w:eastAsia="楷体" w:cs="楷体"/>
          <w:b/>
          <w:color w:val="000000"/>
          <w:sz w:val="52"/>
        </w:rPr>
      </w:pPr>
    </w:p>
    <w:p>
      <w:pPr>
        <w:jc w:val="center"/>
        <w:rPr>
          <w:rFonts w:ascii="方正小标宋简体" w:hAnsi="方正小标宋简体" w:eastAsia="方正小标宋简体" w:cs="方正小标宋简体"/>
          <w:sz w:val="44"/>
          <w:szCs w:val="44"/>
        </w:rPr>
      </w:pPr>
      <w:r>
        <w:rPr>
          <w:rFonts w:ascii="楷体" w:hAnsi="楷体" w:eastAsia="楷体" w:cs="楷体"/>
          <w:bCs/>
          <w:color w:val="000000"/>
          <w:sz w:val="32"/>
          <w:szCs w:val="32"/>
        </w:rPr>
        <w:t>唐山</w:t>
      </w:r>
      <w:r>
        <w:rPr>
          <w:rFonts w:hint="eastAsia" w:ascii="楷体" w:hAnsi="楷体" w:eastAsia="楷体" w:cs="楷体"/>
          <w:bCs/>
          <w:color w:val="000000"/>
          <w:sz w:val="32"/>
          <w:szCs w:val="32"/>
        </w:rPr>
        <w:t>高新技术产业开区人民法院编制</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2022年部门整体绩效目标</w:t>
      </w:r>
    </w:p>
    <w:p>
      <w:pPr>
        <w:widowControl/>
        <w:adjustRightInd w:val="0"/>
        <w:snapToGrid w:val="0"/>
        <w:spacing w:line="560" w:lineRule="exact"/>
        <w:jc w:val="left"/>
        <w:rPr>
          <w:rFonts w:ascii="仿宋_GB2312"/>
          <w:color w:val="000000"/>
          <w:kern w:val="0"/>
        </w:rPr>
      </w:pPr>
    </w:p>
    <w:p>
      <w:pPr>
        <w:pStyle w:val="12"/>
        <w:spacing w:line="560" w:lineRule="exact"/>
        <w:ind w:firstLine="640"/>
        <w:jc w:val="left"/>
        <w:rPr>
          <w:rFonts w:ascii="黑体" w:hAnsi="黑体" w:eastAsia="黑体" w:cs="黑体"/>
          <w:bCs/>
          <w:color w:val="000000"/>
          <w:sz w:val="32"/>
          <w:szCs w:val="32"/>
        </w:rPr>
      </w:pPr>
      <w:r>
        <w:rPr>
          <w:rFonts w:hint="eastAsia" w:ascii="黑体" w:hAnsi="黑体" w:eastAsia="黑体" w:cs="黑体"/>
          <w:bCs/>
          <w:color w:val="000000"/>
          <w:sz w:val="32"/>
          <w:szCs w:val="32"/>
        </w:rPr>
        <w:t>一、部门总体绩效目标</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根据管委会工作部署，结合本部门年度工作计划，针对主要职责、重点工作，分项制定绩效目标。 2022年我院项目共安排六项。其中包括陪审员经费项目、国家赔偿、司法救助、法律援助经费项目、公检法大楼物业服务非项目、办案业务经费项目、老庄子锅炉改造项目和被装购置费项目。资金达到五十万以上有两项。</w:t>
      </w:r>
    </w:p>
    <w:p>
      <w:pPr>
        <w:pStyle w:val="12"/>
        <w:spacing w:line="560" w:lineRule="exact"/>
        <w:ind w:firstLine="640"/>
        <w:jc w:val="left"/>
        <w:rPr>
          <w:rFonts w:ascii="黑体" w:hAnsi="黑体" w:eastAsia="黑体" w:cs="黑体"/>
          <w:bCs/>
          <w:color w:val="000000"/>
          <w:sz w:val="32"/>
          <w:szCs w:val="32"/>
        </w:rPr>
      </w:pPr>
      <w:r>
        <w:rPr>
          <w:rFonts w:hint="eastAsia" w:ascii="黑体" w:hAnsi="黑体" w:eastAsia="黑体" w:cs="黑体"/>
          <w:bCs/>
          <w:color w:val="000000"/>
          <w:sz w:val="32"/>
          <w:szCs w:val="32"/>
        </w:rPr>
        <w:t>二、分项绩效目标</w:t>
      </w:r>
    </w:p>
    <w:p>
      <w:pPr>
        <w:pStyle w:val="12"/>
        <w:widowControl/>
        <w:adjustRightInd w:val="0"/>
        <w:snapToGrid w:val="0"/>
        <w:spacing w:line="560" w:lineRule="exact"/>
        <w:ind w:left="720" w:firstLine="0" w:firstLineChars="0"/>
        <w:jc w:val="left"/>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（一）公检法物业服务</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绩效目标：主要用于公检法办公大楼的清扫保洁，办公环境的提升提高工作质量，促进审判质效、健全司法权力运行机制，高质高效完成审判工作，提升司法公信力。</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绩效指标：综合业务管理工作完成情况占综合业务管理工作任务的比例大于等于90%；大于等于90%为服务质量达标。</w:t>
      </w:r>
    </w:p>
    <w:p>
      <w:pPr>
        <w:pStyle w:val="12"/>
        <w:widowControl/>
        <w:adjustRightInd w:val="0"/>
        <w:snapToGrid w:val="0"/>
        <w:spacing w:line="560" w:lineRule="exact"/>
        <w:ind w:left="720" w:firstLine="0" w:firstLineChars="0"/>
        <w:jc w:val="left"/>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（二）办案业务经费</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绩效目标：完善审判质效评估体系，促进审判质效、健全司法权力运行机制，提升司法公信力。规范、保障、促进审判执行工作，包括：案件信息管理、案件质量评估、案件质量评查、审判流程管理、审判运势分析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绩效指标：案件判决数占审判案件总数的比例大于等于90%为优秀；法定审限内结案数占结案数的比例大于等于90%为优秀。</w:t>
      </w:r>
    </w:p>
    <w:p>
      <w:pPr>
        <w:pStyle w:val="12"/>
        <w:spacing w:line="560" w:lineRule="exact"/>
        <w:ind w:firstLine="640"/>
        <w:jc w:val="left"/>
        <w:rPr>
          <w:rFonts w:ascii="黑体" w:hAnsi="黑体" w:eastAsia="黑体" w:cs="黑体"/>
          <w:bCs/>
          <w:color w:val="000000"/>
          <w:sz w:val="32"/>
          <w:szCs w:val="32"/>
        </w:rPr>
      </w:pPr>
      <w:r>
        <w:rPr>
          <w:rFonts w:hint="eastAsia" w:ascii="黑体" w:hAnsi="黑体" w:eastAsia="黑体" w:cs="黑体"/>
          <w:bCs/>
          <w:color w:val="000000"/>
          <w:sz w:val="32"/>
          <w:szCs w:val="32"/>
        </w:rPr>
        <w:t>三、工作保障措施</w:t>
      </w:r>
    </w:p>
    <w:p>
      <w:pPr>
        <w:spacing w:line="560" w:lineRule="exact"/>
        <w:ind w:firstLine="640" w:firstLineChars="200"/>
        <w:jc w:val="left"/>
        <w:rPr>
          <w:rFonts w:ascii="仿宋" w:hAnsi="仿宋" w:eastAsia="仿宋" w:cs="宋体"/>
          <w:kern w:val="0"/>
          <w:sz w:val="32"/>
          <w:szCs w:val="32"/>
        </w:rPr>
      </w:pPr>
      <w:r>
        <w:rPr>
          <w:rFonts w:hint="eastAsia" w:ascii="楷体_GB2312" w:hAnsi="楷体_GB2312" w:eastAsia="楷体_GB2312" w:cs="楷体_GB2312"/>
          <w:sz w:val="32"/>
          <w:szCs w:val="32"/>
        </w:rPr>
        <w:t>（一）</w:t>
      </w:r>
      <w:r>
        <w:rPr>
          <w:rFonts w:ascii="楷体_GB2312" w:hAnsi="楷体_GB2312" w:eastAsia="楷体_GB2312" w:cs="楷体_GB2312"/>
          <w:sz w:val="32"/>
          <w:szCs w:val="32"/>
        </w:rPr>
        <w:t>完善制度建设。</w:t>
      </w:r>
      <w:r>
        <w:rPr>
          <w:rFonts w:hint="eastAsia" w:ascii="仿宋" w:hAnsi="仿宋" w:eastAsia="仿宋" w:cs="宋体"/>
          <w:kern w:val="0"/>
          <w:sz w:val="32"/>
          <w:szCs w:val="32"/>
        </w:rPr>
        <w:t>制定完善预算绩效管理制度、资金管理办法、工作保障制度等相关制度。</w:t>
      </w:r>
    </w:p>
    <w:p>
      <w:pPr>
        <w:spacing w:line="560" w:lineRule="exact"/>
        <w:ind w:firstLine="640" w:firstLineChars="200"/>
        <w:jc w:val="left"/>
        <w:rPr>
          <w:rFonts w:ascii="仿宋" w:hAnsi="仿宋" w:eastAsia="仿宋" w:cs="宋体"/>
          <w:kern w:val="0"/>
          <w:sz w:val="32"/>
          <w:szCs w:val="32"/>
        </w:rPr>
      </w:pPr>
      <w:r>
        <w:rPr>
          <w:rFonts w:hint="eastAsia" w:ascii="楷体_GB2312" w:hAnsi="楷体_GB2312" w:eastAsia="楷体_GB2312" w:cs="楷体_GB2312"/>
          <w:sz w:val="32"/>
          <w:szCs w:val="32"/>
        </w:rPr>
        <w:t>（二）加强支出管理。</w:t>
      </w:r>
      <w:r>
        <w:rPr>
          <w:rFonts w:hint="eastAsia" w:ascii="仿宋" w:hAnsi="仿宋" w:eastAsia="仿宋" w:cs="宋体"/>
          <w:kern w:val="0"/>
          <w:sz w:val="32"/>
          <w:szCs w:val="32"/>
        </w:rPr>
        <w:t>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pPr>
        <w:pStyle w:val="6"/>
        <w:spacing w:line="560" w:lineRule="exact"/>
        <w:ind w:firstLine="640"/>
        <w:rPr>
          <w:rFonts w:ascii="仿宋" w:hAnsi="仿宋" w:eastAsia="仿宋" w:cs="宋体"/>
          <w:kern w:val="0"/>
          <w:szCs w:val="32"/>
        </w:rPr>
      </w:pPr>
      <w:r>
        <w:rPr>
          <w:rFonts w:hint="eastAsia" w:ascii="楷体_GB2312" w:hAnsi="楷体_GB2312" w:eastAsia="楷体_GB2312" w:cs="楷体_GB2312"/>
          <w:szCs w:val="32"/>
        </w:rPr>
        <w:t>（三）加强绩效运行监控。</w:t>
      </w:r>
      <w:r>
        <w:rPr>
          <w:rFonts w:hint="eastAsia" w:ascii="仿宋" w:hAnsi="仿宋" w:eastAsia="仿宋" w:cs="宋体"/>
          <w:kern w:val="0"/>
          <w:szCs w:val="32"/>
        </w:rPr>
        <w:t>按照上级要求按季度开展绩效运行监控，掌握预算支出进度和项目实施情况，发现问题及时采取措施，确保绩效目标如期保质实现。</w:t>
      </w:r>
    </w:p>
    <w:p>
      <w:pPr>
        <w:pStyle w:val="6"/>
        <w:spacing w:line="560" w:lineRule="exact"/>
        <w:ind w:firstLine="640"/>
        <w:rPr>
          <w:rFonts w:ascii="仿宋" w:hAnsi="仿宋" w:eastAsia="仿宋" w:cs="宋体"/>
          <w:kern w:val="0"/>
          <w:szCs w:val="32"/>
        </w:rPr>
      </w:pPr>
      <w:r>
        <w:rPr>
          <w:rFonts w:hint="eastAsia" w:ascii="楷体_GB2312" w:hAnsi="楷体_GB2312" w:eastAsia="楷体_GB2312" w:cs="楷体_GB2312"/>
          <w:szCs w:val="32"/>
        </w:rPr>
        <w:t>（四）做好绩效自评工作。</w:t>
      </w:r>
      <w:r>
        <w:rPr>
          <w:rFonts w:hint="eastAsia" w:ascii="仿宋" w:hAnsi="仿宋" w:eastAsia="仿宋" w:cs="宋体"/>
          <w:kern w:val="0"/>
          <w:szCs w:val="32"/>
        </w:rPr>
        <w:t>按要求开展上年度部门预算绩效自评工作，对自评中发现的问题及时整改，调整优化支出结构，提高财政资金使用效益。</w:t>
      </w:r>
    </w:p>
    <w:p>
      <w:pPr>
        <w:pStyle w:val="6"/>
        <w:spacing w:line="560" w:lineRule="exact"/>
        <w:ind w:firstLine="640"/>
        <w:rPr>
          <w:rFonts w:ascii="仿宋" w:hAnsi="仿宋" w:eastAsia="仿宋" w:cs="宋体"/>
          <w:kern w:val="0"/>
          <w:szCs w:val="32"/>
        </w:rPr>
      </w:pPr>
      <w:r>
        <w:rPr>
          <w:rFonts w:hint="eastAsia" w:ascii="楷体_GB2312" w:hAnsi="楷体_GB2312" w:eastAsia="楷体_GB2312" w:cs="楷体_GB2312"/>
          <w:szCs w:val="32"/>
        </w:rPr>
        <w:t>（五）规范财务资金管理。</w:t>
      </w:r>
      <w:r>
        <w:rPr>
          <w:rFonts w:hint="eastAsia" w:ascii="仿宋" w:hAnsi="仿宋" w:eastAsia="仿宋" w:cs="宋体"/>
          <w:kern w:val="0"/>
          <w:szCs w:val="32"/>
        </w:rPr>
        <w:t>完善财务管理制度，严格审批程序，做好固定资产登记、使用报废处置管理，做到支出合理，物尽其用。</w:t>
      </w:r>
    </w:p>
    <w:p>
      <w:pPr>
        <w:pStyle w:val="6"/>
        <w:spacing w:line="560" w:lineRule="exact"/>
        <w:ind w:firstLine="640"/>
        <w:rPr>
          <w:rFonts w:ascii="仿宋" w:hAnsi="仿宋" w:eastAsia="仿宋" w:cs="宋体"/>
          <w:kern w:val="0"/>
          <w:szCs w:val="32"/>
        </w:rPr>
      </w:pPr>
      <w:r>
        <w:rPr>
          <w:rFonts w:hint="eastAsia" w:ascii="楷体_GB2312" w:hAnsi="楷体_GB2312" w:eastAsia="楷体_GB2312" w:cs="楷体_GB2312"/>
          <w:szCs w:val="32"/>
        </w:rPr>
        <w:t>（六）加强内部监督。</w:t>
      </w:r>
      <w:r>
        <w:rPr>
          <w:rFonts w:hint="eastAsia" w:ascii="仿宋" w:hAnsi="仿宋" w:eastAsia="仿宋" w:cs="宋体"/>
          <w:kern w:val="0"/>
          <w:szCs w:val="32"/>
        </w:rPr>
        <w:t>加强内部监督制度建设，做好内控工作，对项目绩效及资产处置工作进行督导，对会计资料进行内部审计，并配合做好财政监督等工作，确保财政资金安全有效。</w:t>
      </w:r>
    </w:p>
    <w:p>
      <w:pPr>
        <w:spacing w:line="560" w:lineRule="exact"/>
        <w:ind w:firstLine="640" w:firstLineChars="200"/>
        <w:rPr>
          <w:rFonts w:ascii="仿宋" w:hAnsi="仿宋" w:eastAsia="仿宋" w:cs="宋体"/>
          <w:kern w:val="0"/>
          <w:sz w:val="32"/>
          <w:szCs w:val="32"/>
        </w:rPr>
      </w:pPr>
      <w:r>
        <w:rPr>
          <w:rFonts w:hint="eastAsia" w:ascii="楷体_GB2312" w:hAnsi="楷体_GB2312" w:eastAsia="楷体_GB2312" w:cs="楷体_GB2312"/>
          <w:sz w:val="32"/>
          <w:szCs w:val="32"/>
        </w:rPr>
        <w:t>（七）加强宣传培训调研等。</w:t>
      </w:r>
      <w:r>
        <w:rPr>
          <w:rFonts w:hint="eastAsia" w:ascii="仿宋" w:hAnsi="仿宋" w:eastAsia="仿宋" w:cs="宋体"/>
          <w:kern w:val="0"/>
          <w:sz w:val="32"/>
          <w:szCs w:val="32"/>
        </w:rPr>
        <w:t>加强人员培训，提高本部门职工业务素质；加强调研，提出优化财政资金配置、提高资金使用效益的意见；加大宣传力度，强化预算绩效管理意识，促进预算绩效管理水平进一步提升。</w:t>
      </w:r>
    </w:p>
    <w:p>
      <w:pPr>
        <w:widowControl/>
        <w:adjustRightInd w:val="0"/>
        <w:snapToGrid w:val="0"/>
        <w:spacing w:line="560" w:lineRule="exact"/>
        <w:jc w:val="left"/>
        <w:rPr>
          <w:rFonts w:ascii="仿宋_GB2312" w:hAnsi="仿宋" w:eastAsia="仿宋_GB2312" w:cs="宋体"/>
          <w:kern w:val="0"/>
          <w:sz w:val="32"/>
          <w:szCs w:val="32"/>
        </w:rPr>
      </w:pPr>
    </w:p>
    <w:p>
      <w:pPr>
        <w:pStyle w:val="2"/>
        <w:spacing w:line="560" w:lineRule="exact"/>
        <w:rPr>
          <w:rFonts w:ascii="宋体" w:hAnsi="宋体" w:cs="宋体"/>
          <w:color w:val="000000"/>
          <w:kern w:val="2"/>
          <w:sz w:val="36"/>
          <w:szCs w:val="36"/>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60" w:lineRule="exact"/>
        <w:rPr>
          <w:rFonts w:ascii="宋体" w:hAnsi="宋体" w:cs="宋体"/>
          <w:b/>
          <w:color w:val="000000"/>
          <w:sz w:val="28"/>
        </w:rPr>
      </w:pPr>
    </w:p>
    <w:p>
      <w:pPr>
        <w:spacing w:line="58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办案业务经费</w:t>
      </w:r>
      <w:r>
        <w:rPr>
          <w:rFonts w:hint="eastAsia" w:ascii="方正小标宋简体" w:hAnsi="方正小标宋简体" w:eastAsia="方正小标宋简体" w:cs="方正小标宋简体"/>
          <w:sz w:val="44"/>
          <w:szCs w:val="44"/>
        </w:rPr>
        <w:t>项目绩效目标表</w:t>
      </w:r>
    </w:p>
    <w:p>
      <w:pPr>
        <w:spacing w:line="580" w:lineRule="exact"/>
        <w:jc w:val="center"/>
        <w:rPr>
          <w:rFonts w:ascii="方正小标宋简体" w:hAnsi="方正小标宋简体" w:eastAsia="方正小标宋简体" w:cs="方正小标宋简体"/>
          <w:bCs/>
          <w:color w:val="000000"/>
          <w:sz w:val="44"/>
          <w:szCs w:val="44"/>
        </w:rPr>
      </w:pPr>
    </w:p>
    <w:tbl>
      <w:tblPr>
        <w:tblStyle w:val="7"/>
        <w:tblW w:w="8952" w:type="dxa"/>
        <w:tblInd w:w="0" w:type="dxa"/>
        <w:tblLayout w:type="fixed"/>
        <w:tblCellMar>
          <w:top w:w="15" w:type="dxa"/>
          <w:left w:w="15" w:type="dxa"/>
          <w:bottom w:w="15" w:type="dxa"/>
          <w:right w:w="15" w:type="dxa"/>
        </w:tblCellMar>
      </w:tblPr>
      <w:tblGrid>
        <w:gridCol w:w="752"/>
        <w:gridCol w:w="1002"/>
        <w:gridCol w:w="1315"/>
        <w:gridCol w:w="1442"/>
        <w:gridCol w:w="1078"/>
        <w:gridCol w:w="1230"/>
        <w:gridCol w:w="1172"/>
        <w:gridCol w:w="961"/>
      </w:tblGrid>
      <w:tr>
        <w:tblPrEx>
          <w:tblCellMar>
            <w:top w:w="15" w:type="dxa"/>
            <w:left w:w="15" w:type="dxa"/>
            <w:bottom w:w="15" w:type="dxa"/>
            <w:right w:w="15" w:type="dxa"/>
          </w:tblCellMar>
        </w:tblPrEx>
        <w:trPr>
          <w:trHeight w:val="615"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3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kern w:val="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kern w:val="0"/>
                <w:sz w:val="20"/>
                <w:szCs w:val="20"/>
              </w:rPr>
            </w:pPr>
            <w:r>
              <w:rPr>
                <w:rFonts w:hint="eastAsia" w:ascii="宋体" w:hAnsi="宋体" w:cs="宋体"/>
                <w:color w:val="000000"/>
                <w:kern w:val="0"/>
                <w:sz w:val="20"/>
                <w:szCs w:val="20"/>
              </w:rPr>
              <w:t>办案业务经费</w:t>
            </w:r>
          </w:p>
        </w:tc>
      </w:tr>
      <w:tr>
        <w:tblPrEx>
          <w:tblCellMar>
            <w:top w:w="15" w:type="dxa"/>
            <w:left w:w="15" w:type="dxa"/>
            <w:bottom w:w="15" w:type="dxa"/>
            <w:right w:w="15" w:type="dxa"/>
          </w:tblCellMar>
        </w:tblPrEx>
        <w:trPr>
          <w:trHeight w:val="555" w:hRule="atLeast"/>
        </w:trPr>
        <w:tc>
          <w:tcPr>
            <w:tcW w:w="7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0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szCs w:val="20"/>
              </w:rPr>
            </w:pPr>
            <w:r>
              <w:rPr>
                <w:rFonts w:hint="eastAsia" w:ascii="宋体" w:hAnsi="宋体" w:cs="宋体"/>
                <w:color w:val="000000"/>
                <w:kern w:val="0"/>
                <w:sz w:val="20"/>
                <w:szCs w:val="20"/>
              </w:rPr>
              <w:t>预算数</w:t>
            </w:r>
          </w:p>
        </w:tc>
        <w:tc>
          <w:tcPr>
            <w:tcW w:w="131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kern w:val="0"/>
                <w:sz w:val="20"/>
                <w:szCs w:val="20"/>
              </w:rPr>
            </w:pPr>
            <w:r>
              <w:rPr>
                <w:rFonts w:hint="eastAsia" w:ascii="宋体" w:hAnsi="宋体" w:cs="宋体"/>
                <w:color w:val="000000"/>
                <w:kern w:val="0"/>
                <w:sz w:val="20"/>
                <w:szCs w:val="20"/>
              </w:rPr>
              <w:t>50万元</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kern w:val="0"/>
                <w:sz w:val="20"/>
                <w:szCs w:val="20"/>
              </w:rPr>
            </w:pPr>
            <w:r>
              <w:rPr>
                <w:rFonts w:hint="eastAsia" w:ascii="宋体" w:hAnsi="宋体" w:cs="宋体"/>
                <w:color w:val="000000"/>
                <w:kern w:val="0"/>
                <w:sz w:val="20"/>
                <w:szCs w:val="20"/>
              </w:rPr>
              <w:t>50万元</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szCs w:val="20"/>
              </w:rPr>
            </w:pPr>
            <w:r>
              <w:rPr>
                <w:rFonts w:hint="eastAsia" w:ascii="宋体" w:hAnsi="宋体" w:cs="宋体"/>
                <w:color w:val="000000"/>
                <w:kern w:val="0"/>
                <w:sz w:val="20"/>
                <w:szCs w:val="20"/>
              </w:rPr>
              <w:t>其他资金</w:t>
            </w: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w:t>
            </w:r>
          </w:p>
        </w:tc>
      </w:tr>
      <w:tr>
        <w:tblPrEx>
          <w:tblCellMar>
            <w:top w:w="15" w:type="dxa"/>
            <w:left w:w="15" w:type="dxa"/>
            <w:bottom w:w="15" w:type="dxa"/>
            <w:right w:w="15" w:type="dxa"/>
          </w:tblCellMar>
        </w:tblPrEx>
        <w:trPr>
          <w:trHeight w:val="397" w:hRule="atLeast"/>
        </w:trPr>
        <w:tc>
          <w:tcPr>
            <w:tcW w:w="7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8200"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0"/>
                <w:szCs w:val="20"/>
              </w:rPr>
            </w:pPr>
            <w:r>
              <w:rPr>
                <w:rFonts w:hint="eastAsia" w:ascii="宋体" w:hAnsi="宋体" w:cs="宋体"/>
                <w:color w:val="000000"/>
                <w:kern w:val="0"/>
                <w:sz w:val="20"/>
                <w:szCs w:val="20"/>
              </w:rPr>
              <w:t>依法惩治刑事犯罪，监督行政机关依法行政，促进社会和谐，维护社会稳定，服务全区工作大局，发挥服务保障职能。</w:t>
            </w:r>
          </w:p>
        </w:tc>
      </w:tr>
      <w:tr>
        <w:tblPrEx>
          <w:tblCellMar>
            <w:top w:w="15" w:type="dxa"/>
            <w:left w:w="15" w:type="dxa"/>
            <w:bottom w:w="15" w:type="dxa"/>
            <w:right w:w="15" w:type="dxa"/>
          </w:tblCellMar>
        </w:tblPrEx>
        <w:trPr>
          <w:trHeight w:val="615" w:hRule="atLeast"/>
        </w:trPr>
        <w:tc>
          <w:tcPr>
            <w:tcW w:w="7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3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6月底</w:t>
            </w:r>
          </w:p>
        </w:tc>
        <w:tc>
          <w:tcPr>
            <w:tcW w:w="23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10月底</w:t>
            </w: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12月底</w:t>
            </w:r>
          </w:p>
        </w:tc>
      </w:tr>
      <w:tr>
        <w:tblPrEx>
          <w:tblCellMar>
            <w:top w:w="15" w:type="dxa"/>
            <w:left w:w="15" w:type="dxa"/>
            <w:bottom w:w="15" w:type="dxa"/>
            <w:right w:w="15" w:type="dxa"/>
          </w:tblCellMar>
        </w:tblPrEx>
        <w:trPr>
          <w:trHeight w:val="441" w:hRule="atLeast"/>
        </w:trPr>
        <w:tc>
          <w:tcPr>
            <w:tcW w:w="7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23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23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15" w:type="dxa"/>
            <w:left w:w="15" w:type="dxa"/>
            <w:bottom w:w="15" w:type="dxa"/>
            <w:right w:w="15" w:type="dxa"/>
          </w:tblCellMar>
        </w:tblPrEx>
        <w:trPr>
          <w:trHeight w:val="525"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0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依法惩治刑事犯罪，监督行政机关依法行政，促进社会和谐，维护社会稳定。</w:t>
            </w:r>
          </w:p>
        </w:tc>
      </w:tr>
      <w:tr>
        <w:tblPrEx>
          <w:tblCellMar>
            <w:top w:w="15" w:type="dxa"/>
            <w:left w:w="15" w:type="dxa"/>
            <w:bottom w:w="15" w:type="dxa"/>
            <w:right w:w="15" w:type="dxa"/>
          </w:tblCellMar>
        </w:tblPrEx>
        <w:trPr>
          <w:trHeight w:val="450" w:hRule="atLeast"/>
        </w:trPr>
        <w:tc>
          <w:tcPr>
            <w:tcW w:w="7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0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375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绩效指标描述</w:t>
            </w:r>
          </w:p>
        </w:tc>
        <w:tc>
          <w:tcPr>
            <w:tcW w:w="1172"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指标值确定依据</w:t>
            </w:r>
          </w:p>
        </w:tc>
      </w:tr>
      <w:tr>
        <w:tblPrEx>
          <w:tblCellMar>
            <w:top w:w="15" w:type="dxa"/>
            <w:left w:w="15" w:type="dxa"/>
            <w:bottom w:w="15" w:type="dxa"/>
            <w:right w:w="15" w:type="dxa"/>
          </w:tblCellMar>
        </w:tblPrEx>
        <w:trPr>
          <w:trHeight w:val="312" w:hRule="atLeast"/>
        </w:trPr>
        <w:tc>
          <w:tcPr>
            <w:tcW w:w="7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375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72" w:type="dxa"/>
            <w:vMerge w:val="continue"/>
            <w:tcBorders>
              <w:top w:val="single" w:color="000000" w:sz="4" w:space="0"/>
              <w:left w:val="single" w:color="000000" w:sz="4" w:space="0"/>
              <w:bottom w:val="single" w:color="000000" w:sz="4" w:space="0"/>
            </w:tcBorders>
            <w:vAlign w:val="center"/>
          </w:tcPr>
          <w:p>
            <w:pPr>
              <w:widowControl/>
              <w:jc w:val="left"/>
              <w:rPr>
                <w:rFonts w:ascii="宋体" w:hAnsi="宋体" w:cs="宋体"/>
                <w:color w:val="000000"/>
                <w:kern w:val="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555" w:hRule="atLeast"/>
        </w:trPr>
        <w:tc>
          <w:tcPr>
            <w:tcW w:w="7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002"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平均审理天数</w:t>
            </w:r>
          </w:p>
        </w:tc>
        <w:tc>
          <w:tcPr>
            <w:tcW w:w="375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案件的审理平均天数</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48天/个</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15" w:type="dxa"/>
            <w:left w:w="15" w:type="dxa"/>
            <w:bottom w:w="15" w:type="dxa"/>
            <w:right w:w="15" w:type="dxa"/>
          </w:tblCellMar>
        </w:tblPrEx>
        <w:trPr>
          <w:trHeight w:val="510" w:hRule="atLeast"/>
        </w:trPr>
        <w:tc>
          <w:tcPr>
            <w:tcW w:w="7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审限结案率</w:t>
            </w:r>
          </w:p>
        </w:tc>
        <w:tc>
          <w:tcPr>
            <w:tcW w:w="375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法定审限内结案数占结案数的比例</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法律规定</w:t>
            </w:r>
          </w:p>
        </w:tc>
      </w:tr>
      <w:tr>
        <w:tblPrEx>
          <w:tblCellMar>
            <w:top w:w="15" w:type="dxa"/>
            <w:left w:w="15" w:type="dxa"/>
            <w:bottom w:w="15" w:type="dxa"/>
            <w:right w:w="15" w:type="dxa"/>
          </w:tblCellMar>
        </w:tblPrEx>
        <w:trPr>
          <w:trHeight w:val="510" w:hRule="atLeast"/>
        </w:trPr>
        <w:tc>
          <w:tcPr>
            <w:tcW w:w="7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案件结案率</w:t>
            </w:r>
          </w:p>
        </w:tc>
        <w:tc>
          <w:tcPr>
            <w:tcW w:w="375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案件判决数占审判案件总数的比例</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法律规定</w:t>
            </w:r>
          </w:p>
        </w:tc>
      </w:tr>
      <w:tr>
        <w:tblPrEx>
          <w:tblCellMar>
            <w:top w:w="15" w:type="dxa"/>
            <w:left w:w="15" w:type="dxa"/>
            <w:bottom w:w="15" w:type="dxa"/>
            <w:right w:w="15" w:type="dxa"/>
          </w:tblCellMar>
        </w:tblPrEx>
        <w:trPr>
          <w:trHeight w:val="510" w:hRule="atLeast"/>
        </w:trPr>
        <w:tc>
          <w:tcPr>
            <w:tcW w:w="7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002"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375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支出数占预算数的比率</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15" w:type="dxa"/>
            <w:left w:w="15" w:type="dxa"/>
            <w:bottom w:w="15" w:type="dxa"/>
            <w:right w:w="15" w:type="dxa"/>
          </w:tblCellMar>
        </w:tblPrEx>
        <w:trPr>
          <w:trHeight w:val="510" w:hRule="atLeast"/>
        </w:trPr>
        <w:tc>
          <w:tcPr>
            <w:tcW w:w="752"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002"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工作开展的水平是否提升</w:t>
            </w:r>
          </w:p>
        </w:tc>
        <w:tc>
          <w:tcPr>
            <w:tcW w:w="375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水平是否提升</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15" w:type="dxa"/>
            <w:left w:w="15" w:type="dxa"/>
            <w:bottom w:w="15" w:type="dxa"/>
            <w:right w:w="15" w:type="dxa"/>
          </w:tblCellMar>
        </w:tblPrEx>
        <w:trPr>
          <w:trHeight w:val="720"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0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社会公众满意度</w:t>
            </w:r>
          </w:p>
        </w:tc>
        <w:tc>
          <w:tcPr>
            <w:tcW w:w="375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对项目实施效果的满意程度</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工作经验</w:t>
            </w:r>
          </w:p>
        </w:tc>
      </w:tr>
    </w:tbl>
    <w:p>
      <w:pPr>
        <w:rPr>
          <w:rFonts w:ascii="仿宋" w:hAnsi="仿宋" w:eastAsia="仿宋" w:cs="宋体"/>
          <w:color w:val="000000"/>
          <w:kern w:val="0"/>
          <w:sz w:val="18"/>
          <w:szCs w:val="18"/>
        </w:rPr>
      </w:pPr>
    </w:p>
    <w:p>
      <w:pPr>
        <w:spacing w:line="360" w:lineRule="auto"/>
        <w:jc w:val="left"/>
        <w:rPr>
          <w:rFonts w:ascii="宋体" w:hAnsi="宋体" w:cs="宋体"/>
          <w:b/>
          <w:color w:val="000000"/>
          <w:sz w:val="28"/>
        </w:rPr>
      </w:pPr>
    </w:p>
    <w:p>
      <w:pPr>
        <w:spacing w:line="360" w:lineRule="auto"/>
        <w:jc w:val="left"/>
        <w:rPr>
          <w:rFonts w:ascii="宋体" w:hAnsi="宋体" w:cs="宋体"/>
          <w:b/>
          <w:color w:val="000000"/>
          <w:sz w:val="28"/>
        </w:rPr>
      </w:pPr>
    </w:p>
    <w:p>
      <w:pPr>
        <w:spacing w:line="360" w:lineRule="auto"/>
        <w:jc w:val="left"/>
        <w:rPr>
          <w:rFonts w:ascii="宋体" w:hAnsi="宋体" w:cs="宋体"/>
          <w:b/>
          <w:color w:val="000000"/>
          <w:sz w:val="28"/>
        </w:rPr>
      </w:pPr>
    </w:p>
    <w:p>
      <w:pPr>
        <w:spacing w:line="360" w:lineRule="auto"/>
        <w:jc w:val="left"/>
        <w:rPr>
          <w:rFonts w:hint="eastAsia" w:ascii="宋体" w:hAnsi="宋体" w:cs="宋体"/>
          <w:b/>
          <w:color w:val="000000"/>
          <w:sz w:val="28"/>
        </w:rPr>
      </w:pPr>
    </w:p>
    <w:p>
      <w:pPr>
        <w:spacing w:line="58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公检法大楼物业服务费</w:t>
      </w:r>
      <w:r>
        <w:rPr>
          <w:rFonts w:hint="eastAsia" w:ascii="方正小标宋简体" w:hAnsi="方正小标宋简体" w:eastAsia="方正小标宋简体" w:cs="方正小标宋简体"/>
          <w:sz w:val="44"/>
          <w:szCs w:val="44"/>
        </w:rPr>
        <w:t>项目绩效目标表</w:t>
      </w:r>
    </w:p>
    <w:p>
      <w:pPr>
        <w:spacing w:line="580" w:lineRule="exact"/>
        <w:jc w:val="center"/>
        <w:rPr>
          <w:rFonts w:ascii="方正小标宋简体" w:hAnsi="方正小标宋简体" w:eastAsia="方正小标宋简体" w:cs="方正小标宋简体"/>
          <w:bCs/>
          <w:color w:val="000000"/>
          <w:sz w:val="44"/>
          <w:szCs w:val="44"/>
        </w:rPr>
      </w:pPr>
    </w:p>
    <w:tbl>
      <w:tblPr>
        <w:tblStyle w:val="7"/>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kern w:val="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kern w:val="0"/>
                <w:sz w:val="20"/>
                <w:szCs w:val="20"/>
              </w:rPr>
            </w:pPr>
            <w:r>
              <w:rPr>
                <w:rFonts w:hint="eastAsia" w:ascii="宋体" w:hAnsi="宋体" w:cs="宋体"/>
                <w:color w:val="000000"/>
                <w:kern w:val="0"/>
                <w:sz w:val="20"/>
                <w:szCs w:val="20"/>
              </w:rPr>
              <w:t>公检法大楼物业服务费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szCs w:val="20"/>
              </w:rPr>
            </w:pPr>
            <w:r>
              <w:rPr>
                <w:rFonts w:hint="eastAsia" w:ascii="宋体" w:hAnsi="宋体" w:cs="宋体"/>
                <w:color w:val="000000"/>
                <w:kern w:val="0"/>
                <w:sz w:val="20"/>
                <w:szCs w:val="20"/>
              </w:rPr>
              <w:t>预算数</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kern w:val="0"/>
                <w:sz w:val="20"/>
                <w:szCs w:val="20"/>
              </w:rPr>
            </w:pPr>
            <w:r>
              <w:rPr>
                <w:rFonts w:hint="eastAsia" w:ascii="宋体" w:hAnsi="宋体" w:cs="宋体"/>
                <w:color w:val="000000"/>
                <w:kern w:val="0"/>
                <w:sz w:val="20"/>
                <w:szCs w:val="20"/>
              </w:rPr>
              <w:t>96万元</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kern w:val="0"/>
                <w:sz w:val="20"/>
                <w:szCs w:val="20"/>
              </w:rPr>
            </w:pPr>
            <w:r>
              <w:rPr>
                <w:rFonts w:hint="eastAsia" w:ascii="宋体" w:hAnsi="宋体" w:cs="宋体"/>
                <w:color w:val="000000"/>
                <w:kern w:val="0"/>
                <w:sz w:val="20"/>
                <w:szCs w:val="20"/>
              </w:rPr>
              <w:t>96万元</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szCs w:val="20"/>
              </w:rPr>
            </w:pPr>
            <w:r>
              <w:rPr>
                <w:rFonts w:hint="eastAsia" w:ascii="宋体" w:hAnsi="宋体" w:cs="宋体"/>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w:t>
            </w:r>
          </w:p>
        </w:tc>
      </w:tr>
      <w:tr>
        <w:tblPrEx>
          <w:tblCellMar>
            <w:top w:w="15" w:type="dxa"/>
            <w:left w:w="15" w:type="dxa"/>
            <w:bottom w:w="15" w:type="dxa"/>
            <w:right w:w="15" w:type="dxa"/>
          </w:tblCellMar>
        </w:tblPrEx>
        <w:trPr>
          <w:trHeight w:val="904"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0"/>
                <w:szCs w:val="20"/>
              </w:rPr>
            </w:pPr>
            <w:r>
              <w:rPr>
                <w:rFonts w:hint="eastAsia" w:ascii="宋体" w:hAnsi="宋体" w:cs="宋体"/>
                <w:color w:val="000000"/>
                <w:kern w:val="0"/>
                <w:sz w:val="20"/>
                <w:szCs w:val="20"/>
              </w:rPr>
              <w:t>主要用于公检法办公大楼的清扫保洁，办公环境的提升提高工作质量，促进审判质效、健全司法权力运行机制，高质高效完成审判工作，提升司法公信力。</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12月底</w:t>
            </w:r>
          </w:p>
        </w:tc>
      </w:tr>
      <w:tr>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15" w:type="dxa"/>
            <w:left w:w="15" w:type="dxa"/>
            <w:bottom w:w="15" w:type="dxa"/>
            <w:right w:w="15" w:type="dxa"/>
          </w:tblCellMar>
        </w:tblPrEx>
        <w:trPr>
          <w:trHeight w:val="52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公检法办公大楼的清扫保洁，办公环境的提升提高工作质量</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p>
        </w:tc>
        <w:tc>
          <w:tcPr>
            <w:tcW w:w="979"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color w:val="000000"/>
                <w:kern w:val="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综合业务管理工作完成率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综合业务管理工作完成情况占综合业务管理工作任务的比例</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年度计划</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w:t>保障工作正常开展</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按照合同约定提供物业服务，保障工作正常开展。</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保障</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合同约定</w:t>
            </w:r>
          </w:p>
        </w:tc>
      </w:tr>
      <w:tr>
        <w:tblPrEx>
          <w:tblCellMar>
            <w:top w:w="15" w:type="dxa"/>
            <w:left w:w="15" w:type="dxa"/>
            <w:bottom w:w="15" w:type="dxa"/>
            <w:right w:w="15" w:type="dxa"/>
          </w:tblCellMar>
        </w:tblPrEx>
        <w:trPr>
          <w:trHeight w:val="1226"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支出数占预算数的比率</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ind w:firstLine="200" w:firstLineChars="100"/>
              <w:jc w:val="left"/>
              <w:rPr>
                <w:rFonts w:ascii="宋体" w:hAnsi="宋体" w:cs="宋体"/>
                <w:color w:val="000000"/>
                <w:kern w:val="0"/>
                <w:sz w:val="20"/>
                <w:szCs w:val="20"/>
              </w:rPr>
            </w:pPr>
            <w:bookmarkStart w:id="0" w:name="_GoBack"/>
            <w:bookmarkEnd w:id="0"/>
            <w:r>
              <w:rPr>
                <w:rFonts w:hint="eastAsia" w:ascii="宋体" w:hAnsi="宋体" w:cs="宋体"/>
                <w:color w:val="000000"/>
                <w:kern w:val="0"/>
                <w:sz w:val="20"/>
                <w:szCs w:val="20"/>
              </w:rPr>
              <w:t>≥9</w:t>
            </w:r>
            <w:r>
              <w:rPr>
                <w:rFonts w:ascii="宋体" w:hAnsi="宋体" w:cs="宋体"/>
                <w:color w:val="000000"/>
                <w:kern w:val="0"/>
                <w:sz w:val="20"/>
                <w:szCs w:val="20"/>
              </w:rPr>
              <w:t>5%</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及时处理率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物业公司日常维护发现问题的及时处理率</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合同约定</w:t>
            </w:r>
          </w:p>
        </w:tc>
      </w:tr>
      <w:tr>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工作开展的水平</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水平是否提升</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社会公众满意度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对项目实施效果的满意程度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pPr>
        <w:jc w:val="center"/>
        <w:rPr>
          <w:rFonts w:ascii="黑体" w:hAnsi="黑体" w:eastAsia="黑体" w:cs="黑体"/>
          <w:sz w:val="72"/>
          <w:szCs w:val="72"/>
        </w:rPr>
      </w:pPr>
    </w:p>
    <w:p>
      <w:pPr>
        <w:jc w:val="center"/>
        <w:rPr>
          <w:rFonts w:ascii="黑体" w:hAnsi="黑体" w:eastAsia="黑体" w:cs="黑体"/>
          <w:sz w:val="72"/>
          <w:szCs w:val="72"/>
        </w:rPr>
      </w:pPr>
    </w:p>
    <w:p/>
    <w:sectPr>
      <w:pgSz w:w="11906" w:h="16838"/>
      <w:pgMar w:top="2098"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0F0C"/>
    <w:rsid w:val="00000E4A"/>
    <w:rsid w:val="00002162"/>
    <w:rsid w:val="00003462"/>
    <w:rsid w:val="000069E5"/>
    <w:rsid w:val="00012F0B"/>
    <w:rsid w:val="00026628"/>
    <w:rsid w:val="00027B03"/>
    <w:rsid w:val="00031F00"/>
    <w:rsid w:val="0003267D"/>
    <w:rsid w:val="00032E49"/>
    <w:rsid w:val="000337D6"/>
    <w:rsid w:val="000373BB"/>
    <w:rsid w:val="0004178F"/>
    <w:rsid w:val="00041EFF"/>
    <w:rsid w:val="0005680D"/>
    <w:rsid w:val="000576A7"/>
    <w:rsid w:val="00061BE4"/>
    <w:rsid w:val="00065DB7"/>
    <w:rsid w:val="000701C1"/>
    <w:rsid w:val="000728F8"/>
    <w:rsid w:val="00074CC4"/>
    <w:rsid w:val="000754D1"/>
    <w:rsid w:val="000760E3"/>
    <w:rsid w:val="00076FB7"/>
    <w:rsid w:val="0008433D"/>
    <w:rsid w:val="00086D4A"/>
    <w:rsid w:val="00092A34"/>
    <w:rsid w:val="00097264"/>
    <w:rsid w:val="000A1D59"/>
    <w:rsid w:val="000A226B"/>
    <w:rsid w:val="000A5100"/>
    <w:rsid w:val="000A6516"/>
    <w:rsid w:val="000B0DCA"/>
    <w:rsid w:val="000B26C1"/>
    <w:rsid w:val="000B2732"/>
    <w:rsid w:val="000B3E61"/>
    <w:rsid w:val="000B473B"/>
    <w:rsid w:val="000B6D63"/>
    <w:rsid w:val="000C67D1"/>
    <w:rsid w:val="000D54BA"/>
    <w:rsid w:val="000D5ABE"/>
    <w:rsid w:val="000D7A83"/>
    <w:rsid w:val="000E6D6B"/>
    <w:rsid w:val="000F2A33"/>
    <w:rsid w:val="000F3735"/>
    <w:rsid w:val="000F3F8F"/>
    <w:rsid w:val="000F596A"/>
    <w:rsid w:val="00101FAE"/>
    <w:rsid w:val="001027AA"/>
    <w:rsid w:val="0010483F"/>
    <w:rsid w:val="001056C3"/>
    <w:rsid w:val="00106B11"/>
    <w:rsid w:val="00115200"/>
    <w:rsid w:val="00121571"/>
    <w:rsid w:val="001221D8"/>
    <w:rsid w:val="0013621F"/>
    <w:rsid w:val="001400AA"/>
    <w:rsid w:val="00140BB5"/>
    <w:rsid w:val="00141281"/>
    <w:rsid w:val="001507D3"/>
    <w:rsid w:val="00154AF2"/>
    <w:rsid w:val="00161ABE"/>
    <w:rsid w:val="0016235D"/>
    <w:rsid w:val="001634C9"/>
    <w:rsid w:val="00164E8E"/>
    <w:rsid w:val="00170D65"/>
    <w:rsid w:val="00172E4A"/>
    <w:rsid w:val="0017446E"/>
    <w:rsid w:val="0017534A"/>
    <w:rsid w:val="001756C4"/>
    <w:rsid w:val="001760EC"/>
    <w:rsid w:val="001767A6"/>
    <w:rsid w:val="0018241A"/>
    <w:rsid w:val="001825DD"/>
    <w:rsid w:val="00187820"/>
    <w:rsid w:val="001947F3"/>
    <w:rsid w:val="001955B4"/>
    <w:rsid w:val="00195D36"/>
    <w:rsid w:val="001A6B4F"/>
    <w:rsid w:val="001B0303"/>
    <w:rsid w:val="001B039F"/>
    <w:rsid w:val="001B4D0E"/>
    <w:rsid w:val="001C0F1A"/>
    <w:rsid w:val="001D35E8"/>
    <w:rsid w:val="001D591C"/>
    <w:rsid w:val="001E3174"/>
    <w:rsid w:val="001E362F"/>
    <w:rsid w:val="001E5DC9"/>
    <w:rsid w:val="001F0665"/>
    <w:rsid w:val="001F09F7"/>
    <w:rsid w:val="001F0F44"/>
    <w:rsid w:val="001F24BF"/>
    <w:rsid w:val="001F3C27"/>
    <w:rsid w:val="001F7F72"/>
    <w:rsid w:val="002045C0"/>
    <w:rsid w:val="00211754"/>
    <w:rsid w:val="0021339B"/>
    <w:rsid w:val="002160BE"/>
    <w:rsid w:val="002170DA"/>
    <w:rsid w:val="00225FF3"/>
    <w:rsid w:val="00237973"/>
    <w:rsid w:val="00245AAC"/>
    <w:rsid w:val="0025512F"/>
    <w:rsid w:val="0025668A"/>
    <w:rsid w:val="00261DCE"/>
    <w:rsid w:val="00261F4D"/>
    <w:rsid w:val="00264383"/>
    <w:rsid w:val="00265907"/>
    <w:rsid w:val="00272C0B"/>
    <w:rsid w:val="00274699"/>
    <w:rsid w:val="00274F23"/>
    <w:rsid w:val="00280D60"/>
    <w:rsid w:val="0028511D"/>
    <w:rsid w:val="002862C1"/>
    <w:rsid w:val="00291EBC"/>
    <w:rsid w:val="002928ED"/>
    <w:rsid w:val="00293D96"/>
    <w:rsid w:val="0029638A"/>
    <w:rsid w:val="002A458B"/>
    <w:rsid w:val="002B18F7"/>
    <w:rsid w:val="002B40CB"/>
    <w:rsid w:val="002B7076"/>
    <w:rsid w:val="002C0D90"/>
    <w:rsid w:val="002C4291"/>
    <w:rsid w:val="002C6A96"/>
    <w:rsid w:val="002D3315"/>
    <w:rsid w:val="002E1055"/>
    <w:rsid w:val="002E358B"/>
    <w:rsid w:val="002F5121"/>
    <w:rsid w:val="002F6BE5"/>
    <w:rsid w:val="00303336"/>
    <w:rsid w:val="00306464"/>
    <w:rsid w:val="003070B5"/>
    <w:rsid w:val="00307725"/>
    <w:rsid w:val="00310B12"/>
    <w:rsid w:val="00312941"/>
    <w:rsid w:val="003165FF"/>
    <w:rsid w:val="00323372"/>
    <w:rsid w:val="00334D6B"/>
    <w:rsid w:val="003405AE"/>
    <w:rsid w:val="003449BF"/>
    <w:rsid w:val="0035006B"/>
    <w:rsid w:val="00351DC8"/>
    <w:rsid w:val="00354948"/>
    <w:rsid w:val="00357B86"/>
    <w:rsid w:val="00361E31"/>
    <w:rsid w:val="00364150"/>
    <w:rsid w:val="00365B03"/>
    <w:rsid w:val="00372E81"/>
    <w:rsid w:val="00381500"/>
    <w:rsid w:val="00383621"/>
    <w:rsid w:val="00395CE9"/>
    <w:rsid w:val="00396702"/>
    <w:rsid w:val="003A0F7C"/>
    <w:rsid w:val="003A268F"/>
    <w:rsid w:val="003A3E36"/>
    <w:rsid w:val="003A5053"/>
    <w:rsid w:val="003A64D3"/>
    <w:rsid w:val="003B2919"/>
    <w:rsid w:val="003B2E7C"/>
    <w:rsid w:val="003B327F"/>
    <w:rsid w:val="003B7284"/>
    <w:rsid w:val="003C2052"/>
    <w:rsid w:val="003C351E"/>
    <w:rsid w:val="003C49CF"/>
    <w:rsid w:val="003C4EB9"/>
    <w:rsid w:val="003C517A"/>
    <w:rsid w:val="003D7ED0"/>
    <w:rsid w:val="003E568C"/>
    <w:rsid w:val="003F181F"/>
    <w:rsid w:val="003F39FC"/>
    <w:rsid w:val="00402773"/>
    <w:rsid w:val="00405A84"/>
    <w:rsid w:val="0041354F"/>
    <w:rsid w:val="00415741"/>
    <w:rsid w:val="004167C1"/>
    <w:rsid w:val="00425165"/>
    <w:rsid w:val="0043045E"/>
    <w:rsid w:val="00440BE9"/>
    <w:rsid w:val="00442FAB"/>
    <w:rsid w:val="00446EB0"/>
    <w:rsid w:val="004479F8"/>
    <w:rsid w:val="00450E4A"/>
    <w:rsid w:val="00451C31"/>
    <w:rsid w:val="00457F95"/>
    <w:rsid w:val="004672C3"/>
    <w:rsid w:val="00470F3C"/>
    <w:rsid w:val="00472C8B"/>
    <w:rsid w:val="00473E0D"/>
    <w:rsid w:val="00476216"/>
    <w:rsid w:val="004847AE"/>
    <w:rsid w:val="00484E6F"/>
    <w:rsid w:val="004850DD"/>
    <w:rsid w:val="004864EB"/>
    <w:rsid w:val="004963C2"/>
    <w:rsid w:val="004A37A8"/>
    <w:rsid w:val="004A3B78"/>
    <w:rsid w:val="004A44AE"/>
    <w:rsid w:val="004A49D1"/>
    <w:rsid w:val="004A4B2D"/>
    <w:rsid w:val="004B0F1E"/>
    <w:rsid w:val="004B2DA2"/>
    <w:rsid w:val="004C0F0C"/>
    <w:rsid w:val="004C12D5"/>
    <w:rsid w:val="004C69AD"/>
    <w:rsid w:val="004D3202"/>
    <w:rsid w:val="004D5AA4"/>
    <w:rsid w:val="004E3CFB"/>
    <w:rsid w:val="004E4BA7"/>
    <w:rsid w:val="004F03EF"/>
    <w:rsid w:val="004F18B7"/>
    <w:rsid w:val="00506228"/>
    <w:rsid w:val="0050678B"/>
    <w:rsid w:val="005073AC"/>
    <w:rsid w:val="0051354F"/>
    <w:rsid w:val="0052210D"/>
    <w:rsid w:val="00526BA6"/>
    <w:rsid w:val="00532A9E"/>
    <w:rsid w:val="005336A3"/>
    <w:rsid w:val="0053389E"/>
    <w:rsid w:val="00536B4B"/>
    <w:rsid w:val="00537116"/>
    <w:rsid w:val="00537406"/>
    <w:rsid w:val="00542303"/>
    <w:rsid w:val="00550571"/>
    <w:rsid w:val="0055103E"/>
    <w:rsid w:val="00562C61"/>
    <w:rsid w:val="00571814"/>
    <w:rsid w:val="005771B7"/>
    <w:rsid w:val="0057793F"/>
    <w:rsid w:val="0059735F"/>
    <w:rsid w:val="005A215C"/>
    <w:rsid w:val="005A2725"/>
    <w:rsid w:val="005A5647"/>
    <w:rsid w:val="005B07F2"/>
    <w:rsid w:val="005B1846"/>
    <w:rsid w:val="005B7C05"/>
    <w:rsid w:val="005C2DF0"/>
    <w:rsid w:val="005D3459"/>
    <w:rsid w:val="005E6795"/>
    <w:rsid w:val="005E6B44"/>
    <w:rsid w:val="005E7949"/>
    <w:rsid w:val="005F4FC8"/>
    <w:rsid w:val="006041D7"/>
    <w:rsid w:val="006061C0"/>
    <w:rsid w:val="00606C6F"/>
    <w:rsid w:val="00607A22"/>
    <w:rsid w:val="00610DF8"/>
    <w:rsid w:val="00612342"/>
    <w:rsid w:val="006146E2"/>
    <w:rsid w:val="006160BA"/>
    <w:rsid w:val="006321F1"/>
    <w:rsid w:val="0063263C"/>
    <w:rsid w:val="00633654"/>
    <w:rsid w:val="00637DB5"/>
    <w:rsid w:val="00642DB3"/>
    <w:rsid w:val="00643FE5"/>
    <w:rsid w:val="0065004D"/>
    <w:rsid w:val="0065015A"/>
    <w:rsid w:val="006502A0"/>
    <w:rsid w:val="00667BB7"/>
    <w:rsid w:val="006773D6"/>
    <w:rsid w:val="00681FCA"/>
    <w:rsid w:val="006828C9"/>
    <w:rsid w:val="00683C2D"/>
    <w:rsid w:val="00690895"/>
    <w:rsid w:val="00694031"/>
    <w:rsid w:val="00697442"/>
    <w:rsid w:val="006A23B5"/>
    <w:rsid w:val="006B1CD5"/>
    <w:rsid w:val="006B3F49"/>
    <w:rsid w:val="006B494F"/>
    <w:rsid w:val="006B4B8A"/>
    <w:rsid w:val="006B50F2"/>
    <w:rsid w:val="006C1411"/>
    <w:rsid w:val="006C3226"/>
    <w:rsid w:val="006C37F3"/>
    <w:rsid w:val="006C524F"/>
    <w:rsid w:val="006C5497"/>
    <w:rsid w:val="006C5C4B"/>
    <w:rsid w:val="006C67BD"/>
    <w:rsid w:val="006D046D"/>
    <w:rsid w:val="006D0780"/>
    <w:rsid w:val="006D0E3C"/>
    <w:rsid w:val="006D2A61"/>
    <w:rsid w:val="006D318B"/>
    <w:rsid w:val="006E2545"/>
    <w:rsid w:val="006E4CF2"/>
    <w:rsid w:val="006E4F3A"/>
    <w:rsid w:val="006F0864"/>
    <w:rsid w:val="006F09FD"/>
    <w:rsid w:val="006F4D1D"/>
    <w:rsid w:val="006F55FE"/>
    <w:rsid w:val="006F78CA"/>
    <w:rsid w:val="007008D4"/>
    <w:rsid w:val="00704AAC"/>
    <w:rsid w:val="00720C3B"/>
    <w:rsid w:val="00724D1A"/>
    <w:rsid w:val="00732385"/>
    <w:rsid w:val="00736168"/>
    <w:rsid w:val="00743CD9"/>
    <w:rsid w:val="0074434C"/>
    <w:rsid w:val="007459BE"/>
    <w:rsid w:val="0076117F"/>
    <w:rsid w:val="00772BC9"/>
    <w:rsid w:val="00773497"/>
    <w:rsid w:val="00774366"/>
    <w:rsid w:val="00774B39"/>
    <w:rsid w:val="00777D75"/>
    <w:rsid w:val="00780463"/>
    <w:rsid w:val="00781F18"/>
    <w:rsid w:val="00782C2C"/>
    <w:rsid w:val="00783B89"/>
    <w:rsid w:val="007847B1"/>
    <w:rsid w:val="007931E8"/>
    <w:rsid w:val="00793465"/>
    <w:rsid w:val="007A002E"/>
    <w:rsid w:val="007B3D39"/>
    <w:rsid w:val="007B69A6"/>
    <w:rsid w:val="007B79FF"/>
    <w:rsid w:val="007C1886"/>
    <w:rsid w:val="007C24F9"/>
    <w:rsid w:val="007C4BA6"/>
    <w:rsid w:val="007C55EF"/>
    <w:rsid w:val="007C7F4E"/>
    <w:rsid w:val="007D0E15"/>
    <w:rsid w:val="007D349A"/>
    <w:rsid w:val="007D3549"/>
    <w:rsid w:val="007D4B5E"/>
    <w:rsid w:val="007D6BBA"/>
    <w:rsid w:val="007E06A0"/>
    <w:rsid w:val="007E1231"/>
    <w:rsid w:val="007E39F4"/>
    <w:rsid w:val="007E6875"/>
    <w:rsid w:val="007E6EAE"/>
    <w:rsid w:val="007F2EF4"/>
    <w:rsid w:val="007F3CD8"/>
    <w:rsid w:val="007F433A"/>
    <w:rsid w:val="007F524B"/>
    <w:rsid w:val="008009CB"/>
    <w:rsid w:val="00802115"/>
    <w:rsid w:val="0080252D"/>
    <w:rsid w:val="00805021"/>
    <w:rsid w:val="00805610"/>
    <w:rsid w:val="00810DCB"/>
    <w:rsid w:val="00811364"/>
    <w:rsid w:val="00815BB2"/>
    <w:rsid w:val="008207D8"/>
    <w:rsid w:val="00824872"/>
    <w:rsid w:val="00824B8B"/>
    <w:rsid w:val="008260AC"/>
    <w:rsid w:val="00827545"/>
    <w:rsid w:val="0083631A"/>
    <w:rsid w:val="00837608"/>
    <w:rsid w:val="00844CF4"/>
    <w:rsid w:val="00845173"/>
    <w:rsid w:val="008470F6"/>
    <w:rsid w:val="008510D1"/>
    <w:rsid w:val="00852335"/>
    <w:rsid w:val="008524D4"/>
    <w:rsid w:val="008608C7"/>
    <w:rsid w:val="00860D25"/>
    <w:rsid w:val="008632F9"/>
    <w:rsid w:val="00863C54"/>
    <w:rsid w:val="0086607A"/>
    <w:rsid w:val="00870B23"/>
    <w:rsid w:val="00872395"/>
    <w:rsid w:val="0087638A"/>
    <w:rsid w:val="00880E02"/>
    <w:rsid w:val="0088149A"/>
    <w:rsid w:val="008934BD"/>
    <w:rsid w:val="00897D62"/>
    <w:rsid w:val="008A0DD4"/>
    <w:rsid w:val="008A3695"/>
    <w:rsid w:val="008A72F2"/>
    <w:rsid w:val="008B32E6"/>
    <w:rsid w:val="008B4BB3"/>
    <w:rsid w:val="008C10A1"/>
    <w:rsid w:val="008C58F7"/>
    <w:rsid w:val="008C757E"/>
    <w:rsid w:val="008D2BC4"/>
    <w:rsid w:val="008D4FC3"/>
    <w:rsid w:val="008E29EC"/>
    <w:rsid w:val="008E77C5"/>
    <w:rsid w:val="008F22A5"/>
    <w:rsid w:val="008F2B41"/>
    <w:rsid w:val="008F3AC0"/>
    <w:rsid w:val="008F3D00"/>
    <w:rsid w:val="00901227"/>
    <w:rsid w:val="009039C1"/>
    <w:rsid w:val="00907323"/>
    <w:rsid w:val="00911600"/>
    <w:rsid w:val="00912635"/>
    <w:rsid w:val="009145F7"/>
    <w:rsid w:val="00916EEE"/>
    <w:rsid w:val="00923463"/>
    <w:rsid w:val="0092551B"/>
    <w:rsid w:val="009358A6"/>
    <w:rsid w:val="00936510"/>
    <w:rsid w:val="009404E8"/>
    <w:rsid w:val="009414ED"/>
    <w:rsid w:val="00944E47"/>
    <w:rsid w:val="0094686E"/>
    <w:rsid w:val="00950BEA"/>
    <w:rsid w:val="009535AA"/>
    <w:rsid w:val="0095410D"/>
    <w:rsid w:val="0095746F"/>
    <w:rsid w:val="009612C0"/>
    <w:rsid w:val="00963276"/>
    <w:rsid w:val="009657C3"/>
    <w:rsid w:val="009755EA"/>
    <w:rsid w:val="0097774C"/>
    <w:rsid w:val="00977A74"/>
    <w:rsid w:val="009813F0"/>
    <w:rsid w:val="00985243"/>
    <w:rsid w:val="00985496"/>
    <w:rsid w:val="00993291"/>
    <w:rsid w:val="0099734A"/>
    <w:rsid w:val="00997792"/>
    <w:rsid w:val="009A3A9E"/>
    <w:rsid w:val="009A5710"/>
    <w:rsid w:val="009B3DE3"/>
    <w:rsid w:val="009B7EFA"/>
    <w:rsid w:val="009C628A"/>
    <w:rsid w:val="009D00BF"/>
    <w:rsid w:val="009D2113"/>
    <w:rsid w:val="009D3FB4"/>
    <w:rsid w:val="009D4CA5"/>
    <w:rsid w:val="009E2233"/>
    <w:rsid w:val="009E3FFC"/>
    <w:rsid w:val="009F3EFC"/>
    <w:rsid w:val="009F7969"/>
    <w:rsid w:val="00A05BB6"/>
    <w:rsid w:val="00A06E62"/>
    <w:rsid w:val="00A07CF3"/>
    <w:rsid w:val="00A11286"/>
    <w:rsid w:val="00A12E04"/>
    <w:rsid w:val="00A144EF"/>
    <w:rsid w:val="00A174D7"/>
    <w:rsid w:val="00A24014"/>
    <w:rsid w:val="00A251C9"/>
    <w:rsid w:val="00A34E88"/>
    <w:rsid w:val="00A3686C"/>
    <w:rsid w:val="00A36BCC"/>
    <w:rsid w:val="00A45BAF"/>
    <w:rsid w:val="00A5269C"/>
    <w:rsid w:val="00A52AC2"/>
    <w:rsid w:val="00A52AD8"/>
    <w:rsid w:val="00A61D14"/>
    <w:rsid w:val="00A66CE5"/>
    <w:rsid w:val="00A803DE"/>
    <w:rsid w:val="00A80E7A"/>
    <w:rsid w:val="00A83CC6"/>
    <w:rsid w:val="00A91F72"/>
    <w:rsid w:val="00A926EF"/>
    <w:rsid w:val="00A92A41"/>
    <w:rsid w:val="00A94FA1"/>
    <w:rsid w:val="00A9797B"/>
    <w:rsid w:val="00AA762A"/>
    <w:rsid w:val="00AB144D"/>
    <w:rsid w:val="00AB1D5E"/>
    <w:rsid w:val="00AC0849"/>
    <w:rsid w:val="00AC6510"/>
    <w:rsid w:val="00AD030F"/>
    <w:rsid w:val="00AD080B"/>
    <w:rsid w:val="00AD08D9"/>
    <w:rsid w:val="00AD1843"/>
    <w:rsid w:val="00AE140A"/>
    <w:rsid w:val="00AE2C83"/>
    <w:rsid w:val="00AE4E1B"/>
    <w:rsid w:val="00AF08E8"/>
    <w:rsid w:val="00AF0CE9"/>
    <w:rsid w:val="00AF114E"/>
    <w:rsid w:val="00AF1E3A"/>
    <w:rsid w:val="00AF297F"/>
    <w:rsid w:val="00AF2C49"/>
    <w:rsid w:val="00B11CBB"/>
    <w:rsid w:val="00B15133"/>
    <w:rsid w:val="00B20B8D"/>
    <w:rsid w:val="00B246E3"/>
    <w:rsid w:val="00B27532"/>
    <w:rsid w:val="00B34BC1"/>
    <w:rsid w:val="00B36743"/>
    <w:rsid w:val="00B41B41"/>
    <w:rsid w:val="00B43F94"/>
    <w:rsid w:val="00B51AD4"/>
    <w:rsid w:val="00B53A52"/>
    <w:rsid w:val="00B5567E"/>
    <w:rsid w:val="00B56260"/>
    <w:rsid w:val="00B57DF0"/>
    <w:rsid w:val="00B6046D"/>
    <w:rsid w:val="00B60FC9"/>
    <w:rsid w:val="00B61234"/>
    <w:rsid w:val="00B620C4"/>
    <w:rsid w:val="00B72138"/>
    <w:rsid w:val="00B72454"/>
    <w:rsid w:val="00B75559"/>
    <w:rsid w:val="00B8289F"/>
    <w:rsid w:val="00B84E8E"/>
    <w:rsid w:val="00B9157E"/>
    <w:rsid w:val="00B91BAF"/>
    <w:rsid w:val="00B92479"/>
    <w:rsid w:val="00BA2B4F"/>
    <w:rsid w:val="00BA5B7F"/>
    <w:rsid w:val="00BA6FAC"/>
    <w:rsid w:val="00BB147A"/>
    <w:rsid w:val="00BB3CF7"/>
    <w:rsid w:val="00BB3E43"/>
    <w:rsid w:val="00BB760B"/>
    <w:rsid w:val="00BC2B0C"/>
    <w:rsid w:val="00BC4334"/>
    <w:rsid w:val="00BC505A"/>
    <w:rsid w:val="00BC5B1A"/>
    <w:rsid w:val="00BC67B2"/>
    <w:rsid w:val="00BC7447"/>
    <w:rsid w:val="00BD42A4"/>
    <w:rsid w:val="00BD556E"/>
    <w:rsid w:val="00BD6A11"/>
    <w:rsid w:val="00BD7013"/>
    <w:rsid w:val="00BE4F2F"/>
    <w:rsid w:val="00BE5E97"/>
    <w:rsid w:val="00BF081E"/>
    <w:rsid w:val="00BF2AAB"/>
    <w:rsid w:val="00BF51EB"/>
    <w:rsid w:val="00C008DC"/>
    <w:rsid w:val="00C02D77"/>
    <w:rsid w:val="00C040D5"/>
    <w:rsid w:val="00C04F48"/>
    <w:rsid w:val="00C05872"/>
    <w:rsid w:val="00C11A59"/>
    <w:rsid w:val="00C14B15"/>
    <w:rsid w:val="00C157AA"/>
    <w:rsid w:val="00C207CE"/>
    <w:rsid w:val="00C20D1D"/>
    <w:rsid w:val="00C24A3F"/>
    <w:rsid w:val="00C25A7F"/>
    <w:rsid w:val="00C2625C"/>
    <w:rsid w:val="00C30375"/>
    <w:rsid w:val="00C3108F"/>
    <w:rsid w:val="00C363DA"/>
    <w:rsid w:val="00C368FC"/>
    <w:rsid w:val="00C36A3A"/>
    <w:rsid w:val="00C40503"/>
    <w:rsid w:val="00C40C2C"/>
    <w:rsid w:val="00C47555"/>
    <w:rsid w:val="00C47F9B"/>
    <w:rsid w:val="00C5450B"/>
    <w:rsid w:val="00C5734D"/>
    <w:rsid w:val="00C5779F"/>
    <w:rsid w:val="00C60CDA"/>
    <w:rsid w:val="00C669CE"/>
    <w:rsid w:val="00C67055"/>
    <w:rsid w:val="00C67351"/>
    <w:rsid w:val="00C67E77"/>
    <w:rsid w:val="00C749B9"/>
    <w:rsid w:val="00C8094A"/>
    <w:rsid w:val="00C94800"/>
    <w:rsid w:val="00C95381"/>
    <w:rsid w:val="00C95C48"/>
    <w:rsid w:val="00C95E9E"/>
    <w:rsid w:val="00CA3941"/>
    <w:rsid w:val="00CA3A7C"/>
    <w:rsid w:val="00CA3B59"/>
    <w:rsid w:val="00CB70E2"/>
    <w:rsid w:val="00CD1839"/>
    <w:rsid w:val="00CD1D41"/>
    <w:rsid w:val="00CD23F2"/>
    <w:rsid w:val="00CD24B8"/>
    <w:rsid w:val="00CD70CB"/>
    <w:rsid w:val="00CD7B7D"/>
    <w:rsid w:val="00CE4CC5"/>
    <w:rsid w:val="00CE5A84"/>
    <w:rsid w:val="00CE5DED"/>
    <w:rsid w:val="00CE7F9B"/>
    <w:rsid w:val="00CF0509"/>
    <w:rsid w:val="00CF3372"/>
    <w:rsid w:val="00CF359F"/>
    <w:rsid w:val="00CF4676"/>
    <w:rsid w:val="00D03C4F"/>
    <w:rsid w:val="00D04A71"/>
    <w:rsid w:val="00D067EA"/>
    <w:rsid w:val="00D141C3"/>
    <w:rsid w:val="00D1432F"/>
    <w:rsid w:val="00D22856"/>
    <w:rsid w:val="00D22E6E"/>
    <w:rsid w:val="00D26876"/>
    <w:rsid w:val="00D26BBF"/>
    <w:rsid w:val="00D31155"/>
    <w:rsid w:val="00D41057"/>
    <w:rsid w:val="00D44113"/>
    <w:rsid w:val="00D532B2"/>
    <w:rsid w:val="00D55D49"/>
    <w:rsid w:val="00D66C12"/>
    <w:rsid w:val="00D82EAC"/>
    <w:rsid w:val="00D85DCE"/>
    <w:rsid w:val="00D86622"/>
    <w:rsid w:val="00DA45DB"/>
    <w:rsid w:val="00DA5165"/>
    <w:rsid w:val="00DB613F"/>
    <w:rsid w:val="00DC3549"/>
    <w:rsid w:val="00DC6EC6"/>
    <w:rsid w:val="00DD1BB3"/>
    <w:rsid w:val="00DD316A"/>
    <w:rsid w:val="00DE41C3"/>
    <w:rsid w:val="00DF21B7"/>
    <w:rsid w:val="00DF3DB1"/>
    <w:rsid w:val="00DF4212"/>
    <w:rsid w:val="00DF6F5D"/>
    <w:rsid w:val="00DF720B"/>
    <w:rsid w:val="00E00ABC"/>
    <w:rsid w:val="00E01453"/>
    <w:rsid w:val="00E01826"/>
    <w:rsid w:val="00E02555"/>
    <w:rsid w:val="00E043B3"/>
    <w:rsid w:val="00E11B33"/>
    <w:rsid w:val="00E14E2B"/>
    <w:rsid w:val="00E22D19"/>
    <w:rsid w:val="00E23C60"/>
    <w:rsid w:val="00E34615"/>
    <w:rsid w:val="00E427F1"/>
    <w:rsid w:val="00E46497"/>
    <w:rsid w:val="00E51D25"/>
    <w:rsid w:val="00E539D1"/>
    <w:rsid w:val="00E606D9"/>
    <w:rsid w:val="00E621E5"/>
    <w:rsid w:val="00E6644C"/>
    <w:rsid w:val="00E66CF0"/>
    <w:rsid w:val="00E752E9"/>
    <w:rsid w:val="00E769C7"/>
    <w:rsid w:val="00E82A6B"/>
    <w:rsid w:val="00E839F1"/>
    <w:rsid w:val="00E87040"/>
    <w:rsid w:val="00E90035"/>
    <w:rsid w:val="00E90520"/>
    <w:rsid w:val="00EA1086"/>
    <w:rsid w:val="00EA1BF5"/>
    <w:rsid w:val="00EA26AA"/>
    <w:rsid w:val="00EA45CA"/>
    <w:rsid w:val="00EB2135"/>
    <w:rsid w:val="00EB4B6A"/>
    <w:rsid w:val="00EB52A6"/>
    <w:rsid w:val="00EB5E45"/>
    <w:rsid w:val="00EC5DC1"/>
    <w:rsid w:val="00EC7D35"/>
    <w:rsid w:val="00ED0BB0"/>
    <w:rsid w:val="00ED3586"/>
    <w:rsid w:val="00ED3FE4"/>
    <w:rsid w:val="00ED66A6"/>
    <w:rsid w:val="00ED689A"/>
    <w:rsid w:val="00EE3158"/>
    <w:rsid w:val="00EE34A3"/>
    <w:rsid w:val="00EE3AD1"/>
    <w:rsid w:val="00EE51E1"/>
    <w:rsid w:val="00EE60AB"/>
    <w:rsid w:val="00EE7278"/>
    <w:rsid w:val="00EF37A0"/>
    <w:rsid w:val="00EF4309"/>
    <w:rsid w:val="00F024C1"/>
    <w:rsid w:val="00F03845"/>
    <w:rsid w:val="00F078FB"/>
    <w:rsid w:val="00F12005"/>
    <w:rsid w:val="00F12284"/>
    <w:rsid w:val="00F1630B"/>
    <w:rsid w:val="00F22B83"/>
    <w:rsid w:val="00F232DE"/>
    <w:rsid w:val="00F25C5B"/>
    <w:rsid w:val="00F329E4"/>
    <w:rsid w:val="00F332A7"/>
    <w:rsid w:val="00F3753A"/>
    <w:rsid w:val="00F37C39"/>
    <w:rsid w:val="00F37CE8"/>
    <w:rsid w:val="00F40F24"/>
    <w:rsid w:val="00F41DE3"/>
    <w:rsid w:val="00F55964"/>
    <w:rsid w:val="00F60BAC"/>
    <w:rsid w:val="00F61334"/>
    <w:rsid w:val="00F62BE7"/>
    <w:rsid w:val="00F6658E"/>
    <w:rsid w:val="00F67F9A"/>
    <w:rsid w:val="00F71671"/>
    <w:rsid w:val="00F71DDA"/>
    <w:rsid w:val="00F73128"/>
    <w:rsid w:val="00F74C6B"/>
    <w:rsid w:val="00F764F8"/>
    <w:rsid w:val="00F76C17"/>
    <w:rsid w:val="00F77A44"/>
    <w:rsid w:val="00F85EBE"/>
    <w:rsid w:val="00F9358C"/>
    <w:rsid w:val="00FA369C"/>
    <w:rsid w:val="00FB028E"/>
    <w:rsid w:val="00FB404A"/>
    <w:rsid w:val="00FB4F53"/>
    <w:rsid w:val="00FC48F3"/>
    <w:rsid w:val="00FD5D9D"/>
    <w:rsid w:val="00FD5E00"/>
    <w:rsid w:val="00FD612E"/>
    <w:rsid w:val="00FD6D32"/>
    <w:rsid w:val="00FE1194"/>
    <w:rsid w:val="00FE176F"/>
    <w:rsid w:val="00FE5074"/>
    <w:rsid w:val="00FE6DEF"/>
    <w:rsid w:val="00FF21DA"/>
    <w:rsid w:val="00FF6C31"/>
    <w:rsid w:val="2186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6" w:lineRule="auto"/>
      <w:outlineLvl w:val="0"/>
    </w:pPr>
    <w:rPr>
      <w:b/>
      <w:kern w:val="44"/>
      <w:sz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0"/>
    <w:semiHidden/>
    <w:unhideWhenUsed/>
    <w:uiPriority w:val="99"/>
    <w:pPr>
      <w:spacing w:after="120"/>
      <w:ind w:left="420" w:leftChars="2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link w:val="11"/>
    <w:qFormat/>
    <w:uiPriority w:val="0"/>
    <w:pPr>
      <w:spacing w:after="0"/>
      <w:ind w:left="0" w:leftChars="0" w:firstLine="420" w:firstLineChars="200"/>
    </w:pPr>
    <w:rPr>
      <w:rFonts w:eastAsia="仿宋_GB2312"/>
      <w:sz w:val="32"/>
    </w:rPr>
  </w:style>
  <w:style w:type="character" w:customStyle="1" w:styleId="9">
    <w:name w:val="标题 1 字符"/>
    <w:basedOn w:val="8"/>
    <w:link w:val="2"/>
    <w:uiPriority w:val="0"/>
    <w:rPr>
      <w:rFonts w:ascii="Times New Roman" w:hAnsi="Times New Roman" w:eastAsia="宋体" w:cs="Times New Roman"/>
      <w:b/>
      <w:kern w:val="44"/>
      <w:sz w:val="44"/>
      <w:szCs w:val="24"/>
    </w:rPr>
  </w:style>
  <w:style w:type="character" w:customStyle="1" w:styleId="10">
    <w:name w:val="正文文本缩进 字符"/>
    <w:basedOn w:val="8"/>
    <w:link w:val="3"/>
    <w:semiHidden/>
    <w:uiPriority w:val="99"/>
    <w:rPr>
      <w:rFonts w:ascii="Times New Roman" w:hAnsi="Times New Roman" w:eastAsia="宋体" w:cs="Times New Roman"/>
      <w:szCs w:val="24"/>
    </w:rPr>
  </w:style>
  <w:style w:type="character" w:customStyle="1" w:styleId="11">
    <w:name w:val="正文文本首行缩进 2 字符"/>
    <w:basedOn w:val="10"/>
    <w:link w:val="6"/>
    <w:qFormat/>
    <w:uiPriority w:val="0"/>
    <w:rPr>
      <w:rFonts w:ascii="Times New Roman" w:hAnsi="Times New Roman" w:eastAsia="仿宋_GB2312" w:cs="Times New Roman"/>
      <w:sz w:val="32"/>
      <w:szCs w:val="24"/>
    </w:rPr>
  </w:style>
  <w:style w:type="paragraph" w:styleId="12">
    <w:name w:val="List Paragraph"/>
    <w:basedOn w:val="1"/>
    <w:qFormat/>
    <w:uiPriority w:val="34"/>
    <w:pPr>
      <w:ind w:firstLine="420" w:firstLineChars="200"/>
    </w:p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321</Words>
  <Characters>1834</Characters>
  <Lines>15</Lines>
  <Paragraphs>4</Paragraphs>
  <TotalTime>18</TotalTime>
  <ScaleCrop>false</ScaleCrop>
  <LinksUpToDate>false</LinksUpToDate>
  <CharactersWithSpaces>2151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2021-12-27T01:18:00Z</dcterms:created>
  <dc:creator>Administrator</dc:creator>
  <cp:lastModifiedBy>Master</cp:lastModifiedBy>
  <dcterms:modified xsi:type="dcterms:W3CDTF">2022-01-04T07:25:57Z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