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79" w:rsidRDefault="001E3479" w:rsidP="001E3479">
      <w:pPr>
        <w:jc w:val="center"/>
        <w:rPr>
          <w:rFonts w:ascii="方正小标宋简体" w:eastAsia="方正小标宋简体"/>
          <w:sz w:val="52"/>
          <w:szCs w:val="52"/>
        </w:rPr>
      </w:pPr>
    </w:p>
    <w:p w:rsidR="001E3479" w:rsidRDefault="001E3479" w:rsidP="001E3479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 xml:space="preserve"> </w:t>
      </w:r>
    </w:p>
    <w:p w:rsidR="001E3479" w:rsidRDefault="001E3479" w:rsidP="001E3479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 xml:space="preserve"> </w:t>
      </w:r>
    </w:p>
    <w:p w:rsidR="001E3479" w:rsidRDefault="001E3479" w:rsidP="001E3479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唐山市第五交通警察大队</w:t>
      </w:r>
    </w:p>
    <w:p w:rsidR="001E3479" w:rsidRDefault="001E3479" w:rsidP="001E3479">
      <w:pPr>
        <w:jc w:val="center"/>
        <w:rPr>
          <w:rFonts w:ascii="方正小标宋简体" w:eastAsia="方正小标宋简体" w:hint="eastAsia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2021年部门预算绩效文本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 w:hint="eastAsia"/>
        </w:rPr>
      </w:pP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</w:p>
    <w:p w:rsidR="001E3479" w:rsidRDefault="001E3479" w:rsidP="001E3479">
      <w:pPr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ind w:firstLineChars="200" w:firstLine="420"/>
        <w:jc w:val="center"/>
        <w:rPr>
          <w:rFonts w:ascii="方正仿宋_GBK" w:hAnsi="方正仿宋_GBK"/>
        </w:rPr>
      </w:pPr>
      <w:r>
        <w:rPr>
          <w:rFonts w:ascii="方正仿宋_GBK" w:hAnsi="方正仿宋_GBK"/>
        </w:rPr>
        <w:t xml:space="preserve"> </w:t>
      </w:r>
    </w:p>
    <w:p w:rsidR="001E3479" w:rsidRDefault="001E3479" w:rsidP="001E3479">
      <w:pPr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唐山市公安交通警察支队第五交通警察大队编制</w:t>
      </w:r>
    </w:p>
    <w:p w:rsidR="001E3479" w:rsidRDefault="001E3479" w:rsidP="001E3479">
      <w:pPr>
        <w:rPr>
          <w:rFonts w:hint="eastAsia"/>
        </w:rPr>
      </w:pPr>
      <w:r>
        <w:t xml:space="preserve"> </w:t>
      </w:r>
    </w:p>
    <w:p w:rsidR="001E3479" w:rsidRDefault="001E3479" w:rsidP="001E3479">
      <w:pPr>
        <w:rPr>
          <w:rFonts w:hint="eastAsia"/>
        </w:rPr>
      </w:pPr>
    </w:p>
    <w:p w:rsidR="001E3479" w:rsidRDefault="001E3479" w:rsidP="001E3479">
      <w:pPr>
        <w:rPr>
          <w:rFonts w:hint="eastAsia"/>
        </w:rPr>
      </w:pPr>
    </w:p>
    <w:p w:rsidR="001E3479" w:rsidRDefault="001E3479" w:rsidP="001E3479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2021年部门整体绩效目标</w:t>
      </w:r>
    </w:p>
    <w:p w:rsidR="001E3479" w:rsidRDefault="001E3479" w:rsidP="001E3479">
      <w:pPr>
        <w:spacing w:beforeLines="50" w:afterLines="50" w:line="560" w:lineRule="exact"/>
        <w:ind w:firstLine="62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1E3479" w:rsidRDefault="001E3479" w:rsidP="001E3479">
      <w:pPr>
        <w:spacing w:beforeLines="50" w:afterLines="50" w:line="560" w:lineRule="exact"/>
        <w:ind w:firstLine="62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一、总体绩效目标</w:t>
      </w:r>
    </w:p>
    <w:p w:rsidR="001E3479" w:rsidRDefault="001E3479" w:rsidP="001E3479">
      <w:pPr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ab/>
        <w:t xml:space="preserve"> 加强道路交通秩序管控，加强行人、非机动车管理，开展好环境卫生综合整治行动，完成治堵治乱等整治任务，执行暑期及两会安保任务。组织处理道路交通事故和重大交通事故肇事逃逸案件的查缉侦破；进行疑难交通事故责任认定；组织开展事故分析研判和预防对策的研究及隐患排查等预防工作；妥善处理由交通事故引发的信访工作。深入开展五进宣传，加强源头监管力度，增强群众交通安全守法意识。加强交通法制建设与安全宣传力度，加强“两客一危”重点车辆源头监管，有效预防和杜绝重特大交通事故的发生。</w:t>
      </w:r>
    </w:p>
    <w:p w:rsidR="001E3479" w:rsidRDefault="001E3479" w:rsidP="001E3479">
      <w:pPr>
        <w:spacing w:beforeLines="50" w:afterLines="50" w:line="560" w:lineRule="exact"/>
        <w:ind w:firstLine="62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二、分项绩效目标</w:t>
      </w:r>
    </w:p>
    <w:p w:rsidR="001E3479" w:rsidRDefault="001E3479" w:rsidP="001E3479">
      <w:pPr>
        <w:spacing w:line="560" w:lineRule="exact"/>
        <w:ind w:firstLine="63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（一）道路交通秩序管理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绩效目标：维护辖区良好的道路交通秩序，缓解城市交通拥堵，提高道路通行能力，提升道路交通秩序管理水平。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绩效指标：常发拥堵路段数降低、交通拥堵持续时间降低、交通拥堵路段里程缓</w:t>
      </w:r>
    </w:p>
    <w:p w:rsidR="001E3479" w:rsidRDefault="001E3479" w:rsidP="001E3479">
      <w:pPr>
        <w:spacing w:line="560" w:lineRule="exact"/>
        <w:ind w:firstLine="63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（二）道路交通事故处理与预防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绩效目标：预防和减少道路交通事故，提高辖区交通事故处理工作规范化、科学化水平。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绩效指标：事故处理办结率达到40以上，做好中小学</w:t>
      </w:r>
      <w:r>
        <w:rPr>
          <w:rFonts w:ascii="仿宋_GB2312" w:eastAsia="仿宋_GB2312" w:hint="eastAsia"/>
          <w:sz w:val="32"/>
          <w:szCs w:val="32"/>
        </w:rPr>
        <w:lastRenderedPageBreak/>
        <w:t>校交通安全宣传工作</w:t>
      </w:r>
    </w:p>
    <w:p w:rsidR="001E3479" w:rsidRDefault="001E3479" w:rsidP="001E3479">
      <w:pPr>
        <w:spacing w:beforeLines="50" w:afterLines="50" w:line="560" w:lineRule="exact"/>
        <w:ind w:firstLine="62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三、工作保障措施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（一）完善制度建设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制定完善预算绩效管理制度、资金管理办法、工作保障制度等相关制度。</w:t>
      </w:r>
    </w:p>
    <w:p w:rsidR="001E3479" w:rsidRDefault="001E3479" w:rsidP="001E3479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加强支出管理</w:t>
      </w:r>
    </w:p>
    <w:p w:rsidR="001E3479" w:rsidRDefault="001E3479" w:rsidP="001E3479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严格执行预算，加强支出进度分析。加强支出进度分析，及时反映预算执行动态，确保财政预算支出进度顺利完成。加强预算执行的责任意识，强化财政资金使用，提高财政资金的效益性和安全性。加强预算支出执行动态。</w:t>
      </w:r>
    </w:p>
    <w:p w:rsidR="001E3479" w:rsidRDefault="001E3479" w:rsidP="001E3479">
      <w:pPr>
        <w:pStyle w:val="2"/>
        <w:numPr>
          <w:ilvl w:val="0"/>
          <w:numId w:val="1"/>
        </w:numPr>
        <w:spacing w:line="560" w:lineRule="exact"/>
        <w:ind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加强绩效运行监控</w:t>
      </w:r>
    </w:p>
    <w:p w:rsidR="001E3479" w:rsidRDefault="001E3479" w:rsidP="001E3479">
      <w:pPr>
        <w:pStyle w:val="2"/>
        <w:spacing w:line="560" w:lineRule="exact"/>
        <w:ind w:firstLine="640"/>
        <w:rPr>
          <w:rFonts w:ascii="仿宋_GB2312" w:hint="eastAsia"/>
        </w:rPr>
      </w:pPr>
      <w:r>
        <w:rPr>
          <w:rFonts w:ascii="仿宋_GB2312" w:hint="eastAsia"/>
        </w:rPr>
        <w:t>按照上级要求按季度开展绩效运行监控，掌握预算支出进度和项目实施情况，发现问题及时采取措施，确保绩效目标如期保质实现。</w:t>
      </w:r>
    </w:p>
    <w:p w:rsidR="001E3479" w:rsidRDefault="001E3479" w:rsidP="001E3479">
      <w:pPr>
        <w:pStyle w:val="2"/>
        <w:numPr>
          <w:ilvl w:val="0"/>
          <w:numId w:val="1"/>
        </w:numPr>
        <w:spacing w:line="560" w:lineRule="exact"/>
        <w:ind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做好绩效自评工作</w:t>
      </w:r>
    </w:p>
    <w:p w:rsidR="001E3479" w:rsidRDefault="001E3479" w:rsidP="001E3479">
      <w:pPr>
        <w:pStyle w:val="2"/>
        <w:spacing w:line="560" w:lineRule="exact"/>
        <w:ind w:firstLine="640"/>
        <w:rPr>
          <w:rFonts w:ascii="仿宋_GB2312" w:hint="eastAsia"/>
        </w:rPr>
      </w:pPr>
      <w:r>
        <w:rPr>
          <w:rFonts w:ascii="仿宋_GB2312" w:hint="eastAsia"/>
        </w:rPr>
        <w:t>按要求开展上年度部门预算绩效自评工作，对自评中发现的问题及时整改，调整优化支出结构，提高财政资金使用效益。</w:t>
      </w:r>
    </w:p>
    <w:p w:rsidR="001E3479" w:rsidRDefault="001E3479" w:rsidP="001E3479">
      <w:pPr>
        <w:pStyle w:val="2"/>
        <w:numPr>
          <w:ilvl w:val="0"/>
          <w:numId w:val="1"/>
        </w:numPr>
        <w:spacing w:line="560" w:lineRule="exact"/>
        <w:ind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规范财务资金管理</w:t>
      </w:r>
    </w:p>
    <w:p w:rsidR="001E3479" w:rsidRDefault="001E3479" w:rsidP="001E3479">
      <w:pPr>
        <w:pStyle w:val="2"/>
        <w:spacing w:line="560" w:lineRule="exact"/>
        <w:ind w:firstLine="640"/>
        <w:rPr>
          <w:rFonts w:ascii="仿宋_GB2312" w:hint="eastAsia"/>
        </w:rPr>
      </w:pPr>
      <w:r>
        <w:rPr>
          <w:rFonts w:ascii="仿宋_GB2312" w:hint="eastAsia"/>
        </w:rPr>
        <w:t>完善财务管理制度，严格审批程序，做好固定资产登记、使用报废处置管理，做到支出合理，物尽其用。</w:t>
      </w:r>
    </w:p>
    <w:p w:rsidR="001E3479" w:rsidRDefault="001E3479" w:rsidP="001E3479">
      <w:pPr>
        <w:pStyle w:val="2"/>
        <w:numPr>
          <w:ilvl w:val="0"/>
          <w:numId w:val="1"/>
        </w:numPr>
        <w:spacing w:line="560" w:lineRule="exact"/>
        <w:ind w:firstLine="6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加强内部监督</w:t>
      </w:r>
    </w:p>
    <w:p w:rsidR="001E3479" w:rsidRDefault="001E3479" w:rsidP="001E3479">
      <w:pPr>
        <w:pStyle w:val="2"/>
        <w:spacing w:line="560" w:lineRule="exact"/>
        <w:ind w:firstLine="640"/>
        <w:rPr>
          <w:rFonts w:ascii="仿宋_GB2312" w:hint="eastAsia"/>
        </w:rPr>
      </w:pPr>
      <w:r>
        <w:rPr>
          <w:rFonts w:ascii="仿宋_GB2312" w:hint="eastAsia"/>
        </w:rPr>
        <w:t>加强内部监督制度建设，做好内控工作，对项目绩效及资产处置工作进行督导，对会计资料进行内部审计，并配合</w:t>
      </w:r>
      <w:r>
        <w:rPr>
          <w:rFonts w:ascii="仿宋_GB2312" w:hint="eastAsia"/>
        </w:rPr>
        <w:lastRenderedPageBreak/>
        <w:t>做好</w:t>
      </w:r>
      <w:r>
        <w:rPr>
          <w:rFonts w:ascii="楷体_GB2312" w:eastAsia="楷体_GB2312" w:hint="eastAsia"/>
        </w:rPr>
        <w:t>财政</w:t>
      </w:r>
      <w:r>
        <w:rPr>
          <w:rFonts w:ascii="仿宋_GB2312" w:hint="eastAsia"/>
        </w:rPr>
        <w:t>监督等工作，确保财政资金安全有效。</w:t>
      </w:r>
    </w:p>
    <w:p w:rsidR="001E3479" w:rsidRDefault="001E3479" w:rsidP="001E3479">
      <w:pPr>
        <w:numPr>
          <w:ilvl w:val="0"/>
          <w:numId w:val="1"/>
        </w:numPr>
        <w:spacing w:line="560" w:lineRule="exact"/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加强宣传培训调研等</w:t>
      </w:r>
    </w:p>
    <w:p w:rsidR="001E3479" w:rsidRDefault="001E3479" w:rsidP="001E3479">
      <w:pPr>
        <w:spacing w:line="560" w:lineRule="exact"/>
        <w:ind w:firstLineChars="200" w:firstLine="640"/>
        <w:rPr>
          <w:rFonts w:ascii="方正仿宋_GBK" w:hAnsi="方正仿宋_GBK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  <w:r>
        <w:rPr>
          <w:rFonts w:ascii="方正仿宋_GBK" w:hAnsi="方正仿宋_GBK"/>
          <w:sz w:val="32"/>
          <w:szCs w:val="32"/>
        </w:rPr>
        <w:t xml:space="preserve"> </w:t>
      </w: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 w:hint="eastAsia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/>
          <w:sz w:val="32"/>
          <w:szCs w:val="32"/>
        </w:rPr>
      </w:pPr>
    </w:p>
    <w:p w:rsidR="001E3479" w:rsidRDefault="001E3479" w:rsidP="001E3479">
      <w:pPr>
        <w:spacing w:line="580" w:lineRule="exact"/>
        <w:rPr>
          <w:rFonts w:ascii="方正仿宋_GBK" w:hAnsi="方正仿宋_GBK"/>
          <w:sz w:val="32"/>
          <w:szCs w:val="32"/>
        </w:rPr>
      </w:pPr>
      <w:r>
        <w:rPr>
          <w:rFonts w:ascii="方正仿宋_GBK" w:hAnsi="方正仿宋_GBK"/>
          <w:sz w:val="32"/>
          <w:szCs w:val="32"/>
        </w:rPr>
        <w:t xml:space="preserve"> </w:t>
      </w:r>
    </w:p>
    <w:p w:rsidR="001E3479" w:rsidRDefault="001E3479" w:rsidP="001E3479">
      <w:pPr>
        <w:spacing w:line="580" w:lineRule="exact"/>
        <w:rPr>
          <w:rFonts w:ascii="方正仿宋_GBK" w:hAnsi="方正仿宋_GBK"/>
          <w:sz w:val="32"/>
          <w:szCs w:val="32"/>
        </w:rPr>
      </w:pPr>
      <w:r>
        <w:rPr>
          <w:rFonts w:ascii="方正仿宋_GBK" w:hAnsi="方正仿宋_GBK"/>
          <w:sz w:val="32"/>
          <w:szCs w:val="32"/>
        </w:rPr>
        <w:t xml:space="preserve"> </w:t>
      </w:r>
    </w:p>
    <w:p w:rsidR="001E3479" w:rsidRDefault="001E3479" w:rsidP="001E3479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执勤执法办案经费项目绩效目标表</w:t>
      </w:r>
    </w:p>
    <w:p w:rsidR="001E3479" w:rsidRDefault="001E3479" w:rsidP="001E3479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</w:p>
    <w:tbl>
      <w:tblPr>
        <w:tblW w:w="16949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992"/>
        <w:gridCol w:w="38"/>
        <w:gridCol w:w="1315"/>
        <w:gridCol w:w="65"/>
        <w:gridCol w:w="1377"/>
        <w:gridCol w:w="1078"/>
        <w:gridCol w:w="1372"/>
        <w:gridCol w:w="51"/>
        <w:gridCol w:w="941"/>
        <w:gridCol w:w="993"/>
        <w:gridCol w:w="6"/>
        <w:gridCol w:w="7997"/>
      </w:tblGrid>
      <w:tr w:rsidR="001E3479" w:rsidTr="001E3479">
        <w:trPr>
          <w:gridAfter w:val="1"/>
          <w:wAfter w:w="7997" w:type="dxa"/>
          <w:trHeight w:val="61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编码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————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44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执勤执法办案经费</w:t>
            </w:r>
          </w:p>
        </w:tc>
      </w:tr>
      <w:tr w:rsidR="001E3479" w:rsidTr="001E3479">
        <w:trPr>
          <w:gridAfter w:val="1"/>
          <w:wAfter w:w="7997" w:type="dxa"/>
          <w:trHeight w:val="555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预算规模及资金用途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预算数    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其中：财政资金</w:t>
            </w: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1E3479" w:rsidTr="001E3479">
        <w:trPr>
          <w:trHeight w:val="39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加强道路交通秩序管控，加强行人、非机动车管理，开展好环境卫生综合整治行动，完成治堵治乱等整治任务。</w:t>
            </w:r>
          </w:p>
        </w:tc>
        <w:tc>
          <w:tcPr>
            <w:tcW w:w="7997" w:type="dxa"/>
            <w:tcBorders>
              <w:top w:val="nil"/>
              <w:left w:val="nil"/>
              <w:bottom w:val="nil"/>
              <w:right w:val="nil"/>
            </w:tcBorders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1E3479" w:rsidTr="001E3479">
        <w:trPr>
          <w:gridAfter w:val="1"/>
          <w:wAfter w:w="7997" w:type="dxa"/>
          <w:trHeight w:val="615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资金支出计划（%）</w:t>
            </w: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3月底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6月底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10月底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12月底</w:t>
            </w:r>
          </w:p>
        </w:tc>
      </w:tr>
      <w:tr w:rsidR="001E3479" w:rsidTr="001E3479">
        <w:trPr>
          <w:gridAfter w:val="1"/>
          <w:wAfter w:w="7997" w:type="dxa"/>
          <w:trHeight w:val="44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100%</w:t>
            </w:r>
          </w:p>
        </w:tc>
      </w:tr>
      <w:tr w:rsidR="001E3479" w:rsidTr="001E3479">
        <w:trPr>
          <w:gridAfter w:val="1"/>
          <w:wAfter w:w="7997" w:type="dxa"/>
          <w:trHeight w:val="525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绩效</w:t>
            </w:r>
          </w:p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目标1</w:t>
            </w:r>
          </w:p>
        </w:tc>
        <w:tc>
          <w:tcPr>
            <w:tcW w:w="723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全力维护交通秩序，改善道路通行环境，深入排查安全隐患，预防和减少交通事故，开展宣传教育活动，促进全年道路交通管理工作顺利完成。</w:t>
            </w:r>
          </w:p>
        </w:tc>
      </w:tr>
      <w:tr w:rsidR="001E3479" w:rsidTr="001E3479">
        <w:trPr>
          <w:gridAfter w:val="1"/>
          <w:wAfter w:w="7997" w:type="dxa"/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目标2</w:t>
            </w:r>
          </w:p>
        </w:tc>
        <w:tc>
          <w:tcPr>
            <w:tcW w:w="723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确保辖区道路交通环境安全稳定，为社会经济发展保驾护航，提高人民群众满意度。</w:t>
            </w:r>
          </w:p>
        </w:tc>
      </w:tr>
      <w:tr w:rsidR="001E3479" w:rsidTr="001E3479">
        <w:trPr>
          <w:gridAfter w:val="1"/>
          <w:wAfter w:w="7997" w:type="dxa"/>
          <w:trHeight w:val="45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一级</w:t>
            </w:r>
          </w:p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绩效指标描述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指标值确定依据</w:t>
            </w:r>
          </w:p>
        </w:tc>
      </w:tr>
      <w:tr w:rsidR="001E3479" w:rsidTr="001E3479">
        <w:trPr>
          <w:gridAfter w:val="1"/>
          <w:wAfter w:w="7997" w:type="dxa"/>
          <w:trHeight w:val="312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92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1E3479" w:rsidTr="001E3479">
        <w:trPr>
          <w:gridAfter w:val="2"/>
          <w:wAfter w:w="8003" w:type="dxa"/>
          <w:trHeight w:val="662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产出</w:t>
            </w:r>
          </w:p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交通拥堵次数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反映交通拥堵比上年同期减少比例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＜2</w:t>
            </w:r>
            <w:r>
              <w:rPr>
                <w:rStyle w:val="15"/>
                <w:rFonts w:hint="default"/>
                <w:sz w:val="20"/>
                <w:szCs w:val="20"/>
              </w:rPr>
              <w:t>5%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考核指标</w:t>
            </w:r>
          </w:p>
        </w:tc>
      </w:tr>
      <w:tr w:rsidR="001E3479" w:rsidTr="001E3479">
        <w:trPr>
          <w:gridAfter w:val="2"/>
          <w:wAfter w:w="8003" w:type="dxa"/>
          <w:trHeight w:val="761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交通拥堵时长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反映持续拥堵时长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＜30分钟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考核指标</w:t>
            </w:r>
          </w:p>
        </w:tc>
      </w:tr>
      <w:tr w:rsidR="001E3479" w:rsidTr="001E3479">
        <w:trPr>
          <w:gridAfter w:val="2"/>
          <w:wAfter w:w="8003" w:type="dxa"/>
          <w:trHeight w:val="847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交通拥堵里程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反映拥堵里程比上年同期减少比例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＜1</w:t>
            </w:r>
            <w:r>
              <w:rPr>
                <w:rStyle w:val="15"/>
                <w:rFonts w:hint="default"/>
                <w:sz w:val="20"/>
                <w:szCs w:val="20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考核指标</w:t>
            </w:r>
          </w:p>
        </w:tc>
      </w:tr>
      <w:tr w:rsidR="001E3479" w:rsidTr="001E3479">
        <w:trPr>
          <w:gridAfter w:val="2"/>
          <w:wAfter w:w="8003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交通拥堵现象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反映改善交通拥堵的效率是否持续渐进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得到长期改善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考核指标</w:t>
            </w:r>
          </w:p>
        </w:tc>
      </w:tr>
      <w:tr w:rsidR="001E3479" w:rsidTr="001E3479">
        <w:trPr>
          <w:gridAfter w:val="2"/>
          <w:wAfter w:w="8003" w:type="dxa"/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479" w:rsidRDefault="001E3479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交通拥堵现象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持续改进交通拥堵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得到长期改善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考核指标</w:t>
            </w:r>
          </w:p>
        </w:tc>
      </w:tr>
      <w:tr w:rsidR="001E3479" w:rsidTr="001E3479">
        <w:trPr>
          <w:gridAfter w:val="2"/>
          <w:wAfter w:w="8003" w:type="dxa"/>
          <w:trHeight w:val="93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效果指标标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交通事故下降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万车交通事故下降率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6%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  <w:tr w:rsidR="001E3479" w:rsidTr="001E3479">
        <w:trPr>
          <w:gridAfter w:val="2"/>
          <w:wAfter w:w="8003" w:type="dxa"/>
          <w:trHeight w:val="37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服务对象随机测评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≤85%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E3479" w:rsidRDefault="001E347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工作经验</w:t>
            </w:r>
          </w:p>
        </w:tc>
      </w:tr>
    </w:tbl>
    <w:p w:rsidR="009D7602" w:rsidRPr="001E3479" w:rsidRDefault="009D7602">
      <w:pPr>
        <w:rPr>
          <w:b/>
        </w:rPr>
      </w:pPr>
    </w:p>
    <w:sectPr w:rsidR="009D7602" w:rsidRPr="001E3479" w:rsidSect="009D7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4E0"/>
    <w:multiLevelType w:val="multilevel"/>
    <w:tmpl w:val="1642323A"/>
    <w:lvl w:ilvl="0">
      <w:start w:val="2"/>
      <w:numFmt w:val="chineseCounting"/>
      <w:suff w:val="nothing"/>
      <w:lvlText w:val="（%1）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3479"/>
    <w:rsid w:val="001E3479"/>
    <w:rsid w:val="009D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1E347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E3479"/>
    <w:rPr>
      <w:rFonts w:ascii="Times New Roman" w:eastAsia="宋体" w:hAnsi="Times New Roman" w:cs="Times New Roman"/>
      <w:szCs w:val="21"/>
    </w:rPr>
  </w:style>
  <w:style w:type="paragraph" w:styleId="2">
    <w:name w:val="Body Text First Indent 2"/>
    <w:basedOn w:val="a3"/>
    <w:link w:val="2Char"/>
    <w:uiPriority w:val="99"/>
    <w:unhideWhenUsed/>
    <w:rsid w:val="001E3479"/>
    <w:pPr>
      <w:spacing w:after="0"/>
      <w:ind w:leftChars="0" w:left="0" w:firstLineChars="200" w:firstLine="420"/>
    </w:pPr>
    <w:rPr>
      <w:rFonts w:eastAsia="仿宋_GB2312"/>
      <w:sz w:val="32"/>
      <w:szCs w:val="32"/>
    </w:rPr>
  </w:style>
  <w:style w:type="character" w:customStyle="1" w:styleId="2Char">
    <w:name w:val="正文首行缩进 2 Char"/>
    <w:basedOn w:val="Char"/>
    <w:link w:val="2"/>
    <w:uiPriority w:val="99"/>
    <w:rsid w:val="001E3479"/>
    <w:rPr>
      <w:rFonts w:eastAsia="仿宋_GB2312"/>
      <w:sz w:val="32"/>
      <w:szCs w:val="32"/>
    </w:rPr>
  </w:style>
  <w:style w:type="character" w:customStyle="1" w:styleId="15">
    <w:name w:val="15"/>
    <w:basedOn w:val="a0"/>
    <w:rsid w:val="001E3479"/>
    <w:rPr>
      <w:rFonts w:ascii="宋体" w:eastAsia="宋体" w:hAnsi="宋体" w:hint="eastAsi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2021-06-17T09:10:00Z</dcterms:created>
  <dcterms:modified xsi:type="dcterms:W3CDTF">2021-06-17T09:11:00Z</dcterms:modified>
</cp:coreProperties>
</file>