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72"/>
          <w:szCs w:val="72"/>
        </w:rPr>
      </w:pPr>
    </w:p>
    <w:p>
      <w:pPr>
        <w:rPr>
          <w:rFonts w:ascii="黑体" w:eastAsia="黑体"/>
          <w:sz w:val="44"/>
          <w:szCs w:val="44"/>
        </w:rPr>
      </w:pPr>
    </w:p>
    <w:p>
      <w:pPr>
        <w:ind w:firstLine="420" w:firstLineChars="200"/>
        <w:rPr>
          <w:szCs w:val="22"/>
        </w:rPr>
      </w:pPr>
    </w:p>
    <w:p>
      <w:pPr>
        <w:rPr>
          <w:szCs w:val="2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高新区创业中心</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2021年部门预算绩效文本</w:t>
      </w: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rPr>
          <w:rFonts w:hint="eastAsia" w:ascii="方正仿宋_GBK" w:eastAsia="方正仿宋_GBK"/>
          <w:szCs w:val="22"/>
        </w:rPr>
      </w:pPr>
    </w:p>
    <w:p>
      <w:pPr>
        <w:rPr>
          <w:rFonts w:ascii="方正仿宋_GBK" w:eastAsia="方正仿宋_GBK"/>
          <w:szCs w:val="22"/>
        </w:rPr>
      </w:pPr>
    </w:p>
    <w:p>
      <w:pPr>
        <w:jc w:val="center"/>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bCs/>
          <w:sz w:val="32"/>
          <w:szCs w:val="22"/>
        </w:rPr>
        <w:t>高新区创业中心编制</w:t>
      </w: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部门整体绩效目标</w:t>
      </w:r>
    </w:p>
    <w:p>
      <w:pPr>
        <w:spacing w:before="156" w:beforeLines="50" w:after="156" w:afterLines="50" w:line="580" w:lineRule="exact"/>
        <w:ind w:firstLine="629"/>
        <w:rPr>
          <w:rFonts w:hint="eastAsia" w:eastAsia="方正黑体_GBK"/>
          <w:sz w:val="32"/>
          <w:szCs w:val="32"/>
        </w:rPr>
      </w:pP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一、总体绩效目标</w:t>
      </w:r>
    </w:p>
    <w:p>
      <w:pPr>
        <w:ind w:firstLine="640" w:firstLineChars="200"/>
        <w:rPr>
          <w:rFonts w:ascii="仿宋_GB2312" w:eastAsia="仿宋_GB2312"/>
          <w:sz w:val="32"/>
          <w:szCs w:val="32"/>
        </w:rPr>
      </w:pPr>
      <w:r>
        <w:rPr>
          <w:rFonts w:hint="eastAsia" w:ascii="仿宋_GB2312" w:eastAsia="仿宋_GB2312"/>
          <w:sz w:val="32"/>
          <w:szCs w:val="32"/>
        </w:rPr>
        <w:t>唐山高新技术创业中心是为中小科技企业提供创新创业服务的公益性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二、分项绩效目标</w:t>
      </w:r>
    </w:p>
    <w:p>
      <w:pPr>
        <w:ind w:firstLine="640" w:firstLineChars="200"/>
        <w:rPr>
          <w:rFonts w:ascii="仿宋_GB2312" w:eastAsia="仿宋_GB2312"/>
          <w:sz w:val="32"/>
          <w:szCs w:val="32"/>
        </w:rPr>
      </w:pPr>
      <w:r>
        <w:rPr>
          <w:rFonts w:hint="eastAsia" w:ascii="仿宋_GB2312" w:eastAsia="仿宋_GB2312"/>
          <w:sz w:val="32"/>
          <w:szCs w:val="32"/>
        </w:rPr>
        <w:t>我单位根据管委会工作部署，结合本部门年度工作计划，针对主要职责、重点工作，分项制定如下绩效目标：</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（一）优化硬件环境</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保障孵化场地正常运营，保障不发生安全生产及消防安全事故，进一步提升物业管理服务水平。</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企业入驻配套及时率达到90%；物业管理满意度85%；不发生安全生产及消防安全事故。</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（二）企业孵化服务；加强高企后备库建设</w:t>
      </w:r>
    </w:p>
    <w:p>
      <w:pPr>
        <w:spacing w:line="580" w:lineRule="exact"/>
        <w:ind w:firstLine="630"/>
        <w:rPr>
          <w:rFonts w:hint="eastAsia" w:ascii="仿宋" w:hAnsi="仿宋" w:eastAsia="仿宋" w:cs="仿宋"/>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通过开展各类培训交流等活动、推动创新创业文化建设、争取各类对企业支持的政府资金，加强项目申报组织工作，提升中心服务水平；组织企业进入高企后备库，对入库企业进行培育。</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企业项目申报数2家；活动次数7次；参与企业数130家次；入库企业15家。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（三）投融资服务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通过增加创投公司实收资本，扩充其股权投资业务资金实力，向区内科技企业加大股权融资服务。</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孵化基金发放率95%；孵化基金回收率95%；扶持企业家数8家。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（四）创业孵化服务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积极开展各类活动，充分发挥党组织的先进作用；发展新的党、团支部及工会、积极开展各类活动。</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走访党支部满意度90%；党员发展完成率达到90%；走访团支部满意度90%；高新区团工委下达任务完成率90%；开展活动数量各2次。</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（五）创业中心及入驻企业宣传</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通过网站、微信公众平台宣传，让更多的人了解创业中心，了解入驻流程，让想创业的人找对方向，进而提升创业中心及入驻企业知名度，增强创新创业氛围。</w:t>
      </w:r>
    </w:p>
    <w:p>
      <w:pPr>
        <w:spacing w:line="580" w:lineRule="exact"/>
        <w:ind w:firstLine="640" w:firstLineChars="200"/>
        <w:rPr>
          <w:rFonts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绩效指标：网站更新</w:t>
      </w:r>
      <w:r>
        <w:rPr>
          <w:rFonts w:hint="eastAsia" w:ascii="仿宋" w:hAnsi="仿宋" w:eastAsia="仿宋" w:cs="仿宋"/>
          <w:color w:val="000000"/>
          <w:kern w:val="0"/>
          <w:sz w:val="32"/>
          <w:szCs w:val="32"/>
          <w:lang w:bidi="ar"/>
        </w:rPr>
        <w:t>数量15条；微信公众平台更新量20条；微信公众平台关注量300人。</w:t>
      </w:r>
    </w:p>
    <w:p>
      <w:pPr>
        <w:spacing w:before="156" w:beforeLines="50" w:after="156" w:afterLines="5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三、工作保障措施</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（一）完善制度建设。</w:t>
      </w:r>
      <w:r>
        <w:rPr>
          <w:rFonts w:hint="eastAsia" w:ascii="仿宋" w:hAnsi="仿宋" w:eastAsia="仿宋" w:cs="仿宋"/>
          <w:sz w:val="32"/>
          <w:szCs w:val="32"/>
        </w:rPr>
        <w:t>制定完善预算绩效管理制度、资金管理办法、工作保障制度等，为全年预算绩效目标的实现奠定制度基础。</w:t>
      </w:r>
    </w:p>
    <w:p>
      <w:pPr>
        <w:spacing w:line="58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（二）加强支出管理。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40" w:firstLineChars="200"/>
        <w:rPr>
          <w:rFonts w:hint="eastAsia" w:eastAsia="方正仿宋_GBK"/>
          <w:b/>
          <w:bCs/>
          <w:sz w:val="32"/>
          <w:szCs w:val="32"/>
        </w:rPr>
      </w:pPr>
      <w:r>
        <w:rPr>
          <w:rFonts w:hint="eastAsia" w:ascii="楷体_GB2312" w:hAnsi="楷体_GB2312" w:eastAsia="楷体_GB2312" w:cs="楷体_GB2312"/>
          <w:sz w:val="32"/>
          <w:szCs w:val="32"/>
        </w:rPr>
        <w:t>（三）加强绩效运行监控。</w:t>
      </w:r>
      <w:r>
        <w:rPr>
          <w:rFonts w:hint="eastAsia" w:ascii="仿宋" w:hAnsi="仿宋" w:eastAsia="仿宋" w:cs="仿宋"/>
          <w:sz w:val="32"/>
          <w:szCs w:val="32"/>
        </w:rPr>
        <w:t>按要求开展绩效运行监控，发现问题及时采取措施，确保绩效目标如期保质实现。</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（四）做好绩效自评。</w:t>
      </w:r>
      <w:r>
        <w:rPr>
          <w:rFonts w:hint="eastAsia" w:ascii="仿宋" w:hAnsi="仿宋" w:eastAsia="仿宋" w:cs="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（五）规范财务资产管理。</w:t>
      </w:r>
      <w:r>
        <w:rPr>
          <w:rFonts w:hint="eastAsia" w:ascii="仿宋" w:hAnsi="仿宋" w:eastAsia="仿宋" w:cs="仿宋"/>
          <w:sz w:val="32"/>
          <w:szCs w:val="32"/>
        </w:rPr>
        <w:t>完善财务管理制度，严格审批程序，加强固定资产登记、使用和报废处置管理，做到支出合理，物尽其用。</w:t>
      </w:r>
    </w:p>
    <w:p>
      <w:pPr>
        <w:spacing w:line="580" w:lineRule="exact"/>
        <w:ind w:firstLine="630"/>
        <w:rPr>
          <w:rFonts w:hint="eastAsia" w:eastAsia="方正仿宋_GBK"/>
          <w:b/>
          <w:bCs/>
          <w:sz w:val="32"/>
          <w:szCs w:val="32"/>
        </w:rPr>
      </w:pPr>
      <w:r>
        <w:rPr>
          <w:rFonts w:hint="eastAsia" w:ascii="楷体_GB2312" w:hAnsi="楷体_GB2312" w:eastAsia="楷体_GB2312" w:cs="楷体_GB2312"/>
          <w:sz w:val="32"/>
          <w:szCs w:val="32"/>
        </w:rPr>
        <w:t>（六）加强内部监督。</w:t>
      </w:r>
      <w:r>
        <w:rPr>
          <w:rFonts w:hint="eastAsia" w:ascii="仿宋" w:hAnsi="仿宋" w:eastAsia="仿宋" w:cs="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 w:hAnsi="仿宋" w:eastAsia="仿宋" w:cs="仿宋"/>
          <w:b/>
          <w:bCs/>
          <w:sz w:val="32"/>
          <w:szCs w:val="32"/>
        </w:rPr>
      </w:pPr>
      <w:r>
        <w:rPr>
          <w:rFonts w:hint="eastAsia" w:ascii="楷体_GB2312" w:hAnsi="楷体_GB2312" w:eastAsia="楷体_GB2312" w:cs="楷体_GB2312"/>
          <w:sz w:val="32"/>
          <w:szCs w:val="32"/>
        </w:rPr>
        <w:t>（七）加强宣传培训调研等。</w:t>
      </w:r>
      <w:r>
        <w:rPr>
          <w:rFonts w:hint="eastAsia" w:ascii="仿宋" w:hAnsi="仿宋" w:eastAsia="仿宋" w:cs="仿宋"/>
          <w:sz w:val="32"/>
          <w:szCs w:val="32"/>
        </w:rPr>
        <w:t xml:space="preserve">加强人员培训，提高本部门职工业务素质；加强调研，提出优化财政资金配置、提高资金使用效益；加大宣传力度，强化预算绩效管理意识，促进预算绩效管理水平进一步提升。 </w:t>
      </w:r>
    </w:p>
    <w:p>
      <w:pPr>
        <w:spacing w:line="580" w:lineRule="exact"/>
        <w:jc w:val="center"/>
        <w:rPr>
          <w:rFonts w:hint="eastAsia" w:ascii="方正小标宋简体" w:hAnsi="方正小标宋简体" w:eastAsia="方正小标宋简体" w:cs="方正小标宋简体"/>
          <w:sz w:val="44"/>
          <w:szCs w:val="44"/>
          <w:lang w:val="en-US" w:eastAsia="zh-CN"/>
        </w:rPr>
      </w:pPr>
    </w:p>
    <w:p>
      <w:pPr>
        <w:spacing w:line="580" w:lineRule="exact"/>
        <w:jc w:val="center"/>
        <w:rPr>
          <w:rFonts w:hint="default" w:ascii="方正小标宋_GBK" w:eastAsia="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预算项目绩效目标</w:t>
      </w: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孵化器房屋租赁费项目绩效目标表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2"/>
        <w:tblW w:w="8946" w:type="dxa"/>
        <w:tblInd w:w="0" w:type="dxa"/>
        <w:tblLayout w:type="fixed"/>
        <w:tblCellMar>
          <w:top w:w="15" w:type="dxa"/>
          <w:left w:w="15" w:type="dxa"/>
          <w:bottom w:w="15" w:type="dxa"/>
          <w:right w:w="15" w:type="dxa"/>
        </w:tblCellMar>
      </w:tblPr>
      <w:tblGrid>
        <w:gridCol w:w="648"/>
        <w:gridCol w:w="1245"/>
        <w:gridCol w:w="107"/>
        <w:gridCol w:w="1343"/>
        <w:gridCol w:w="1168"/>
        <w:gridCol w:w="1078"/>
        <w:gridCol w:w="1423"/>
        <w:gridCol w:w="979"/>
        <w:gridCol w:w="955"/>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69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35"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孵化器房屋租赁费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 xml:space="preserve">预算数    </w:t>
            </w: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2934万元</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2934</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其他资金</w:t>
            </w:r>
          </w:p>
        </w:tc>
        <w:tc>
          <w:tcPr>
            <w:tcW w:w="193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8298"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主要用于房屋租赁费及税费的支付。</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6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26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9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6946"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为入驻企业提供安全、舒适的工作环境，对设备设施及时维保，保障入驻企业正常运行。</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35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3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66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3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3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cs="宋体"/>
                <w:color w:val="000000"/>
                <w:sz w:val="20"/>
                <w:szCs w:val="20"/>
              </w:rPr>
            </w:pPr>
          </w:p>
        </w:tc>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r>
        <w:tblPrEx>
          <w:tblCellMar>
            <w:top w:w="15" w:type="dxa"/>
            <w:left w:w="15" w:type="dxa"/>
            <w:bottom w:w="15" w:type="dxa"/>
            <w:right w:w="15" w:type="dxa"/>
          </w:tblCellMar>
        </w:tblPrEx>
        <w:trPr>
          <w:trHeight w:val="54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352"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43"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入驻科技型企业数量</w:t>
            </w:r>
          </w:p>
        </w:tc>
        <w:tc>
          <w:tcPr>
            <w:tcW w:w="979"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≥20家</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根据工作经验</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设备设施运行</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设备设施是否能够正常运行</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是</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故障处理及时性</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及时处理率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百川租金</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单位平米日租金额</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1.5元</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评估报告</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软件园租金</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单位平米日租金额</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2.45元</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评估报告</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创新大厦租金</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年租金额</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751万元</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协议</w:t>
            </w:r>
          </w:p>
        </w:tc>
      </w:tr>
      <w:tr>
        <w:tblPrEx>
          <w:tblCellMar>
            <w:top w:w="15" w:type="dxa"/>
            <w:left w:w="15" w:type="dxa"/>
            <w:bottom w:w="15" w:type="dxa"/>
            <w:right w:w="15" w:type="dxa"/>
          </w:tblCellMar>
        </w:tblPrEx>
        <w:trPr>
          <w:trHeight w:val="879" w:hRule="atLeast"/>
        </w:trPr>
        <w:tc>
          <w:tcPr>
            <w:tcW w:w="64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352"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社会效益指标</w:t>
            </w:r>
          </w:p>
        </w:tc>
        <w:tc>
          <w:tcPr>
            <w:tcW w:w="1343"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孵化器保障能力</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孵化器对入驻企业正常工作开展的保障能力</w:t>
            </w:r>
          </w:p>
        </w:tc>
        <w:tc>
          <w:tcPr>
            <w:tcW w:w="979"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稳步提升</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≥90%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工作经验</w:t>
            </w:r>
          </w:p>
        </w:tc>
      </w:tr>
    </w:tbl>
    <w:p>
      <w:pPr>
        <w:spacing w:line="580" w:lineRule="exact"/>
        <w:rPr>
          <w:rFonts w:hint="eastAsia" w:eastAsia="方正仿宋_GBK"/>
          <w:sz w:val="32"/>
          <w:szCs w:val="32"/>
        </w:rPr>
      </w:pPr>
    </w:p>
    <w:p>
      <w:pPr>
        <w:spacing w:line="580" w:lineRule="exact"/>
        <w:rPr>
          <w:rFonts w:hint="eastAsia" w:eastAsia="方正仿宋_GBK"/>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物业外包服务费项目绩效目标表</w:t>
      </w:r>
    </w:p>
    <w:p>
      <w:pPr>
        <w:spacing w:line="580" w:lineRule="exact"/>
        <w:rPr>
          <w:rFonts w:hint="eastAsia" w:eastAsia="方正仿宋_GBK"/>
          <w:sz w:val="32"/>
          <w:szCs w:val="32"/>
        </w:rPr>
      </w:pPr>
    </w:p>
    <w:tbl>
      <w:tblPr>
        <w:tblStyle w:val="2"/>
        <w:tblW w:w="8952" w:type="dxa"/>
        <w:tblInd w:w="0" w:type="dxa"/>
        <w:tblLayout w:type="fixed"/>
        <w:tblCellMar>
          <w:top w:w="15" w:type="dxa"/>
          <w:left w:w="15" w:type="dxa"/>
          <w:bottom w:w="15" w:type="dxa"/>
          <w:right w:w="15" w:type="dxa"/>
        </w:tblCellMar>
      </w:tblPr>
      <w:tblGrid>
        <w:gridCol w:w="724"/>
        <w:gridCol w:w="1169"/>
        <w:gridCol w:w="1450"/>
        <w:gridCol w:w="1168"/>
        <w:gridCol w:w="1078"/>
        <w:gridCol w:w="1423"/>
        <w:gridCol w:w="941"/>
        <w:gridCol w:w="999"/>
      </w:tblGrid>
      <w:tr>
        <w:tblPrEx>
          <w:tblCellMar>
            <w:top w:w="15" w:type="dxa"/>
            <w:left w:w="15" w:type="dxa"/>
            <w:bottom w:w="15" w:type="dxa"/>
            <w:right w:w="15" w:type="dxa"/>
          </w:tblCellMar>
        </w:tblPrEx>
        <w:trPr>
          <w:trHeight w:val="6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物业外包服务费</w:t>
            </w:r>
          </w:p>
        </w:tc>
      </w:tr>
      <w:tr>
        <w:tblPrEx>
          <w:tblCellMar>
            <w:top w:w="15" w:type="dxa"/>
            <w:left w:w="15" w:type="dxa"/>
            <w:bottom w:w="15" w:type="dxa"/>
            <w:right w:w="15" w:type="dxa"/>
          </w:tblCellMar>
        </w:tblPrEx>
        <w:trPr>
          <w:trHeight w:val="55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 xml:space="preserve">预算数    </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212万元</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212万元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397"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822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主要用于物业外包服务费用的支付，保障楼宇正常运行。</w:t>
            </w:r>
          </w:p>
        </w:tc>
      </w:tr>
      <w:tr>
        <w:tblPrEx>
          <w:tblCellMar>
            <w:top w:w="15" w:type="dxa"/>
            <w:left w:w="15" w:type="dxa"/>
            <w:bottom w:w="15" w:type="dxa"/>
            <w:right w:w="15" w:type="dxa"/>
          </w:tblCellMar>
        </w:tblPrEx>
        <w:trPr>
          <w:trHeight w:val="61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tblPrEx>
          <w:tblCellMar>
            <w:top w:w="15" w:type="dxa"/>
            <w:left w:w="15" w:type="dxa"/>
            <w:bottom w:w="15" w:type="dxa"/>
            <w:right w:w="15" w:type="dxa"/>
          </w:tblCellMar>
        </w:tblPrEx>
        <w:trPr>
          <w:trHeight w:val="441"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76%</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76%</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803"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b/>
                <w:bCs/>
                <w:color w:val="000000"/>
                <w:sz w:val="20"/>
                <w:szCs w:val="20"/>
              </w:rPr>
              <w:t>目标1</w:t>
            </w:r>
          </w:p>
        </w:tc>
        <w:tc>
          <w:tcPr>
            <w:tcW w:w="7059"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保障创业中心整体正常运行，保障设备设施及时维修，提升服务水平。</w:t>
            </w:r>
          </w:p>
        </w:tc>
      </w:tr>
      <w:tr>
        <w:tblPrEx>
          <w:tblCellMar>
            <w:top w:w="15" w:type="dxa"/>
            <w:left w:w="15" w:type="dxa"/>
            <w:bottom w:w="15" w:type="dxa"/>
            <w:right w:w="15" w:type="dxa"/>
          </w:tblCellMar>
        </w:tblPrEx>
        <w:trPr>
          <w:trHeight w:val="45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二级指标</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669"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41" w:type="dxa"/>
            <w:vMerge w:val="restart"/>
            <w:tcBorders>
              <w:top w:val="single" w:color="000000" w:sz="4" w:space="0"/>
              <w:left w:val="single" w:color="000000" w:sz="4" w:space="0"/>
              <w:bottom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9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tblPrEx>
          <w:tblCellMar>
            <w:top w:w="15" w:type="dxa"/>
            <w:left w:w="15" w:type="dxa"/>
            <w:bottom w:w="15" w:type="dxa"/>
            <w:right w:w="15" w:type="dxa"/>
          </w:tblCellMar>
        </w:tblPrEx>
        <w:trPr>
          <w:trHeight w:val="312"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0"/>
                <w:szCs w:val="20"/>
              </w:rPr>
            </w:pPr>
          </w:p>
        </w:tc>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3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941" w:type="dxa"/>
            <w:vMerge w:val="continue"/>
            <w:tcBorders>
              <w:top w:val="single" w:color="000000" w:sz="4" w:space="0"/>
              <w:left w:val="single" w:color="000000" w:sz="4" w:space="0"/>
              <w:bottom w:val="single" w:color="000000" w:sz="4" w:space="0"/>
            </w:tcBorders>
            <w:vAlign w:val="center"/>
          </w:tcPr>
          <w:p>
            <w:pPr>
              <w:jc w:val="left"/>
              <w:rPr>
                <w:rFonts w:hint="eastAsia" w:ascii="宋体" w:hAnsi="宋体" w:cs="宋体"/>
                <w:color w:val="000000"/>
                <w:sz w:val="20"/>
                <w:szCs w:val="20"/>
              </w:rPr>
            </w:pPr>
          </w:p>
        </w:tc>
        <w:tc>
          <w:tcPr>
            <w:tcW w:w="99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54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数量指标</w:t>
            </w:r>
          </w:p>
        </w:tc>
        <w:tc>
          <w:tcPr>
            <w:tcW w:w="1450"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入驻企业数量</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通过提升整体硬件环境，保障企业的入驻数量</w:t>
            </w:r>
          </w:p>
        </w:tc>
        <w:tc>
          <w:tcPr>
            <w:tcW w:w="941"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30家</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工作目标</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质量指标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设备设施运行</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设备设施是否能够正常运行</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是</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时效指标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故障处理及时性</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物业接到日常故障报修处理时间</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≤2小时</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成本指标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软件园</w:t>
            </w:r>
          </w:p>
          <w:p>
            <w:pPr>
              <w:jc w:val="center"/>
              <w:rPr>
                <w:rFonts w:ascii="宋体" w:hAnsi="宋体" w:cs="宋体"/>
                <w:color w:val="000000"/>
                <w:sz w:val="20"/>
                <w:szCs w:val="20"/>
              </w:rPr>
            </w:pPr>
            <w:r>
              <w:rPr>
                <w:rFonts w:hint="eastAsia" w:ascii="宋体" w:hAnsi="宋体" w:cs="宋体"/>
                <w:color w:val="000000"/>
                <w:sz w:val="20"/>
                <w:szCs w:val="20"/>
              </w:rPr>
              <w:t>物业服务成本</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单位面积年服务费</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35.7元</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招标合同</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创新大厦</w:t>
            </w:r>
          </w:p>
          <w:p>
            <w:pPr>
              <w:jc w:val="center"/>
              <w:rPr>
                <w:rFonts w:hint="eastAsia" w:ascii="宋体" w:hAnsi="宋体" w:cs="宋体"/>
                <w:color w:val="000000"/>
                <w:sz w:val="20"/>
                <w:szCs w:val="20"/>
              </w:rPr>
            </w:pPr>
            <w:r>
              <w:rPr>
                <w:rFonts w:hint="eastAsia" w:ascii="宋体" w:hAnsi="宋体" w:cs="宋体"/>
                <w:color w:val="000000"/>
                <w:sz w:val="20"/>
                <w:szCs w:val="20"/>
              </w:rPr>
              <w:t>物业服务成本</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单位面积年服务费</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28元</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招标合同</w:t>
            </w:r>
          </w:p>
        </w:tc>
      </w:tr>
      <w:tr>
        <w:tblPrEx>
          <w:tblCellMar>
            <w:top w:w="15" w:type="dxa"/>
            <w:left w:w="15" w:type="dxa"/>
            <w:bottom w:w="15" w:type="dxa"/>
            <w:right w:w="15" w:type="dxa"/>
          </w:tblCellMar>
        </w:tblPrEx>
        <w:trPr>
          <w:trHeight w:val="879" w:hRule="atLeast"/>
        </w:trPr>
        <w:tc>
          <w:tcPr>
            <w:tcW w:w="72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社会效益指标</w:t>
            </w:r>
          </w:p>
        </w:tc>
        <w:tc>
          <w:tcPr>
            <w:tcW w:w="1450"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服务保障能力</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物业对工作范围内的服务保障能力</w:t>
            </w:r>
          </w:p>
        </w:tc>
        <w:tc>
          <w:tcPr>
            <w:tcW w:w="941"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显著提升</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服务对象满意度指标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90%</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工作经验</w:t>
            </w:r>
          </w:p>
        </w:tc>
      </w:tr>
    </w:tbl>
    <w:p>
      <w:pPr>
        <w:spacing w:line="580" w:lineRule="exact"/>
        <w:rPr>
          <w:rFonts w:hint="eastAsia" w:eastAsia="方正仿宋_GBK"/>
          <w:sz w:val="32"/>
          <w:szCs w:val="32"/>
        </w:rPr>
      </w:pPr>
    </w:p>
    <w:p>
      <w:pPr>
        <w:spacing w:line="580" w:lineRule="exact"/>
        <w:rPr>
          <w:rFonts w:hint="eastAsia" w:eastAsia="方正仿宋_GBK"/>
          <w:sz w:val="32"/>
          <w:szCs w:val="32"/>
        </w:rPr>
      </w:pPr>
    </w:p>
    <w:p>
      <w:pPr>
        <w:spacing w:line="580" w:lineRule="exact"/>
        <w:rPr>
          <w:rFonts w:hint="eastAsia" w:eastAsia="方正仿宋_GBK"/>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维修</w:t>
      </w:r>
      <w:r>
        <w:rPr>
          <w:rFonts w:hint="eastAsia" w:ascii="方正小标宋简体" w:hAnsi="方正小标宋简体" w:eastAsia="方正小标宋简体" w:cs="方正小标宋简体"/>
          <w:sz w:val="44"/>
          <w:szCs w:val="44"/>
        </w:rPr>
        <w:t>费项目绩效目标表</w:t>
      </w:r>
    </w:p>
    <w:p>
      <w:pPr>
        <w:spacing w:line="580" w:lineRule="exact"/>
        <w:rPr>
          <w:rFonts w:hint="eastAsia" w:eastAsia="方正仿宋_GBK"/>
          <w:sz w:val="32"/>
          <w:szCs w:val="32"/>
        </w:rPr>
      </w:pPr>
    </w:p>
    <w:tbl>
      <w:tblPr>
        <w:tblStyle w:val="2"/>
        <w:tblW w:w="8952" w:type="dxa"/>
        <w:tblInd w:w="0" w:type="dxa"/>
        <w:tblLayout w:type="fixed"/>
        <w:tblCellMar>
          <w:top w:w="15" w:type="dxa"/>
          <w:left w:w="15" w:type="dxa"/>
          <w:bottom w:w="15" w:type="dxa"/>
          <w:right w:w="15" w:type="dxa"/>
        </w:tblCellMar>
      </w:tblPr>
      <w:tblGrid>
        <w:gridCol w:w="724"/>
        <w:gridCol w:w="1169"/>
        <w:gridCol w:w="1450"/>
        <w:gridCol w:w="1168"/>
        <w:gridCol w:w="1078"/>
        <w:gridCol w:w="1423"/>
        <w:gridCol w:w="941"/>
        <w:gridCol w:w="999"/>
      </w:tblGrid>
      <w:tr>
        <w:tblPrEx>
          <w:tblCellMar>
            <w:top w:w="15" w:type="dxa"/>
            <w:left w:w="15" w:type="dxa"/>
            <w:bottom w:w="15" w:type="dxa"/>
            <w:right w:w="15" w:type="dxa"/>
          </w:tblCellMar>
        </w:tblPrEx>
        <w:trPr>
          <w:trHeight w:val="6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lang w:val="en-US" w:eastAsia="zh-CN"/>
              </w:rPr>
              <w:t>维修</w:t>
            </w:r>
            <w:r>
              <w:rPr>
                <w:rFonts w:hint="eastAsia" w:ascii="宋体" w:hAnsi="宋体" w:cs="宋体"/>
                <w:color w:val="000000"/>
                <w:sz w:val="20"/>
                <w:szCs w:val="20"/>
              </w:rPr>
              <w:t>费</w:t>
            </w:r>
          </w:p>
        </w:tc>
      </w:tr>
      <w:tr>
        <w:tblPrEx>
          <w:tblCellMar>
            <w:top w:w="15" w:type="dxa"/>
            <w:left w:w="15" w:type="dxa"/>
            <w:bottom w:w="15" w:type="dxa"/>
            <w:right w:w="15" w:type="dxa"/>
          </w:tblCellMar>
        </w:tblPrEx>
        <w:trPr>
          <w:trHeight w:val="55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 xml:space="preserve">预算数    </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5</w:t>
            </w:r>
            <w:r>
              <w:rPr>
                <w:rFonts w:hint="eastAsia" w:ascii="宋体" w:hAnsi="宋体" w:cs="宋体"/>
                <w:color w:val="000000"/>
                <w:sz w:val="20"/>
                <w:szCs w:val="20"/>
              </w:rPr>
              <w:t>万元</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5</w:t>
            </w:r>
            <w:r>
              <w:rPr>
                <w:rFonts w:hint="eastAsia" w:ascii="宋体" w:hAnsi="宋体" w:cs="宋体"/>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397"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822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主要用于高新区演示大厅电子大屏等维修维护，保障电子大屏等设备设施能够正常使用。</w:t>
            </w:r>
          </w:p>
        </w:tc>
      </w:tr>
      <w:tr>
        <w:tblPrEx>
          <w:tblCellMar>
            <w:top w:w="15" w:type="dxa"/>
            <w:left w:w="15" w:type="dxa"/>
            <w:bottom w:w="15" w:type="dxa"/>
            <w:right w:w="15" w:type="dxa"/>
          </w:tblCellMar>
        </w:tblPrEx>
        <w:trPr>
          <w:trHeight w:val="61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tblPrEx>
          <w:tblCellMar>
            <w:top w:w="15" w:type="dxa"/>
            <w:left w:w="15" w:type="dxa"/>
            <w:bottom w:w="15" w:type="dxa"/>
            <w:right w:w="15" w:type="dxa"/>
          </w:tblCellMar>
        </w:tblPrEx>
        <w:trPr>
          <w:trHeight w:val="441"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60</w:t>
            </w:r>
            <w:r>
              <w:rPr>
                <w:rFonts w:hint="eastAsia" w:ascii="宋体" w:hAnsi="宋体" w:cs="宋体"/>
                <w:color w:val="000000"/>
                <w:sz w:val="20"/>
                <w:szCs w:val="20"/>
              </w:rPr>
              <w:t>%</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90</w:t>
            </w:r>
            <w:r>
              <w:rPr>
                <w:rFonts w:hint="eastAsia" w:ascii="宋体" w:hAnsi="宋体" w:cs="宋体"/>
                <w:color w:val="000000"/>
                <w:sz w:val="20"/>
                <w:szCs w:val="20"/>
              </w:rPr>
              <w:t>%</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803"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b/>
                <w:bCs/>
                <w:color w:val="000000"/>
                <w:sz w:val="20"/>
                <w:szCs w:val="20"/>
              </w:rPr>
              <w:t>目标1</w:t>
            </w:r>
          </w:p>
        </w:tc>
        <w:tc>
          <w:tcPr>
            <w:tcW w:w="7059"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按照合同规定及时支付设备设施维修费用，保障设备设施正常运行</w:t>
            </w:r>
            <w:r>
              <w:rPr>
                <w:rFonts w:hint="eastAsia" w:ascii="宋体" w:hAnsi="宋体" w:cs="宋体"/>
                <w:color w:val="000000"/>
                <w:sz w:val="20"/>
                <w:szCs w:val="20"/>
                <w:lang w:eastAsia="zh-CN"/>
              </w:rPr>
              <w:t>；</w:t>
            </w:r>
            <w:r>
              <w:rPr>
                <w:rFonts w:hint="eastAsia" w:ascii="宋体" w:hAnsi="宋体" w:cs="宋体"/>
                <w:color w:val="000000"/>
                <w:sz w:val="20"/>
                <w:szCs w:val="20"/>
              </w:rPr>
              <w:t>按照合同规定及时支付设备设施维修费用，保障设备设施及时维修</w:t>
            </w:r>
          </w:p>
        </w:tc>
      </w:tr>
      <w:tr>
        <w:tblPrEx>
          <w:tblCellMar>
            <w:top w:w="15" w:type="dxa"/>
            <w:left w:w="15" w:type="dxa"/>
            <w:bottom w:w="15" w:type="dxa"/>
            <w:right w:w="15" w:type="dxa"/>
          </w:tblCellMar>
        </w:tblPrEx>
        <w:trPr>
          <w:trHeight w:val="45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二级指标</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669"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41" w:type="dxa"/>
            <w:vMerge w:val="restart"/>
            <w:tcBorders>
              <w:top w:val="single" w:color="000000" w:sz="4" w:space="0"/>
              <w:left w:val="single" w:color="000000" w:sz="4" w:space="0"/>
              <w:bottom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9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tblPrEx>
          <w:tblCellMar>
            <w:top w:w="15" w:type="dxa"/>
            <w:left w:w="15" w:type="dxa"/>
            <w:bottom w:w="15" w:type="dxa"/>
            <w:right w:w="15" w:type="dxa"/>
          </w:tblCellMar>
        </w:tblPrEx>
        <w:trPr>
          <w:trHeight w:val="312"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0"/>
                <w:szCs w:val="20"/>
              </w:rPr>
            </w:pPr>
          </w:p>
        </w:tc>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3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941" w:type="dxa"/>
            <w:vMerge w:val="continue"/>
            <w:tcBorders>
              <w:top w:val="single" w:color="000000" w:sz="4" w:space="0"/>
              <w:left w:val="single" w:color="000000" w:sz="4" w:space="0"/>
              <w:bottom w:val="single" w:color="000000" w:sz="4" w:space="0"/>
            </w:tcBorders>
            <w:vAlign w:val="center"/>
          </w:tcPr>
          <w:p>
            <w:pPr>
              <w:jc w:val="left"/>
              <w:rPr>
                <w:rFonts w:hint="eastAsia" w:ascii="宋体" w:hAnsi="宋体" w:cs="宋体"/>
                <w:color w:val="000000"/>
                <w:sz w:val="20"/>
                <w:szCs w:val="20"/>
              </w:rPr>
            </w:pPr>
          </w:p>
        </w:tc>
        <w:tc>
          <w:tcPr>
            <w:tcW w:w="99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54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数量指标</w:t>
            </w:r>
          </w:p>
        </w:tc>
        <w:tc>
          <w:tcPr>
            <w:tcW w:w="1450"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电子大屏等设备设施使用次数</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通过提升整体硬件环境，保障企业的入驻数量资金完成率</w:t>
            </w:r>
          </w:p>
        </w:tc>
        <w:tc>
          <w:tcPr>
            <w:tcW w:w="941" w:type="dxa"/>
            <w:tcBorders>
              <w:top w:val="single" w:color="000000" w:sz="4" w:space="0"/>
              <w:left w:val="single" w:color="000000" w:sz="4" w:space="0"/>
              <w:right w:val="single" w:color="000000" w:sz="4" w:space="0"/>
            </w:tcBorders>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根据工作经验</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质量指标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设备设施是否能够正常运行</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设备设施是否能够正常运行</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是</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时效指标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资金支付时间</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资金支付时间</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2021年12月底前</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618"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成本指标</w:t>
            </w:r>
          </w:p>
        </w:tc>
        <w:tc>
          <w:tcPr>
            <w:tcW w:w="1450" w:type="dxa"/>
            <w:tcBorders>
              <w:top w:val="single" w:color="000000" w:sz="4" w:space="0"/>
              <w:left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资金完成率</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资金完成率</w:t>
            </w:r>
          </w:p>
        </w:tc>
        <w:tc>
          <w:tcPr>
            <w:tcW w:w="941" w:type="dxa"/>
            <w:tcBorders>
              <w:top w:val="single" w:color="000000" w:sz="4" w:space="0"/>
              <w:left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879" w:hRule="atLeast"/>
        </w:trPr>
        <w:tc>
          <w:tcPr>
            <w:tcW w:w="72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社会效益指标</w:t>
            </w:r>
          </w:p>
        </w:tc>
        <w:tc>
          <w:tcPr>
            <w:tcW w:w="1450"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设备设施维修率</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设备设施维修率</w:t>
            </w:r>
          </w:p>
        </w:tc>
        <w:tc>
          <w:tcPr>
            <w:tcW w:w="941"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95%</w:t>
            </w:r>
            <w:bookmarkStart w:id="0" w:name="_GoBack"/>
            <w:bookmarkEnd w:id="0"/>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服务对象满意度指标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90%</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工作经验</w:t>
            </w:r>
          </w:p>
        </w:tc>
      </w:tr>
    </w:tbl>
    <w:p>
      <w:pPr>
        <w:spacing w:line="580" w:lineRule="exact"/>
        <w:rPr>
          <w:rFonts w:hint="eastAsia" w:eastAsia="方正仿宋_GBK"/>
          <w:sz w:val="32"/>
          <w:szCs w:val="32"/>
        </w:rPr>
      </w:pPr>
    </w:p>
    <w:p>
      <w:pPr>
        <w:spacing w:line="580" w:lineRule="exact"/>
        <w:rPr>
          <w:rFonts w:hint="eastAsia" w:eastAsia="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FE"/>
    <w:rsid w:val="006350FC"/>
    <w:rsid w:val="00DC66FE"/>
    <w:rsid w:val="10AB729E"/>
    <w:rsid w:val="583A696F"/>
    <w:rsid w:val="7FFF4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385</Words>
  <Characters>2200</Characters>
  <Lines>18</Lines>
  <Paragraphs>5</Paragraphs>
  <TotalTime>10</TotalTime>
  <ScaleCrop>false</ScaleCrop>
  <LinksUpToDate>false</LinksUpToDate>
  <CharactersWithSpaces>2580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2021-01-06T01:10:00Z</dcterms:created>
  <dc:creator>Microsoft</dc:creator>
  <cp:lastModifiedBy>心情如夏</cp:lastModifiedBy>
  <dcterms:modified xsi:type="dcterms:W3CDTF">2021-06-16T04:39:30Z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813DEB4F170E4E4086FB086CB337D73E</vt:lpwstr>
  </property>
</Properties>
</file>