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18"/>
        <w:spacing w:line="240" w:lineRule="atLeast"/>
        <w:ind w:firstLineChars="1500" w:firstLine="4738"/>
        <w:jc w:val="both"/>
        <w:rPr>
          <w:rFonts w:ascii="仿宋" w:eastAsia="仿宋" w:cs="仿宋" w:hAnsi="仿宋" w:hint="eastAsia"/>
          <w:bCs/>
          <w:sz w:val="32"/>
          <w:szCs w:val="32"/>
          <w:highlight w:val="cyan"/>
        </w:rPr>
      </w:pPr>
      <w:bookmarkStart w:id="0" w:name="_GoBack"/>
      <w:r>
        <w:rPr>
          <w:rFonts w:ascii="仿宋" w:eastAsia="仿宋" w:cs="仿宋" w:hAnsi="仿宋" w:hint="eastAsia"/>
          <w:bCs/>
          <w:sz w:val="32"/>
          <w:szCs w:val="32"/>
        </w:rPr>
        <w:t>唐高行审环表〔2025</w:t>
      </w:r>
      <w:r>
        <w:rPr>
          <w:rFonts w:ascii="仿宋" w:eastAsia="仿宋" w:cs="仿宋" w:hAnsi="仿宋" w:hint="eastAsia"/>
          <w:bCs/>
          <w:sz w:val="32"/>
          <w:szCs w:val="32"/>
        </w:rPr>
        <w:t>〕</w:t>
      </w:r>
      <w:r>
        <w:rPr>
          <w:rFonts w:ascii="仿宋" w:eastAsia="仿宋" w:cs="仿宋" w:hAnsi="仿宋"/>
          <w:bCs/>
          <w:sz w:val="32"/>
          <w:szCs w:val="32"/>
        </w:rPr>
        <w:t>4</w:t>
      </w:r>
      <w:r>
        <w:rPr>
          <w:rFonts w:ascii="仿宋" w:eastAsia="仿宋" w:cs="仿宋" w:hAnsi="仿宋" w:hint="eastAsia"/>
          <w:bCs/>
          <w:sz w:val="32"/>
          <w:szCs w:val="32"/>
        </w:rPr>
        <w:t>号</w:t>
      </w:r>
      <w:bookmarkEnd w:id="0"/>
    </w:p>
    <w:p>
      <w:pPr>
        <w:pStyle w:val="18"/>
        <w:spacing w:line="240" w:lineRule="atLeast"/>
        <w:ind w:firstLineChars="1700" w:firstLine="5370"/>
        <w:jc w:val="both"/>
        <w:rPr>
          <w:rFonts w:ascii="仿宋" w:eastAsia="仿宋" w:cs="仿宋" w:hAnsi="仿宋" w:hint="eastAsia"/>
          <w:bCs/>
          <w:sz w:val="32"/>
          <w:szCs w:val="32"/>
          <w:highlight w:val="none"/>
        </w:rPr>
      </w:pPr>
    </w:p>
    <w:p>
      <w:pPr>
        <w:pStyle w:val="25"/>
        <w:spacing w:line="560" w:lineRule="exact"/>
        <w:jc w:val="center"/>
        <w:rPr>
          <w:rFonts w:ascii="黑体" w:eastAsia="黑体" w:cs="黑体" w:hAnsi="黑体"/>
          <w:color w:val="auto"/>
          <w:w w:val="97"/>
          <w:sz w:val="44"/>
          <w:szCs w:val="44"/>
          <w:highlight w:val="none"/>
        </w:rPr>
      </w:pPr>
      <w:r>
        <w:rPr>
          <w:rFonts w:ascii="黑体" w:eastAsia="黑体" w:cs="黑体" w:hAnsi="黑体" w:hint="eastAsia"/>
          <w:color w:val="auto"/>
          <w:w w:val="97"/>
          <w:sz w:val="44"/>
          <w:szCs w:val="44"/>
          <w:highlight w:val="none"/>
        </w:rPr>
        <w:t>唐山高新技术产业开发区行政审批局</w:t>
      </w:r>
    </w:p>
    <w:p>
      <w:pPr>
        <w:pStyle w:val="18"/>
        <w:spacing w:line="600" w:lineRule="exact"/>
        <w:jc w:val="center"/>
        <w:rPr>
          <w:rFonts w:ascii="黑体" w:eastAsia="黑体" w:cs="黑体" w:hAnsi="黑体" w:hint="eastAsia"/>
          <w:w w:val="97"/>
          <w:kern w:val="0"/>
          <w:sz w:val="44"/>
          <w:szCs w:val="44"/>
          <w:highlight w:val="none"/>
        </w:rPr>
      </w:pPr>
      <w:r>
        <w:rPr>
          <w:rFonts w:ascii="黑体" w:eastAsia="黑体" w:cs="黑体" w:hAnsi="黑体" w:hint="eastAsia"/>
          <w:color w:val="auto"/>
          <w:w w:val="97"/>
          <w:sz w:val="44"/>
          <w:szCs w:val="44"/>
          <w:highlight w:val="none"/>
        </w:rPr>
        <w:t>关</w:t>
      </w:r>
      <w:r>
        <w:rPr>
          <w:rFonts w:ascii="黑体" w:eastAsia="黑体" w:cs="黑体" w:hAnsi="黑体" w:hint="eastAsia"/>
          <w:color w:val="auto"/>
          <w:w w:val="97"/>
          <w:kern w:val="0"/>
          <w:sz w:val="44"/>
          <w:szCs w:val="44"/>
          <w:lang w:val="en-US" w:eastAsia="zh-CN" w:bidi="ar-SA"/>
          <w:highlight w:val="none"/>
        </w:rPr>
        <w:t>于</w:t>
      </w:r>
      <w:r>
        <w:rPr>
          <w:rFonts w:ascii="黑体" w:eastAsia="黑体" w:cs="黑体" w:hAnsi="黑体" w:hint="eastAsia"/>
          <w:w w:val="97"/>
          <w:kern w:val="0"/>
          <w:sz w:val="44"/>
          <w:szCs w:val="44"/>
          <w:lang w:val="en-US" w:eastAsia="zh-CN"/>
        </w:rPr>
        <w:t>生物质绿色产业试验基地项目</w:t>
      </w:r>
      <w:r>
        <w:rPr>
          <w:rFonts w:ascii="黑体" w:eastAsia="黑体" w:cs="黑体" w:hAnsi="黑体" w:hint="eastAsia"/>
          <w:w w:val="97"/>
          <w:kern w:val="0"/>
          <w:sz w:val="44"/>
          <w:szCs w:val="44"/>
          <w:highlight w:val="none"/>
        </w:rPr>
        <w:t>环境影响报告</w:t>
      </w:r>
      <w:r>
        <w:rPr>
          <w:rFonts w:ascii="黑体" w:eastAsia="黑体" w:cs="黑体" w:hAnsi="黑体" w:hint="eastAsia"/>
          <w:w w:val="97"/>
          <w:kern w:val="0"/>
          <w:sz w:val="44"/>
          <w:szCs w:val="44"/>
          <w:lang w:val="en-US" w:eastAsia="zh-CN"/>
          <w:highlight w:val="none"/>
        </w:rPr>
        <w:t>表</w:t>
      </w:r>
      <w:r>
        <w:rPr>
          <w:rFonts w:ascii="黑体" w:eastAsia="黑体" w:cs="黑体" w:hAnsi="黑体" w:hint="eastAsia"/>
          <w:w w:val="97"/>
          <w:kern w:val="0"/>
          <w:sz w:val="44"/>
          <w:szCs w:val="44"/>
          <w:highlight w:val="none"/>
        </w:rPr>
        <w:t>的批复</w:t>
      </w:r>
    </w:p>
    <w:p>
      <w:pPr>
        <w:jc w:val="center"/>
        <w:rPr>
          <w:rFonts w:ascii="黑体" w:eastAsia="黑体" w:cs="黑体" w:hAnsi="黑体" w:hint="eastAsia"/>
          <w:w w:val="97"/>
          <w:kern w:val="0"/>
          <w:sz w:val="44"/>
          <w:szCs w:val="44"/>
          <w:highlight w:val="none"/>
        </w:rPr>
      </w:pPr>
    </w:p>
    <w:p>
      <w:pPr>
        <w:keepNext w:val="0"/>
        <w:keepLines w:val="0"/>
        <w:pageBreakBefore w:val="0"/>
        <w:kinsoku/>
        <w:wordWrap/>
        <w:overflowPunct/>
        <w:topLinePunct w:val="0"/>
        <w:bidi w:val="0"/>
        <w:spacing w:line="520" w:lineRule="exact"/>
        <w:textAlignment w:val="auto"/>
        <w:rPr>
          <w:rFonts w:ascii="仿宋" w:eastAsia="仿宋" w:cs="仿宋" w:hAnsi="仿宋" w:hint="eastAsia"/>
          <w:b w:val="0"/>
          <w:bCs/>
          <w:color w:val="auto"/>
          <w:sz w:val="32"/>
          <w:szCs w:val="32"/>
          <w:lang w:val="en-US" w:eastAsia="zh-CN"/>
          <w:highlight w:val="none"/>
        </w:rPr>
      </w:pPr>
      <w:r>
        <w:rPr>
          <w:rFonts w:ascii="仿宋" w:eastAsia="仿宋" w:cs="仿宋" w:hAnsi="仿宋" w:hint="eastAsia"/>
          <w:bCs/>
          <w:sz w:val="32"/>
          <w:szCs w:val="32"/>
        </w:rPr>
        <w:t>国创生物科技（唐山）有限公司</w:t>
      </w:r>
      <w:r>
        <w:rPr>
          <w:rFonts w:ascii="仿宋" w:eastAsia="仿宋" w:cs="仿宋" w:hAnsi="仿宋" w:hint="eastAsia"/>
          <w:b w:val="0"/>
          <w:bCs/>
          <w:color w:val="auto"/>
          <w:sz w:val="32"/>
          <w:szCs w:val="32"/>
          <w:lang w:val="en-US" w:eastAsia="zh-CN"/>
          <w:highlight w:val="none"/>
        </w:rPr>
        <w:t>：</w:t>
      </w:r>
    </w:p>
    <w:p>
      <w:pPr>
        <w:keepNext w:val="0"/>
        <w:keepLines w:val="0"/>
        <w:pageBreakBefore w:val="0"/>
        <w:kinsoku/>
        <w:wordWrap/>
        <w:overflowPunct/>
        <w:topLinePunct w:val="0"/>
        <w:bidi w:val="0"/>
        <w:spacing w:line="520" w:lineRule="exact"/>
        <w:ind w:left="0" w:firstLineChars="200" w:firstLine="632"/>
        <w:textAlignment w:val="auto"/>
        <w:rPr>
          <w:rFonts w:ascii="仿宋" w:eastAsia="仿宋" w:cs="仿宋" w:hAnsi="仿宋" w:hint="eastAsia"/>
          <w:b w:val="0"/>
          <w:bCs/>
          <w:color w:val="auto"/>
          <w:sz w:val="32"/>
          <w:szCs w:val="32"/>
          <w:lang w:eastAsia="zh-CN"/>
          <w:highlight w:val="none"/>
        </w:rPr>
      </w:pPr>
      <w:r>
        <w:rPr>
          <w:rFonts w:ascii="仿宋" w:eastAsia="仿宋" w:cs="仿宋" w:hAnsi="仿宋" w:hint="eastAsia"/>
          <w:b w:val="0"/>
          <w:bCs/>
          <w:color w:val="auto"/>
          <w:sz w:val="32"/>
          <w:szCs w:val="32"/>
          <w:lang w:val="en-US" w:eastAsia="zh-CN"/>
          <w:highlight w:val="none"/>
        </w:rPr>
        <w:t>你公司所报</w:t>
      </w:r>
      <w:r>
        <w:rPr>
          <w:rFonts w:ascii="仿宋" w:eastAsia="仿宋" w:cs="仿宋" w:hAnsi="仿宋" w:hint="eastAsia"/>
          <w:bCs/>
          <w:sz w:val="32"/>
          <w:szCs w:val="32"/>
          <w:lang w:val="en-US"/>
          <w:highlight w:val="none"/>
        </w:rPr>
        <w:t>《</w:t>
      </w:r>
      <w:r>
        <w:rPr>
          <w:rFonts w:ascii="仿宋" w:eastAsia="仿宋" w:cs="仿宋" w:hAnsi="仿宋" w:hint="eastAsia"/>
          <w:bCs/>
          <w:sz w:val="32"/>
          <w:szCs w:val="32"/>
          <w:lang w:val="en-US"/>
        </w:rPr>
        <w:t>生物质绿色产业试验基地项目</w:t>
      </w:r>
      <w:r>
        <w:rPr>
          <w:rFonts w:ascii="仿宋" w:eastAsia="仿宋" w:cs="仿宋" w:hAnsi="仿宋" w:hint="eastAsia"/>
          <w:b w:val="0"/>
          <w:bCs/>
          <w:color w:val="auto"/>
          <w:sz w:val="32"/>
          <w:szCs w:val="32"/>
          <w:lang w:val="en-US" w:eastAsia="zh-CN"/>
          <w:highlight w:val="none"/>
        </w:rPr>
        <w:t>》（</w:t>
      </w:r>
      <w:r>
        <w:rPr>
          <w:rFonts w:ascii="仿宋" w:eastAsia="仿宋" w:cs="仿宋" w:hAnsi="仿宋" w:hint="eastAsia"/>
          <w:b w:val="0"/>
          <w:bCs/>
          <w:color w:val="auto"/>
          <w:sz w:val="32"/>
          <w:szCs w:val="32"/>
          <w:lang w:eastAsia="zh-CN"/>
          <w:highlight w:val="none"/>
        </w:rPr>
        <w:t>以下简称《报告</w:t>
      </w:r>
      <w:r>
        <w:rPr>
          <w:rFonts w:ascii="仿宋" w:eastAsia="仿宋" w:cs="仿宋" w:hAnsi="仿宋" w:hint="eastAsia"/>
          <w:b w:val="0"/>
          <w:bCs/>
          <w:color w:val="auto"/>
          <w:sz w:val="32"/>
          <w:szCs w:val="32"/>
          <w:lang w:val="en-US" w:eastAsia="zh-CN"/>
          <w:highlight w:val="none"/>
        </w:rPr>
        <w:t>表</w:t>
      </w:r>
      <w:r>
        <w:rPr>
          <w:rFonts w:ascii="仿宋" w:eastAsia="仿宋" w:cs="仿宋" w:hAnsi="仿宋" w:hint="eastAsia"/>
          <w:b w:val="0"/>
          <w:bCs/>
          <w:color w:val="auto"/>
          <w:sz w:val="32"/>
          <w:szCs w:val="32"/>
          <w:lang w:eastAsia="zh-CN"/>
          <w:highlight w:val="none"/>
        </w:rPr>
        <w:t>》）</w:t>
      </w:r>
      <w:r>
        <w:rPr>
          <w:rFonts w:ascii="仿宋" w:eastAsia="仿宋" w:cs="仿宋" w:hAnsi="仿宋" w:hint="eastAsia"/>
          <w:b w:val="0"/>
          <w:bCs/>
          <w:color w:val="auto"/>
          <w:sz w:val="32"/>
          <w:szCs w:val="32"/>
          <w:lang w:val="en-US" w:eastAsia="zh-CN"/>
          <w:highlight w:val="none"/>
        </w:rPr>
        <w:t>及</w:t>
      </w:r>
      <w:r>
        <w:rPr>
          <w:rFonts w:ascii="仿宋" w:eastAsia="仿宋" w:cs="仿宋" w:hAnsi="仿宋" w:hint="eastAsia"/>
          <w:b w:val="0"/>
          <w:bCs/>
          <w:color w:val="auto"/>
          <w:sz w:val="32"/>
          <w:szCs w:val="32"/>
          <w:lang w:eastAsia="zh-CN"/>
          <w:highlight w:val="none"/>
        </w:rPr>
        <w:t>审批申请</w:t>
      </w:r>
      <w:r>
        <w:rPr>
          <w:rFonts w:ascii="仿宋" w:eastAsia="仿宋" w:cs="仿宋" w:hAnsi="仿宋" w:hint="eastAsia"/>
          <w:b w:val="0"/>
          <w:bCs/>
          <w:color w:val="auto"/>
          <w:sz w:val="32"/>
          <w:szCs w:val="32"/>
          <w:lang w:val="en-US" w:eastAsia="zh-CN"/>
          <w:highlight w:val="none"/>
        </w:rPr>
        <w:t>等</w:t>
      </w:r>
      <w:r>
        <w:rPr>
          <w:rFonts w:ascii="仿宋" w:eastAsia="仿宋" w:cs="仿宋" w:hAnsi="仿宋" w:hint="eastAsia"/>
          <w:b w:val="0"/>
          <w:bCs/>
          <w:color w:val="auto"/>
          <w:sz w:val="32"/>
          <w:szCs w:val="32"/>
          <w:lang w:eastAsia="zh-CN"/>
          <w:highlight w:val="none"/>
        </w:rPr>
        <w:t>相关材料</w:t>
      </w:r>
      <w:r>
        <w:rPr>
          <w:rFonts w:ascii="仿宋" w:eastAsia="仿宋" w:cs="仿宋" w:hAnsi="仿宋" w:hint="eastAsia"/>
          <w:b w:val="0"/>
          <w:bCs/>
          <w:color w:val="auto"/>
          <w:sz w:val="32"/>
          <w:szCs w:val="32"/>
          <w:lang w:val="en-US" w:eastAsia="zh-CN"/>
          <w:highlight w:val="none"/>
        </w:rPr>
        <w:t>我局已</w:t>
      </w:r>
      <w:r>
        <w:rPr>
          <w:rFonts w:ascii="仿宋" w:eastAsia="仿宋" w:cs="仿宋" w:hAnsi="仿宋" w:hint="eastAsia"/>
          <w:b w:val="0"/>
          <w:bCs/>
          <w:color w:val="auto"/>
          <w:sz w:val="32"/>
          <w:szCs w:val="32"/>
          <w:lang w:eastAsia="zh-CN"/>
          <w:highlight w:val="none"/>
        </w:rPr>
        <w:t>收悉。根据《报告</w:t>
      </w:r>
      <w:r>
        <w:rPr>
          <w:rFonts w:ascii="仿宋" w:eastAsia="仿宋" w:cs="仿宋" w:hAnsi="仿宋" w:hint="eastAsia"/>
          <w:b w:val="0"/>
          <w:bCs/>
          <w:color w:val="auto"/>
          <w:sz w:val="32"/>
          <w:szCs w:val="32"/>
          <w:lang w:val="en-US" w:eastAsia="zh-CN"/>
          <w:highlight w:val="none"/>
        </w:rPr>
        <w:t>表》</w:t>
      </w:r>
      <w:r>
        <w:rPr>
          <w:rFonts w:ascii="仿宋" w:eastAsia="仿宋" w:cs="仿宋" w:hAnsi="仿宋" w:hint="eastAsia"/>
          <w:b w:val="0"/>
          <w:bCs/>
          <w:color w:val="auto"/>
          <w:sz w:val="32"/>
          <w:szCs w:val="32"/>
          <w:lang w:eastAsia="zh-CN"/>
          <w:highlight w:val="none"/>
        </w:rPr>
        <w:t>结论、专家评审意见，结合工程环境影响特点，经研究，现批复如下：</w:t>
      </w:r>
    </w:p>
    <w:p>
      <w:pPr>
        <w:keepNext w:val="0"/>
        <w:keepLines w:val="0"/>
        <w:pageBreakBefore w:val="0"/>
        <w:kinsoku/>
        <w:wordWrap/>
        <w:overflowPunct/>
        <w:topLinePunct w:val="0"/>
        <w:bidi w:val="0"/>
        <w:spacing w:line="520" w:lineRule="exact"/>
        <w:ind w:left="0" w:firstLineChars="200" w:firstLine="632"/>
        <w:textAlignment w:val="auto"/>
        <w:rPr>
          <w:rFonts w:ascii="仿宋" w:eastAsia="仿宋" w:cs="仿宋" w:hAnsi="仿宋" w:hint="eastAsia"/>
          <w:bCs/>
          <w:sz w:val="32"/>
          <w:szCs w:val="32"/>
          <w:lang w:eastAsia="zh-CN"/>
          <w:highlight w:val="none"/>
        </w:rPr>
      </w:pPr>
      <w:r>
        <w:rPr>
          <w:rFonts w:ascii="仿宋" w:eastAsia="仿宋" w:cs="仿宋" w:hAnsi="仿宋" w:hint="eastAsia"/>
          <w:bCs/>
          <w:sz w:val="32"/>
          <w:szCs w:val="32"/>
          <w:lang w:eastAsia="zh-CN"/>
        </w:rPr>
        <w:t>项目位于河北省唐山市高新技术产业开发区庆北西道66号，项目总投资</w:t>
      </w:r>
      <w:r>
        <w:rPr>
          <w:rFonts w:ascii="仿宋" w:eastAsia="仿宋" w:cs="仿宋" w:hAnsi="仿宋" w:hint="eastAsia"/>
          <w:bCs/>
          <w:sz w:val="32"/>
          <w:szCs w:val="32"/>
          <w:lang w:val="en-US" w:eastAsia="zh-CN"/>
        </w:rPr>
        <w:t>5</w:t>
      </w:r>
      <w:r>
        <w:rPr>
          <w:rFonts w:ascii="仿宋" w:eastAsia="仿宋" w:cs="仿宋" w:hAnsi="仿宋" w:hint="eastAsia"/>
          <w:bCs/>
          <w:sz w:val="32"/>
          <w:szCs w:val="32"/>
          <w:lang w:eastAsia="zh-CN"/>
        </w:rPr>
        <w:t>000万元，其中环保投资50万元。项目建成后每年可开展生物技术试验项目2-5个</w:t>
      </w:r>
      <w:r>
        <w:rPr>
          <w:rFonts w:ascii="仿宋" w:eastAsia="仿宋" w:cs="仿宋" w:hAnsi="仿宋" w:hint="eastAsia"/>
          <w:bCs/>
          <w:sz w:val="32"/>
          <w:szCs w:val="32"/>
          <w:lang w:eastAsia="zh-CN"/>
          <w:highlight w:val="none"/>
        </w:rPr>
        <w:t>。</w:t>
      </w:r>
    </w:p>
    <w:p>
      <w:pPr>
        <w:keepNext w:val="0"/>
        <w:keepLines w:val="0"/>
        <w:pageBreakBefore w:val="0"/>
        <w:kinsoku/>
        <w:wordWrap/>
        <w:overflowPunct/>
        <w:topLinePunct w:val="0"/>
        <w:bidi w:val="0"/>
        <w:spacing w:line="520" w:lineRule="exact"/>
        <w:ind w:left="0" w:firstLineChars="200" w:firstLine="632"/>
        <w:textAlignment w:val="auto"/>
        <w:rPr>
          <w:rFonts w:ascii="仿宋" w:eastAsia="仿宋" w:cs="仿宋" w:hAnsi="仿宋" w:hint="eastAsia"/>
          <w:b w:val="0"/>
          <w:bCs/>
          <w:color w:val="auto"/>
          <w:sz w:val="32"/>
          <w:szCs w:val="32"/>
          <w:highlight w:val="none"/>
        </w:rPr>
      </w:pPr>
      <w:r>
        <w:rPr>
          <w:rFonts w:ascii="仿宋" w:eastAsia="仿宋" w:cs="仿宋" w:hAnsi="仿宋" w:hint="eastAsia"/>
          <w:b w:val="0"/>
          <w:bCs/>
          <w:color w:val="auto"/>
          <w:sz w:val="32"/>
          <w:szCs w:val="32"/>
          <w:highlight w:val="none"/>
        </w:rPr>
        <w:t>根据你公司所报《报告</w:t>
      </w:r>
      <w:r>
        <w:rPr>
          <w:rFonts w:ascii="仿宋" w:eastAsia="仿宋" w:cs="仿宋" w:hAnsi="仿宋" w:hint="eastAsia"/>
          <w:b w:val="0"/>
          <w:bCs/>
          <w:color w:val="auto"/>
          <w:sz w:val="32"/>
          <w:szCs w:val="32"/>
          <w:lang w:val="en-US" w:eastAsia="zh-CN"/>
          <w:highlight w:val="none"/>
        </w:rPr>
        <w:t>表</w:t>
      </w:r>
      <w:r>
        <w:rPr>
          <w:rFonts w:ascii="仿宋" w:eastAsia="仿宋" w:cs="仿宋" w:hAnsi="仿宋" w:hint="eastAsia"/>
          <w:b w:val="0"/>
          <w:bCs/>
          <w:color w:val="auto"/>
          <w:sz w:val="32"/>
          <w:szCs w:val="32"/>
          <w:highlight w:val="none"/>
        </w:rPr>
        <w:t>》以及报告</w:t>
      </w:r>
      <w:r>
        <w:rPr>
          <w:rFonts w:ascii="仿宋" w:eastAsia="仿宋" w:cs="仿宋" w:hAnsi="仿宋" w:hint="eastAsia"/>
          <w:b w:val="0"/>
          <w:bCs/>
          <w:color w:val="auto"/>
          <w:sz w:val="32"/>
          <w:szCs w:val="32"/>
          <w:lang w:val="en-US" w:eastAsia="zh-CN"/>
          <w:highlight w:val="none"/>
        </w:rPr>
        <w:t>表</w:t>
      </w:r>
      <w:r>
        <w:rPr>
          <w:rFonts w:ascii="仿宋" w:eastAsia="仿宋" w:cs="仿宋" w:hAnsi="仿宋" w:hint="eastAsia"/>
          <w:bCs/>
          <w:color w:val="auto"/>
          <w:sz w:val="32"/>
          <w:szCs w:val="32"/>
          <w:lang w:val="en-US" w:eastAsia="zh-CN"/>
          <w:highlight w:val="none"/>
        </w:rPr>
        <w:t>技术评估</w:t>
      </w:r>
      <w:r>
        <w:rPr>
          <w:rFonts w:ascii="仿宋" w:eastAsia="仿宋" w:cs="仿宋" w:hAnsi="仿宋" w:hint="eastAsia"/>
          <w:bCs/>
          <w:color w:val="auto"/>
          <w:sz w:val="32"/>
          <w:szCs w:val="32"/>
          <w:highlight w:val="none"/>
        </w:rPr>
        <w:t>意见</w:t>
      </w:r>
      <w:r>
        <w:rPr>
          <w:rFonts w:ascii="仿宋" w:eastAsia="仿宋" w:cs="仿宋" w:hAnsi="仿宋" w:hint="eastAsia"/>
          <w:b w:val="0"/>
          <w:bCs/>
          <w:color w:val="auto"/>
          <w:sz w:val="32"/>
          <w:szCs w:val="32"/>
          <w:lang w:eastAsia="zh-CN"/>
          <w:highlight w:val="none"/>
        </w:rPr>
        <w:t>，</w:t>
      </w:r>
      <w:r>
        <w:rPr>
          <w:rFonts w:ascii="仿宋" w:eastAsia="仿宋" w:cs="仿宋" w:hAnsi="仿宋" w:hint="eastAsia"/>
          <w:b w:val="0"/>
          <w:bCs/>
          <w:color w:val="auto"/>
          <w:sz w:val="32"/>
          <w:szCs w:val="32"/>
          <w:highlight w:val="none"/>
        </w:rPr>
        <w:t>从环境保护角度分析，我局原则</w:t>
      </w:r>
      <w:r>
        <w:rPr>
          <w:rFonts w:ascii="仿宋" w:eastAsia="仿宋" w:cs="仿宋" w:hAnsi="仿宋" w:hint="eastAsia"/>
          <w:b w:val="0"/>
          <w:bCs/>
          <w:color w:val="auto"/>
          <w:sz w:val="32"/>
          <w:szCs w:val="32"/>
          <w:lang w:val="en-US" w:eastAsia="zh-CN"/>
          <w:highlight w:val="none"/>
        </w:rPr>
        <w:t>上</w:t>
      </w:r>
      <w:r>
        <w:rPr>
          <w:rFonts w:ascii="仿宋" w:eastAsia="仿宋" w:cs="仿宋" w:hAnsi="仿宋" w:hint="eastAsia"/>
          <w:b w:val="0"/>
          <w:bCs/>
          <w:color w:val="auto"/>
          <w:sz w:val="32"/>
          <w:szCs w:val="32"/>
          <w:highlight w:val="none"/>
        </w:rPr>
        <w:t>同意《报告</w:t>
      </w:r>
      <w:r>
        <w:rPr>
          <w:rFonts w:ascii="仿宋" w:eastAsia="仿宋" w:cs="仿宋" w:hAnsi="仿宋" w:hint="eastAsia"/>
          <w:b w:val="0"/>
          <w:bCs/>
          <w:color w:val="auto"/>
          <w:sz w:val="32"/>
          <w:szCs w:val="32"/>
          <w:lang w:val="en-US" w:eastAsia="zh-CN"/>
          <w:highlight w:val="none"/>
        </w:rPr>
        <w:t>表</w:t>
      </w:r>
      <w:r>
        <w:rPr>
          <w:rFonts w:ascii="仿宋" w:eastAsia="仿宋" w:cs="仿宋" w:hAnsi="仿宋" w:hint="eastAsia"/>
          <w:b w:val="0"/>
          <w:bCs/>
          <w:color w:val="auto"/>
          <w:sz w:val="32"/>
          <w:szCs w:val="32"/>
          <w:highlight w:val="none"/>
        </w:rPr>
        <w:t>》结论。</w:t>
      </w:r>
    </w:p>
    <w:p>
      <w:pPr>
        <w:keepNext w:val="0"/>
        <w:keepLines w:val="0"/>
        <w:pageBreakBefore w:val="0"/>
        <w:kinsoku/>
        <w:wordWrap/>
        <w:overflowPunct/>
        <w:topLinePunct w:val="0"/>
        <w:bidi w:val="0"/>
        <w:spacing w:line="520" w:lineRule="exact"/>
        <w:ind w:left="0" w:firstLineChars="200" w:firstLine="632"/>
        <w:textAlignment w:val="auto"/>
        <w:rPr>
          <w:rFonts w:ascii="仿宋" w:eastAsia="仿宋" w:cs="仿宋" w:hAnsi="仿宋" w:hint="eastAsia"/>
          <w:b w:val="0"/>
          <w:bCs/>
          <w:color w:val="auto"/>
          <w:sz w:val="32"/>
          <w:szCs w:val="32"/>
          <w:highlight w:val="none"/>
        </w:rPr>
      </w:pPr>
      <w:r>
        <w:rPr>
          <w:rFonts w:ascii="仿宋" w:eastAsia="仿宋" w:cs="仿宋" w:hAnsi="仿宋" w:hint="eastAsia"/>
          <w:b w:val="0"/>
          <w:bCs/>
          <w:color w:val="auto"/>
          <w:sz w:val="32"/>
          <w:szCs w:val="32"/>
          <w:lang w:eastAsia="zh-CN"/>
          <w:highlight w:val="none"/>
        </w:rPr>
        <w:t>一、</w:t>
      </w:r>
      <w:r>
        <w:rPr>
          <w:rFonts w:ascii="仿宋" w:eastAsia="仿宋" w:cs="仿宋" w:hAnsi="仿宋" w:hint="eastAsia"/>
          <w:b w:val="0"/>
          <w:bCs/>
          <w:color w:val="auto"/>
          <w:sz w:val="32"/>
          <w:szCs w:val="32"/>
          <w:highlight w:val="none"/>
        </w:rPr>
        <w:t>你公司须严格按照《报告</w:t>
      </w:r>
      <w:r>
        <w:rPr>
          <w:rFonts w:ascii="仿宋" w:eastAsia="仿宋" w:cs="仿宋" w:hAnsi="仿宋" w:hint="eastAsia"/>
          <w:b w:val="0"/>
          <w:bCs/>
          <w:color w:val="auto"/>
          <w:sz w:val="32"/>
          <w:szCs w:val="32"/>
          <w:lang w:val="en-US" w:eastAsia="zh-CN"/>
          <w:highlight w:val="none"/>
        </w:rPr>
        <w:t>表</w:t>
      </w:r>
      <w:r>
        <w:rPr>
          <w:rFonts w:ascii="仿宋" w:eastAsia="仿宋" w:cs="仿宋" w:hAnsi="仿宋" w:hint="eastAsia"/>
          <w:b w:val="0"/>
          <w:bCs/>
          <w:color w:val="auto"/>
          <w:sz w:val="32"/>
          <w:szCs w:val="32"/>
          <w:highlight w:val="none"/>
        </w:rPr>
        <w:t>》所列建设项目的性质、规模、地点、生产工艺、环保措施及要求实施项目建设。</w:t>
      </w:r>
    </w:p>
    <w:p>
      <w:pPr>
        <w:keepNext w:val="0"/>
        <w:keepLines w:val="0"/>
        <w:pageBreakBefore w:val="0"/>
        <w:kinsoku/>
        <w:wordWrap/>
        <w:overflowPunct/>
        <w:topLinePunct w:val="0"/>
        <w:bidi w:val="0"/>
        <w:spacing w:line="520" w:lineRule="exact"/>
        <w:ind w:left="0" w:firstLineChars="200" w:firstLine="632"/>
        <w:textAlignment w:val="auto"/>
        <w:rPr>
          <w:rFonts w:ascii="仿宋" w:eastAsia="仿宋" w:cs="仿宋" w:hAnsi="仿宋" w:hint="eastAsia"/>
          <w:b w:val="0"/>
          <w:bCs/>
          <w:color w:val="auto"/>
          <w:sz w:val="32"/>
          <w:szCs w:val="32"/>
          <w:lang w:eastAsia="zh-CN"/>
          <w:highlight w:val="none"/>
        </w:rPr>
      </w:pPr>
      <w:r>
        <w:rPr>
          <w:rFonts w:ascii="仿宋" w:eastAsia="仿宋" w:cs="仿宋" w:hAnsi="仿宋" w:hint="eastAsia"/>
          <w:b w:val="0"/>
          <w:bCs/>
          <w:color w:val="auto"/>
          <w:sz w:val="32"/>
          <w:szCs w:val="32"/>
          <w:lang w:eastAsia="zh-CN"/>
          <w:highlight w:val="none"/>
        </w:rPr>
        <w:t>二、项目建设和运行过程中要认真落实《报告</w:t>
      </w:r>
      <w:r>
        <w:rPr>
          <w:rFonts w:ascii="仿宋" w:eastAsia="仿宋" w:cs="仿宋" w:hAnsi="仿宋" w:hint="eastAsia"/>
          <w:b w:val="0"/>
          <w:bCs/>
          <w:color w:val="auto"/>
          <w:sz w:val="32"/>
          <w:szCs w:val="32"/>
          <w:lang w:val="en-US" w:eastAsia="zh-CN"/>
          <w:highlight w:val="none"/>
        </w:rPr>
        <w:t>表</w:t>
      </w:r>
      <w:r>
        <w:rPr>
          <w:rFonts w:ascii="仿宋" w:eastAsia="仿宋" w:cs="仿宋" w:hAnsi="仿宋" w:hint="eastAsia"/>
          <w:b w:val="0"/>
          <w:bCs/>
          <w:color w:val="auto"/>
          <w:sz w:val="32"/>
          <w:szCs w:val="32"/>
          <w:lang w:eastAsia="zh-CN"/>
          <w:highlight w:val="none"/>
        </w:rPr>
        <w:t>》及相关的各项污染防治措施，</w:t>
      </w:r>
      <w:r>
        <w:rPr>
          <w:rFonts w:ascii="仿宋" w:eastAsia="仿宋" w:cs="仿宋" w:hAnsi="仿宋" w:hint="eastAsia"/>
          <w:b w:val="0"/>
          <w:bCs/>
          <w:color w:val="auto"/>
          <w:sz w:val="32"/>
          <w:szCs w:val="32"/>
          <w:lang w:val="en-US" w:eastAsia="zh-CN"/>
          <w:highlight w:val="none"/>
        </w:rPr>
        <w:t>并</w:t>
      </w:r>
      <w:r>
        <w:rPr>
          <w:rFonts w:ascii="仿宋" w:eastAsia="仿宋" w:cs="仿宋" w:hAnsi="仿宋" w:hint="eastAsia"/>
          <w:b w:val="0"/>
          <w:bCs/>
          <w:color w:val="auto"/>
          <w:sz w:val="32"/>
          <w:szCs w:val="32"/>
          <w:lang w:eastAsia="zh-CN"/>
          <w:highlight w:val="none"/>
        </w:rPr>
        <w:t>重点做好以下工作：</w:t>
      </w:r>
    </w:p>
    <w:p>
      <w:pPr>
        <w:keepNext w:val="0"/>
        <w:keepLines w:val="0"/>
        <w:pageBreakBefore w:val="0"/>
        <w:widowControl/>
        <w:suppressLineNumbers w:val="0"/>
        <w:kinsoku/>
        <w:wordWrap/>
        <w:overflowPunct/>
        <w:topLinePunct w:val="0"/>
        <w:bidi w:val="0"/>
        <w:spacing w:line="520" w:lineRule="exact"/>
        <w:ind w:firstLineChars="200" w:firstLine="632"/>
        <w:jc w:val="left"/>
        <w:textAlignment w:val="auto"/>
        <w:rPr>
          <w:rFonts w:ascii="仿宋" w:eastAsia="仿宋" w:cs="仿宋" w:hAnsi="仿宋" w:hint="eastAsia"/>
          <w:b w:val="0"/>
          <w:bCs/>
          <w:color w:val="auto"/>
          <w:sz w:val="32"/>
          <w:szCs w:val="32"/>
          <w:highlight w:val="none"/>
        </w:rPr>
      </w:pPr>
      <w:r>
        <w:rPr>
          <w:rFonts w:ascii="仿宋" w:eastAsia="仿宋" w:cs="仿宋" w:hAnsi="仿宋" w:hint="eastAsia"/>
          <w:b w:val="0"/>
          <w:bCs/>
          <w:color w:val="auto"/>
          <w:sz w:val="32"/>
          <w:szCs w:val="32"/>
          <w:highlight w:val="none"/>
        </w:rPr>
        <w:t>（一）加强施工期管理，严格按照《报告</w:t>
      </w:r>
      <w:r>
        <w:rPr>
          <w:rFonts w:ascii="仿宋" w:eastAsia="仿宋" w:cs="仿宋" w:hAnsi="仿宋" w:hint="eastAsia"/>
          <w:b w:val="0"/>
          <w:bCs/>
          <w:color w:val="auto"/>
          <w:sz w:val="32"/>
          <w:szCs w:val="32"/>
          <w:lang w:val="en-US" w:eastAsia="zh-CN"/>
          <w:highlight w:val="none"/>
        </w:rPr>
        <w:t>表</w:t>
      </w:r>
      <w:r>
        <w:rPr>
          <w:rFonts w:ascii="仿宋" w:eastAsia="仿宋" w:cs="仿宋" w:hAnsi="仿宋" w:hint="eastAsia"/>
          <w:b w:val="0"/>
          <w:bCs/>
          <w:color w:val="auto"/>
          <w:sz w:val="32"/>
          <w:szCs w:val="32"/>
          <w:highlight w:val="none"/>
        </w:rPr>
        <w:t>》要求认真落实施工期各项污染防治措施，确保达到环保要求。</w:t>
      </w:r>
    </w:p>
    <w:p>
      <w:pPr>
        <w:keepNext w:val="0"/>
        <w:keepLines w:val="0"/>
        <w:pageBreakBefore w:val="0"/>
        <w:widowControl/>
        <w:suppressLineNumbers w:val="0"/>
        <w:kinsoku/>
        <w:wordWrap/>
        <w:overflowPunct/>
        <w:topLinePunct w:val="0"/>
        <w:bidi w:val="0"/>
        <w:spacing w:line="520" w:lineRule="exact"/>
        <w:ind w:firstLineChars="200" w:firstLine="632"/>
        <w:jc w:val="left"/>
        <w:textAlignment w:val="auto"/>
        <w:rPr>
          <w:rFonts w:ascii="仿宋" w:eastAsia="仿宋" w:cs="仿宋" w:hAnsi="仿宋" w:hint="eastAsia"/>
          <w:b w:val="0"/>
          <w:bCs/>
          <w:color w:val="auto"/>
          <w:sz w:val="32"/>
          <w:szCs w:val="32"/>
          <w:highlight w:val="none"/>
        </w:rPr>
      </w:pPr>
      <w:r>
        <w:rPr>
          <w:rFonts w:ascii="仿宋" w:eastAsia="仿宋" w:cs="仿宋" w:hAnsi="仿宋" w:hint="eastAsia"/>
          <w:b w:val="0"/>
          <w:bCs/>
          <w:color w:val="auto"/>
          <w:sz w:val="32"/>
          <w:szCs w:val="32"/>
          <w:highlight w:val="none"/>
        </w:rPr>
        <w:t>（</w:t>
      </w:r>
      <w:r>
        <w:rPr>
          <w:rFonts w:ascii="仿宋" w:eastAsia="仿宋" w:cs="仿宋" w:hAnsi="仿宋" w:hint="eastAsia"/>
          <w:b w:val="0"/>
          <w:bCs/>
          <w:color w:val="auto"/>
          <w:sz w:val="32"/>
          <w:szCs w:val="32"/>
          <w:lang w:val="en-US" w:eastAsia="zh-CN"/>
          <w:highlight w:val="none"/>
        </w:rPr>
        <w:t>二</w:t>
      </w:r>
      <w:r>
        <w:rPr>
          <w:rFonts w:ascii="仿宋" w:eastAsia="仿宋" w:cs="仿宋" w:hAnsi="仿宋" w:hint="eastAsia"/>
          <w:b w:val="0"/>
          <w:bCs/>
          <w:color w:val="auto"/>
          <w:sz w:val="32"/>
          <w:szCs w:val="32"/>
          <w:highlight w:val="none"/>
        </w:rPr>
        <w:t>）严格落实水环境保护措施。</w:t>
      </w:r>
    </w:p>
    <w:p>
      <w:pPr>
        <w:keepNext w:val="0"/>
        <w:keepLines w:val="0"/>
        <w:pageBreakBefore w:val="0"/>
        <w:widowControl/>
        <w:suppressLineNumbers w:val="0"/>
        <w:kinsoku/>
        <w:wordWrap/>
        <w:overflowPunct/>
        <w:topLinePunct w:val="0"/>
        <w:bidi w:val="0"/>
        <w:spacing w:line="520" w:lineRule="exact"/>
        <w:ind w:firstLineChars="200" w:firstLine="632"/>
        <w:jc w:val="both"/>
        <w:textAlignment w:val="auto"/>
        <w:rPr>
          <w:rFonts w:ascii="仿宋" w:eastAsia="仿宋" w:cs="仿宋" w:hAnsi="仿宋" w:hint="eastAsia"/>
          <w:bCs/>
          <w:sz w:val="32"/>
          <w:szCs w:val="32"/>
          <w:lang w:val="en-US" w:eastAsia="zh-CN"/>
          <w:highlight w:val="green"/>
        </w:rPr>
      </w:pPr>
      <w:r>
        <w:rPr>
          <w:rFonts w:ascii="仿宋" w:eastAsia="仿宋" w:cs="仿宋" w:hAnsi="仿宋" w:hint="eastAsia"/>
          <w:bCs/>
          <w:sz w:val="32"/>
          <w:szCs w:val="32"/>
          <w:highlight w:val="none"/>
        </w:rPr>
        <w:t>项目</w:t>
      </w:r>
      <w:r>
        <w:rPr>
          <w:rFonts w:ascii="仿宋" w:eastAsia="仿宋" w:cs="仿宋" w:hAnsi="仿宋" w:hint="eastAsia"/>
          <w:bCs/>
          <w:sz w:val="32"/>
          <w:szCs w:val="32"/>
          <w:lang w:val="en-US" w:eastAsia="zh-CN"/>
          <w:highlight w:val="none"/>
        </w:rPr>
        <w:t>无工艺过程废水排放</w:t>
      </w:r>
      <w:r>
        <w:rPr>
          <w:rFonts w:ascii="仿宋" w:eastAsia="仿宋" w:cs="仿宋" w:hAnsi="仿宋" w:hint="eastAsia"/>
          <w:bCs/>
          <w:sz w:val="32"/>
          <w:szCs w:val="32"/>
          <w:lang w:eastAsia="zh-CN"/>
          <w:highlight w:val="none"/>
        </w:rPr>
        <w:t>，</w:t>
      </w:r>
      <w:r>
        <w:rPr>
          <w:rFonts w:ascii="仿宋" w:eastAsia="仿宋" w:cs="仿宋" w:hAnsi="仿宋" w:hint="eastAsia"/>
          <w:bCs/>
          <w:sz w:val="32"/>
          <w:szCs w:val="32"/>
          <w:lang w:val="en-US" w:eastAsia="zh-CN"/>
          <w:highlight w:val="none"/>
        </w:rPr>
        <w:t>仅</w:t>
      </w:r>
      <w:r>
        <w:rPr>
          <w:rFonts w:ascii="仿宋" w:eastAsia="仿宋" w:cs="仿宋" w:hAnsi="仿宋" w:hint="eastAsia"/>
          <w:bCs/>
          <w:sz w:val="32"/>
          <w:szCs w:val="32"/>
          <w:highlight w:val="none"/>
        </w:rPr>
        <w:t>生活污水经园区管网排入唐山市西郊污水处理厂</w:t>
      </w:r>
      <w:r>
        <w:rPr>
          <w:rFonts w:ascii="仿宋" w:eastAsia="仿宋" w:cs="仿宋" w:hAnsi="仿宋" w:hint="eastAsia"/>
          <w:bCs/>
          <w:sz w:val="32"/>
          <w:szCs w:val="32"/>
          <w:lang w:val="en-US" w:eastAsia="zh-CN"/>
          <w:highlight w:val="none"/>
        </w:rPr>
        <w:t>进一步</w:t>
      </w:r>
      <w:r>
        <w:rPr>
          <w:rFonts w:ascii="仿宋" w:eastAsia="仿宋" w:cs="仿宋" w:hAnsi="仿宋" w:hint="eastAsia"/>
          <w:bCs/>
          <w:sz w:val="32"/>
          <w:szCs w:val="32"/>
          <w:highlight w:val="none"/>
        </w:rPr>
        <w:t>处理</w:t>
      </w:r>
      <w:r>
        <w:rPr>
          <w:rFonts w:ascii="仿宋" w:eastAsia="仿宋" w:cs="仿宋" w:hAnsi="仿宋" w:hint="eastAsia"/>
          <w:bCs/>
          <w:sz w:val="32"/>
          <w:szCs w:val="32"/>
          <w:lang w:eastAsia="zh-CN"/>
          <w:highlight w:val="none"/>
        </w:rPr>
        <w:t>，</w:t>
      </w:r>
      <w:r>
        <w:rPr>
          <w:rFonts w:ascii="仿宋" w:eastAsia="仿宋" w:cs="仿宋" w:hAnsi="仿宋" w:hint="eastAsia"/>
          <w:bCs/>
          <w:sz w:val="32"/>
          <w:szCs w:val="32"/>
          <w:highlight w:val="none"/>
        </w:rPr>
        <w:t>外排</w:t>
      </w:r>
      <w:r>
        <w:rPr>
          <w:rFonts w:ascii="仿宋" w:eastAsia="仿宋" w:cs="仿宋" w:hAnsi="仿宋" w:hint="eastAsia"/>
          <w:bCs/>
          <w:sz w:val="32"/>
          <w:szCs w:val="32"/>
          <w:lang w:val="en-US" w:eastAsia="zh-CN"/>
          <w:highlight w:val="none"/>
        </w:rPr>
        <w:t>污水</w:t>
      </w:r>
      <w:r>
        <w:rPr>
          <w:rFonts w:ascii="仿宋" w:eastAsia="仿宋" w:cs="仿宋" w:hAnsi="仿宋" w:hint="eastAsia"/>
          <w:bCs/>
          <w:sz w:val="32"/>
          <w:szCs w:val="32"/>
          <w:highlight w:val="none"/>
        </w:rPr>
        <w:t>满足《污水综合排放标准》（GB8978-1996）中三级标准</w:t>
      </w:r>
      <w:r>
        <w:rPr>
          <w:rFonts w:ascii="仿宋" w:eastAsia="仿宋" w:cs="仿宋" w:hAnsi="仿宋" w:hint="eastAsia"/>
          <w:bCs/>
          <w:sz w:val="32"/>
          <w:szCs w:val="32"/>
          <w:lang w:val="en-US" w:eastAsia="zh-CN"/>
          <w:highlight w:val="none"/>
        </w:rPr>
        <w:t>限值</w:t>
      </w:r>
      <w:r>
        <w:rPr>
          <w:rFonts w:ascii="仿宋" w:eastAsia="仿宋" w:cs="仿宋" w:hAnsi="仿宋" w:hint="eastAsia"/>
          <w:bCs/>
          <w:sz w:val="32"/>
          <w:szCs w:val="32"/>
          <w:highlight w:val="none"/>
        </w:rPr>
        <w:t>，NH</w:t>
      </w:r>
      <w:r>
        <w:rPr>
          <w:rFonts w:ascii="仿宋" w:eastAsia="仿宋" w:cs="仿宋" w:hAnsi="仿宋" w:hint="eastAsia"/>
          <w:bCs/>
          <w:sz w:val="32"/>
          <w:szCs w:val="32"/>
          <w:vertAlign w:val="subscript"/>
          <w:highlight w:val="none"/>
        </w:rPr>
        <w:t>3</w:t>
      </w:r>
      <w:r>
        <w:rPr>
          <w:rFonts w:ascii="仿宋" w:eastAsia="仿宋" w:cs="仿宋" w:hAnsi="仿宋" w:hint="eastAsia"/>
          <w:bCs/>
          <w:sz w:val="32"/>
          <w:szCs w:val="32"/>
          <w:highlight w:val="none"/>
        </w:rPr>
        <w:t>-N排放满足《污水排放城镇下水道水质标准》（GB/T31962-2015）限值要求，同时满足唐山市西郊污水处理厂进水水质要求</w:t>
      </w:r>
      <w:r>
        <w:rPr>
          <w:rFonts w:ascii="仿宋" w:eastAsia="仿宋" w:cs="仿宋" w:hAnsi="仿宋" w:hint="eastAsia"/>
          <w:bCs/>
          <w:sz w:val="32"/>
          <w:szCs w:val="32"/>
          <w:lang w:eastAsia="zh-CN"/>
          <w:highlight w:val="none"/>
        </w:rPr>
        <w:t>。</w:t>
      </w:r>
    </w:p>
    <w:p>
      <w:pPr>
        <w:keepNext w:val="0"/>
        <w:keepLines w:val="0"/>
        <w:pageBreakBefore w:val="0"/>
        <w:widowControl/>
        <w:suppressLineNumbers w:val="0"/>
        <w:kinsoku/>
        <w:wordWrap/>
        <w:overflowPunct/>
        <w:topLinePunct w:val="0"/>
        <w:bidi w:val="0"/>
        <w:spacing w:line="520" w:lineRule="exact"/>
        <w:ind w:firstLineChars="200" w:firstLine="632"/>
        <w:jc w:val="left"/>
        <w:textAlignment w:val="auto"/>
        <w:rPr>
          <w:rFonts w:ascii="仿宋" w:eastAsia="仿宋" w:cs="仿宋" w:hAnsi="仿宋" w:hint="eastAsia"/>
          <w:b w:val="0"/>
          <w:bCs/>
          <w:color w:val="auto"/>
          <w:sz w:val="32"/>
          <w:szCs w:val="32"/>
          <w:highlight w:val="none"/>
        </w:rPr>
      </w:pPr>
      <w:r>
        <w:rPr>
          <w:rFonts w:ascii="仿宋" w:eastAsia="仿宋" w:cs="仿宋" w:hAnsi="仿宋" w:hint="eastAsia"/>
          <w:b w:val="0"/>
          <w:bCs/>
          <w:color w:val="auto"/>
          <w:sz w:val="32"/>
          <w:szCs w:val="32"/>
          <w:highlight w:val="none"/>
        </w:rPr>
        <w:t>（</w:t>
      </w:r>
      <w:r>
        <w:rPr>
          <w:rFonts w:ascii="仿宋" w:eastAsia="仿宋" w:cs="仿宋" w:hAnsi="仿宋" w:hint="eastAsia"/>
          <w:b w:val="0"/>
          <w:bCs/>
          <w:color w:val="auto"/>
          <w:sz w:val="32"/>
          <w:szCs w:val="32"/>
          <w:lang w:eastAsia="zh-CN"/>
          <w:highlight w:val="none"/>
        </w:rPr>
        <w:t>三</w:t>
      </w:r>
      <w:r>
        <w:rPr>
          <w:rFonts w:ascii="仿宋" w:eastAsia="仿宋" w:cs="仿宋" w:hAnsi="仿宋" w:hint="eastAsia"/>
          <w:b w:val="0"/>
          <w:bCs/>
          <w:color w:val="auto"/>
          <w:sz w:val="32"/>
          <w:szCs w:val="32"/>
          <w:highlight w:val="none"/>
        </w:rPr>
        <w:t>）严格落实</w:t>
      </w:r>
      <w:r>
        <w:rPr>
          <w:rFonts w:ascii="仿宋" w:eastAsia="仿宋" w:cs="仿宋" w:hAnsi="仿宋" w:hint="eastAsia"/>
          <w:b w:val="0"/>
          <w:bCs/>
          <w:color w:val="auto"/>
          <w:sz w:val="32"/>
          <w:szCs w:val="32"/>
          <w:lang w:val="en-US" w:eastAsia="zh-CN"/>
          <w:highlight w:val="none"/>
        </w:rPr>
        <w:t>大气</w:t>
      </w:r>
      <w:r>
        <w:rPr>
          <w:rFonts w:ascii="仿宋" w:eastAsia="仿宋" w:cs="仿宋" w:hAnsi="仿宋" w:hint="eastAsia"/>
          <w:b w:val="0"/>
          <w:bCs/>
          <w:color w:val="auto"/>
          <w:sz w:val="32"/>
          <w:szCs w:val="32"/>
          <w:highlight w:val="none"/>
        </w:rPr>
        <w:t>环境保护措施。</w:t>
      </w:r>
    </w:p>
    <w:p>
      <w:pPr>
        <w:keepNext w:val="0"/>
        <w:keepLines w:val="0"/>
        <w:pageBreakBefore w:val="0"/>
        <w:widowControl w:val="0"/>
        <w:tabs>
          <w:tab w:val="left" w:pos="4425"/>
        </w:tabs>
        <w:kinsoku/>
        <w:wordWrap/>
        <w:overflowPunct/>
        <w:topLinePunct w:val="0"/>
        <w:autoSpaceDE/>
        <w:autoSpaceDN/>
        <w:bidi w:val="0"/>
        <w:adjustRightInd/>
        <w:snapToGrid/>
        <w:spacing w:line="520" w:lineRule="exact"/>
        <w:ind w:firstLineChars="200" w:firstLine="632"/>
        <w:textAlignment w:val="auto"/>
        <w:rPr>
          <w:rFonts w:ascii="仿宋" w:eastAsia="仿宋" w:cs="仿宋" w:hAnsi="仿宋" w:hint="eastAsia"/>
          <w:bCs/>
          <w:sz w:val="32"/>
          <w:szCs w:val="32"/>
          <w:lang w:val="en-US" w:eastAsia="zh-CN"/>
        </w:rPr>
      </w:pPr>
      <w:r>
        <w:rPr>
          <w:rFonts w:ascii="仿宋" w:eastAsia="仿宋" w:cs="仿宋" w:hAnsi="仿宋" w:hint="eastAsia"/>
          <w:bCs/>
          <w:sz w:val="32"/>
          <w:szCs w:val="32"/>
          <w:lang w:val="en-US" w:eastAsia="zh-CN"/>
        </w:rPr>
        <w:t>天然气锅炉设置低氮燃烧器，天然气锅炉燃烧烟气经18m排气筒排放，天然气锅炉污染物排放满足《锅炉大气污染物排放标准（DB13/5161-2020）》中燃气锅炉大气污染排放限值，同时满足《唐山市锅炉治理专项实施方案》（唐气领办[2019]10号）中要求的污染物排放限值。</w:t>
      </w:r>
    </w:p>
    <w:p>
      <w:pPr>
        <w:keepNext w:val="0"/>
        <w:keepLines w:val="0"/>
        <w:pageBreakBefore w:val="0"/>
        <w:widowControl w:val="0"/>
        <w:tabs>
          <w:tab w:val="left" w:pos="4425"/>
        </w:tabs>
        <w:kinsoku/>
        <w:wordWrap/>
        <w:overflowPunct/>
        <w:topLinePunct w:val="0"/>
        <w:autoSpaceDE/>
        <w:autoSpaceDN/>
        <w:bidi w:val="0"/>
        <w:adjustRightInd/>
        <w:snapToGrid/>
        <w:spacing w:line="520" w:lineRule="exact"/>
        <w:ind w:firstLineChars="200" w:firstLine="632"/>
        <w:textAlignment w:val="auto"/>
        <w:rPr>
          <w:rFonts w:ascii="仿宋" w:eastAsia="仿宋" w:cs="仿宋" w:hAnsi="仿宋" w:hint="eastAsia"/>
          <w:bCs/>
          <w:sz w:val="32"/>
          <w:szCs w:val="32"/>
          <w:lang w:val="en-US" w:eastAsia="zh-CN"/>
        </w:rPr>
      </w:pPr>
      <w:r>
        <w:rPr>
          <w:rFonts w:ascii="仿宋" w:eastAsia="仿宋" w:cs="仿宋" w:hAnsi="仿宋" w:hint="eastAsia"/>
          <w:bCs/>
          <w:sz w:val="32"/>
          <w:szCs w:val="32"/>
          <w:lang w:val="en-US" w:eastAsia="zh-CN"/>
        </w:rPr>
        <w:t>均质罐废气、热风炉烟气及喷雾干燥、喷雾干燥风冷废气均引至水膜除尘塔净化处理后经20m排气筒排放；试验车间种子罐及发酵罐呼吸废气、解构过程废气、闪蒸干燥机喂料斗废气、闪蒸干燥机干燥及风冷废气、固体发酵发酵筒废气、发酵混料混合机呼吸废气，以上废气均引至“除味塔+活性炭吸附装置”净化处理后经20m排气筒排放；排气筒污染物排放满足《工业炉窑大气污染物排放标准》（DB131640-2012），同时满足关于印发《2019年“十项重点工作”工作方案》的通知（唐办发〔2019〕3号）中排放限值要求，臭气浓度排放满足《恶臭污染物排放标准》（GB14554-93）中排放限值要求。</w:t>
      </w:r>
    </w:p>
    <w:p>
      <w:pPr>
        <w:keepNext w:val="0"/>
        <w:keepLines w:val="0"/>
        <w:pageBreakBefore w:val="0"/>
        <w:widowControl w:val="0"/>
        <w:tabs>
          <w:tab w:val="left" w:pos="4425"/>
        </w:tabs>
        <w:kinsoku/>
        <w:wordWrap/>
        <w:overflowPunct/>
        <w:topLinePunct w:val="0"/>
        <w:autoSpaceDE/>
        <w:autoSpaceDN/>
        <w:bidi w:val="0"/>
        <w:adjustRightInd/>
        <w:snapToGrid/>
        <w:spacing w:line="520" w:lineRule="exact"/>
        <w:ind w:firstLineChars="200" w:firstLine="632"/>
        <w:textAlignment w:val="auto"/>
        <w:rPr>
          <w:rFonts w:ascii="仿宋" w:eastAsia="仿宋" w:cs="仿宋" w:hAnsi="仿宋" w:hint="eastAsia"/>
          <w:bCs/>
          <w:sz w:val="32"/>
          <w:szCs w:val="32"/>
          <w:lang w:val="en-US" w:eastAsia="zh-CN"/>
        </w:rPr>
      </w:pPr>
      <w:r>
        <w:rPr>
          <w:rFonts w:ascii="仿宋" w:eastAsia="仿宋" w:cs="仿宋" w:hAnsi="仿宋" w:hint="eastAsia"/>
          <w:bCs/>
          <w:sz w:val="32"/>
          <w:szCs w:val="32"/>
          <w:lang w:val="en-US" w:eastAsia="zh-CN"/>
        </w:rPr>
        <w:t>柔丝机废气、水滴粉碎机废气、干料暂存仓废气、成品仓废气、包装机废气分别引至布袋除尘器净化处理后经20m排气筒排放，排气筒颗粒物排放满足《大气污染物综合排放标准》（GB16297-1996）中排放限值要求。</w:t>
      </w:r>
    </w:p>
    <w:p>
      <w:pPr>
        <w:keepNext w:val="0"/>
        <w:keepLines w:val="0"/>
        <w:pageBreakBefore w:val="0"/>
        <w:tabs>
          <w:tab w:val="left" w:pos="4589"/>
        </w:tabs>
        <w:kinsoku/>
        <w:wordWrap/>
        <w:overflowPunct/>
        <w:topLinePunct w:val="0"/>
        <w:autoSpaceDE/>
        <w:autoSpaceDN/>
        <w:bidi w:val="0"/>
        <w:adjustRightInd w:val="0"/>
        <w:snapToGrid w:val="0"/>
        <w:spacing w:line="520" w:lineRule="exact"/>
        <w:ind w:firstLineChars="200" w:firstLine="632"/>
        <w:jc w:val="both"/>
        <w:textAlignment w:val="auto"/>
        <w:rPr>
          <w:rFonts w:ascii="仿宋" w:eastAsia="仿宋" w:cs="仿宋" w:hAnsi="仿宋" w:hint="eastAsia"/>
          <w:b w:val="0"/>
          <w:bCs/>
          <w:color w:val="auto"/>
          <w:sz w:val="32"/>
          <w:szCs w:val="32"/>
          <w:lang w:val="en-US" w:eastAsia="zh-CN"/>
          <w:highlight w:val="none"/>
        </w:rPr>
      </w:pPr>
      <w:r>
        <w:rPr>
          <w:rFonts w:ascii="仿宋" w:eastAsia="仿宋" w:cs="仿宋" w:hAnsi="仿宋" w:hint="eastAsia"/>
          <w:bCs/>
          <w:sz w:val="32"/>
          <w:szCs w:val="32"/>
          <w:lang w:val="en-US" w:eastAsia="zh-CN"/>
          <w:highlight w:val="none"/>
        </w:rPr>
        <w:t>实验检测过程在专用实验柜进行，实验柜配置集气设施，实验过程废气引至活性炭吸附装置处理后排放。厂界无组织颗粒物排放满足《大气污染物综合排放标准》（GB16297-1996）中排放限值要求，厂界无组织非甲烷总烃排放满足《工业企业挥发性有机物排放控制标准》（DB13/2322-2016）表2其他企业限值要求，厂房外监测点处1h平均浓度和厂区内任意一次非甲烷总烃浓度满足《挥发性有机物无组织排放控制标准》（GB 37822-2019）表A.1中厂区内非甲烷总烃特别排放限值，厂界臭气浓度排放满足《恶臭污染物排放标准》（GB14554-93）中排放限值要求。</w:t>
      </w:r>
    </w:p>
    <w:p>
      <w:pPr>
        <w:keepNext w:val="0"/>
        <w:keepLines w:val="0"/>
        <w:pageBreakBefore w:val="0"/>
        <w:widowControl/>
        <w:suppressLineNumbers w:val="0"/>
        <w:kinsoku/>
        <w:wordWrap/>
        <w:overflowPunct/>
        <w:topLinePunct w:val="0"/>
        <w:autoSpaceDE/>
        <w:autoSpaceDN/>
        <w:bidi w:val="0"/>
        <w:spacing w:line="520" w:lineRule="exact"/>
        <w:ind w:firstLineChars="200" w:firstLine="632"/>
        <w:jc w:val="both"/>
        <w:textAlignment w:val="auto"/>
        <w:rPr>
          <w:rFonts w:ascii="仿宋" w:eastAsia="仿宋" w:cs="仿宋" w:hAnsi="仿宋" w:hint="eastAsia"/>
          <w:b w:val="0"/>
          <w:bCs/>
          <w:color w:val="auto"/>
          <w:sz w:val="32"/>
          <w:szCs w:val="32"/>
          <w:highlight w:val="none"/>
        </w:rPr>
      </w:pPr>
      <w:r>
        <w:rPr>
          <w:rFonts w:ascii="仿宋" w:eastAsia="仿宋" w:cs="仿宋" w:hAnsi="仿宋" w:hint="eastAsia"/>
          <w:b w:val="0"/>
          <w:bCs/>
          <w:color w:val="auto"/>
          <w:sz w:val="32"/>
          <w:szCs w:val="32"/>
          <w:highlight w:val="none"/>
        </w:rPr>
        <w:t>（</w:t>
      </w:r>
      <w:r>
        <w:rPr>
          <w:rFonts w:ascii="仿宋" w:eastAsia="仿宋" w:cs="仿宋" w:hAnsi="仿宋" w:hint="eastAsia"/>
          <w:b w:val="0"/>
          <w:bCs/>
          <w:color w:val="auto"/>
          <w:sz w:val="32"/>
          <w:szCs w:val="32"/>
          <w:lang w:eastAsia="zh-CN"/>
          <w:highlight w:val="none"/>
        </w:rPr>
        <w:t>四</w:t>
      </w:r>
      <w:r>
        <w:rPr>
          <w:rFonts w:ascii="仿宋" w:eastAsia="仿宋" w:cs="仿宋" w:hAnsi="仿宋" w:hint="eastAsia"/>
          <w:b w:val="0"/>
          <w:bCs/>
          <w:color w:val="auto"/>
          <w:sz w:val="32"/>
          <w:szCs w:val="32"/>
          <w:highlight w:val="none"/>
        </w:rPr>
        <w:t>）严格落实噪声污染防治措施。</w:t>
      </w:r>
    </w:p>
    <w:p>
      <w:pPr>
        <w:keepNext w:val="0"/>
        <w:keepLines w:val="0"/>
        <w:pageBreakBefore w:val="0"/>
        <w:kinsoku/>
        <w:wordWrap/>
        <w:overflowPunct/>
        <w:topLinePunct w:val="0"/>
        <w:autoSpaceDE/>
        <w:autoSpaceDN/>
        <w:bidi w:val="0"/>
        <w:adjustRightInd w:val="0"/>
        <w:snapToGrid w:val="0"/>
        <w:spacing w:line="520" w:lineRule="exact"/>
        <w:ind w:firstLineChars="200" w:firstLine="632"/>
        <w:jc w:val="both"/>
        <w:textAlignment w:val="auto"/>
        <w:rPr>
          <w:rFonts w:ascii="仿宋" w:eastAsia="仿宋" w:cs="仿宋" w:hAnsi="仿宋" w:hint="eastAsia"/>
          <w:bCs/>
          <w:sz w:val="32"/>
          <w:szCs w:val="32"/>
          <w:shd w:val="clear" w:color="auto" w:fill="FFFFFF"/>
        </w:rPr>
      </w:pPr>
      <w:r>
        <w:rPr>
          <w:rFonts w:ascii="仿宋" w:eastAsia="仿宋" w:cs="仿宋" w:hAnsi="仿宋" w:hint="eastAsia"/>
          <w:bCs/>
          <w:sz w:val="32"/>
          <w:szCs w:val="32"/>
          <w:shd w:val="clear" w:color="auto" w:fill="FFFFFF"/>
          <w:lang w:val="en-US" w:eastAsia="zh-CN"/>
        </w:rPr>
        <w:t>项目选用低噪声设备，采取隔声降噪</w:t>
      </w:r>
      <w:r>
        <w:rPr>
          <w:rFonts w:ascii="仿宋" w:eastAsia="仿宋" w:cs="仿宋" w:hAnsi="仿宋" w:hint="eastAsia"/>
          <w:bCs/>
          <w:sz w:val="32"/>
          <w:szCs w:val="32"/>
          <w:shd w:val="clear" w:color="auto" w:fill="FFFFFF"/>
        </w:rPr>
        <w:t>等</w:t>
      </w:r>
      <w:r>
        <w:rPr>
          <w:rFonts w:ascii="仿宋" w:eastAsia="仿宋" w:cs="仿宋" w:hAnsi="仿宋" w:hint="eastAsia"/>
          <w:bCs/>
          <w:sz w:val="32"/>
          <w:szCs w:val="32"/>
          <w:shd w:val="clear" w:color="auto" w:fill="FFFFFF"/>
          <w:lang w:val="en-US" w:eastAsia="zh-CN"/>
        </w:rPr>
        <w:t>治理</w:t>
      </w:r>
      <w:r>
        <w:rPr>
          <w:rFonts w:ascii="仿宋" w:eastAsia="仿宋" w:cs="仿宋" w:hAnsi="仿宋" w:hint="eastAsia"/>
          <w:bCs/>
          <w:sz w:val="32"/>
          <w:szCs w:val="32"/>
          <w:shd w:val="clear" w:color="auto" w:fill="FFFFFF"/>
        </w:rPr>
        <w:t>措施</w:t>
      </w:r>
      <w:r>
        <w:rPr>
          <w:rFonts w:ascii="仿宋" w:eastAsia="仿宋" w:cs="仿宋" w:hAnsi="仿宋" w:hint="eastAsia"/>
          <w:bCs/>
          <w:sz w:val="32"/>
          <w:szCs w:val="32"/>
          <w:shd w:val="clear" w:color="auto" w:fill="FFFFFF"/>
          <w:lang w:eastAsia="zh-CN"/>
        </w:rPr>
        <w:t>，</w:t>
      </w:r>
      <w:r>
        <w:rPr>
          <w:rFonts w:ascii="仿宋" w:eastAsia="仿宋" w:cs="仿宋" w:hAnsi="仿宋" w:hint="eastAsia"/>
          <w:bCs/>
          <w:sz w:val="32"/>
          <w:szCs w:val="32"/>
          <w:shd w:val="clear" w:color="auto" w:fill="FFFFFF"/>
          <w:lang w:val="en-US" w:eastAsia="zh-CN"/>
        </w:rPr>
        <w:t>厂界</w:t>
      </w:r>
      <w:r>
        <w:rPr>
          <w:rFonts w:ascii="仿宋" w:eastAsia="仿宋" w:cs="仿宋" w:hAnsi="仿宋" w:hint="eastAsia"/>
          <w:bCs/>
          <w:sz w:val="32"/>
          <w:szCs w:val="32"/>
          <w:shd w:val="clear" w:color="auto" w:fill="FFFFFF"/>
        </w:rPr>
        <w:t>噪声满足《工业企业厂界环境噪声排放标准》（GB12348-2008）</w:t>
      </w:r>
      <w:r>
        <w:rPr>
          <w:rFonts w:ascii="仿宋" w:eastAsia="仿宋" w:cs="仿宋" w:hAnsi="仿宋" w:hint="eastAsia"/>
          <w:bCs/>
          <w:sz w:val="32"/>
          <w:szCs w:val="32"/>
          <w:shd w:val="clear" w:color="auto" w:fill="FFFFFF"/>
          <w:lang w:val="en-US" w:eastAsia="zh-CN"/>
        </w:rPr>
        <w:t>3类</w:t>
      </w:r>
      <w:r>
        <w:rPr>
          <w:rFonts w:ascii="仿宋" w:eastAsia="仿宋" w:cs="仿宋" w:hAnsi="仿宋" w:hint="eastAsia"/>
          <w:bCs/>
          <w:sz w:val="32"/>
          <w:szCs w:val="32"/>
          <w:shd w:val="clear" w:color="auto" w:fill="FFFFFF"/>
        </w:rPr>
        <w:t>限值要求。</w:t>
      </w:r>
    </w:p>
    <w:p>
      <w:pPr>
        <w:keepNext w:val="0"/>
        <w:keepLines w:val="0"/>
        <w:pageBreakBefore w:val="0"/>
        <w:kinsoku/>
        <w:wordWrap/>
        <w:overflowPunct/>
        <w:topLinePunct w:val="0"/>
        <w:autoSpaceDE/>
        <w:autoSpaceDN/>
        <w:bidi w:val="0"/>
        <w:adjustRightInd w:val="0"/>
        <w:snapToGrid w:val="0"/>
        <w:spacing w:line="520" w:lineRule="exact"/>
        <w:ind w:firstLineChars="200" w:firstLine="632"/>
        <w:jc w:val="both"/>
        <w:textAlignment w:val="auto"/>
        <w:rPr>
          <w:rFonts w:ascii="仿宋" w:eastAsia="仿宋" w:cs="仿宋" w:hAnsi="仿宋" w:hint="eastAsia"/>
          <w:b w:val="0"/>
          <w:bCs/>
          <w:color w:val="auto"/>
          <w:sz w:val="32"/>
          <w:szCs w:val="32"/>
          <w:highlight w:val="none"/>
        </w:rPr>
      </w:pPr>
      <w:r>
        <w:rPr>
          <w:rFonts w:ascii="仿宋" w:eastAsia="仿宋" w:cs="仿宋" w:hAnsi="仿宋" w:hint="eastAsia"/>
          <w:bCs/>
          <w:sz w:val="32"/>
          <w:szCs w:val="32"/>
          <w:shd w:val="clear" w:color="auto" w:fill="FFFFFF"/>
          <w:lang w:val="en-US" w:eastAsia="zh-CN"/>
          <w:highlight w:val="none"/>
        </w:rPr>
        <w:t>（五）严格落</w:t>
      </w:r>
      <w:r>
        <w:rPr>
          <w:rFonts w:ascii="仿宋" w:eastAsia="仿宋" w:cs="仿宋" w:hAnsi="仿宋" w:hint="eastAsia"/>
          <w:bCs/>
          <w:sz w:val="32"/>
          <w:szCs w:val="32"/>
          <w:shd w:val="clear" w:color="auto" w:fill="FFFFFF"/>
          <w:highlight w:val="none"/>
        </w:rPr>
        <w:t>实固体废物污染防治措施。</w:t>
      </w:r>
    </w:p>
    <w:p>
      <w:pPr>
        <w:keepNext w:val="0"/>
        <w:keepLines w:val="0"/>
        <w:pageBreakBefore w:val="0"/>
        <w:kinsoku/>
        <w:wordWrap/>
        <w:overflowPunct/>
        <w:topLinePunct w:val="0"/>
        <w:bidi w:val="0"/>
        <w:adjustRightInd w:val="0"/>
        <w:snapToGrid w:val="0"/>
        <w:spacing w:line="520" w:lineRule="exact"/>
        <w:ind w:firstLineChars="200" w:firstLine="632"/>
        <w:textAlignment w:val="auto"/>
        <w:rPr>
          <w:rFonts w:ascii="仿宋" w:eastAsia="仿宋" w:cs="仿宋" w:hAnsi="仿宋" w:hint="eastAsia"/>
          <w:b w:val="0"/>
          <w:bCs/>
          <w:color w:val="auto"/>
          <w:sz w:val="32"/>
          <w:szCs w:val="32"/>
          <w:highlight w:val="none"/>
        </w:rPr>
      </w:pPr>
      <w:r>
        <w:rPr>
          <w:rFonts w:ascii="仿宋" w:eastAsia="仿宋" w:cs="仿宋" w:hAnsi="仿宋" w:hint="eastAsia"/>
          <w:b w:val="0"/>
          <w:bCs/>
          <w:color w:val="auto"/>
          <w:sz w:val="32"/>
          <w:szCs w:val="32"/>
          <w:highlight w:val="none"/>
        </w:rPr>
        <w:t>严格按照有关规定，对固体废物实施分类收集和处理、处置，做到资源化、减量化、无害化。一般固废妥善处理，最大限度回收利用，危险</w:t>
      </w:r>
      <w:r>
        <w:rPr>
          <w:rFonts w:ascii="仿宋" w:eastAsia="仿宋" w:cs="仿宋" w:hAnsi="仿宋" w:hint="eastAsia"/>
          <w:b w:val="0"/>
          <w:bCs/>
          <w:color w:val="auto"/>
          <w:sz w:val="32"/>
          <w:szCs w:val="32"/>
          <w:shd w:val="clear" w:color="auto" w:fill="FFFFFF"/>
          <w:highlight w:val="none"/>
        </w:rPr>
        <w:t>废物</w:t>
      </w:r>
      <w:r>
        <w:rPr>
          <w:rFonts w:ascii="仿宋" w:eastAsia="仿宋" w:cs="仿宋" w:hAnsi="仿宋" w:hint="eastAsia"/>
          <w:b w:val="0"/>
          <w:bCs/>
          <w:color w:val="auto"/>
          <w:sz w:val="32"/>
          <w:szCs w:val="32"/>
          <w:highlight w:val="none"/>
        </w:rPr>
        <w:t>按规定暂存，定期交有相应资质的危废处理单位处理。危险废物暂存间应满足《危险废物贮存污染控制标准》（GB18597-20</w:t>
      </w:r>
      <w:r>
        <w:rPr>
          <w:rFonts w:ascii="仿宋" w:eastAsia="仿宋" w:cs="仿宋" w:hAnsi="仿宋" w:hint="eastAsia"/>
          <w:b w:val="0"/>
          <w:bCs/>
          <w:color w:val="auto"/>
          <w:sz w:val="32"/>
          <w:szCs w:val="32"/>
          <w:lang w:val="en-US" w:eastAsia="zh-CN"/>
          <w:highlight w:val="none"/>
        </w:rPr>
        <w:t>23</w:t>
      </w:r>
      <w:r>
        <w:rPr>
          <w:rFonts w:ascii="仿宋" w:eastAsia="仿宋" w:cs="仿宋" w:hAnsi="仿宋" w:hint="eastAsia"/>
          <w:b w:val="0"/>
          <w:bCs/>
          <w:color w:val="auto"/>
          <w:sz w:val="32"/>
          <w:szCs w:val="32"/>
          <w:highlight w:val="none"/>
        </w:rPr>
        <w:t>）要求。</w:t>
      </w:r>
    </w:p>
    <w:p>
      <w:pPr>
        <w:keepNext w:val="0"/>
        <w:keepLines w:val="0"/>
        <w:pageBreakBefore w:val="0"/>
        <w:kinsoku/>
        <w:wordWrap/>
        <w:overflowPunct/>
        <w:topLinePunct w:val="0"/>
        <w:bidi w:val="0"/>
        <w:adjustRightInd w:val="0"/>
        <w:snapToGrid w:val="0"/>
        <w:spacing w:line="520" w:lineRule="exact"/>
        <w:ind w:firstLineChars="200" w:firstLine="632"/>
        <w:textAlignment w:val="auto"/>
        <w:rPr>
          <w:rFonts w:ascii="仿宋" w:eastAsia="仿宋" w:cs="仿宋" w:hAnsi="仿宋" w:hint="eastAsia"/>
          <w:b w:val="0"/>
          <w:bCs/>
          <w:color w:val="auto"/>
          <w:kern w:val="2"/>
          <w:sz w:val="32"/>
          <w:szCs w:val="32"/>
          <w:lang w:val="en-US" w:eastAsia="zh-CN" w:bidi="ar-SA"/>
          <w:highlight w:val="none"/>
        </w:rPr>
      </w:pPr>
      <w:r>
        <w:rPr>
          <w:rFonts w:ascii="仿宋" w:eastAsia="仿宋" w:cs="仿宋" w:hAnsi="仿宋" w:hint="eastAsia"/>
          <w:b w:val="0"/>
          <w:bCs/>
          <w:color w:val="auto"/>
          <w:kern w:val="2"/>
          <w:sz w:val="32"/>
          <w:szCs w:val="32"/>
          <w:lang w:val="en-US" w:eastAsia="zh-CN" w:bidi="ar-SA"/>
          <w:highlight w:val="none"/>
        </w:rPr>
        <w:t>（六）加强环境风险防范，落实环境风险应急措施。</w:t>
      </w:r>
    </w:p>
    <w:p>
      <w:pPr>
        <w:keepNext w:val="0"/>
        <w:keepLines w:val="0"/>
        <w:pageBreakBefore w:val="0"/>
        <w:kinsoku/>
        <w:wordWrap/>
        <w:overflowPunct/>
        <w:topLinePunct w:val="0"/>
        <w:autoSpaceDE w:val="0"/>
        <w:autoSpaceDN w:val="0"/>
        <w:bidi w:val="0"/>
        <w:adjustRightInd w:val="0"/>
        <w:snapToGrid w:val="0"/>
        <w:spacing w:line="520" w:lineRule="exact"/>
        <w:ind w:firstLineChars="200" w:firstLine="632"/>
        <w:textAlignment w:val="auto"/>
        <w:rPr>
          <w:rFonts w:ascii="仿宋" w:eastAsia="仿宋" w:cs="仿宋" w:hAnsi="仿宋" w:hint="eastAsia"/>
          <w:b w:val="0"/>
          <w:bCs/>
          <w:color w:val="auto"/>
          <w:sz w:val="32"/>
          <w:szCs w:val="32"/>
          <w:highlight w:val="none"/>
        </w:rPr>
      </w:pPr>
      <w:r>
        <w:rPr>
          <w:rFonts w:ascii="仿宋" w:eastAsia="仿宋" w:cs="仿宋" w:hAnsi="仿宋" w:hint="eastAsia"/>
          <w:b w:val="0"/>
          <w:bCs/>
          <w:color w:val="auto"/>
          <w:sz w:val="32"/>
          <w:szCs w:val="32"/>
          <w:highlight w:val="none"/>
        </w:rPr>
        <w:t>制定和完善突发环境事件应急预案，与当地政府应急预案做好衔接，按照规定报相关部门备案。配备必要的应急设备和物资，加大风险监测和监控力度，定期进行应急培训和演练，有效防范和应对环境风险。</w:t>
      </w:r>
    </w:p>
    <w:p>
      <w:pPr>
        <w:keepNext w:val="0"/>
        <w:keepLines w:val="0"/>
        <w:pageBreakBefore w:val="0"/>
        <w:widowControl/>
        <w:suppressLineNumbers w:val="0"/>
        <w:kinsoku/>
        <w:wordWrap/>
        <w:overflowPunct/>
        <w:topLinePunct w:val="0"/>
        <w:bidi w:val="0"/>
        <w:spacing w:line="520" w:lineRule="exact"/>
        <w:ind w:firstLineChars="200" w:firstLine="632"/>
        <w:jc w:val="left"/>
        <w:textAlignment w:val="auto"/>
        <w:rPr>
          <w:rFonts w:ascii="仿宋" w:eastAsia="仿宋" w:cs="仿宋" w:hAnsi="仿宋" w:hint="eastAsia"/>
          <w:b w:val="0"/>
          <w:bCs/>
          <w:color w:val="auto"/>
          <w:sz w:val="32"/>
          <w:szCs w:val="32"/>
          <w:lang w:eastAsia="zh-CN"/>
          <w:highlight w:val="none"/>
        </w:rPr>
      </w:pPr>
      <w:r>
        <w:rPr>
          <w:rFonts w:ascii="仿宋" w:eastAsia="仿宋" w:cs="仿宋" w:hAnsi="仿宋" w:hint="eastAsia"/>
          <w:b w:val="0"/>
          <w:bCs/>
          <w:color w:val="auto"/>
          <w:sz w:val="32"/>
          <w:szCs w:val="32"/>
          <w:lang w:eastAsia="zh-CN"/>
          <w:highlight w:val="none"/>
        </w:rPr>
        <w:t>三</w:t>
      </w:r>
      <w:r>
        <w:rPr>
          <w:rFonts w:ascii="仿宋" w:eastAsia="仿宋" w:cs="仿宋" w:hAnsi="仿宋" w:hint="eastAsia"/>
          <w:b w:val="0"/>
          <w:bCs/>
          <w:color w:val="auto"/>
          <w:sz w:val="32"/>
          <w:szCs w:val="32"/>
          <w:highlight w:val="none"/>
        </w:rPr>
        <w:t>、结合该报告</w:t>
      </w:r>
      <w:r>
        <w:rPr>
          <w:rFonts w:ascii="仿宋" w:eastAsia="仿宋" w:cs="仿宋" w:hAnsi="仿宋" w:hint="eastAsia"/>
          <w:b w:val="0"/>
          <w:bCs/>
          <w:color w:val="auto"/>
          <w:sz w:val="32"/>
          <w:szCs w:val="32"/>
          <w:lang w:val="en-US" w:eastAsia="zh-CN"/>
          <w:highlight w:val="none"/>
        </w:rPr>
        <w:t>表</w:t>
      </w:r>
      <w:r>
        <w:rPr>
          <w:rFonts w:ascii="仿宋" w:eastAsia="仿宋" w:cs="仿宋" w:hAnsi="仿宋" w:hint="eastAsia"/>
          <w:b w:val="0"/>
          <w:bCs/>
          <w:color w:val="auto"/>
          <w:sz w:val="32"/>
          <w:szCs w:val="32"/>
          <w:highlight w:val="none"/>
        </w:rPr>
        <w:t>的计算，</w:t>
      </w:r>
      <w:r>
        <w:rPr>
          <w:rFonts w:ascii="仿宋" w:eastAsia="仿宋" w:cs="仿宋" w:hAnsi="仿宋" w:hint="eastAsia"/>
          <w:b w:val="0"/>
          <w:bCs/>
          <w:color w:val="auto"/>
          <w:sz w:val="32"/>
          <w:szCs w:val="32"/>
          <w:lang w:eastAsia="zh-CN"/>
          <w:highlight w:val="none"/>
        </w:rPr>
        <w:t>该项目</w:t>
      </w:r>
      <w:r>
        <w:rPr>
          <w:rFonts w:ascii="仿宋" w:eastAsia="仿宋" w:cs="仿宋" w:hAnsi="仿宋" w:hint="eastAsia"/>
          <w:b w:val="0"/>
          <w:bCs/>
          <w:color w:val="auto"/>
          <w:sz w:val="32"/>
          <w:szCs w:val="32"/>
          <w:highlight w:val="none"/>
        </w:rPr>
        <w:t>污染物排放总量指标为：</w:t>
      </w:r>
      <w:r>
        <w:rPr>
          <w:rFonts w:ascii="仿宋" w:eastAsia="仿宋" w:cs="仿宋" w:hAnsi="仿宋"/>
          <w:bCs/>
          <w:color w:val="auto"/>
          <w:kern w:val="2"/>
          <w:sz w:val="32"/>
          <w:szCs w:val="32"/>
          <w:lang w:val="en-US" w:eastAsia="zh-CN" w:bidi="ar-SA"/>
          <w:highlight w:val="none"/>
        </w:rPr>
        <w:t>COD</w:t>
      </w:r>
      <w:r>
        <w:rPr>
          <w:rFonts w:ascii="仿宋" w:eastAsia="仿宋" w:cs="仿宋" w:hAnsi="仿宋" w:hint="eastAsia"/>
          <w:bCs/>
          <w:color w:val="auto"/>
          <w:kern w:val="2"/>
          <w:sz w:val="32"/>
          <w:szCs w:val="32"/>
          <w:lang w:val="en-US" w:eastAsia="zh-CN" w:bidi="ar-SA"/>
          <w:highlight w:val="none"/>
        </w:rPr>
        <w:t>：0</w:t>
      </w:r>
      <w:r>
        <w:rPr>
          <w:rFonts w:ascii="仿宋" w:eastAsia="仿宋" w:cs="仿宋" w:hAnsi="仿宋"/>
          <w:bCs/>
          <w:color w:val="auto"/>
          <w:kern w:val="2"/>
          <w:sz w:val="32"/>
          <w:szCs w:val="32"/>
          <w:lang w:val="en-US" w:eastAsia="zh-CN" w:bidi="ar-SA"/>
          <w:highlight w:val="none"/>
        </w:rPr>
        <w:t>t/a</w:t>
      </w:r>
      <w:r>
        <w:rPr>
          <w:rFonts w:ascii="仿宋" w:eastAsia="仿宋" w:cs="仿宋" w:hAnsi="仿宋" w:hint="eastAsia"/>
          <w:bCs/>
          <w:color w:val="auto"/>
          <w:kern w:val="2"/>
          <w:sz w:val="32"/>
          <w:szCs w:val="32"/>
          <w:lang w:val="en-US" w:eastAsia="zh-CN" w:bidi="ar-SA"/>
          <w:highlight w:val="none"/>
        </w:rPr>
        <w:t>、氨氮：0</w:t>
      </w:r>
      <w:r>
        <w:rPr>
          <w:rFonts w:ascii="仿宋" w:eastAsia="仿宋" w:cs="仿宋" w:hAnsi="仿宋"/>
          <w:bCs/>
          <w:color w:val="auto"/>
          <w:kern w:val="2"/>
          <w:sz w:val="32"/>
          <w:szCs w:val="32"/>
          <w:lang w:val="en-US" w:eastAsia="zh-CN" w:bidi="ar-SA"/>
          <w:highlight w:val="none"/>
        </w:rPr>
        <w:t>t/a</w:t>
      </w:r>
      <w:r>
        <w:rPr>
          <w:rFonts w:ascii="仿宋" w:eastAsia="仿宋" w:cs="仿宋" w:hAnsi="仿宋" w:hint="eastAsia"/>
          <w:bCs/>
          <w:color w:val="auto"/>
          <w:kern w:val="2"/>
          <w:sz w:val="32"/>
          <w:szCs w:val="32"/>
          <w:lang w:val="en-US" w:eastAsia="zh-CN" w:bidi="ar-SA"/>
          <w:highlight w:val="none"/>
        </w:rPr>
        <w:t>、</w:t>
      </w:r>
      <w:r>
        <w:rPr>
          <w:rFonts w:ascii="仿宋" w:eastAsia="仿宋" w:cs="仿宋" w:hAnsi="仿宋"/>
          <w:bCs/>
          <w:color w:val="auto"/>
          <w:kern w:val="2"/>
          <w:sz w:val="32"/>
          <w:szCs w:val="32"/>
          <w:lang w:val="en-US" w:eastAsia="zh-CN" w:bidi="ar-SA"/>
          <w:highlight w:val="none"/>
        </w:rPr>
        <w:t>SO</w:t>
      </w:r>
      <w:r>
        <w:rPr>
          <w:rFonts w:ascii="仿宋" w:eastAsia="仿宋" w:cs="仿宋" w:hAnsi="仿宋"/>
          <w:bCs/>
          <w:color w:val="auto"/>
          <w:kern w:val="2"/>
          <w:sz w:val="32"/>
          <w:szCs w:val="32"/>
          <w:vertAlign w:val="subscript"/>
          <w:lang w:val="en-US" w:eastAsia="zh-CN" w:bidi="ar-SA"/>
          <w:highlight w:val="none"/>
        </w:rPr>
        <w:t>2</w:t>
      </w:r>
      <w:r>
        <w:rPr>
          <w:rFonts w:ascii="仿宋" w:eastAsia="仿宋" w:cs="仿宋" w:hAnsi="仿宋" w:hint="eastAsia"/>
          <w:bCs/>
          <w:color w:val="auto"/>
          <w:kern w:val="2"/>
          <w:sz w:val="32"/>
          <w:szCs w:val="32"/>
          <w:lang w:val="en-US" w:eastAsia="zh-CN" w:bidi="ar-SA"/>
          <w:highlight w:val="none"/>
        </w:rPr>
        <w:t>：1.295</w:t>
      </w:r>
      <w:r>
        <w:rPr>
          <w:rFonts w:ascii="仿宋" w:eastAsia="仿宋" w:cs="仿宋" w:hAnsi="仿宋"/>
          <w:bCs/>
          <w:color w:val="auto"/>
          <w:kern w:val="2"/>
          <w:sz w:val="32"/>
          <w:szCs w:val="32"/>
          <w:lang w:val="en-US" w:eastAsia="zh-CN" w:bidi="ar-SA"/>
          <w:highlight w:val="none"/>
        </w:rPr>
        <w:t>t/a</w:t>
      </w:r>
      <w:r>
        <w:rPr>
          <w:rFonts w:ascii="仿宋" w:eastAsia="仿宋" w:cs="仿宋" w:hAnsi="仿宋" w:hint="eastAsia"/>
          <w:bCs/>
          <w:color w:val="auto"/>
          <w:kern w:val="2"/>
          <w:sz w:val="32"/>
          <w:szCs w:val="32"/>
          <w:lang w:val="en-US" w:eastAsia="zh-CN" w:bidi="ar-SA"/>
          <w:highlight w:val="none"/>
        </w:rPr>
        <w:t>、</w:t>
      </w:r>
      <w:r>
        <w:rPr>
          <w:rFonts w:ascii="仿宋" w:eastAsia="仿宋" w:cs="仿宋" w:hAnsi="仿宋"/>
          <w:bCs/>
          <w:color w:val="auto"/>
          <w:kern w:val="2"/>
          <w:sz w:val="32"/>
          <w:szCs w:val="32"/>
          <w:lang w:val="en-US" w:eastAsia="zh-CN" w:bidi="ar-SA"/>
          <w:highlight w:val="none"/>
        </w:rPr>
        <w:t>NO</w:t>
      </w:r>
      <w:r>
        <w:rPr>
          <w:rFonts w:ascii="仿宋" w:eastAsia="仿宋" w:cs="仿宋" w:hAnsi="仿宋"/>
          <w:bCs/>
          <w:color w:val="auto"/>
          <w:kern w:val="2"/>
          <w:sz w:val="32"/>
          <w:szCs w:val="32"/>
          <w:vertAlign w:val="subscript"/>
          <w:lang w:val="en-US" w:eastAsia="zh-CN" w:bidi="ar-SA"/>
          <w:highlight w:val="none"/>
        </w:rPr>
        <w:t>x</w:t>
      </w:r>
      <w:r>
        <w:rPr>
          <w:rFonts w:ascii="仿宋" w:eastAsia="仿宋" w:cs="仿宋" w:hAnsi="仿宋" w:hint="eastAsia"/>
          <w:bCs/>
          <w:color w:val="auto"/>
          <w:kern w:val="2"/>
          <w:sz w:val="32"/>
          <w:szCs w:val="32"/>
          <w:lang w:val="en-US" w:eastAsia="zh-CN" w:bidi="ar-SA"/>
          <w:highlight w:val="none"/>
        </w:rPr>
        <w:t>：1.977</w:t>
      </w:r>
      <w:r>
        <w:rPr>
          <w:rFonts w:ascii="仿宋" w:eastAsia="仿宋" w:cs="仿宋" w:hAnsi="仿宋"/>
          <w:bCs/>
          <w:color w:val="auto"/>
          <w:kern w:val="2"/>
          <w:sz w:val="32"/>
          <w:szCs w:val="32"/>
          <w:lang w:val="en-US" w:eastAsia="zh-CN" w:bidi="ar-SA"/>
          <w:highlight w:val="none"/>
        </w:rPr>
        <w:t>t/a</w:t>
      </w:r>
      <w:r>
        <w:rPr>
          <w:rFonts w:ascii="仿宋" w:eastAsia="仿宋" w:cs="仿宋" w:hAnsi="仿宋" w:hint="eastAsia"/>
          <w:bCs/>
          <w:color w:val="auto"/>
          <w:kern w:val="2"/>
          <w:sz w:val="32"/>
          <w:szCs w:val="32"/>
          <w:lang w:val="en-US" w:eastAsia="zh-CN" w:bidi="ar-SA"/>
          <w:highlight w:val="none"/>
        </w:rPr>
        <w:t>。</w:t>
      </w:r>
    </w:p>
    <w:p>
      <w:pPr>
        <w:keepNext w:val="0"/>
        <w:keepLines w:val="0"/>
        <w:pageBreakBefore w:val="0"/>
        <w:kinsoku/>
        <w:wordWrap/>
        <w:overflowPunct/>
        <w:topLinePunct w:val="0"/>
        <w:autoSpaceDE w:val="0"/>
        <w:autoSpaceDN w:val="0"/>
        <w:bidi w:val="0"/>
        <w:adjustRightInd w:val="0"/>
        <w:snapToGrid w:val="0"/>
        <w:spacing w:line="520" w:lineRule="exact"/>
        <w:ind w:firstLineChars="200" w:firstLine="632"/>
        <w:textAlignment w:val="auto"/>
        <w:rPr>
          <w:rFonts w:ascii="仿宋" w:eastAsia="仿宋" w:cs="仿宋" w:hAnsi="仿宋" w:hint="eastAsia"/>
          <w:b w:val="0"/>
          <w:bCs/>
          <w:color w:val="auto"/>
          <w:sz w:val="32"/>
          <w:szCs w:val="32"/>
          <w:highlight w:val="none"/>
        </w:rPr>
      </w:pPr>
      <w:r>
        <w:rPr>
          <w:rFonts w:ascii="仿宋" w:eastAsia="仿宋" w:cs="仿宋" w:hAnsi="仿宋" w:hint="eastAsia"/>
          <w:b w:val="0"/>
          <w:bCs/>
          <w:color w:val="auto"/>
          <w:sz w:val="32"/>
          <w:szCs w:val="32"/>
          <w:lang w:eastAsia="zh-CN"/>
          <w:highlight w:val="none"/>
        </w:rPr>
        <w:t>四</w:t>
      </w:r>
      <w:r>
        <w:rPr>
          <w:rFonts w:ascii="仿宋" w:eastAsia="仿宋" w:cs="仿宋" w:hAnsi="仿宋" w:hint="eastAsia"/>
          <w:b w:val="0"/>
          <w:bCs/>
          <w:color w:val="auto"/>
          <w:sz w:val="32"/>
          <w:szCs w:val="32"/>
          <w:highlight w:val="none"/>
        </w:rPr>
        <w:t>、严格落实各项建设项目环境管理要求</w:t>
      </w:r>
    </w:p>
    <w:p>
      <w:pPr>
        <w:keepNext w:val="0"/>
        <w:keepLines w:val="0"/>
        <w:pageBreakBefore w:val="0"/>
        <w:kinsoku/>
        <w:wordWrap/>
        <w:overflowPunct/>
        <w:topLinePunct w:val="0"/>
        <w:autoSpaceDE w:val="0"/>
        <w:autoSpaceDN w:val="0"/>
        <w:bidi w:val="0"/>
        <w:adjustRightInd w:val="0"/>
        <w:snapToGrid w:val="0"/>
        <w:spacing w:line="520" w:lineRule="exact"/>
        <w:ind w:firstLineChars="198" w:firstLine="625"/>
        <w:textAlignment w:val="auto"/>
        <w:rPr>
          <w:rFonts w:ascii="仿宋" w:eastAsia="仿宋" w:cs="仿宋" w:hAnsi="仿宋" w:hint="eastAsia"/>
          <w:b w:val="0"/>
          <w:bCs/>
          <w:color w:val="auto"/>
          <w:sz w:val="32"/>
          <w:szCs w:val="32"/>
          <w:highlight w:val="none"/>
        </w:rPr>
      </w:pPr>
      <w:r>
        <w:rPr>
          <w:rFonts w:ascii="仿宋" w:eastAsia="仿宋" w:cs="仿宋" w:hAnsi="仿宋" w:hint="eastAsia"/>
          <w:b w:val="0"/>
          <w:bCs/>
          <w:color w:val="auto"/>
          <w:sz w:val="32"/>
          <w:szCs w:val="32"/>
          <w:highlight w:val="none"/>
        </w:rPr>
        <w:t>（一）建立内部生态环境管理机构和制度，明确人员和生态环境保护职责。</w:t>
      </w:r>
    </w:p>
    <w:p>
      <w:pPr>
        <w:keepNext w:val="0"/>
        <w:keepLines w:val="0"/>
        <w:pageBreakBefore w:val="0"/>
        <w:kinsoku/>
        <w:wordWrap/>
        <w:overflowPunct/>
        <w:topLinePunct w:val="0"/>
        <w:autoSpaceDE w:val="0"/>
        <w:autoSpaceDN w:val="0"/>
        <w:bidi w:val="0"/>
        <w:adjustRightInd w:val="0"/>
        <w:snapToGrid w:val="0"/>
        <w:spacing w:line="520" w:lineRule="exact"/>
        <w:ind w:firstLineChars="198" w:firstLine="625"/>
        <w:textAlignment w:val="auto"/>
        <w:rPr>
          <w:rFonts w:ascii="仿宋" w:eastAsia="仿宋" w:cs="仿宋" w:hAnsi="仿宋" w:hint="eastAsia"/>
          <w:b w:val="0"/>
          <w:bCs/>
          <w:color w:val="auto"/>
          <w:sz w:val="32"/>
          <w:szCs w:val="32"/>
          <w:highlight w:val="none"/>
        </w:rPr>
      </w:pPr>
      <w:r>
        <w:rPr>
          <w:rFonts w:ascii="仿宋" w:eastAsia="仿宋" w:cs="仿宋" w:hAnsi="仿宋" w:hint="eastAsia"/>
          <w:b w:val="0"/>
          <w:bCs/>
          <w:color w:val="auto"/>
          <w:sz w:val="32"/>
          <w:szCs w:val="32"/>
          <w:highlight w:val="none"/>
        </w:rPr>
        <w:t>（二）你公司应按照国家相关规定，严格执行环境保护设施与主体工程同时设计、同时施工、同时投产使用的“三同时”制度。环境影响报告表经批准后，项目的性质、规模、地点或者防治污染、防止生态破坏的措施发生重大变动的，或自环境影响报告表批复文件批准之日起，超过5年方决定工程开工建设的，你公司应当</w:t>
      </w:r>
      <w:r>
        <w:rPr>
          <w:rFonts w:ascii="仿宋" w:eastAsia="仿宋" w:cs="仿宋" w:hAnsi="仿宋" w:hint="eastAsia"/>
          <w:b w:val="0"/>
          <w:bCs/>
          <w:color w:val="auto"/>
          <w:sz w:val="32"/>
          <w:szCs w:val="32"/>
          <w:lang w:val="en-US" w:eastAsia="zh-CN"/>
          <w:highlight w:val="none"/>
        </w:rPr>
        <w:t>向</w:t>
      </w:r>
      <w:r>
        <w:rPr>
          <w:rFonts w:ascii="仿宋" w:eastAsia="仿宋" w:cs="仿宋" w:hAnsi="仿宋" w:hint="eastAsia"/>
          <w:b w:val="0"/>
          <w:bCs/>
          <w:color w:val="auto"/>
          <w:sz w:val="32"/>
          <w:szCs w:val="32"/>
          <w:highlight w:val="none"/>
        </w:rPr>
        <w:t>我局重新报批或</w:t>
      </w:r>
      <w:r>
        <w:rPr>
          <w:rFonts w:ascii="仿宋" w:eastAsia="仿宋" w:cs="仿宋" w:hAnsi="仿宋" w:hint="eastAsia"/>
          <w:b w:val="0"/>
          <w:bCs/>
          <w:color w:val="auto"/>
          <w:sz w:val="32"/>
          <w:szCs w:val="32"/>
          <w:lang w:val="en-US" w:eastAsia="zh-CN"/>
          <w:highlight w:val="none"/>
        </w:rPr>
        <w:t>申请</w:t>
      </w:r>
      <w:r>
        <w:rPr>
          <w:rFonts w:ascii="仿宋" w:eastAsia="仿宋" w:cs="仿宋" w:hAnsi="仿宋" w:hint="eastAsia"/>
          <w:b w:val="0"/>
          <w:bCs/>
          <w:color w:val="auto"/>
          <w:sz w:val="32"/>
          <w:szCs w:val="32"/>
          <w:highlight w:val="none"/>
        </w:rPr>
        <w:t>重新审核该项目的环境影响报告表。</w:t>
      </w:r>
    </w:p>
    <w:p>
      <w:pPr>
        <w:pStyle w:val="16"/>
        <w:keepNext w:val="0"/>
        <w:keepLines w:val="0"/>
        <w:pageBreakBefore w:val="0"/>
        <w:kinsoku/>
        <w:wordWrap/>
        <w:overflowPunct/>
        <w:topLinePunct w:val="0"/>
        <w:bidi w:val="0"/>
        <w:spacing w:line="520" w:lineRule="exact"/>
        <w:ind w:left="0" w:firstLineChars="200" w:firstLine="632"/>
        <w:textAlignment w:val="auto"/>
        <w:rPr>
          <w:rFonts w:ascii="仿宋" w:eastAsia="仿宋" w:cs="仿宋" w:hAnsi="仿宋" w:hint="eastAsia"/>
          <w:bCs/>
          <w:color w:val="auto"/>
          <w:sz w:val="32"/>
          <w:szCs w:val="32"/>
          <w:u w:val="none"/>
          <w:lang w:eastAsia="zh-CN"/>
          <w:highlight w:val="none"/>
        </w:rPr>
      </w:pPr>
      <w:r>
        <w:rPr>
          <w:rFonts w:ascii="仿宋" w:eastAsia="仿宋" w:cs="仿宋" w:hAnsi="仿宋" w:hint="eastAsia"/>
          <w:b w:val="0"/>
          <w:bCs/>
          <w:color w:val="auto"/>
          <w:sz w:val="32"/>
          <w:szCs w:val="32"/>
          <w:highlight w:val="none"/>
        </w:rPr>
        <w:t>（</w:t>
      </w:r>
      <w:r>
        <w:rPr>
          <w:rFonts w:ascii="仿宋" w:eastAsia="仿宋" w:cs="仿宋" w:hAnsi="仿宋" w:hint="eastAsia"/>
          <w:b w:val="0"/>
          <w:bCs/>
          <w:color w:val="auto"/>
          <w:sz w:val="32"/>
          <w:szCs w:val="32"/>
          <w:lang w:val="en-US" w:eastAsia="zh-CN"/>
          <w:highlight w:val="none"/>
        </w:rPr>
        <w:t>三</w:t>
      </w:r>
      <w:r>
        <w:rPr>
          <w:rFonts w:ascii="仿宋" w:eastAsia="仿宋" w:cs="仿宋" w:hAnsi="仿宋" w:hint="eastAsia"/>
          <w:b w:val="0"/>
          <w:bCs/>
          <w:color w:val="auto"/>
          <w:sz w:val="32"/>
          <w:szCs w:val="32"/>
          <w:highlight w:val="none"/>
        </w:rPr>
        <w:t>）</w:t>
      </w:r>
      <w:r>
        <w:rPr>
          <w:rFonts w:ascii="仿宋" w:eastAsia="仿宋" w:cs="仿宋" w:hAnsi="仿宋" w:hint="eastAsia"/>
          <w:b w:val="0"/>
          <w:bCs/>
          <w:color w:val="auto"/>
          <w:sz w:val="32"/>
          <w:szCs w:val="32"/>
          <w:u w:val="none"/>
          <w:highlight w:val="none"/>
        </w:rPr>
        <w:t>建</w:t>
      </w:r>
      <w:r>
        <w:rPr>
          <w:rFonts w:ascii="仿宋" w:eastAsia="仿宋" w:cs="仿宋" w:hAnsi="仿宋" w:hint="eastAsia"/>
          <w:bCs/>
          <w:color w:val="auto"/>
          <w:sz w:val="32"/>
          <w:szCs w:val="32"/>
          <w:u w:val="none"/>
          <w:highlight w:val="none"/>
        </w:rPr>
        <w:t>设项目竣工后，建设单位按照</w:t>
      </w:r>
      <w:r>
        <w:rPr>
          <w:rFonts w:ascii="仿宋" w:eastAsia="仿宋" w:cs="仿宋" w:hAnsi="仿宋" w:hint="eastAsia"/>
          <w:bCs/>
          <w:color w:val="auto"/>
          <w:sz w:val="32"/>
          <w:szCs w:val="32"/>
          <w:u w:val="none"/>
          <w:lang w:eastAsia="zh-CN"/>
          <w:highlight w:val="none"/>
        </w:rPr>
        <w:t>有关规定要求</w:t>
      </w:r>
      <w:r>
        <w:rPr>
          <w:rFonts w:ascii="仿宋" w:eastAsia="仿宋" w:cs="仿宋" w:hAnsi="仿宋" w:hint="eastAsia"/>
          <w:bCs/>
          <w:color w:val="auto"/>
          <w:sz w:val="32"/>
          <w:szCs w:val="32"/>
          <w:u w:val="none"/>
          <w:highlight w:val="none"/>
        </w:rPr>
        <w:t>开展自主验收或委托第三方机构编写建设项目竣工环境保护验收报告，依法向社会公开</w:t>
      </w:r>
      <w:r>
        <w:rPr>
          <w:rFonts w:ascii="仿宋" w:eastAsia="仿宋" w:cs="仿宋" w:hAnsi="仿宋" w:hint="eastAsia"/>
          <w:bCs/>
          <w:color w:val="auto"/>
          <w:sz w:val="32"/>
          <w:szCs w:val="32"/>
          <w:u w:val="none"/>
          <w:lang w:eastAsia="zh-CN"/>
          <w:highlight w:val="none"/>
        </w:rPr>
        <w:t>。</w:t>
      </w:r>
    </w:p>
    <w:p>
      <w:pPr>
        <w:pStyle w:val="21"/>
        <w:rPr>
          <w:color w:val="auto"/>
          <w:lang w:val="en-US" w:eastAsia="zh-CN"/>
          <w:highlight w:val="cyan"/>
        </w:rPr>
      </w:pPr>
    </w:p>
    <w:p>
      <w:pPr>
        <w:spacing w:line="540" w:lineRule="exact"/>
        <w:ind w:firstLineChars="1600" w:firstLine="5054"/>
        <w:jc w:val="left"/>
        <w:rPr>
          <w:rFonts w:ascii="仿宋" w:eastAsia="仿宋" w:cs="??_GB2312" w:hAnsi="仿宋"/>
          <w:color w:val="auto"/>
          <w:sz w:val="32"/>
          <w:szCs w:val="32"/>
          <w:highlight w:val="none"/>
        </w:rPr>
      </w:pPr>
      <w:r>
        <w:rPr>
          <w:rFonts w:ascii="仿宋" w:eastAsia="仿宋" w:cs="宋体" w:hAnsi="仿宋" w:hint="eastAsia"/>
          <w:color w:val="auto"/>
          <w:sz w:val="32"/>
          <w:szCs w:val="32"/>
          <w:highlight w:val="none"/>
        </w:rPr>
        <w:t>唐山</w:t>
      </w:r>
      <w:r>
        <w:rPr>
          <w:rFonts w:ascii="仿宋" w:eastAsia="仿宋" w:cs="宋体" w:hAnsi="仿宋" w:hint="eastAsia"/>
          <w:color w:val="auto"/>
          <w:sz w:val="32"/>
          <w:szCs w:val="32"/>
          <w:lang w:eastAsia="zh-CN"/>
          <w:highlight w:val="none"/>
        </w:rPr>
        <w:t>高新区</w:t>
      </w:r>
      <w:r>
        <w:rPr>
          <w:rFonts w:ascii="仿宋" w:eastAsia="仿宋" w:cs="宋体" w:hAnsi="仿宋" w:hint="eastAsia"/>
          <w:color w:val="auto"/>
          <w:sz w:val="32"/>
          <w:szCs w:val="32"/>
          <w:highlight w:val="none"/>
        </w:rPr>
        <w:t>行政审批局</w:t>
      </w:r>
    </w:p>
    <w:p>
      <w:pPr>
        <w:spacing w:line="540" w:lineRule="exact"/>
        <w:ind w:firstLineChars="1700" w:firstLine="5370"/>
        <w:jc w:val="left"/>
        <w:rPr>
          <w:rFonts w:ascii="仿宋" w:eastAsia="仿宋" w:cs="宋体" w:hAnsi="仿宋" w:hint="eastAsia"/>
          <w:sz w:val="32"/>
          <w:szCs w:val="32"/>
          <w:highlight w:val="cyan"/>
        </w:rPr>
      </w:pPr>
      <w:r>
        <w:rPr>
          <w:rFonts w:ascii="仿宋" w:eastAsia="仿宋" w:cs="宋体" w:hAnsi="仿宋" w:hint="eastAsia"/>
          <w:sz w:val="32"/>
          <w:szCs w:val="32"/>
        </w:rPr>
        <w:t>202</w:t>
      </w:r>
      <w:r>
        <w:rPr>
          <w:rFonts w:ascii="仿宋" w:eastAsia="仿宋" w:cs="宋体" w:hAnsi="仿宋" w:hint="eastAsia"/>
          <w:sz w:val="32"/>
          <w:szCs w:val="32"/>
          <w:lang w:val="en-US" w:eastAsia="zh-CN"/>
        </w:rPr>
        <w:t>5</w:t>
      </w:r>
      <w:r>
        <w:rPr>
          <w:rFonts w:ascii="仿宋" w:eastAsia="仿宋" w:cs="宋体" w:hAnsi="仿宋" w:hint="eastAsia"/>
          <w:sz w:val="32"/>
          <w:szCs w:val="32"/>
        </w:rPr>
        <w:t>年</w:t>
      </w:r>
      <w:r>
        <w:rPr>
          <w:rFonts w:ascii="仿宋" w:eastAsia="仿宋" w:cs="宋体" w:hAnsi="仿宋" w:hint="eastAsia"/>
          <w:sz w:val="32"/>
          <w:szCs w:val="32"/>
          <w:lang w:val="en-US" w:eastAsia="zh-CN"/>
        </w:rPr>
        <w:t>4</w:t>
      </w:r>
      <w:r>
        <w:rPr>
          <w:rFonts w:ascii="仿宋" w:eastAsia="仿宋" w:cs="宋体" w:hAnsi="仿宋" w:hint="eastAsia"/>
          <w:sz w:val="32"/>
          <w:szCs w:val="32"/>
        </w:rPr>
        <w:t>月7日</w:t>
      </w:r>
    </w:p>
    <w:sectPr>
      <w:headerReference w:type="default" r:id="rId2"/>
      <w:headerReference w:type="first" r:id="rId3"/>
      <w:footerReference w:type="default" r:id="rId4"/>
      <w:footerReference w:type="even" r:id="rId5"/>
      <w:pgSz w:w="11906" w:h="16838"/>
      <w:pgMar w:top="2098" w:right="1474" w:bottom="1701" w:left="1474" w:header="851" w:footer="992" w:gutter="0"/>
      <w:cols w:num="1" w:space="720"/>
      <w:docGrid w:type="linesAndChars" w:linePitch="579" w:charSpace="-849"/>
    </w:sectPr>
  </w:body>
</w:document>
</file>

<file path=word/fontTable.xml><?xml version="1.0" encoding="utf-8"?>
<w:fonts xmlns:w="http://schemas.openxmlformats.org/wordprocessingml/2006/main" xmlns:r="http://schemas.openxmlformats.org/officeDocument/2006/relationships">
  <w:font w:name="仿宋">
    <w:panose1 w:val="02010609060101010101"/>
    <w:charset w:val="86"/>
    <w:family w:val="modern"/>
    <w:pitch w:val="variable"/>
    <w:sig w:usb0="800002BF" w:usb1="38CF7CFA" w:usb2="00000016" w:usb3="00000000" w:csb0="00040001" w:csb1="00000000"/>
  </w:font>
  <w:font w:name="黑体">
    <w:panose1 w:val="02010609060101010101"/>
    <w:charset w:val="86"/>
    <w:family w:val="auto"/>
    <w:pitch w:val="variable"/>
    <w:sig w:usb0="800002BF" w:usb1="38CF7CFA" w:usb2="00000016" w:usb3="00000000" w:csb0="00040001" w:csb1="00000000"/>
  </w:font>
  <w:font w:name="宋体">
    <w:panose1 w:val="02010600030101010101"/>
    <w:charset w:val="0D"/>
    <w:family w:val="auto"/>
    <w:pitch w:val="variable"/>
    <w:sig w:usb0="00000203" w:usb1="288F0000" w:usb2="00000006" w:usb3="00000000" w:csb0="00040001" w:csb1="00000000"/>
  </w:font>
  <w:font w:name="??_GB2312">
    <w:altName w:val="Times New Roman"/>
    <w:panose1 w:val="00000000000000000000"/>
    <w:charset w:val="00"/>
    <w:family w:val="auto"/>
    <w:pitch w:val="variable"/>
    <w:sig w:usb0="00000000" w:usb1="00000000" w:usb2="00000000" w:usb3="00000000" w:csb0="00000001" w:csb1="00000000"/>
  </w:font>
  <w:font w:name="Times New Roman">
    <w:panose1 w:val="02020603050405020304"/>
    <w:charset w:val="A1"/>
    <w:family w:val="auto"/>
    <w:pitch w:val="variable"/>
    <w:sig w:usb0="E0002EFF" w:usb1="C000785B" w:usb2="00000009" w:usb3="00000000" w:csb0="400001FF" w:csb1="FFFF0000"/>
  </w:font>
  <w:font w:name="Arial">
    <w:panose1 w:val="020B0604020202020204"/>
    <w:charset w:val="01"/>
    <w:family w:val="swiss"/>
    <w:pitch w:val="variable"/>
    <w:sig w:usb0="E0002EFF" w:usb1="C000785B" w:usb2="00000009" w:usb3="00000000" w:csb0="400001FF" w:csb1="FFFF0000"/>
  </w:font>
  <w:font w:name="Courier New">
    <w:panose1 w:val="02070309020205020404"/>
    <w:charset w:val="01"/>
    <w:family w:val="modern"/>
    <w:pitch w:val="variable"/>
    <w:sig w:usb0="E0002EFF" w:usb1="C0007843" w:usb2="00000009" w:usb3="00000000" w:csb0="400001FF" w:csb1="FFFF0000"/>
  </w:font>
  <w:font w:name="Calibri">
    <w:panose1 w:val="020F0502020204030204"/>
    <w:charset w:val="00"/>
    <w:family w:val="swiss"/>
    <w:pitch w:val="variable"/>
    <w:sig w:usb0="E4002EFF" w:usb1="C000247B" w:usb2="00000009" w:usb3="00000000" w:csb0="2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framePr w:w="0" w:hRule="auto" w:wrap="around" w:vAnchor="text" w:hAnchor="margin" w:xAlign="center" w:y="1" w:anchorLock="0"/>
      <w:tabs>
        <w:tab w:val="center" w:pos="4153"/>
        <w:tab w:val="right" w:pos="8306"/>
      </w:tabs>
      <w:rPr>
        <w:rStyle w:val="22"/>
      </w:rPr>
    </w:pPr>
    <w:r>
      <w:rPr>
        <w:rStyle w:val="22"/>
      </w:rPr>
      <w:fldChar w:fldCharType="begin"/>
    </w:r>
    <w:r>
      <w:rPr>
        <w:rStyle w:val="22"/>
      </w:rPr>
      <w:instrText xml:space="preserve">PAGE  </w:instrText>
    </w:r>
    <w:r>
      <w:rPr>
        <w:rStyle w:val="22"/>
      </w:rPr>
      <w:fldChar w:fldCharType="separate"/>
    </w:r>
    <w:r>
      <w:rPr>
        <w:rStyle w:val="22"/>
      </w:rPr>
      <w:t>1</w:t>
    </w:r>
    <w:r>
      <w:rPr>
        <w:rStyle w:val="22"/>
      </w:rPr>
      <w:fldChar w:fldCharType="end"/>
    </w:r>
  </w:p>
  <w:p>
    <w:pPr>
      <w:pStyle w:val="19"/>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framePr w:w="0" w:hRule="auto" w:wrap="around" w:vAnchor="text" w:hAnchor="margin" w:xAlign="center" w:y="1" w:anchorLock="0"/>
      <w:tabs>
        <w:tab w:val="center" w:pos="4153"/>
        <w:tab w:val="right" w:pos="8306"/>
      </w:tabs>
      <w:rPr>
        <w:rStyle w:val="22"/>
      </w:rPr>
    </w:pPr>
    <w:r>
      <w:rPr>
        <w:rStyle w:val="22"/>
      </w:rPr>
      <w:fldChar w:fldCharType="begin"/>
    </w:r>
    <w:r>
      <w:rPr>
        <w:rStyle w:val="22"/>
      </w:rPr>
      <w:instrText xml:space="preserve">PAGE  </w:instrText>
    </w:r>
    <w:r>
      <w:rPr>
        <w:rStyle w:val="22"/>
      </w:rPr>
      <w:fldChar w:fldCharType="separate"/>
    </w:r>
    <w:r>
      <w:rPr>
        <w:rStyle w:val="22"/>
      </w:rPr>
      <w:t>2</w:t>
    </w:r>
    <w:r>
      <w:rPr>
        <w:rStyle w:val="22"/>
      </w:rPr>
      <w:fldChar w:fldCharType="end"/>
    </w:r>
  </w:p>
  <w:p>
    <w:pPr>
      <w:pStyle w:val="19"/>
      <w:tabs>
        <w:tab w:val="center" w:pos="4153"/>
        <w:tab w:val="right" w:pos="8306"/>
      </w:tabs>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pBdr>
        <w:bottom w:val="none" w:sz="0" w:space="0" w:color="auto"/>
      </w:pBdr>
      <w:tabs>
        <w:tab w:val="center" w:pos="4153"/>
        <w:tab w:val="right" w:pos="8306"/>
      </w:tabs>
    </w:pP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tabs>
        <w:tab w:val="center" w:pos="4153"/>
        <w:tab w:val="right" w:pos="8306"/>
      </w:tabs>
      <w:jc w:val="both"/>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efaultTabStop w:val="420"/>
  <w:drawingGridHorizontalSpacing w:val="102"/>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useAltKinsokuLineBreakRules/>
    <w:compatSetting w:name="compatibilityMode" w:uri="http://schemas.microsoft.com/office/word" w:val="14"/>
  </w:compat>
  <w:docVars>
    <w:docVar w:name="commondata" w:val="eyJoZGlkIjoiNWM1ZTQxMzYzZjY0OTUxZjljNDA5YzU2NjE0YmMxY2UifQ=="/>
  </w:docVars>
  <m:mathPr>
    <m:mathFont m:val="Cambria Math"/>
    <m:brkBin m:val="before"/>
    <m:brkBinSub m:val="--"/>
    <m:smallFrac m:val="0"/>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next w:val="16"/>
    <w:pPr>
      <w:widowControl w:val="0"/>
      <w:jc w:val="both"/>
    </w:pPr>
    <w:rPr>
      <w:rFonts w:ascii="Times New Roman" w:eastAsia="宋体" w:cs="Times New Roman" w:hAnsi="Times New Roman"/>
      <w:kern w:val="2"/>
      <w:sz w:val="21"/>
      <w:szCs w:val="24"/>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qFormat/>
    <w:basedOn w:val="0"/>
    <w:next w:val="0"/>
    <w:link w:val="2Char"/>
    <w:pPr>
      <w:keepNext/>
      <w:keepLines/>
      <w:spacing w:before="120" w:after="120" w:line="480" w:lineRule="exact"/>
      <w:outlineLvl w:val="1"/>
    </w:pPr>
    <w:rPr>
      <w:b/>
      <w:bCs/>
      <w:sz w:val="30"/>
      <w:szCs w:val="32"/>
    </w:rPr>
  </w:style>
  <w:style w:type="character" w:customStyle="1" w:styleId="2Char">
    <w:name w:val="heading 2 Char"/>
    <w:basedOn w:val="10"/>
    <w:link w:val="2"/>
    <w:rPr>
      <w:rFonts w:ascii="Times New Roman" w:eastAsia="宋体" w:cs="Times New Roman" w:hAnsi="Times New Roman"/>
      <w:b/>
      <w:bCs/>
      <w:kern w:val="2"/>
      <w:sz w:val="30"/>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Times New Roman" w:eastAsia="宋体" w:cs="Times New Roman" w:hAnsi="Times New Roman"/>
      <w:b/>
      <w:bCs/>
      <w:kern w:val="2"/>
      <w:sz w:val="32"/>
      <w:szCs w:val="32"/>
      <w:lang w:val="en-US" w:eastAsia="zh-CN" w:bidi="ar-SA"/>
    </w:rPr>
  </w:style>
  <w:style w:type="paragraph" w:styleId="4">
    <w:name w:val="heading 4"/>
    <w:qFormat/>
    <w:basedOn w:val="15"/>
    <w:next w:val="16"/>
    <w:link w:val="4Char"/>
    <w:pPr>
      <w:keepNext/>
      <w:keepLines/>
      <w:spacing w:before="280" w:beforeAutospacing="0" w:after="290" w:afterAutospacing="0" w:line="372" w:lineRule="auto"/>
      <w:outlineLvl w:val="3"/>
    </w:pPr>
    <w:rPr>
      <w:rFonts w:ascii="Arial" w:eastAsia="黑体" w:hAnsi="Arial"/>
      <w:b/>
      <w:sz w:val="28"/>
    </w:rPr>
  </w:style>
  <w:style w:type="character" w:customStyle="1" w:styleId="4Char">
    <w:name w:val="heading 4 Char"/>
    <w:basedOn w:val="15Char"/>
    <w:link w:val="4"/>
    <w:rPr>
      <w:rFonts w:ascii="Arial" w:eastAsia="黑体" w:hAnsi="Arial"/>
      <w:b/>
      <w:sz w:val="28"/>
    </w:rPr>
  </w:style>
  <w:style w:type="character" w:default="1" w:styleId="10">
    <w:name w:val="Default Paragraph Font"/>
    <w:qFormat/>
  </w:style>
  <w:style w:type="paragraph" w:styleId="15">
    <w:name w:val="toc 4"/>
    <w:qFormat/>
    <w:basedOn w:val="0"/>
    <w:next w:val="0"/>
    <w:pPr>
      <w:ind w:leftChars="600" w:left="600"/>
    </w:pPr>
    <w:rPr>
      <w:szCs w:val="20"/>
    </w:rPr>
  </w:style>
  <w:style w:type="paragraph" w:styleId="16">
    <w:name w:val="Normal Indent"/>
    <w:qFormat/>
    <w:basedOn w:val="0"/>
    <w:next w:val="4"/>
    <w:pPr>
      <w:ind w:firstLineChars="200" w:firstLine="200"/>
    </w:pPr>
    <w:rPr>
      <w:szCs w:val="20"/>
    </w:rPr>
  </w:style>
  <w:style w:type="paragraph" w:styleId="17">
    <w:name w:val="Block Text"/>
    <w:qFormat/>
    <w:basedOn w:val="0"/>
    <w:next w:val="0"/>
    <w:pPr>
      <w:ind w:leftChars="700" w:left="700" w:rightChars="700" w:right="700"/>
    </w:pPr>
  </w:style>
  <w:style w:type="paragraph" w:styleId="18">
    <w:name w:val="Plain Text"/>
    <w:qFormat/>
    <w:basedOn w:val="0"/>
    <w:rPr>
      <w:rFonts w:ascii="宋体" w:cs="Courier New" w:hAnsi="Courier New"/>
      <w:szCs w:val="21"/>
    </w:rPr>
  </w:style>
  <w:style w:type="paragraph" w:styleId="19">
    <w:name w:val="footer"/>
    <w:qFormat/>
    <w:basedOn w:val="0"/>
    <w:pPr>
      <w:tabs>
        <w:tab w:val="center" w:pos="4153"/>
        <w:tab w:val="right" w:pos="8306"/>
      </w:tabs>
      <w:snapToGrid w:val="0"/>
      <w:jc w:val="left"/>
    </w:pPr>
    <w:rPr>
      <w:sz w:val="18"/>
      <w:szCs w:val="18"/>
    </w:rPr>
  </w:style>
  <w:style w:type="paragraph" w:styleId="20">
    <w:name w:val="header"/>
    <w:qFormat/>
    <w:basedOn w:val="0"/>
    <w:pPr>
      <w:pBdr>
        <w:bottom w:val="single" w:sz="6" w:space="1" w:color="auto"/>
      </w:pBdr>
      <w:tabs>
        <w:tab w:val="center" w:pos="4153"/>
        <w:tab w:val="right" w:pos="8306"/>
      </w:tabs>
      <w:snapToGrid w:val="0"/>
      <w:jc w:val="center"/>
    </w:pPr>
    <w:rPr>
      <w:sz w:val="18"/>
      <w:szCs w:val="18"/>
    </w:rPr>
  </w:style>
  <w:style w:type="paragraph" w:styleId="21">
    <w:name w:val="toc 1"/>
    <w:qFormat/>
    <w:basedOn w:val="0"/>
    <w:next w:val="0"/>
    <w:pPr>
      <w:spacing w:line="360" w:lineRule="auto"/>
      <w:jc w:val="both"/>
    </w:pPr>
    <w:rPr>
      <w:rFonts w:ascii="Calibri" w:eastAsia="宋体" w:cs="Times New Roman" w:hAnsi="Calibri"/>
      <w:b/>
      <w:kern w:val="2"/>
      <w:sz w:val="24"/>
      <w:szCs w:val="24"/>
      <w:lang w:val="en-US" w:eastAsia="zh-CN" w:bidi="ar-SA"/>
    </w:rPr>
  </w:style>
  <w:style w:type="character" w:styleId="22">
    <w:name w:val="page number"/>
    <w:qFormat/>
    <w:rPr>
      <w:rFonts w:cs="Times New Roman"/>
    </w:rPr>
  </w:style>
  <w:style w:type="paragraph" w:customStyle="1" w:yozoId="4094" w:styleId="23">
    <w:name w:val="Char Char Char Char Char Char Char Char Char1 Char"/>
    <w:qFormat/>
    <w:basedOn w:val="0"/>
    <w:pPr>
      <w:spacing w:line="360" w:lineRule="auto"/>
      <w:ind w:firstLineChars="200" w:firstLine="200"/>
    </w:pPr>
    <w:rPr>
      <w:rFonts w:ascii="宋体" w:cs="宋体" w:hAnsi="宋体"/>
      <w:sz w:val="24"/>
    </w:rPr>
  </w:style>
  <w:style w:type="paragraph" w:customStyle="1" w:yozoId="4094" w:styleId="24">
    <w:name w:val="列出段落1"/>
    <w:qFormat/>
    <w:basedOn w:val="0"/>
    <w:pPr>
      <w:ind w:firstLineChars="200" w:firstLine="200"/>
    </w:pPr>
  </w:style>
  <w:style w:type="paragraph" w:customStyle="1" w:yozoId="4094" w:styleId="25">
    <w:name w:val="纯文本1"/>
    <w:qFormat/>
    <w:basedOn w:val="0"/>
    <w:rPr>
      <w:rFonts w:ascii="宋体" w:hAnsi="Courier New"/>
      <w:kern w:val="0"/>
      <w:sz w:val="20"/>
      <w:szCs w:val="21"/>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styles" Target="styles.xml"/><Relationship Id="rId7" Type="http://schemas.openxmlformats.org/officeDocument/2006/relationships/fontTable" Target="fontTable.xml"/><Relationship Id="rId8" Type="http://schemas.openxmlformats.org/officeDocument/2006/relationships/customXml" Target="../customXml/item1.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4195726C-E055-42FC-B734-C12A17494739}">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12</TotalTime>
  <Application>WPS_Yozo_Office9.0.5691.102ZH.HE16</Application>
  <Pages>4</Pages>
  <Words>0</Words>
  <Characters>1596</Characters>
  <Lines>0</Lines>
  <Paragraphs>33</Paragraphs>
  <CharactersWithSpaces>2129</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NTKO</dc:creator>
  <cp:lastModifiedBy>Administrator</cp:lastModifiedBy>
  <cp:revision>4</cp:revision>
  <cp:lastPrinted>2025-04-07T01:05:34Z</cp:lastPrinted>
  <dcterms:created xsi:type="dcterms:W3CDTF">2021-05-11T06:06:00Z</dcterms:created>
  <dcterms:modified xsi:type="dcterms:W3CDTF">2025-04-07T01:06:00Z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2052-12.1.0.20305</vt:lpwstr>
  </property>
  <property fmtid="{D5CDD505-2E9C-101B-9397-08002B2CF9AE}" pid="3" name="ICV">
    <vt:lpwstr>9F56FF9F62CF49A9A8F6B7384AE2E627</vt:lpwstr>
  </property>
  <property fmtid="{D5CDD505-2E9C-101B-9397-08002B2CF9AE}" pid="4" name="KSOTemplateDocerSaveRecord">
    <vt:lpwstr>eyJoZGlkIjoiN2M2ZDkyODYwMDZiOTNhMTViMTRiNzZmNGVkY2Y5ZTMiLCJ1c2VySWQiOiIyOTkxOTQ4NDIifQ==</vt:lpwstr>
  </property>
</Properties>
</file>