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高新区政法委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rPr>
          <w:rFonts w:ascii="方正仿宋_GBK" w:eastAsia="方正仿宋_GBK"/>
          <w:szCs w:val="22"/>
        </w:rPr>
      </w:pPr>
    </w:p>
    <w:p>
      <w:pPr>
        <w:rPr>
          <w:rFonts w:ascii="方正仿宋_GBK" w:eastAsia="方正仿宋_GBK"/>
          <w:szCs w:val="22"/>
        </w:rPr>
      </w:pPr>
    </w:p>
    <w:p>
      <w:pPr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pStyle w:val="2"/>
        <w:rPr>
          <w:rFonts w:ascii="方正仿宋_GBK" w:eastAsia="方正仿宋_GBK"/>
          <w:szCs w:val="22"/>
        </w:rPr>
      </w:pPr>
    </w:p>
    <w:p>
      <w:pPr>
        <w:pStyle w:val="2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both"/>
        <w:rPr>
          <w:rFonts w:ascii="方正仿宋_GBK" w:eastAsia="方正仿宋_GBK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bCs/>
          <w:sz w:val="32"/>
          <w:szCs w:val="22"/>
        </w:rPr>
      </w:pPr>
      <w:r>
        <w:rPr>
          <w:rFonts w:hint="eastAsia" w:ascii="楷体_GB2312" w:hAnsi="楷体_GB2312" w:eastAsia="楷体_GB2312" w:cs="楷体_GB2312"/>
          <w:bCs/>
          <w:sz w:val="32"/>
          <w:szCs w:val="22"/>
        </w:rPr>
        <w:t>高新区政法委编制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pStyle w:val="2"/>
      </w:pPr>
    </w:p>
    <w:p>
      <w:pPr>
        <w:spacing w:before="156" w:beforeLines="50" w:after="156" w:afterLines="50" w:line="56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（一）推进社会治理体系和治理能力现代化建设</w:t>
      </w:r>
    </w:p>
    <w:p>
      <w:pPr>
        <w:spacing w:line="580" w:lineRule="exact"/>
        <w:ind w:firstLine="63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1.加强雪亮工程设备维护管理。2.大力推动市域社会治理现代化工作。3.持续做好社会治安保险参保工作。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（二）继续做好维稳各项工作，确保社会大局稳定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1.做好本年度维护社会稳定工作，按照市维稳办要求按时完成各项工作。2.做好打击防范、宣传、“双清”、以及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解脱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人员的去存量工作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做好涉法涉诉信访案件有（无）理访认定工作。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（三）继续做好司法法制工作，全面推进依法行政。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1.推进普法宣传，建立完善普法宣传长效机制。2.提升司法所办公设施、工作人员业务水平。3.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法务工作有序推进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before="156" w:beforeLines="50" w:after="156" w:afterLines="50" w:line="56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fldChar w:fldCharType="begin"/>
      </w:r>
      <w:r>
        <w:instrText xml:space="preserve"> HYPERLINK "http://www.baidu.com/link?url=WbrCOPq8Mf_xPMq5dV60vAFmq6F0NBJAd859rSRKoYyWTYc7eUrLsy4178YcoN7P" \t "https://www.baidu.com/_blank" </w:instrText>
      </w:r>
      <w:r>
        <w:fldChar w:fldCharType="separate"/>
      </w:r>
      <w:r>
        <w:rPr>
          <w:rFonts w:ascii="楷体_GB2312" w:hAnsi="楷体_GB2312" w:eastAsia="楷体_GB2312" w:cs="楷体_GB2312"/>
          <w:sz w:val="32"/>
          <w:szCs w:val="32"/>
        </w:rPr>
        <w:t>社区矫正稳防线</w:t>
      </w:r>
      <w:r>
        <w:rPr>
          <w:rFonts w:ascii="楷体_GB2312" w:hAnsi="楷体_GB2312" w:eastAsia="楷体_GB2312" w:cs="楷体_GB2312"/>
          <w:sz w:val="32"/>
          <w:szCs w:val="32"/>
        </w:rPr>
        <w:fldChar w:fldCharType="end"/>
      </w:r>
      <w:r>
        <w:rPr>
          <w:rFonts w:hint="eastAsia" w:ascii="楷体_GB2312" w:hAnsi="楷体_GB2312" w:eastAsia="楷体_GB2312" w:cs="楷体_GB2312"/>
          <w:sz w:val="32"/>
          <w:szCs w:val="32"/>
        </w:rPr>
        <w:t>，普法意识入人心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标：推进普法宣传，建立完善普法宣传长效机制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实现社区矫正人员法制观念、劳动技能提升，提高社区矫正工作的社会效益。确保“零脱管”和“无重新犯罪”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绩效指标：普法工作覆盖率，在各个领域的普及情况达到90%；社区矫正人员达到规范化管理达到100%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instrText xml:space="preserve"> HYPERLINK "http://www.baidu.com/link?url=Otp_NCd0EdNAkVaSkzEEI9suuFMl182RZp0f6flYnlAh6dN4Pr3AqUnxJUKfYlPM" \t "https://www.baidu.com/_blank" </w:instrTex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法律援助助人民,人民调解解民忧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end"/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绩效目标：人民调解专项经费落实，确保人民调解工作正常开展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群众对人民调解工作满意度达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案件调解成功数量占案件总数量百分比达到90%。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instrText xml:space="preserve"> HYPERLINK "http://www.baidu.com/link?url=N9171_WgwXFxNgVGYZqfxGxd838LA4BEdgxlWct9rkqQFyfb1dOsdT1wW4KAOpwz9pv49wf95C1JnD0W5PkIRpCKuDRiPU_KdO2pE4uX69S" \t "https://www.baidu.com/_blank" </w:instrTex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抓住重点扎实推进司法所规范化建设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end"/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绩效目标：提升司法所办公设施、工作人员业务水平。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绩效指标：创建1个规范化司法所，达到省级要求标准。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instrText xml:space="preserve"> HYPERLINK "http://www.baidu.com/link?url=v3utMuDpYL0KEhsw30fZp-2q-jR9yYZboSyZAjZIEzW427673baN9d8lcMWuXsJo" \t "https://www.baidu.com/_blank" </w:instrTex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法律顾问进社区,服务便民暖人心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fldChar w:fldCharType="end"/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绩效目标：法务工作有序推进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绩效指标：规定时限完成法律咨询、应诉方服务达到95%；审核数量达到50起。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五</w:t>
      </w:r>
      <w:r>
        <w:rPr>
          <w:rFonts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做好年度维护社会稳定工作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绩效目标：做好本年度维护社会稳定工作，按照市维稳办要求按时完成各项工作;做好打击防范、宣传、“双清”、以及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解脱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人员的去存量工作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；做好涉法涉诉信访案件有（无）理访认定工作。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绩效指标：当年信访敏感期任务完成率≥9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%;完成各项防范宣传工作次数≥3种;信访敏感时期值班人员到位人数占值班人数百分比达100%;开展宣传活动的种类≥2种;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维稳工作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人民群众的满意度、知晓率≥90%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；实际涉法涉诉信访案件发生情况及时进行评查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98%；实际涉法涉诉信访案件发生情况认定达100%；根据涉法涉诉信访案件发生情况认定次数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3次；开展涉法涉诉调度会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2次；涉法涉诉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人民群众的满意度、知晓率≥90%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（六）加强“雪亮工程”设备运维管理，提高视频监控实战化应用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绩效目标：建立长效机制，提高视频监控系统运维管理。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绩效指标：视频监控点位设备在线率需达到95%以上。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（七）增强人民群众安全感，提高预防各类风险能力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绩效目标：开展市域社会治理宣传、平安建设“八进”和扫黑除恶斗争宣传教育活动,营造良好的宣传氛围，激发全民参与平安创建的积极性。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绩效指标：通过宣传，广大群众满意度达90%以上。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（八）加强网格化管理，着力提升网格管理服务水平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绩效目标：开展网格日常走访巡查活动，采集网格内人口、家庭、房屋等基础信息，做到底数清、情况明、信息准。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绩效指标：网格员每周走访率达到100%。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（九）加强严重精神障碍患者管控，保障人民安全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绩效目标：加强严重精神障碍患者服务管理，预防和减少易肇事肇祸案事件的发生。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绩效指标：严重精神障碍患者责任险参保人数达到100%。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（十）推进社会治安保险工作，实现参保全覆盖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绩效目标：调动和激发广大群众参与群防群治的积极性，不断提高市域社会治理能力，大力促进平安高新建设。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绩效指标：治安保险参保率达到100%。</w:t>
      </w:r>
    </w:p>
    <w:p>
      <w:pPr>
        <w:pStyle w:val="2"/>
        <w:numPr>
          <w:ilvl w:val="0"/>
          <w:numId w:val="1"/>
        </w:numPr>
        <w:ind w:left="630" w:leftChars="0" w:firstLine="0" w:firstLineChars="0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加强司法行政系统视频会议设备日常维护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保障法制处各项日常工作正常开展。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确保法制处相关工作的开展得到有效保障，保障范围的服务对象满意度达到90%。</w:t>
      </w:r>
    </w:p>
    <w:p>
      <w:pPr>
        <w:pStyle w:val="2"/>
        <w:numPr>
          <w:ilvl w:val="0"/>
          <w:numId w:val="1"/>
        </w:numPr>
        <w:ind w:left="63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共享政法信息资源、提高政法系统的工作效率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保障政法机关网络安全运行，实现政法网互联互通。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绩效指标：确保全市政法网运行维护招投标工作顺利开展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（十三）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安装视频监控提醒标示牌，震慑各类违法犯罪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通过加装视频监控提醒标示牌，震慑各类违法犯罪，防范社会治安案件发生。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提醒标示牌安装完成率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100%。</w:t>
      </w:r>
    </w:p>
    <w:p>
      <w:pPr>
        <w:spacing w:before="156" w:beforeLines="50" w:after="156" w:afterLines="50" w:line="56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（一）</w:t>
      </w:r>
      <w:r>
        <w:rPr>
          <w:rFonts w:ascii="楷体_GB2312" w:hAnsi="楷体_GB2312" w:eastAsia="楷体_GB2312" w:cs="楷体_GB2312"/>
          <w:sz w:val="32"/>
          <w:szCs w:val="32"/>
          <w:lang w:bidi="ar"/>
        </w:rPr>
        <w:t>完善制度建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制定完善预算绩效监控制度、资金管理办法、固定资产购置和管理制度、内部控制制度等相关制度。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（二）加强支出管理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预算安排，按时间节点对项目支出情况进行监控和汇报。按时分析支出进度情况及原因，及时反映预算执行动态，确保财政预算支出进度顺利完成。加强各个项目负责人预算执行的责任意识，优化财政资金使用，提高财政资金的效益性和安全性。</w:t>
      </w:r>
    </w:p>
    <w:p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（三）加强绩效运行监控</w:t>
      </w:r>
      <w:r>
        <w:rPr>
          <w:rFonts w:hint="eastAsia" w:ascii="楷体_GB2312" w:hAnsi="楷体_GB2312" w:eastAsia="楷体_GB2312" w:cs="楷体_GB231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按照上级要求按季度开展绩效运行监控，掌握预算支出进度、项目实施情况及项目绩效情况，及时发现问题并采取有效措施，确保绩效目标按时保质保量完成。</w:t>
      </w:r>
    </w:p>
    <w:p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（四）做好绩效自评工作</w:t>
      </w:r>
      <w:r>
        <w:rPr>
          <w:rFonts w:hint="eastAsia" w:ascii="楷体_GB2312" w:hAnsi="楷体_GB2312" w:eastAsia="楷体_GB2312" w:cs="楷体_GB231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按照要求开展对上年度部门预算绩效进行自评工作，并对自评中发现的问题及时整改，结合实际情况调整优化支出结构，提高财政资金使用效益。</w:t>
      </w:r>
    </w:p>
    <w:p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（五）规范固定资产及办公耗材管理</w:t>
      </w:r>
      <w:r>
        <w:rPr>
          <w:rFonts w:hint="eastAsia" w:ascii="楷体_GB2312" w:hAnsi="楷体_GB2312" w:eastAsia="楷体_GB2312" w:cs="楷体_GB231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完善固定资产购置及管理制度，规范审批程序，做好固定资产登记及使用报废处置登记，对人员支领办公耗材进行登记，做到支出合理，物尽其用。</w:t>
      </w:r>
    </w:p>
    <w:p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（六）加强内部监督，完善内部控制</w:t>
      </w:r>
      <w:r>
        <w:rPr>
          <w:rFonts w:hint="eastAsia" w:ascii="楷体_GB2312" w:hAnsi="楷体_GB2312" w:eastAsia="楷体_GB2312" w:cs="楷体_GB231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加强内部监督制度建设，做好内控工作，对项目风险管控工作进行督导，对会计账簿等材料进行内部审计，并配合做好上级财政监督等工作，确保财政资金安全有效。</w:t>
      </w:r>
    </w:p>
    <w:p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（七）增加财务人员培训调研次数，提升财务人员业务能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安排财务人员培训，提高职工业务素质；加强调研交流工作，学习优化财政资金配置、提高资金使用效益的经验方法。</w:t>
      </w:r>
    </w:p>
    <w:p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雪亮工程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一期（质保金）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预算项目绩效表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4888" w:type="pc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71"/>
        <w:gridCol w:w="50"/>
        <w:gridCol w:w="688"/>
        <w:gridCol w:w="931"/>
        <w:gridCol w:w="2383"/>
        <w:gridCol w:w="1095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————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7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雪亮工程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一期（质保金）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资金用途</w:t>
            </w:r>
          </w:p>
        </w:tc>
        <w:tc>
          <w:tcPr>
            <w:tcW w:w="434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雪亮工程一期无质量问题，按照合同约定，支付工程款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5%质保金。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资金支出计划（累计%）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3月底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6月底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4349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雪亮工程一期建项目三年内无质量问题，支付剩余合同的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绩效指标描述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指标值/描述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设备数量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前端设备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=882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设备完好率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设备完好、能够正常使用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8"/>
                <w:sz w:val="21"/>
                <w:szCs w:val="21"/>
                <w:lang w:bidi="ar"/>
              </w:rPr>
              <w:t>≥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95%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设备在线率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查看设备在线情况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8"/>
                <w:sz w:val="21"/>
                <w:szCs w:val="21"/>
                <w:lang w:bidi="ar"/>
              </w:rPr>
              <w:t>≥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95%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工程质量完好率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土建立杆基础完好情况。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</w:pPr>
            <w:r>
              <w:rPr>
                <w:rStyle w:val="8"/>
                <w:sz w:val="21"/>
                <w:szCs w:val="21"/>
                <w:lang w:bidi="ar"/>
              </w:rPr>
              <w:t>≥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95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网络连通性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查看网络是否连通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维护社会稳定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投入使用后，是否提高了群众的安全感，维护了社会大局稳定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工作效率不断提高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功能应用是否满足现实要求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雪亮工程运行维护费预算项目绩效表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4888" w:type="pc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71"/>
        <w:gridCol w:w="50"/>
        <w:gridCol w:w="688"/>
        <w:gridCol w:w="931"/>
        <w:gridCol w:w="2383"/>
        <w:gridCol w:w="1095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————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7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雪亮工程运行维护服务费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资金用途</w:t>
            </w:r>
          </w:p>
        </w:tc>
        <w:tc>
          <w:tcPr>
            <w:tcW w:w="434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用于支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付雪亮工程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运行服务费。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资金支出计划（累计%）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3月底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6月底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4349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保障高新区雪亮工程项目运行，开展设备维护日常服务。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绩效指标描述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指标值/描述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设备数量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所需维护设备数量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1090个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设备完好率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设备完好、能够正常使用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8"/>
                <w:sz w:val="21"/>
                <w:szCs w:val="21"/>
                <w:lang w:bidi="ar"/>
              </w:rPr>
              <w:t>≥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95%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设备在线率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查看设备在线情况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8"/>
                <w:sz w:val="21"/>
                <w:szCs w:val="21"/>
                <w:lang w:bidi="ar"/>
              </w:rPr>
              <w:t>≥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95%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及时维修率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对设备故障进行及时维修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21"/>
                <w:szCs w:val="21"/>
                <w:lang w:bidi="ar"/>
              </w:rPr>
              <w:t>≤2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1"/>
                <w:szCs w:val="21"/>
                <w:lang w:eastAsia="zh-CN" w:bidi="ar"/>
              </w:rPr>
              <w:t>小时</w:t>
            </w:r>
            <w:bookmarkStart w:id="0" w:name="_GoBack"/>
            <w:bookmarkEnd w:id="0"/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网络连通性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查看网络是否连通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维护社会稳定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投入使用后，是否提高了群众的安全感，维护了社会大局稳定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工作效率不断提高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功能应用是否满足现实要求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综治重点工作经费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预算项目绩效表</w:t>
      </w:r>
    </w:p>
    <w:p/>
    <w:tbl>
      <w:tblPr>
        <w:tblStyle w:val="6"/>
        <w:tblW w:w="487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7"/>
        <w:gridCol w:w="432"/>
        <w:gridCol w:w="591"/>
        <w:gridCol w:w="798"/>
        <w:gridCol w:w="600"/>
        <w:gridCol w:w="1597"/>
        <w:gridCol w:w="866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————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2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综治重点工作经费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资金用途</w:t>
            </w:r>
          </w:p>
        </w:tc>
        <w:tc>
          <w:tcPr>
            <w:tcW w:w="43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按照省市工作部署，用于推进202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年各项综治重点工作。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资金支出计划（累计%）</w:t>
            </w: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3月底</w:t>
            </w:r>
          </w:p>
        </w:tc>
        <w:tc>
          <w:tcPr>
            <w:tcW w:w="11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6月底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30%</w:t>
            </w:r>
          </w:p>
        </w:tc>
        <w:tc>
          <w:tcPr>
            <w:tcW w:w="11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70%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90%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4363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组织开展精神障碍责任险和以奖代补及市域社会治理宣传、平安建设、扫黑除恶斗争、铁路护路联防等工作，营造宣传氛围，激发平安创建的积极性。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绩效指标描述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指标值/描述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信息采集覆盖率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事件信息采集领域覆盖率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矛盾纠纷化解率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上报各类矛盾纠纷及时化解率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设备数量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满足会议终端数量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10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制作宣传品数量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发放各类宣传品数量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≥50000张/册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活动次数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组织开展各类宣传活动次数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≥3次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管理人数占比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严重精神障碍患者责任险登记管理人数占比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≥95%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参保率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责任险参保率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95%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服务对象的满意度占比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≥85%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</w:tbl>
    <w:p>
      <w:pPr>
        <w:pStyle w:val="2"/>
        <w:jc w:val="both"/>
        <w:rPr>
          <w:rFonts w:hint="eastAsia" w:eastAsia="宋体"/>
          <w:lang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B867D"/>
    <w:multiLevelType w:val="singleLevel"/>
    <w:tmpl w:val="249B867D"/>
    <w:lvl w:ilvl="0" w:tentative="0">
      <w:start w:val="11"/>
      <w:numFmt w:val="chineseCounting"/>
      <w:suff w:val="nothing"/>
      <w:lvlText w:val="（%1）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62F0"/>
    <w:rsid w:val="1AB26E4F"/>
    <w:rsid w:val="1AEF6AAA"/>
    <w:rsid w:val="1E025426"/>
    <w:rsid w:val="1E7809D9"/>
    <w:rsid w:val="225878DC"/>
    <w:rsid w:val="366A6CC1"/>
    <w:rsid w:val="3BCB4905"/>
    <w:rsid w:val="51324B68"/>
    <w:rsid w:val="61440C81"/>
    <w:rsid w:val="631603F0"/>
    <w:rsid w:val="677F0960"/>
    <w:rsid w:val="76E914B0"/>
    <w:rsid w:val="7F3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/>
    </w:p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2023-01-03T07:40:00Z</dcterms:created>
  <dc:creator>Master</dc:creator>
  <cp:lastModifiedBy>Master</cp:lastModifiedBy>
  <dcterms:modified xsi:type="dcterms:W3CDTF">2023-01-04T05:50:32Z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