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eastAsia="zh-CN"/>
        </w:rPr>
        <w:t>3</w:t>
      </w:r>
      <w:r>
        <w:rPr>
          <w:rFonts w:hint="eastAsia"/>
          <w:lang w:eastAsia="zh-CN"/>
        </w:rP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5</w:t>
      </w:r>
      <w:r>
        <w:rPr>
          <w:rFonts w:hint="eastAsia"/>
          <w:lang w:eastAsia="zh-CN"/>
        </w:rP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eastAsia="zh-CN"/>
        </w:rPr>
        <w:t>6</w:t>
      </w:r>
      <w:r>
        <w:rPr>
          <w:rFonts w:hint="eastAsia"/>
          <w:lang w:eastAsia="zh-CN"/>
        </w:rP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eastAsia="zh-CN"/>
        </w:rPr>
        <w:t>7</w:t>
      </w:r>
      <w:r>
        <w:rPr>
          <w:rFonts w:hint="eastAsia"/>
          <w:lang w:eastAsia="zh-CN"/>
        </w:rPr>
        <w:fldChar w:fldCharType="end"/>
      </w:r>
    </w:p>
    <w:p>
      <w:pPr>
        <w:pStyle w:val="32"/>
        <w:tabs>
          <w:tab w:val="right" w:leader="dot" w:pos="14562"/>
        </w:tabs>
        <w:rPr>
          <w:lang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1</w:t>
      </w:r>
      <w:r>
        <w:rPr>
          <w:rFonts w:hint="eastAsia"/>
          <w:lang w:eastAsia="zh-CN"/>
        </w:rPr>
        <w:fldChar w:fldCharType="end"/>
      </w:r>
      <w:r>
        <w:rPr>
          <w:rFonts w:hint="eastAsia"/>
          <w:lang w:eastAsia="zh-CN"/>
        </w:rPr>
        <w:t>0</w:t>
      </w:r>
    </w:p>
    <w:p>
      <w:pPr>
        <w:pStyle w:val="32"/>
        <w:tabs>
          <w:tab w:val="right" w:leader="dot" w:pos="14562"/>
        </w:tabs>
        <w:rPr>
          <w:lang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1</w:t>
      </w:r>
      <w:r>
        <w:rPr>
          <w:rFonts w:hint="eastAsia"/>
          <w:lang w:eastAsia="zh-CN"/>
        </w:rPr>
        <w:fldChar w:fldCharType="end"/>
      </w:r>
      <w:r>
        <w:rPr>
          <w:rFonts w:hint="eastAsia"/>
          <w:lang w:eastAsia="zh-CN"/>
        </w:rPr>
        <w:t>1</w:t>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eastAsia="zh-CN"/>
        </w:rPr>
        <w:t>2</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eastAsia="zh-CN"/>
        </w:rPr>
        <w:t>3</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eastAsia="zh-CN"/>
        </w:rPr>
        <w:t>4</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eastAsia="zh-CN"/>
        </w:rPr>
        <w:t>5</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eastAsia="zh-CN"/>
        </w:rPr>
        <w:t>6</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eastAsia="zh-CN"/>
        </w:rPr>
        <w:t>6</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eastAsia="zh-CN"/>
        </w:rPr>
        <w:t>6</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lang w:eastAsia="zh-CN"/>
        </w:rPr>
        <w:t>7</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w:t>
      </w:r>
      <w:r>
        <w:rPr>
          <w:rFonts w:hint="eastAsia"/>
          <w:lang w:eastAsia="zh-CN"/>
        </w:rPr>
        <w:t>4</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w:t>
      </w:r>
      <w:r>
        <w:rPr>
          <w:rFonts w:hint="eastAsia"/>
          <w:lang w:eastAsia="zh-CN"/>
        </w:rPr>
        <w:t>4</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w:t>
      </w:r>
      <w:r>
        <w:rPr>
          <w:rFonts w:hint="eastAsia"/>
          <w:lang w:eastAsia="zh-CN"/>
        </w:rPr>
        <w:t>5</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w:t>
      </w:r>
      <w:r>
        <w:rPr>
          <w:rFonts w:hint="eastAsia"/>
          <w:lang w:eastAsia="zh-CN"/>
        </w:rPr>
        <w:t>6</w:t>
      </w:r>
      <w:r>
        <w:fldChar w:fldCharType="end"/>
      </w:r>
      <w:r>
        <w:fldChar w:fldCharType="end"/>
      </w:r>
    </w:p>
    <w:p>
      <w:r>
        <w:fldChar w:fldCharType="end"/>
      </w: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144唐山市城市管理综合行政执法支队高新区执法大队</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424.95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424.95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424.95</w:t>
            </w:r>
          </w:p>
        </w:tc>
        <w:tc>
          <w:tcPr>
            <w:tcW w:w="4535" w:type="dxa"/>
            <w:vAlign w:val="center"/>
          </w:tcPr>
          <w:p>
            <w:pPr>
              <w:pStyle w:val="14"/>
            </w:pPr>
            <w:r>
              <w:t>本年支出合计</w:t>
            </w:r>
          </w:p>
        </w:tc>
        <w:tc>
          <w:tcPr>
            <w:tcW w:w="2126" w:type="dxa"/>
            <w:vAlign w:val="center"/>
          </w:tcPr>
          <w:p>
            <w:pPr>
              <w:pStyle w:val="15"/>
            </w:pPr>
            <w:r>
              <w:t>424.95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424.95</w:t>
            </w:r>
          </w:p>
        </w:tc>
        <w:tc>
          <w:tcPr>
            <w:tcW w:w="4535" w:type="dxa"/>
            <w:vAlign w:val="center"/>
          </w:tcPr>
          <w:p>
            <w:pPr>
              <w:pStyle w:val="14"/>
            </w:pPr>
            <w:r>
              <w:t>支出总计</w:t>
            </w:r>
          </w:p>
        </w:tc>
        <w:tc>
          <w:tcPr>
            <w:tcW w:w="2126" w:type="dxa"/>
            <w:vAlign w:val="center"/>
          </w:tcPr>
          <w:p>
            <w:pPr>
              <w:pStyle w:val="15"/>
            </w:pPr>
            <w:r>
              <w:t>424.95</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144唐山市城市管理综合行政执法支队高新区执法大队</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424.95</w:t>
            </w:r>
          </w:p>
        </w:tc>
        <w:tc>
          <w:tcPr>
            <w:tcW w:w="1134" w:type="dxa"/>
            <w:vAlign w:val="center"/>
          </w:tcPr>
          <w:p>
            <w:pPr>
              <w:pStyle w:val="15"/>
            </w:pPr>
            <w:r>
              <w:t>424.95</w:t>
            </w:r>
          </w:p>
        </w:tc>
        <w:tc>
          <w:tcPr>
            <w:tcW w:w="1134" w:type="dxa"/>
            <w:vAlign w:val="center"/>
          </w:tcPr>
          <w:p>
            <w:pPr>
              <w:pStyle w:val="15"/>
            </w:pPr>
            <w:r>
              <w:t>424.95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424.95</w:t>
            </w:r>
          </w:p>
        </w:tc>
        <w:tc>
          <w:tcPr>
            <w:tcW w:w="1134" w:type="dxa"/>
            <w:vAlign w:val="center"/>
          </w:tcPr>
          <w:p>
            <w:pPr>
              <w:pStyle w:val="11"/>
            </w:pPr>
            <w:r>
              <w:t>424.95</w:t>
            </w:r>
          </w:p>
        </w:tc>
        <w:tc>
          <w:tcPr>
            <w:tcW w:w="1134" w:type="dxa"/>
            <w:vAlign w:val="center"/>
          </w:tcPr>
          <w:p>
            <w:pPr>
              <w:pStyle w:val="11"/>
            </w:pPr>
            <w:r>
              <w:t>424.95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424.95</w:t>
            </w:r>
          </w:p>
        </w:tc>
        <w:tc>
          <w:tcPr>
            <w:tcW w:w="1134" w:type="dxa"/>
            <w:vAlign w:val="center"/>
          </w:tcPr>
          <w:p>
            <w:pPr>
              <w:pStyle w:val="11"/>
            </w:pPr>
            <w:r>
              <w:t>424.95</w:t>
            </w:r>
          </w:p>
        </w:tc>
        <w:tc>
          <w:tcPr>
            <w:tcW w:w="1134" w:type="dxa"/>
            <w:vAlign w:val="center"/>
          </w:tcPr>
          <w:p>
            <w:pPr>
              <w:pStyle w:val="11"/>
            </w:pPr>
            <w:r>
              <w:t>424.95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1"/>
            </w:pPr>
            <w:r>
              <w:t>424.95</w:t>
            </w:r>
          </w:p>
        </w:tc>
        <w:tc>
          <w:tcPr>
            <w:tcW w:w="1134" w:type="dxa"/>
            <w:vAlign w:val="center"/>
          </w:tcPr>
          <w:p>
            <w:pPr>
              <w:pStyle w:val="11"/>
            </w:pPr>
            <w:r>
              <w:t>424.95</w:t>
            </w:r>
          </w:p>
        </w:tc>
        <w:tc>
          <w:tcPr>
            <w:tcW w:w="1134" w:type="dxa"/>
            <w:vAlign w:val="center"/>
          </w:tcPr>
          <w:p>
            <w:pPr>
              <w:pStyle w:val="11"/>
            </w:pPr>
            <w:r>
              <w:t>424.95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144唐山市城市管理综合行政执法支队高新区执法大队</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424.95</w:t>
            </w:r>
          </w:p>
        </w:tc>
        <w:tc>
          <w:tcPr>
            <w:tcW w:w="1361" w:type="dxa"/>
            <w:vAlign w:val="center"/>
          </w:tcPr>
          <w:p>
            <w:pPr>
              <w:pStyle w:val="15"/>
            </w:pPr>
            <w:r>
              <w:t>329.85</w:t>
            </w:r>
          </w:p>
        </w:tc>
        <w:tc>
          <w:tcPr>
            <w:tcW w:w="1361" w:type="dxa"/>
            <w:vAlign w:val="center"/>
          </w:tcPr>
          <w:p>
            <w:pPr>
              <w:pStyle w:val="15"/>
            </w:pPr>
            <w:r>
              <w:t>95.10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424.95</w:t>
            </w:r>
          </w:p>
        </w:tc>
        <w:tc>
          <w:tcPr>
            <w:tcW w:w="1361" w:type="dxa"/>
            <w:vAlign w:val="center"/>
          </w:tcPr>
          <w:p>
            <w:pPr>
              <w:pStyle w:val="11"/>
            </w:pPr>
            <w:r>
              <w:t>329.85</w:t>
            </w:r>
          </w:p>
        </w:tc>
        <w:tc>
          <w:tcPr>
            <w:tcW w:w="1361" w:type="dxa"/>
            <w:vAlign w:val="center"/>
          </w:tcPr>
          <w:p>
            <w:pPr>
              <w:pStyle w:val="11"/>
            </w:pPr>
            <w:r>
              <w:t>95.10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424.95</w:t>
            </w:r>
          </w:p>
        </w:tc>
        <w:tc>
          <w:tcPr>
            <w:tcW w:w="1361" w:type="dxa"/>
            <w:vAlign w:val="center"/>
          </w:tcPr>
          <w:p>
            <w:pPr>
              <w:pStyle w:val="11"/>
            </w:pPr>
            <w:r>
              <w:t>329.85</w:t>
            </w:r>
          </w:p>
        </w:tc>
        <w:tc>
          <w:tcPr>
            <w:tcW w:w="1361" w:type="dxa"/>
            <w:vAlign w:val="center"/>
          </w:tcPr>
          <w:p>
            <w:pPr>
              <w:pStyle w:val="11"/>
            </w:pPr>
            <w:r>
              <w:t>95.10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1"/>
            </w:pPr>
            <w:r>
              <w:t>424.95</w:t>
            </w:r>
          </w:p>
        </w:tc>
        <w:tc>
          <w:tcPr>
            <w:tcW w:w="1361" w:type="dxa"/>
            <w:vAlign w:val="center"/>
          </w:tcPr>
          <w:p>
            <w:pPr>
              <w:pStyle w:val="11"/>
            </w:pPr>
            <w:r>
              <w:t>329.85</w:t>
            </w:r>
          </w:p>
        </w:tc>
        <w:tc>
          <w:tcPr>
            <w:tcW w:w="1361" w:type="dxa"/>
            <w:vAlign w:val="center"/>
          </w:tcPr>
          <w:p>
            <w:pPr>
              <w:pStyle w:val="11"/>
            </w:pPr>
            <w:r>
              <w:t>95.10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144唐山市城市管理综合行政执法支队高新区执法大队</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424.95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424.95</w:t>
            </w:r>
          </w:p>
        </w:tc>
        <w:tc>
          <w:tcPr>
            <w:tcW w:w="1474" w:type="dxa"/>
            <w:vAlign w:val="center"/>
          </w:tcPr>
          <w:p>
            <w:pPr>
              <w:pStyle w:val="11"/>
            </w:pPr>
            <w:r>
              <w:t>424.95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424.95</w:t>
            </w:r>
          </w:p>
        </w:tc>
        <w:tc>
          <w:tcPr>
            <w:tcW w:w="3402" w:type="dxa"/>
            <w:vAlign w:val="center"/>
          </w:tcPr>
          <w:p>
            <w:pPr>
              <w:pStyle w:val="14"/>
            </w:pPr>
            <w:r>
              <w:t>本年支出合计</w:t>
            </w:r>
          </w:p>
        </w:tc>
        <w:tc>
          <w:tcPr>
            <w:tcW w:w="1474" w:type="dxa"/>
            <w:vAlign w:val="center"/>
          </w:tcPr>
          <w:p>
            <w:pPr>
              <w:pStyle w:val="15"/>
            </w:pPr>
            <w:r>
              <w:t>424.95</w:t>
            </w:r>
          </w:p>
        </w:tc>
        <w:tc>
          <w:tcPr>
            <w:tcW w:w="1474" w:type="dxa"/>
            <w:vAlign w:val="center"/>
          </w:tcPr>
          <w:p>
            <w:pPr>
              <w:pStyle w:val="15"/>
            </w:pPr>
            <w:r>
              <w:t>424.95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424.95</w:t>
            </w:r>
          </w:p>
        </w:tc>
        <w:tc>
          <w:tcPr>
            <w:tcW w:w="3402" w:type="dxa"/>
            <w:vAlign w:val="center"/>
          </w:tcPr>
          <w:p>
            <w:pPr>
              <w:pStyle w:val="14"/>
            </w:pPr>
            <w:r>
              <w:t>支出总计</w:t>
            </w:r>
          </w:p>
        </w:tc>
        <w:tc>
          <w:tcPr>
            <w:tcW w:w="1474" w:type="dxa"/>
            <w:vAlign w:val="center"/>
          </w:tcPr>
          <w:p>
            <w:pPr>
              <w:pStyle w:val="15"/>
            </w:pPr>
            <w:r>
              <w:t>424.95</w:t>
            </w:r>
          </w:p>
        </w:tc>
        <w:tc>
          <w:tcPr>
            <w:tcW w:w="1474" w:type="dxa"/>
            <w:vAlign w:val="center"/>
          </w:tcPr>
          <w:p>
            <w:pPr>
              <w:pStyle w:val="15"/>
            </w:pPr>
            <w:r>
              <w:t>424.95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144唐山市城市管理综合行政执法支队高新区执法大队</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424.95</w:t>
            </w:r>
          </w:p>
        </w:tc>
        <w:tc>
          <w:tcPr>
            <w:tcW w:w="2551" w:type="dxa"/>
            <w:vAlign w:val="center"/>
          </w:tcPr>
          <w:p>
            <w:pPr>
              <w:pStyle w:val="15"/>
            </w:pPr>
            <w:r>
              <w:t>329.85</w:t>
            </w:r>
          </w:p>
        </w:tc>
        <w:tc>
          <w:tcPr>
            <w:tcW w:w="2551" w:type="dxa"/>
            <w:vAlign w:val="center"/>
          </w:tcPr>
          <w:p>
            <w:pPr>
              <w:pStyle w:val="15"/>
            </w:pPr>
            <w:r>
              <w:t>95.10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424.95</w:t>
            </w:r>
          </w:p>
        </w:tc>
        <w:tc>
          <w:tcPr>
            <w:tcW w:w="2551" w:type="dxa"/>
            <w:vAlign w:val="center"/>
          </w:tcPr>
          <w:p>
            <w:pPr>
              <w:pStyle w:val="11"/>
            </w:pPr>
            <w:r>
              <w:t>329.85</w:t>
            </w:r>
          </w:p>
        </w:tc>
        <w:tc>
          <w:tcPr>
            <w:tcW w:w="2551" w:type="dxa"/>
            <w:vAlign w:val="center"/>
          </w:tcPr>
          <w:p>
            <w:pPr>
              <w:pStyle w:val="11"/>
            </w:pPr>
            <w:r>
              <w:t>95.10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424.95</w:t>
            </w:r>
          </w:p>
        </w:tc>
        <w:tc>
          <w:tcPr>
            <w:tcW w:w="2551" w:type="dxa"/>
            <w:vAlign w:val="center"/>
          </w:tcPr>
          <w:p>
            <w:pPr>
              <w:pStyle w:val="11"/>
            </w:pPr>
            <w:r>
              <w:t>329.85</w:t>
            </w:r>
          </w:p>
        </w:tc>
        <w:tc>
          <w:tcPr>
            <w:tcW w:w="2551" w:type="dxa"/>
            <w:vAlign w:val="center"/>
          </w:tcPr>
          <w:p>
            <w:pPr>
              <w:pStyle w:val="11"/>
            </w:pPr>
            <w:r>
              <w:t>95.10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1"/>
            </w:pPr>
            <w:r>
              <w:t>424.95</w:t>
            </w:r>
          </w:p>
        </w:tc>
        <w:tc>
          <w:tcPr>
            <w:tcW w:w="2551" w:type="dxa"/>
            <w:vAlign w:val="center"/>
          </w:tcPr>
          <w:p>
            <w:pPr>
              <w:pStyle w:val="11"/>
            </w:pPr>
            <w:r>
              <w:t>329.85</w:t>
            </w:r>
          </w:p>
        </w:tc>
        <w:tc>
          <w:tcPr>
            <w:tcW w:w="2551" w:type="dxa"/>
            <w:vAlign w:val="center"/>
          </w:tcPr>
          <w:p>
            <w:pPr>
              <w:pStyle w:val="11"/>
            </w:pPr>
            <w:r>
              <w:t>95.10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144唐山市城市管理综合行政执法支队高新区执法大队</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329.85</w:t>
            </w:r>
          </w:p>
        </w:tc>
        <w:tc>
          <w:tcPr>
            <w:tcW w:w="2551" w:type="dxa"/>
            <w:vAlign w:val="center"/>
          </w:tcPr>
          <w:p>
            <w:pPr>
              <w:pStyle w:val="15"/>
            </w:pPr>
            <w:r>
              <w:t>307.85</w:t>
            </w:r>
          </w:p>
        </w:tc>
        <w:tc>
          <w:tcPr>
            <w:tcW w:w="2551" w:type="dxa"/>
            <w:vAlign w:val="center"/>
          </w:tcPr>
          <w:p>
            <w:pPr>
              <w:pStyle w:val="15"/>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307.85</w:t>
            </w:r>
          </w:p>
        </w:tc>
        <w:tc>
          <w:tcPr>
            <w:tcW w:w="2551" w:type="dxa"/>
            <w:vAlign w:val="center"/>
          </w:tcPr>
          <w:p>
            <w:pPr>
              <w:pStyle w:val="11"/>
            </w:pPr>
            <w:r>
              <w:t>307.85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307.85</w:t>
            </w:r>
          </w:p>
        </w:tc>
        <w:tc>
          <w:tcPr>
            <w:tcW w:w="2551" w:type="dxa"/>
            <w:vAlign w:val="center"/>
          </w:tcPr>
          <w:p>
            <w:pPr>
              <w:pStyle w:val="11"/>
            </w:pPr>
            <w:r>
              <w:t>307.85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144唐山市城市管理综合行政执法支队高新区执法大队</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144唐山市城市管理综合行政执法支队高新区执法大队</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144唐山市城市管理综合行政执法支队高新区执法大队</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唐山市城市管理综合行政执法支队高新区执法大队2022年部门预算信息公开情况说明</w:t>
      </w:r>
    </w:p>
    <w:p>
      <w:pPr>
        <w:jc w:val="cente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唐山市城市管理综合行政执法支队高新区执法大队</w:t>
      </w:r>
    </w:p>
    <w:p>
      <w:pPr>
        <w:jc w:val="center"/>
      </w:pPr>
      <w:r>
        <w:rPr>
          <w:rFonts w:ascii="方正小标宋_GBK" w:hAnsi="方正小标宋_GBK" w:eastAsia="方正小标宋_GBK" w:cs="方正小标宋_GBK"/>
          <w:color w:val="000000"/>
          <w:sz w:val="44"/>
        </w:rPr>
        <w:t>2022年部门预算信息公开情况说明</w:t>
      </w:r>
    </w:p>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按照《预算法》、《地方预决算公开操作规程》和《关于进一步推进预算公开工作的实施意见》规定，现将唐山市城市管理综合行政执法支队高新区执法大队2022年部门预算公开如下：</w:t>
      </w:r>
    </w:p>
    <w:p>
      <w:pPr>
        <w:spacing w:line="520" w:lineRule="exact"/>
        <w:ind w:firstLine="557" w:firstLineChars="198"/>
        <w:rPr>
          <w:rFonts w:cs="仿宋_GB2312" w:asciiTheme="minorEastAsia" w:hAnsiTheme="minorEastAsia" w:eastAsiaTheme="minorEastAsia"/>
          <w:b/>
          <w:bCs/>
          <w:sz w:val="28"/>
          <w:szCs w:val="28"/>
        </w:rPr>
      </w:pPr>
      <w:bookmarkStart w:id="9" w:name="_Toc_3_3_0000000010"/>
      <w:r>
        <w:rPr>
          <w:rFonts w:cs="仿宋_GB2312" w:asciiTheme="minorEastAsia" w:hAnsiTheme="minorEastAsia" w:eastAsiaTheme="minorEastAsia"/>
          <w:b/>
          <w:bCs/>
          <w:sz w:val="28"/>
          <w:szCs w:val="28"/>
        </w:rPr>
        <w:t>一、部门职责及机构设置情况</w:t>
      </w:r>
      <w:bookmarkEnd w:id="9"/>
    </w:p>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部门职责：</w:t>
      </w:r>
      <w:r>
        <w:rPr>
          <w:rFonts w:hint="eastAsia" w:cs="仿宋_GB2312" w:asciiTheme="minorEastAsia" w:hAnsiTheme="minorEastAsia" w:eastAsiaTheme="minorEastAsia"/>
          <w:bCs/>
          <w:sz w:val="28"/>
          <w:szCs w:val="28"/>
        </w:rPr>
        <w:t>1、负责市容管理工作，负责城市管理行政执法工作。</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2、负责街道两侧和公共场地堆放物料、搭建建筑物、构筑物或者其他设施的管理。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3、负责道路以及其他公共场地的护栏、电线杆、树木、绿篱等处晾晒衣物或者吊挂物品的管理。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4、负责占用道路以及公共场地摆摊设点、摆摊经营及市场外溢现象的管理。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5、负责商户门前三包、橱窗内乱贴乱挂及店外占道经营、作业或者展示商品的管理。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6、负责对城区商户设置牌匾及临时活动的审批和管理，对从事户外广告设置的违章行为进行监察。</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7、负责工地施工围挡设置、出入口硬化及工地环境卫生方面的管理。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8、负责清理无主建筑垃圾及生活垃圾，清除违章乱贴乱画广告。</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9、负责拆除城区内私搭乱建违章建筑，对违章挖掘行为进行管理。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10、负责对乱倒垃圾、乱泼污水及毁坏园林绿化树木、草坪行为处罚。</w:t>
      </w:r>
    </w:p>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机构设置：</w:t>
      </w:r>
      <w:r>
        <w:rPr>
          <w:rFonts w:hint="eastAsia" w:cs="仿宋_GB2312" w:asciiTheme="minorEastAsia" w:hAnsiTheme="minorEastAsia" w:eastAsiaTheme="minorEastAsia"/>
          <w:bCs/>
          <w:sz w:val="28"/>
          <w:szCs w:val="28"/>
        </w:rPr>
        <w:t>大队机关设置办公室、法制办、督查办及数字中心，下属三个中队，分别为一中队、二中队和智慧港中队。</w:t>
      </w:r>
    </w:p>
    <w:p>
      <w:pPr>
        <w:jc w:val="center"/>
        <w:rPr>
          <w:rFonts w:cs="方正小标宋_GBK" w:asciiTheme="minorEastAsia" w:hAnsiTheme="minorEastAsia" w:eastAsiaTheme="minorEastAsia"/>
          <w:color w:val="000000"/>
          <w:sz w:val="28"/>
          <w:szCs w:val="28"/>
          <w:lang w:eastAsia="zh-CN"/>
        </w:rPr>
      </w:pPr>
    </w:p>
    <w:p>
      <w:pPr>
        <w:jc w:val="center"/>
        <w:rPr>
          <w:rFonts w:asciiTheme="minorEastAsia" w:hAnsiTheme="minorEastAsia" w:eastAsiaTheme="minorEastAsia"/>
          <w:sz w:val="28"/>
          <w:szCs w:val="28"/>
        </w:rPr>
      </w:pPr>
      <w:r>
        <w:rPr>
          <w:rFonts w:cs="方正小标宋_GBK" w:asciiTheme="minorEastAsia" w:hAnsiTheme="minorEastAsia" w:eastAsiaTheme="minorEastAsia"/>
          <w:color w:val="000000"/>
          <w:sz w:val="28"/>
          <w:szCs w:val="28"/>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rPr>
                <w:rFonts w:asciiTheme="minorEastAsia" w:hAnsiTheme="minorEastAsia" w:eastAsiaTheme="minorEastAsia"/>
                <w:sz w:val="28"/>
                <w:szCs w:val="28"/>
              </w:rPr>
            </w:pPr>
            <w:r>
              <w:rPr>
                <w:rFonts w:asciiTheme="minorEastAsia" w:hAnsiTheme="minorEastAsia" w:eastAsiaTheme="minorEastAsia"/>
                <w:sz w:val="28"/>
                <w:szCs w:val="28"/>
              </w:rPr>
              <w:t>单位名称</w:t>
            </w:r>
          </w:p>
        </w:tc>
        <w:tc>
          <w:tcPr>
            <w:tcW w:w="1843" w:type="dxa"/>
            <w:vAlign w:val="center"/>
          </w:tcPr>
          <w:p>
            <w:pPr>
              <w:pStyle w:val="10"/>
              <w:rPr>
                <w:rFonts w:asciiTheme="minorEastAsia" w:hAnsiTheme="minorEastAsia" w:eastAsiaTheme="minorEastAsia"/>
                <w:sz w:val="28"/>
                <w:szCs w:val="28"/>
              </w:rPr>
            </w:pPr>
            <w:r>
              <w:rPr>
                <w:rFonts w:asciiTheme="minorEastAsia" w:hAnsiTheme="minorEastAsia" w:eastAsiaTheme="minorEastAsia"/>
                <w:sz w:val="28"/>
                <w:szCs w:val="28"/>
              </w:rPr>
              <w:t>单位性质</w:t>
            </w:r>
          </w:p>
        </w:tc>
        <w:tc>
          <w:tcPr>
            <w:tcW w:w="2126" w:type="dxa"/>
            <w:vAlign w:val="center"/>
          </w:tcPr>
          <w:p>
            <w:pPr>
              <w:pStyle w:val="10"/>
              <w:rPr>
                <w:rFonts w:asciiTheme="minorEastAsia" w:hAnsiTheme="minorEastAsia" w:eastAsiaTheme="minorEastAsia"/>
                <w:sz w:val="28"/>
                <w:szCs w:val="28"/>
              </w:rPr>
            </w:pPr>
            <w:r>
              <w:rPr>
                <w:rFonts w:asciiTheme="minorEastAsia" w:hAnsiTheme="minorEastAsia" w:eastAsiaTheme="minorEastAsia"/>
                <w:sz w:val="28"/>
                <w:szCs w:val="28"/>
              </w:rPr>
              <w:t>单位规格</w:t>
            </w:r>
          </w:p>
        </w:tc>
        <w:tc>
          <w:tcPr>
            <w:tcW w:w="3827" w:type="dxa"/>
            <w:vAlign w:val="center"/>
          </w:tcPr>
          <w:p>
            <w:pPr>
              <w:pStyle w:val="10"/>
              <w:rPr>
                <w:rFonts w:asciiTheme="minorEastAsia" w:hAnsiTheme="minorEastAsia" w:eastAsiaTheme="minorEastAsia"/>
                <w:sz w:val="28"/>
                <w:szCs w:val="28"/>
              </w:rPr>
            </w:pPr>
            <w:r>
              <w:rPr>
                <w:rFonts w:asciiTheme="minorEastAsia" w:hAnsiTheme="minorEastAsia" w:eastAsiaTheme="minorEastAsia"/>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 xml:space="preserve">唐山市城市管理综合行政执法支队高新区执法大队(本级)  </w:t>
            </w:r>
          </w:p>
        </w:tc>
        <w:tc>
          <w:tcPr>
            <w:tcW w:w="1843" w:type="dxa"/>
            <w:vAlign w:val="center"/>
          </w:tcPr>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事业</w:t>
            </w:r>
          </w:p>
        </w:tc>
        <w:tc>
          <w:tcPr>
            <w:tcW w:w="2126" w:type="dxa"/>
            <w:vAlign w:val="center"/>
          </w:tcPr>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正科级</w:t>
            </w:r>
          </w:p>
        </w:tc>
        <w:tc>
          <w:tcPr>
            <w:tcW w:w="3827" w:type="dxa"/>
            <w:vAlign w:val="center"/>
          </w:tcPr>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财政性资金定额或定项补助</w:t>
            </w:r>
          </w:p>
        </w:tc>
      </w:tr>
    </w:tbl>
    <w:p>
      <w:pPr>
        <w:spacing w:line="520" w:lineRule="exact"/>
        <w:ind w:firstLine="557" w:firstLineChars="198"/>
        <w:rPr>
          <w:rFonts w:cs="仿宋_GB2312" w:asciiTheme="minorEastAsia" w:hAnsiTheme="minorEastAsia" w:eastAsiaTheme="minorEastAsia"/>
          <w:bCs/>
          <w:sz w:val="28"/>
          <w:szCs w:val="28"/>
        </w:rPr>
      </w:pPr>
      <w:bookmarkStart w:id="10" w:name="_Toc_3_3_0000000011"/>
      <w:r>
        <w:rPr>
          <w:rFonts w:cs="仿宋_GB2312" w:asciiTheme="minorEastAsia" w:hAnsiTheme="minorEastAsia" w:eastAsiaTheme="minorEastAsia"/>
          <w:b/>
          <w:sz w:val="28"/>
          <w:szCs w:val="28"/>
        </w:rPr>
        <w:t>二、部门预算安排的总体情况</w:t>
      </w:r>
      <w:bookmarkEnd w:id="10"/>
    </w:p>
    <w:p>
      <w:pPr>
        <w:ind w:firstLine="560"/>
        <w:rPr>
          <w:rFonts w:eastAsiaTheme="minorEastAsia"/>
          <w:color w:val="000000"/>
          <w:sz w:val="28"/>
          <w:lang w:eastAsia="zh-CN"/>
        </w:rPr>
      </w:pPr>
      <w:bookmarkStart w:id="11" w:name="_Toc_3_3_0000000012"/>
      <w:r>
        <w:rPr>
          <w:rFonts w:hint="eastAsia" w:eastAsiaTheme="minorEastAsia"/>
          <w:color w:val="000000"/>
          <w:sz w:val="28"/>
          <w:lang w:eastAsia="zh-CN"/>
        </w:rPr>
        <w:t>收入预算情况：2022年我部门收入预算总数为424.95万元，全部为一般预算拨款收入。</w:t>
      </w:r>
    </w:p>
    <w:p>
      <w:pPr>
        <w:ind w:firstLine="560"/>
        <w:rPr>
          <w:rFonts w:eastAsiaTheme="minorEastAsia"/>
          <w:color w:val="000000"/>
          <w:sz w:val="28"/>
          <w:lang w:eastAsia="zh-CN"/>
        </w:rPr>
      </w:pPr>
      <w:r>
        <w:rPr>
          <w:rFonts w:hint="eastAsia" w:eastAsiaTheme="minorEastAsia"/>
          <w:color w:val="000000"/>
          <w:sz w:val="28"/>
          <w:lang w:eastAsia="zh-CN"/>
        </w:rPr>
        <w:t>支出预算情况：2022年我部门支出预算总数为424.95万元，其中：人员经费支出：307.85万元，日常公用经费支出：22万元，项目支出：95.1万元。其中市容市貌专项治理费用21万元；交通费用37.6万元；被装购置费用8.2万元；城管智慧平台维护费用27.2万元;办公用房修缮1.1万元。</w:t>
      </w:r>
    </w:p>
    <w:p>
      <w:pPr>
        <w:ind w:firstLine="560"/>
        <w:rPr>
          <w:rFonts w:eastAsiaTheme="minorEastAsia"/>
          <w:lang w:eastAsia="zh-CN"/>
        </w:rPr>
      </w:pPr>
      <w:r>
        <w:rPr>
          <w:rFonts w:hint="eastAsia" w:eastAsiaTheme="minorEastAsia"/>
          <w:color w:val="000000"/>
          <w:sz w:val="28"/>
          <w:lang w:eastAsia="zh-CN"/>
        </w:rPr>
        <w:t>与2021年571.52万元相比减少34.5%，原因：项目经费减少。</w:t>
      </w:r>
    </w:p>
    <w:p>
      <w:pPr>
        <w:spacing w:line="520" w:lineRule="exact"/>
        <w:ind w:firstLine="557" w:firstLineChars="198"/>
        <w:rPr>
          <w:rFonts w:cs="仿宋_GB2312" w:asciiTheme="minorEastAsia" w:hAnsiTheme="minorEastAsia" w:eastAsiaTheme="minorEastAsia"/>
          <w:b/>
          <w:sz w:val="28"/>
          <w:szCs w:val="28"/>
        </w:rPr>
      </w:pPr>
      <w:r>
        <w:rPr>
          <w:rFonts w:cs="仿宋_GB2312" w:asciiTheme="minorEastAsia" w:hAnsiTheme="minorEastAsia" w:eastAsiaTheme="minorEastAsia"/>
          <w:b/>
          <w:sz w:val="28"/>
          <w:szCs w:val="28"/>
        </w:rPr>
        <w:t>三、机关运行经费安排情况</w:t>
      </w:r>
      <w:bookmarkEnd w:id="11"/>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我部门2022年度机关运行经费为22万元，电费22万元。按照《预算法》和机关运行费用节支要求，减少其它各项运行费用</w:t>
      </w:r>
      <w:r>
        <w:rPr>
          <w:rFonts w:hint="eastAsia" w:cs="仿宋_GB2312" w:asciiTheme="minorEastAsia" w:hAnsiTheme="minorEastAsia" w:eastAsiaTheme="minorEastAsia"/>
          <w:bCs/>
          <w:sz w:val="28"/>
          <w:szCs w:val="28"/>
          <w:lang w:eastAsia="zh-CN"/>
        </w:rPr>
        <w:t>,认真落实党政机关厉行节约、反对浪费条例规定，从严控制支出。</w:t>
      </w:r>
      <w:r>
        <w:rPr>
          <w:rFonts w:hint="eastAsia" w:cs="仿宋_GB2312" w:asciiTheme="minorEastAsia" w:hAnsiTheme="minorEastAsia" w:eastAsiaTheme="minorEastAsia"/>
          <w:bCs/>
          <w:sz w:val="28"/>
          <w:szCs w:val="28"/>
        </w:rPr>
        <w:t>与2021年相比持平。</w:t>
      </w:r>
    </w:p>
    <w:p>
      <w:pPr>
        <w:spacing w:line="520" w:lineRule="exact"/>
        <w:ind w:firstLine="557" w:firstLineChars="198"/>
        <w:rPr>
          <w:rFonts w:cs="仿宋_GB2312" w:asciiTheme="minorEastAsia" w:hAnsiTheme="minorEastAsia" w:eastAsiaTheme="minorEastAsia"/>
          <w:bCs/>
          <w:sz w:val="28"/>
          <w:szCs w:val="28"/>
        </w:rPr>
      </w:pPr>
      <w:bookmarkStart w:id="12" w:name="_Toc_3_3_0000000013"/>
      <w:r>
        <w:rPr>
          <w:rFonts w:cs="仿宋_GB2312" w:asciiTheme="minorEastAsia" w:hAnsiTheme="minorEastAsia" w:eastAsiaTheme="minorEastAsia"/>
          <w:b/>
          <w:sz w:val="28"/>
          <w:szCs w:val="28"/>
        </w:rPr>
        <w:t>四、财政拨款“三公”经费预算情况及增减变化原因</w:t>
      </w:r>
      <w:bookmarkEnd w:id="12"/>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2022年我部门无“三公”经费预算支出，与上年持平。</w:t>
      </w:r>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（一）公务用车购置及运行费，共计安排0万元，与上年持平。</w:t>
      </w:r>
      <w:r>
        <w:rPr>
          <w:rFonts w:hint="eastAsia" w:cs="仿宋_GB2312" w:asciiTheme="minorEastAsia" w:hAnsiTheme="minorEastAsia" w:eastAsiaTheme="minorEastAsia"/>
          <w:bCs/>
          <w:sz w:val="28"/>
          <w:szCs w:val="28"/>
          <w:lang w:eastAsia="zh-CN"/>
        </w:rPr>
        <w:t>原因为无公务用车购置计划。</w:t>
      </w:r>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（二）公务接待费。安排0万元，与上年持平。</w:t>
      </w:r>
      <w:r>
        <w:rPr>
          <w:rFonts w:hint="eastAsia" w:cs="仿宋_GB2312" w:asciiTheme="minorEastAsia" w:hAnsiTheme="minorEastAsia" w:eastAsiaTheme="minorEastAsia"/>
          <w:bCs/>
          <w:sz w:val="28"/>
          <w:szCs w:val="28"/>
          <w:lang w:eastAsia="zh-CN"/>
        </w:rPr>
        <w:t>原因为认真落实党政机关厉行节约、反对浪费条例规定，从严控制支出。</w:t>
      </w:r>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（三）因公出国（境）费安排0万元，与上年持平。</w:t>
      </w:r>
      <w:r>
        <w:rPr>
          <w:rFonts w:hint="eastAsia" w:cs="仿宋_GB2312" w:asciiTheme="minorEastAsia" w:hAnsiTheme="minorEastAsia" w:eastAsiaTheme="minorEastAsia"/>
          <w:bCs/>
          <w:sz w:val="28"/>
          <w:szCs w:val="28"/>
          <w:lang w:eastAsia="zh-CN"/>
        </w:rPr>
        <w:t>原因为无出国（境）计划。</w:t>
      </w:r>
    </w:p>
    <w:p>
      <w:pPr>
        <w:spacing w:line="520" w:lineRule="exact"/>
        <w:ind w:firstLine="557" w:firstLineChars="198"/>
        <w:rPr>
          <w:rFonts w:cs="仿宋_GB2312" w:asciiTheme="minorEastAsia" w:hAnsiTheme="minorEastAsia" w:eastAsiaTheme="minorEastAsia"/>
          <w:b/>
          <w:sz w:val="28"/>
          <w:szCs w:val="28"/>
        </w:rPr>
      </w:pPr>
      <w:bookmarkStart w:id="13" w:name="_Toc_3_3_0000000014"/>
      <w:r>
        <w:rPr>
          <w:rFonts w:cs="仿宋_GB2312" w:asciiTheme="minorEastAsia" w:hAnsiTheme="minorEastAsia" w:eastAsiaTheme="minorEastAsia"/>
          <w:b/>
          <w:sz w:val="28"/>
          <w:szCs w:val="28"/>
        </w:rPr>
        <w:t>五、预算绩效信息</w:t>
      </w:r>
      <w:bookmarkEnd w:id="13"/>
    </w:p>
    <w:p>
      <w:pPr>
        <w:spacing w:line="520" w:lineRule="exact"/>
        <w:ind w:firstLine="557" w:firstLineChars="198"/>
        <w:rPr>
          <w:rFonts w:cs="仿宋_GB2312" w:asciiTheme="minorEastAsia" w:hAnsiTheme="minorEastAsia" w:eastAsiaTheme="minorEastAsia"/>
          <w:b/>
          <w:bCs/>
          <w:sz w:val="28"/>
          <w:szCs w:val="28"/>
        </w:rPr>
      </w:pPr>
      <w:r>
        <w:rPr>
          <w:rFonts w:cs="仿宋_GB2312" w:asciiTheme="minorEastAsia" w:hAnsiTheme="minorEastAsia" w:eastAsiaTheme="minorEastAsia"/>
          <w:b/>
          <w:bCs/>
          <w:sz w:val="28"/>
          <w:szCs w:val="28"/>
        </w:rPr>
        <w:t>第一部分 部门整体绩效目标</w:t>
      </w:r>
    </w:p>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（一）总体绩效目标</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加大执法力度，确保市容环境卫生整洁有序，提升城市形象。加大宣传力度，杜绝私搭乱建。加强法律法规学习，定期考核，提升队伍素质和执法水平。</w:t>
      </w:r>
    </w:p>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（二）分项绩效目标</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1、执法车辆租赁项目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 xml:space="preserve">绩效目标：提高执法案件办结率，更好的完成高新区内市容环境卫生整治任务。 </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绩效指标：快速、机动完成突发工作任务，保证一线执法车辆配备，提高办案效率。</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2、城管执法服装购置项目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 xml:space="preserve">绩效目标：确保城管执法队伍着装统一、规范，提升执法队伍整体形象。 </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绩效指标：按城管执法服装配发标准及时配备执法服装。</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3、市容市貌专项治理项目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绩效目标：加强高新区境内市容市貌环境卫生综合整治工作，不断提升全区市容环境水平。</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绩效指标：减少辖区违规案件发生率，实现辖区全覆盖无缝隙精细化执法。</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4、城管智慧平台项目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绩效目标：保证城管智慧平台正常运行，加强辖区环境卫生监管。</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绩效指标：辖区市容环境水平逐步提高，完善队伍规范化建设。</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5、办公用房修缮项目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绩效目标：保障办公用房正常使用，顺利开展各项执法工作</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绩效指标：加强执法中队队伍规范化建设。</w:t>
      </w:r>
    </w:p>
    <w:p>
      <w:pPr>
        <w:spacing w:line="500" w:lineRule="exact"/>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（三）工作保障措施</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1、完善制度建设</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大队制定完善预算绩效管理制度、资金管理办法、工作保障制度等，为全年预算绩效目标的实现奠定制度基础。</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2、加强支出管理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通过优化支出结构、编细编实预算、加快履行政府采购手续、尽快启动项目、及时支付资金、6月底前细化代编预算、按规定及时下达资金等多种措施，确保支出进度达标。</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3、加强绩效运行监控</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加强对预算绩效目标的跟踪管理。发现问题及时纠正整改，保证预定目标的如期完成。做到资金的支出进度与绩效目标的实现程度协调同步。</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4、做好绩效自评</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按要求开展上年度部门预算绩效自评和重点评价工作，对评价中发现的问题及时整改，调整优化支出结构，提高财政资金使用效益。</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5、规范财务资产管理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完善财务管理制度，严格审批程序，加强固定资产登记、使用和报废处置管理，做到支出合理，物尽其用。</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7、加强宣传培训调研等</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加强人员培训，提高本部门职工业务素质；加强调研，提出优化财政资金配置、提高资金使用效益的意见；加大宣传力度，强化预算绩效管理意识，促进预算绩效管理水平进一步提升。</w:t>
      </w:r>
    </w:p>
    <w:p>
      <w:pPr>
        <w:numPr>
          <w:ilvl w:val="0"/>
          <w:numId w:val="1"/>
        </w:numPr>
        <w:spacing w:line="520" w:lineRule="exact"/>
        <w:ind w:firstLine="557" w:firstLineChars="198"/>
        <w:rPr>
          <w:rFonts w:cs="仿宋_GB2312" w:asciiTheme="minorEastAsia" w:hAnsiTheme="minorEastAsia" w:eastAsiaTheme="minorEastAsia"/>
          <w:b/>
          <w:bCs/>
          <w:sz w:val="28"/>
          <w:szCs w:val="28"/>
        </w:rPr>
      </w:pPr>
      <w:r>
        <w:rPr>
          <w:rFonts w:cs="仿宋_GB2312" w:asciiTheme="minorEastAsia" w:hAnsiTheme="minorEastAsia" w:eastAsiaTheme="minorEastAsia"/>
          <w:b/>
          <w:bCs/>
          <w:sz w:val="28"/>
          <w:szCs w:val="28"/>
        </w:rPr>
        <w:t xml:space="preserve"> 预算项目绩效目标</w:t>
      </w:r>
    </w:p>
    <w:p>
      <w:pPr>
        <w:spacing w:line="520" w:lineRule="exact"/>
      </w:pPr>
      <w:r>
        <w:rPr>
          <w:rFonts w:ascii="方正仿宋_GBK" w:hAnsi="方正仿宋_GBK" w:eastAsia="方正仿宋_GBK" w:cs="方正仿宋_GBK"/>
          <w:b/>
          <w:color w:val="000000"/>
          <w:sz w:val="28"/>
        </w:rPr>
        <w:t>1、办公用房修缮绩效目标表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1.目标内容1保障办公用房的正常使用，顺利开展各项执法工作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办公用房装修率</w:t>
            </w:r>
          </w:p>
        </w:tc>
        <w:tc>
          <w:tcPr>
            <w:tcW w:w="2835" w:type="dxa"/>
            <w:vAlign w:val="center"/>
          </w:tcPr>
          <w:p>
            <w:pPr>
              <w:pStyle w:val="12"/>
            </w:pPr>
            <w:r>
              <w:t>装修办公用房占办公用房的百分比</w:t>
            </w:r>
          </w:p>
        </w:tc>
        <w:tc>
          <w:tcPr>
            <w:tcW w:w="2551" w:type="dxa"/>
            <w:vAlign w:val="center"/>
          </w:tcPr>
          <w:p>
            <w:pPr>
              <w:pStyle w:val="12"/>
            </w:pPr>
            <w:r>
              <w:t>100%</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精细化执法覆盖率</w:t>
            </w:r>
          </w:p>
        </w:tc>
        <w:tc>
          <w:tcPr>
            <w:tcW w:w="2835" w:type="dxa"/>
            <w:vAlign w:val="center"/>
          </w:tcPr>
          <w:p>
            <w:pPr>
              <w:pStyle w:val="12"/>
            </w:pPr>
            <w:r>
              <w:t>城管执法区域占全区面积的百分比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突发案件处置率</w:t>
            </w:r>
          </w:p>
        </w:tc>
        <w:tc>
          <w:tcPr>
            <w:tcW w:w="2835" w:type="dxa"/>
            <w:vAlign w:val="center"/>
          </w:tcPr>
          <w:p>
            <w:pPr>
              <w:pStyle w:val="12"/>
            </w:pPr>
            <w:r>
              <w:t>突发案件占发现案件的百分比</w:t>
            </w:r>
          </w:p>
        </w:tc>
        <w:tc>
          <w:tcPr>
            <w:tcW w:w="2551" w:type="dxa"/>
            <w:vAlign w:val="center"/>
          </w:tcPr>
          <w:p>
            <w:pPr>
              <w:pStyle w:val="12"/>
            </w:pPr>
            <w:r>
              <w:t>≥95%</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使用资金数额占项目预算金额的百分比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辖区环境提升</w:t>
            </w:r>
          </w:p>
        </w:tc>
        <w:tc>
          <w:tcPr>
            <w:tcW w:w="2835" w:type="dxa"/>
            <w:vAlign w:val="center"/>
          </w:tcPr>
          <w:p>
            <w:pPr>
              <w:pStyle w:val="12"/>
            </w:pPr>
            <w:r>
              <w:t>辖区环境是否提升</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2835" w:type="dxa"/>
            <w:vAlign w:val="center"/>
          </w:tcPr>
          <w:p>
            <w:pPr>
              <w:pStyle w:val="12"/>
            </w:pPr>
            <w:r>
              <w:t>群众对城管执法工作的满意度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2、被装购置 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1.目标内容1执法人员着装统一、规范，提升执法队伍形象。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执法服装发放率</w:t>
            </w:r>
          </w:p>
        </w:tc>
        <w:tc>
          <w:tcPr>
            <w:tcW w:w="2835" w:type="dxa"/>
            <w:vAlign w:val="center"/>
          </w:tcPr>
          <w:p>
            <w:pPr>
              <w:pStyle w:val="12"/>
            </w:pPr>
            <w:r>
              <w:t>发放服装人数占应发放服装人数的百分比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是否提升执法人员形象</w:t>
            </w:r>
          </w:p>
        </w:tc>
        <w:tc>
          <w:tcPr>
            <w:tcW w:w="2835" w:type="dxa"/>
            <w:vAlign w:val="center"/>
          </w:tcPr>
          <w:p>
            <w:pPr>
              <w:pStyle w:val="12"/>
            </w:pPr>
            <w:r>
              <w:t>执法人员是否按规定着装上岗</w:t>
            </w:r>
          </w:p>
        </w:tc>
        <w:tc>
          <w:tcPr>
            <w:tcW w:w="2551" w:type="dxa"/>
            <w:vAlign w:val="center"/>
          </w:tcPr>
          <w:p>
            <w:pPr>
              <w:pStyle w:val="12"/>
            </w:pPr>
            <w:r>
              <w:t>是</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按期完成率</w:t>
            </w:r>
          </w:p>
        </w:tc>
        <w:tc>
          <w:tcPr>
            <w:tcW w:w="2835" w:type="dxa"/>
            <w:vAlign w:val="center"/>
          </w:tcPr>
          <w:p>
            <w:pPr>
              <w:pStyle w:val="12"/>
            </w:pPr>
            <w:r>
              <w:t>按规定时限发放服装</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购买执法服装费用实际支出金额</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规范执法达标率</w:t>
            </w:r>
          </w:p>
        </w:tc>
        <w:tc>
          <w:tcPr>
            <w:tcW w:w="2835" w:type="dxa"/>
            <w:vAlign w:val="center"/>
          </w:tcPr>
          <w:p>
            <w:pPr>
              <w:pStyle w:val="12"/>
            </w:pPr>
            <w:r>
              <w:t>依法办案情况</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2835" w:type="dxa"/>
            <w:vAlign w:val="center"/>
          </w:tcPr>
          <w:p>
            <w:pPr>
              <w:pStyle w:val="12"/>
            </w:pPr>
            <w:r>
              <w:t>群众对城管执法工作满意度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3、车辆租赁绩效目标表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1.目标内容1更好地完成高新区内市容环境整治工作和突发工作任务。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执法车使用数量</w:t>
            </w:r>
          </w:p>
        </w:tc>
        <w:tc>
          <w:tcPr>
            <w:tcW w:w="2835" w:type="dxa"/>
            <w:vAlign w:val="center"/>
          </w:tcPr>
          <w:p>
            <w:pPr>
              <w:pStyle w:val="12"/>
            </w:pPr>
            <w:r>
              <w:t>日常执法工作中，执法用车数量</w:t>
            </w:r>
          </w:p>
        </w:tc>
        <w:tc>
          <w:tcPr>
            <w:tcW w:w="2551" w:type="dxa"/>
            <w:vAlign w:val="center"/>
          </w:tcPr>
          <w:p>
            <w:pPr>
              <w:pStyle w:val="12"/>
            </w:pPr>
            <w:r>
              <w:t>12辆</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精细化执法覆盖率</w:t>
            </w:r>
          </w:p>
        </w:tc>
        <w:tc>
          <w:tcPr>
            <w:tcW w:w="2835" w:type="dxa"/>
            <w:vAlign w:val="center"/>
          </w:tcPr>
          <w:p>
            <w:pPr>
              <w:pStyle w:val="12"/>
            </w:pPr>
            <w:r>
              <w:t>城管执法区域占全区面积的百分比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突发案件处置率</w:t>
            </w:r>
          </w:p>
        </w:tc>
        <w:tc>
          <w:tcPr>
            <w:tcW w:w="2835" w:type="dxa"/>
            <w:vAlign w:val="center"/>
          </w:tcPr>
          <w:p>
            <w:pPr>
              <w:pStyle w:val="12"/>
            </w:pPr>
            <w:r>
              <w:t>突发案件占发现案件的百分比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使用资金数额占项目预算金额的百分比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辖区环境提升</w:t>
            </w:r>
          </w:p>
        </w:tc>
        <w:tc>
          <w:tcPr>
            <w:tcW w:w="2835" w:type="dxa"/>
            <w:vAlign w:val="center"/>
          </w:tcPr>
          <w:p>
            <w:pPr>
              <w:pStyle w:val="12"/>
            </w:pPr>
            <w:r>
              <w:t>辖区环境是否提升</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2835" w:type="dxa"/>
            <w:vAlign w:val="center"/>
          </w:tcPr>
          <w:p>
            <w:pPr>
              <w:pStyle w:val="12"/>
            </w:pPr>
            <w:r>
              <w:t>群众对城管执法工作的满意度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4、城管智慧平台绩效目标表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1.目标内容1保证城管智慧平台正常运行，加强辖区环境卫生监管。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违规案件完成率</w:t>
            </w:r>
          </w:p>
        </w:tc>
        <w:tc>
          <w:tcPr>
            <w:tcW w:w="2835" w:type="dxa"/>
            <w:vAlign w:val="center"/>
          </w:tcPr>
          <w:p>
            <w:pPr>
              <w:pStyle w:val="12"/>
            </w:pPr>
            <w:r>
              <w:t>违规案件处置数量占违规案件数量的百分比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精细化执法覆盖率</w:t>
            </w:r>
          </w:p>
        </w:tc>
        <w:tc>
          <w:tcPr>
            <w:tcW w:w="2835" w:type="dxa"/>
            <w:vAlign w:val="center"/>
          </w:tcPr>
          <w:p>
            <w:pPr>
              <w:pStyle w:val="12"/>
            </w:pPr>
            <w:r>
              <w:t>城管执法区域占全区面积的百分比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突发案件处置率</w:t>
            </w:r>
          </w:p>
        </w:tc>
        <w:tc>
          <w:tcPr>
            <w:tcW w:w="2835" w:type="dxa"/>
            <w:vAlign w:val="center"/>
          </w:tcPr>
          <w:p>
            <w:pPr>
              <w:pStyle w:val="12"/>
            </w:pPr>
            <w:r>
              <w:t>突发案件占发现案件的百分比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使用资金数额占项目预算金额的百分比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辖区环境是否提升</w:t>
            </w:r>
          </w:p>
        </w:tc>
        <w:tc>
          <w:tcPr>
            <w:tcW w:w="2835" w:type="dxa"/>
            <w:vAlign w:val="center"/>
          </w:tcPr>
          <w:p>
            <w:pPr>
              <w:pStyle w:val="12"/>
            </w:pPr>
            <w:r>
              <w:t>辖区环境是否提升</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2835" w:type="dxa"/>
            <w:vAlign w:val="center"/>
          </w:tcPr>
          <w:p>
            <w:pPr>
              <w:pStyle w:val="12"/>
            </w:pPr>
            <w:r>
              <w:t>群众对城管执法工作的满意度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5、市容市貌专项治理绩效目标表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1.目标内容1通过对高新区境内环境卫生专项整治，优化居民生活环境，保证环境卫生秩序井然，使全区环境卫生水平得到明显提升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违规案件完成率</w:t>
            </w:r>
          </w:p>
        </w:tc>
        <w:tc>
          <w:tcPr>
            <w:tcW w:w="2835" w:type="dxa"/>
            <w:vAlign w:val="center"/>
          </w:tcPr>
          <w:p>
            <w:pPr>
              <w:pStyle w:val="12"/>
            </w:pPr>
            <w:r>
              <w:t>违规案件处置数量占违规案件数量的百分比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精细化执法覆盖率</w:t>
            </w:r>
          </w:p>
        </w:tc>
        <w:tc>
          <w:tcPr>
            <w:tcW w:w="2835" w:type="dxa"/>
            <w:vAlign w:val="center"/>
          </w:tcPr>
          <w:p>
            <w:pPr>
              <w:pStyle w:val="12"/>
            </w:pPr>
            <w:r>
              <w:t>城管执法区域占全区面积的百分比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突发案件处置率</w:t>
            </w:r>
          </w:p>
        </w:tc>
        <w:tc>
          <w:tcPr>
            <w:tcW w:w="2835" w:type="dxa"/>
            <w:vAlign w:val="center"/>
          </w:tcPr>
          <w:p>
            <w:pPr>
              <w:pStyle w:val="12"/>
            </w:pPr>
            <w:r>
              <w:t>突发案件占发现案件的百分比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使用资金数额占项目预算金额的百分比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辖区环境提升</w:t>
            </w:r>
          </w:p>
        </w:tc>
        <w:tc>
          <w:tcPr>
            <w:tcW w:w="2835" w:type="dxa"/>
            <w:vAlign w:val="center"/>
          </w:tcPr>
          <w:p>
            <w:pPr>
              <w:pStyle w:val="12"/>
            </w:pPr>
            <w:r>
              <w:t>辖区环境是否提升</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2835" w:type="dxa"/>
            <w:vAlign w:val="center"/>
          </w:tcPr>
          <w:p>
            <w:pPr>
              <w:pStyle w:val="12"/>
            </w:pPr>
            <w:r>
              <w:t>群众对城管执法工作的满意度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640"/>
        <w:outlineLvl w:val="2"/>
        <w:rPr>
          <w:rFonts w:asciiTheme="minorEastAsia" w:hAnsiTheme="minorEastAsia" w:eastAsiaTheme="minorEastAsia"/>
          <w:b/>
          <w:bCs/>
          <w:sz w:val="28"/>
          <w:szCs w:val="28"/>
        </w:rPr>
      </w:pPr>
      <w:bookmarkStart w:id="14" w:name="_Toc_3_3_0000000015"/>
      <w:r>
        <w:rPr>
          <w:rFonts w:cs="黑体" w:asciiTheme="minorEastAsia" w:hAnsiTheme="minorEastAsia" w:eastAsiaTheme="minorEastAsia"/>
          <w:b/>
          <w:bCs/>
          <w:color w:val="000000"/>
          <w:sz w:val="28"/>
          <w:szCs w:val="28"/>
        </w:rPr>
        <w:t>六、政府采购预算情况</w:t>
      </w:r>
      <w:bookmarkEnd w:id="14"/>
    </w:p>
    <w:p>
      <w:pPr>
        <w:spacing w:line="500" w:lineRule="exact"/>
        <w:ind w:firstLine="560"/>
      </w:pPr>
      <w:bookmarkStart w:id="15" w:name="_Toc_3_3_0000000016"/>
      <w:r>
        <w:rPr>
          <w:rFonts w:eastAsia="方正仿宋_GBK"/>
          <w:color w:val="000000"/>
          <w:sz w:val="28"/>
        </w:rPr>
        <w:t>2022年，唐山市城市管理综合行政执法支队高新区执法大队安排政府采购预算0.00万元。具体内容见下表。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144唐山市城市管理综合行政执法支队高新区执法大队</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ind w:firstLine="640"/>
        <w:outlineLvl w:val="2"/>
        <w:rPr>
          <w:rFonts w:asciiTheme="minorEastAsia" w:hAnsiTheme="minorEastAsia" w:eastAsiaTheme="minorEastAsia"/>
          <w:b/>
          <w:bCs/>
          <w:sz w:val="28"/>
          <w:szCs w:val="28"/>
        </w:rPr>
      </w:pPr>
      <w:r>
        <w:rPr>
          <w:rFonts w:cs="黑体" w:asciiTheme="minorEastAsia" w:hAnsiTheme="minorEastAsia" w:eastAsiaTheme="minorEastAsia"/>
          <w:b/>
          <w:bCs/>
          <w:color w:val="000000"/>
          <w:sz w:val="28"/>
          <w:szCs w:val="28"/>
        </w:rPr>
        <w:t>七、国有资产信息</w:t>
      </w:r>
      <w:bookmarkEnd w:id="15"/>
    </w:p>
    <w:p>
      <w:pPr>
        <w:spacing w:line="500" w:lineRule="exact"/>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唐山市城市管理综合行政执法支队高新区执法大队（含所属单位）上年末固定资产金额为</w:t>
      </w:r>
      <w:r>
        <w:rPr>
          <w:rFonts w:hint="eastAsia" w:asciiTheme="minorEastAsia" w:hAnsiTheme="minorEastAsia" w:eastAsiaTheme="minorEastAsia"/>
          <w:color w:val="000000"/>
          <w:sz w:val="28"/>
          <w:szCs w:val="28"/>
          <w:lang w:eastAsia="zh-CN"/>
        </w:rPr>
        <w:t>63.83</w:t>
      </w:r>
      <w:r>
        <w:rPr>
          <w:rFonts w:asciiTheme="minorEastAsia" w:hAnsiTheme="minorEastAsia" w:eastAsiaTheme="minorEastAsia"/>
          <w:color w:val="000000"/>
          <w:sz w:val="28"/>
          <w:szCs w:val="28"/>
        </w:rPr>
        <w:t>万元（详见下表）。本年度拟购置固定资产总额为0.00万元。</w:t>
      </w:r>
    </w:p>
    <w:p>
      <w:pPr>
        <w:jc w:val="center"/>
        <w:rPr>
          <w:rFonts w:asciiTheme="minorEastAsia" w:hAnsiTheme="minorEastAsia" w:eastAsiaTheme="minorEastAsia"/>
          <w:sz w:val="28"/>
          <w:szCs w:val="28"/>
        </w:rPr>
      </w:pPr>
      <w:r>
        <w:rPr>
          <w:rFonts w:cs="方正小标宋_GBK" w:asciiTheme="minorEastAsia" w:hAnsiTheme="minorEastAsia" w:eastAsiaTheme="minorEastAsia"/>
          <w:color w:val="000000"/>
          <w:sz w:val="28"/>
          <w:szCs w:val="28"/>
        </w:rPr>
        <w:t>部门固定资产占用情况表</w:t>
      </w:r>
    </w:p>
    <w:tbl>
      <w:tblPr>
        <w:tblStyle w:val="4"/>
        <w:tblW w:w="15098" w:type="dxa"/>
        <w:tblInd w:w="-106" w:type="dxa"/>
        <w:tblLayout w:type="fixed"/>
        <w:tblCellMar>
          <w:top w:w="0" w:type="dxa"/>
          <w:left w:w="108" w:type="dxa"/>
          <w:bottom w:w="0" w:type="dxa"/>
          <w:right w:w="108" w:type="dxa"/>
        </w:tblCellMar>
      </w:tblPr>
      <w:tblGrid>
        <w:gridCol w:w="4600"/>
        <w:gridCol w:w="3411"/>
        <w:gridCol w:w="7087"/>
      </w:tblGrid>
      <w:tr>
        <w:tblPrEx>
          <w:tblCellMar>
            <w:top w:w="0" w:type="dxa"/>
            <w:left w:w="108" w:type="dxa"/>
            <w:bottom w:w="0" w:type="dxa"/>
            <w:right w:w="108" w:type="dxa"/>
          </w:tblCellMar>
        </w:tblPrEx>
        <w:trPr>
          <w:trHeight w:val="335" w:hRule="atLeast"/>
        </w:trPr>
        <w:tc>
          <w:tcPr>
            <w:tcW w:w="8011" w:type="dxa"/>
            <w:gridSpan w:val="2"/>
            <w:vAlign w:val="center"/>
          </w:tcPr>
          <w:p>
            <w:pPr>
              <w:rPr>
                <w:rFonts w:asciiTheme="minorEastAsia" w:hAnsiTheme="minorEastAsia" w:eastAsiaTheme="minorEastAsia"/>
              </w:rPr>
            </w:pPr>
            <w:r>
              <w:t>144唐山市城市管理综合行政执法支队高新区执法大队</w:t>
            </w:r>
            <w:r>
              <w:rPr>
                <w:rFonts w:hint="eastAsia" w:cs="仿宋_GB2312" w:asciiTheme="minorEastAsia" w:hAnsiTheme="minorEastAsia" w:eastAsiaTheme="minorEastAsia"/>
              </w:rPr>
              <w:t xml:space="preserve">   </w:t>
            </w:r>
          </w:p>
        </w:tc>
        <w:tc>
          <w:tcPr>
            <w:tcW w:w="7087" w:type="dxa"/>
            <w:vAlign w:val="center"/>
          </w:tcPr>
          <w:p>
            <w:pPr>
              <w:rPr>
                <w:rFonts w:asciiTheme="minorEastAsia" w:hAnsiTheme="minorEastAsia" w:eastAsiaTheme="minorEastAsia"/>
              </w:rPr>
            </w:pPr>
            <w:r>
              <w:rPr>
                <w:rFonts w:hint="eastAsia" w:cs="仿宋_GB2312" w:asciiTheme="minorEastAsia" w:hAnsiTheme="minorEastAsia" w:eastAsiaTheme="minorEastAsia"/>
              </w:rPr>
              <w:t xml:space="preserve">截止时间：2021年12月31日  </w:t>
            </w:r>
          </w:p>
        </w:tc>
      </w:tr>
      <w:tr>
        <w:tblPrEx>
          <w:tblCellMar>
            <w:top w:w="0" w:type="dxa"/>
            <w:left w:w="108" w:type="dxa"/>
            <w:bottom w:w="0" w:type="dxa"/>
            <w:right w:w="108" w:type="dxa"/>
          </w:tblCellMar>
        </w:tblPrEx>
        <w:trPr>
          <w:trHeight w:val="326" w:hRule="atLeast"/>
        </w:trPr>
        <w:tc>
          <w:tcPr>
            <w:tcW w:w="46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cs="仿宋_GB2312" w:asciiTheme="minorEastAsia" w:hAnsiTheme="minorEastAsia" w:eastAsiaTheme="minorEastAsia"/>
                <w:b/>
                <w:bCs/>
              </w:rPr>
              <w:t>项   目</w:t>
            </w:r>
          </w:p>
        </w:tc>
        <w:tc>
          <w:tcPr>
            <w:tcW w:w="341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cs="仿宋_GB2312" w:asciiTheme="minorEastAsia" w:hAnsiTheme="minorEastAsia" w:eastAsiaTheme="minorEastAsia"/>
                <w:b/>
                <w:bCs/>
              </w:rPr>
              <w:t>数量</w:t>
            </w:r>
          </w:p>
        </w:tc>
        <w:tc>
          <w:tcPr>
            <w:tcW w:w="7087"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cs="仿宋_GB2312" w:asciiTheme="minorEastAsia" w:hAnsiTheme="minorEastAsia" w:eastAsiaTheme="minorEastAsia"/>
                <w:b/>
                <w:bCs/>
              </w:rPr>
              <w:t>价值（金额单位：万元）</w:t>
            </w:r>
          </w:p>
        </w:tc>
      </w:tr>
      <w:tr>
        <w:tblPrEx>
          <w:tblCellMar>
            <w:top w:w="0" w:type="dxa"/>
            <w:left w:w="108" w:type="dxa"/>
            <w:bottom w:w="0" w:type="dxa"/>
            <w:right w:w="108" w:type="dxa"/>
          </w:tblCellMar>
        </w:tblPrEx>
        <w:trPr>
          <w:trHeight w:val="496"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合计　　　</w:t>
            </w:r>
          </w:p>
        </w:tc>
        <w:tc>
          <w:tcPr>
            <w:tcW w:w="3411" w:type="dxa"/>
            <w:tcBorders>
              <w:top w:val="nil"/>
              <w:left w:val="nil"/>
              <w:bottom w:val="single" w:color="auto" w:sz="4" w:space="0"/>
              <w:right w:val="single" w:color="auto" w:sz="4" w:space="0"/>
            </w:tcBorders>
            <w:vAlign w:val="center"/>
          </w:tcPr>
          <w:p>
            <w:pPr>
              <w:widowControl w:val="0"/>
              <w:jc w:val="center"/>
              <w:rPr>
                <w:rFonts w:asciiTheme="minorEastAsia" w:hAnsiTheme="minorEastAsia" w:eastAsiaTheme="minorEastAsia"/>
                <w:kern w:val="2"/>
              </w:rPr>
            </w:pPr>
            <w:r>
              <w:rPr>
                <w:rFonts w:hint="eastAsia"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color w:val="000000"/>
                <w:kern w:val="2"/>
              </w:rPr>
            </w:pPr>
            <w:r>
              <w:rPr>
                <w:rFonts w:hint="eastAsia" w:cs="宋体" w:asciiTheme="minorEastAsia" w:hAnsiTheme="minorEastAsia" w:eastAsiaTheme="minorEastAsia"/>
                <w:color w:val="000000"/>
              </w:rPr>
              <w:t>63.83</w:t>
            </w:r>
          </w:p>
        </w:tc>
      </w:tr>
      <w:tr>
        <w:tblPrEx>
          <w:tblCellMar>
            <w:top w:w="0" w:type="dxa"/>
            <w:left w:w="108" w:type="dxa"/>
            <w:bottom w:w="0" w:type="dxa"/>
            <w:right w:w="108" w:type="dxa"/>
          </w:tblCellMar>
        </w:tblPrEx>
        <w:trPr>
          <w:trHeight w:val="378"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一、土地房屋及构筑物</w:t>
            </w:r>
          </w:p>
        </w:tc>
        <w:tc>
          <w:tcPr>
            <w:tcW w:w="3411" w:type="dxa"/>
            <w:tcBorders>
              <w:top w:val="nil"/>
              <w:left w:val="nil"/>
              <w:bottom w:val="single" w:color="auto" w:sz="4" w:space="0"/>
              <w:right w:val="single" w:color="auto" w:sz="4" w:space="0"/>
            </w:tcBorders>
            <w:vAlign w:val="center"/>
          </w:tcPr>
          <w:p>
            <w:pPr>
              <w:widowControl w:val="0"/>
              <w:jc w:val="center"/>
              <w:rPr>
                <w:rFonts w:asciiTheme="minorEastAsia" w:hAnsiTheme="minorEastAsia" w:eastAsiaTheme="minorEastAsia"/>
                <w:kern w:val="2"/>
              </w:rPr>
            </w:pPr>
            <w:r>
              <w:rPr>
                <w:rFonts w:hint="eastAsia"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CellMar>
            <w:top w:w="0" w:type="dxa"/>
            <w:left w:w="108" w:type="dxa"/>
            <w:bottom w:w="0" w:type="dxa"/>
            <w:right w:w="108" w:type="dxa"/>
          </w:tblCellMar>
        </w:tblPrEx>
        <w:trPr>
          <w:trHeight w:val="284"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其中：房屋</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CellMar>
            <w:top w:w="0" w:type="dxa"/>
            <w:left w:w="108" w:type="dxa"/>
            <w:bottom w:w="0" w:type="dxa"/>
            <w:right w:w="108" w:type="dxa"/>
          </w:tblCellMar>
        </w:tblPrEx>
        <w:trPr>
          <w:trHeight w:val="440"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二、通用设备</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asciiTheme="minorEastAsia" w:hAnsiTheme="minorEastAsia" w:eastAsiaTheme="minorEastAsia"/>
              </w:rPr>
              <w:t>68</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color w:val="000000"/>
                <w:kern w:val="2"/>
              </w:rPr>
            </w:pPr>
            <w:r>
              <w:rPr>
                <w:rFonts w:hint="eastAsia" w:asciiTheme="minorEastAsia" w:hAnsiTheme="minorEastAsia" w:eastAsiaTheme="minorEastAsia"/>
                <w:color w:val="000000"/>
              </w:rPr>
              <w:t>46.10</w:t>
            </w:r>
          </w:p>
        </w:tc>
      </w:tr>
      <w:tr>
        <w:tblPrEx>
          <w:tblCellMar>
            <w:top w:w="0" w:type="dxa"/>
            <w:left w:w="108" w:type="dxa"/>
            <w:bottom w:w="0" w:type="dxa"/>
            <w:right w:w="108" w:type="dxa"/>
          </w:tblCellMar>
        </w:tblPrEx>
        <w:trPr>
          <w:trHeight w:val="268"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其中：汽车</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kern w:val="2"/>
              </w:rPr>
            </w:pPr>
          </w:p>
        </w:tc>
      </w:tr>
      <w:tr>
        <w:tblPrEx>
          <w:tblCellMar>
            <w:top w:w="0" w:type="dxa"/>
            <w:left w:w="108" w:type="dxa"/>
            <w:bottom w:w="0" w:type="dxa"/>
            <w:right w:w="108" w:type="dxa"/>
          </w:tblCellMar>
        </w:tblPrEx>
        <w:trPr>
          <w:trHeight w:val="318"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三、专用设备</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kern w:val="2"/>
              </w:rPr>
            </w:pPr>
          </w:p>
        </w:tc>
      </w:tr>
      <w:tr>
        <w:tblPrEx>
          <w:tblCellMar>
            <w:top w:w="0" w:type="dxa"/>
            <w:left w:w="108" w:type="dxa"/>
            <w:bottom w:w="0" w:type="dxa"/>
            <w:right w:w="108" w:type="dxa"/>
          </w:tblCellMar>
        </w:tblPrEx>
        <w:trPr>
          <w:trHeight w:val="344"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四、文物与陈列品</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CellMar>
            <w:top w:w="0" w:type="dxa"/>
            <w:left w:w="108" w:type="dxa"/>
            <w:bottom w:w="0" w:type="dxa"/>
            <w:right w:w="108" w:type="dxa"/>
          </w:tblCellMar>
        </w:tblPrEx>
        <w:trPr>
          <w:trHeight w:val="330"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其中：文物</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CellMar>
            <w:top w:w="0" w:type="dxa"/>
            <w:left w:w="108" w:type="dxa"/>
            <w:bottom w:w="0" w:type="dxa"/>
            <w:right w:w="108" w:type="dxa"/>
          </w:tblCellMar>
        </w:tblPrEx>
        <w:trPr>
          <w:trHeight w:val="270"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陈列品</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CellMar>
            <w:top w:w="0" w:type="dxa"/>
            <w:left w:w="108" w:type="dxa"/>
            <w:bottom w:w="0" w:type="dxa"/>
            <w:right w:w="108" w:type="dxa"/>
          </w:tblCellMar>
        </w:tblPrEx>
        <w:trPr>
          <w:trHeight w:val="346"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五、图书档案</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kern w:val="2"/>
              </w:rPr>
            </w:pPr>
          </w:p>
        </w:tc>
      </w:tr>
      <w:tr>
        <w:tblPrEx>
          <w:tblCellMar>
            <w:top w:w="0" w:type="dxa"/>
            <w:left w:w="108" w:type="dxa"/>
            <w:bottom w:w="0" w:type="dxa"/>
            <w:right w:w="108" w:type="dxa"/>
          </w:tblCellMar>
        </w:tblPrEx>
        <w:trPr>
          <w:trHeight w:val="190"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其中：图书资料</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kern w:val="2"/>
              </w:rPr>
            </w:pPr>
          </w:p>
        </w:tc>
      </w:tr>
      <w:tr>
        <w:tblPrEx>
          <w:tblCellMar>
            <w:top w:w="0" w:type="dxa"/>
            <w:left w:w="108" w:type="dxa"/>
            <w:bottom w:w="0" w:type="dxa"/>
            <w:right w:w="108" w:type="dxa"/>
          </w:tblCellMar>
        </w:tblPrEx>
        <w:trPr>
          <w:trHeight w:val="287"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六、家具、用具、装具及动植物</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r>
              <w:rPr>
                <w:rFonts w:hint="eastAsia" w:asciiTheme="minorEastAsia" w:hAnsiTheme="minorEastAsia" w:eastAsiaTheme="minorEastAsia"/>
              </w:rPr>
              <w:t>414</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kern w:val="2"/>
              </w:rPr>
            </w:pPr>
            <w:r>
              <w:rPr>
                <w:rFonts w:hint="eastAsia" w:cs="宋体" w:asciiTheme="minorEastAsia" w:hAnsiTheme="minorEastAsia" w:eastAsiaTheme="minorEastAsia"/>
              </w:rPr>
              <w:t>17.73</w:t>
            </w:r>
          </w:p>
        </w:tc>
      </w:tr>
      <w:tr>
        <w:tblPrEx>
          <w:tblCellMar>
            <w:top w:w="0" w:type="dxa"/>
            <w:left w:w="108" w:type="dxa"/>
            <w:bottom w:w="0" w:type="dxa"/>
            <w:right w:w="108" w:type="dxa"/>
          </w:tblCellMar>
        </w:tblPrEx>
        <w:trPr>
          <w:trHeight w:val="503"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其中：家具用具</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r>
              <w:rPr>
                <w:rFonts w:hint="eastAsia" w:asciiTheme="minorEastAsia" w:hAnsiTheme="minorEastAsia" w:eastAsiaTheme="minorEastAsia"/>
              </w:rPr>
              <w:t>414</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kern w:val="2"/>
              </w:rPr>
            </w:pPr>
            <w:r>
              <w:rPr>
                <w:rFonts w:hint="eastAsia" w:cs="宋体" w:asciiTheme="minorEastAsia" w:hAnsiTheme="minorEastAsia" w:eastAsiaTheme="minorEastAsia"/>
              </w:rPr>
              <w:t>17.73</w:t>
            </w:r>
          </w:p>
        </w:tc>
      </w:tr>
    </w:tbl>
    <w:p>
      <w:pPr>
        <w:ind w:firstLine="640"/>
        <w:outlineLvl w:val="2"/>
        <w:rPr>
          <w:rFonts w:asciiTheme="minorEastAsia" w:hAnsiTheme="minorEastAsia" w:eastAsiaTheme="minorEastAsia"/>
          <w:b/>
          <w:bCs/>
          <w:sz w:val="28"/>
          <w:szCs w:val="28"/>
        </w:rPr>
      </w:pPr>
      <w:bookmarkStart w:id="16" w:name="_Toc_3_3_0000000017"/>
      <w:bookmarkStart w:id="18" w:name="_GoBack"/>
      <w:bookmarkEnd w:id="18"/>
      <w:r>
        <w:rPr>
          <w:rFonts w:cs="黑体" w:asciiTheme="minorEastAsia" w:hAnsiTheme="minorEastAsia" w:eastAsiaTheme="minorEastAsia"/>
          <w:b/>
          <w:bCs/>
          <w:color w:val="000000"/>
          <w:sz w:val="28"/>
          <w:szCs w:val="28"/>
        </w:rPr>
        <w:t>八、名词解释</w:t>
      </w:r>
      <w:bookmarkEnd w:id="16"/>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1、</w:t>
      </w:r>
      <w:r>
        <w:rPr>
          <w:rFonts w:asciiTheme="minorEastAsia" w:hAnsiTheme="minorEastAsia" w:eastAsiaTheme="minorEastAsia"/>
          <w:b/>
          <w:color w:val="000000"/>
          <w:sz w:val="28"/>
          <w:szCs w:val="28"/>
        </w:rPr>
        <w:t>一般公共预算拨款收入：</w:t>
      </w:r>
      <w:r>
        <w:rPr>
          <w:rFonts w:asciiTheme="minorEastAsia" w:hAnsiTheme="minorEastAsia" w:eastAsiaTheme="minorEastAsia"/>
          <w:color w:val="000000"/>
          <w:sz w:val="28"/>
          <w:szCs w:val="28"/>
        </w:rPr>
        <w:t>指</w:t>
      </w:r>
      <w:r>
        <w:rPr>
          <w:rFonts w:hint="eastAsia" w:asciiTheme="minorEastAsia" w:hAnsiTheme="minorEastAsia" w:eastAsiaTheme="minorEastAsia"/>
          <w:color w:val="000000"/>
          <w:sz w:val="28"/>
          <w:szCs w:val="28"/>
          <w:lang w:eastAsia="zh-CN"/>
        </w:rPr>
        <w:t>区</w:t>
      </w:r>
      <w:r>
        <w:rPr>
          <w:rFonts w:asciiTheme="minorEastAsia" w:hAnsiTheme="minorEastAsia" w:eastAsiaTheme="minorEastAsia"/>
          <w:color w:val="000000"/>
          <w:sz w:val="28"/>
          <w:szCs w:val="28"/>
        </w:rPr>
        <w:t>级财政当年拨付的资金。</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2、</w:t>
      </w:r>
      <w:r>
        <w:rPr>
          <w:rFonts w:asciiTheme="minorEastAsia" w:hAnsiTheme="minorEastAsia" w:eastAsiaTheme="minorEastAsia"/>
          <w:b/>
          <w:color w:val="000000"/>
          <w:sz w:val="28"/>
          <w:szCs w:val="28"/>
        </w:rPr>
        <w:t>事业收入：</w:t>
      </w:r>
      <w:r>
        <w:rPr>
          <w:rFonts w:asciiTheme="minorEastAsia" w:hAnsiTheme="minorEastAsia" w:eastAsiaTheme="minorEastAsia"/>
          <w:color w:val="000000"/>
          <w:sz w:val="28"/>
          <w:szCs w:val="28"/>
        </w:rPr>
        <w:t>指事业单位开展专业业务活动及辅助活动所取得的收入。</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3、</w:t>
      </w:r>
      <w:r>
        <w:rPr>
          <w:rFonts w:asciiTheme="minorEastAsia" w:hAnsiTheme="minorEastAsia" w:eastAsiaTheme="minorEastAsia"/>
          <w:b/>
          <w:color w:val="000000"/>
          <w:sz w:val="28"/>
          <w:szCs w:val="28"/>
        </w:rPr>
        <w:t>其他收入：</w:t>
      </w:r>
      <w:r>
        <w:rPr>
          <w:rFonts w:asciiTheme="minorEastAsia" w:hAnsiTheme="minorEastAsia" w:eastAsiaTheme="minorEastAsia"/>
          <w:color w:val="000000"/>
          <w:sz w:val="28"/>
          <w:szCs w:val="28"/>
        </w:rPr>
        <w:t>指除“一般公共预算拨款收入”、“事业收入”等以外的收入。主要是按规定动用的租房收入、存款利息收入等。</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4、</w:t>
      </w:r>
      <w:r>
        <w:rPr>
          <w:rFonts w:asciiTheme="minorEastAsia" w:hAnsiTheme="minorEastAsia" w:eastAsiaTheme="minorEastAsia"/>
          <w:b/>
          <w:color w:val="000000"/>
          <w:sz w:val="28"/>
          <w:szCs w:val="28"/>
        </w:rPr>
        <w:t>基本支出：</w:t>
      </w:r>
      <w:r>
        <w:rPr>
          <w:rFonts w:asciiTheme="minorEastAsia" w:hAnsiTheme="minorEastAsia" w:eastAsiaTheme="minorEastAsia"/>
          <w:color w:val="000000"/>
          <w:sz w:val="28"/>
          <w:szCs w:val="28"/>
        </w:rPr>
        <w:t>指为保障机构正常运转、完成日常工作任务而发生的人员支出和公用支出。</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5、</w:t>
      </w:r>
      <w:r>
        <w:rPr>
          <w:rFonts w:asciiTheme="minorEastAsia" w:hAnsiTheme="minorEastAsia" w:eastAsiaTheme="minorEastAsia"/>
          <w:b/>
          <w:color w:val="000000"/>
          <w:sz w:val="28"/>
          <w:szCs w:val="28"/>
        </w:rPr>
        <w:t>项目支出：</w:t>
      </w:r>
      <w:r>
        <w:rPr>
          <w:rFonts w:asciiTheme="minorEastAsia" w:hAnsiTheme="minorEastAsia" w:eastAsiaTheme="minorEastAsia"/>
          <w:color w:val="000000"/>
          <w:sz w:val="28"/>
          <w:szCs w:val="28"/>
        </w:rPr>
        <w:t>指在基本支出之外为完成特定行政任务和事业发展目标所发生的支出。</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6、</w:t>
      </w:r>
      <w:r>
        <w:rPr>
          <w:rFonts w:asciiTheme="minorEastAsia" w:hAnsiTheme="minorEastAsia" w:eastAsiaTheme="minorEastAsia"/>
          <w:b/>
          <w:color w:val="000000"/>
          <w:sz w:val="28"/>
          <w:szCs w:val="28"/>
        </w:rPr>
        <w:t>上缴上级支出：</w:t>
      </w:r>
      <w:r>
        <w:rPr>
          <w:rFonts w:asciiTheme="minorEastAsia" w:hAnsiTheme="minorEastAsia" w:eastAsiaTheme="minorEastAsia"/>
          <w:color w:val="000000"/>
          <w:sz w:val="28"/>
          <w:szCs w:val="28"/>
        </w:rPr>
        <w:t>指下级单位上缴上级的支出。</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7、</w:t>
      </w:r>
      <w:r>
        <w:rPr>
          <w:rFonts w:asciiTheme="minorEastAsia" w:hAnsiTheme="minorEastAsia" w:eastAsiaTheme="minorEastAsia"/>
          <w:b/>
          <w:color w:val="000000"/>
          <w:sz w:val="28"/>
          <w:szCs w:val="28"/>
        </w:rPr>
        <w:t>“三公”经费：</w:t>
      </w:r>
      <w:r>
        <w:rPr>
          <w:rFonts w:asciiTheme="minorEastAsia" w:hAnsiTheme="minorEastAsia" w:eastAsiaTheme="minorEastAsia"/>
          <w:color w:val="000000"/>
          <w:sz w:val="28"/>
          <w:szCs w:val="28"/>
        </w:rPr>
        <w:t>纳入</w:t>
      </w:r>
      <w:r>
        <w:rPr>
          <w:rFonts w:hint="eastAsia" w:asciiTheme="minorEastAsia" w:hAnsiTheme="minorEastAsia" w:eastAsiaTheme="minorEastAsia"/>
          <w:color w:val="000000"/>
          <w:sz w:val="28"/>
          <w:szCs w:val="28"/>
          <w:lang w:eastAsia="zh-CN"/>
        </w:rPr>
        <w:t>区</w:t>
      </w:r>
      <w:r>
        <w:rPr>
          <w:rFonts w:asciiTheme="minorEastAsia" w:hAnsiTheme="minorEastAsia" w:eastAsiaTheme="minorEastAsia"/>
          <w:color w:val="000000"/>
          <w:sz w:val="28"/>
          <w:szCs w:val="28"/>
        </w:rPr>
        <w:t>级财政预算管理的“三公”经费，是指</w:t>
      </w:r>
      <w:r>
        <w:rPr>
          <w:rFonts w:hint="eastAsia" w:asciiTheme="minorEastAsia" w:hAnsiTheme="minorEastAsia" w:eastAsiaTheme="minorEastAsia"/>
          <w:color w:val="000000"/>
          <w:sz w:val="28"/>
          <w:szCs w:val="28"/>
          <w:lang w:eastAsia="zh-CN"/>
        </w:rPr>
        <w:t>区</w:t>
      </w:r>
      <w:r>
        <w:rPr>
          <w:rFonts w:asciiTheme="minorEastAsia" w:hAnsiTheme="minorEastAsia" w:eastAsiaTheme="minorEastAsia"/>
          <w:color w:val="000000"/>
          <w:sz w:val="28"/>
          <w:szCs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8、</w:t>
      </w:r>
      <w:r>
        <w:rPr>
          <w:rFonts w:asciiTheme="minorEastAsia" w:hAnsiTheme="minorEastAsia" w:eastAsiaTheme="minorEastAsia"/>
          <w:b/>
          <w:color w:val="000000"/>
          <w:sz w:val="28"/>
          <w:szCs w:val="28"/>
        </w:rPr>
        <w:t>机关运行费：</w:t>
      </w:r>
      <w:r>
        <w:rPr>
          <w:rFonts w:asciiTheme="minorEastAsia" w:hAnsiTheme="minorEastAsia" w:eastAsiaTheme="minorEastAsia"/>
          <w:color w:val="000000"/>
          <w:sz w:val="28"/>
          <w:szCs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9、</w:t>
      </w:r>
      <w:r>
        <w:rPr>
          <w:rFonts w:asciiTheme="minorEastAsia" w:hAnsiTheme="minorEastAsia" w:eastAsiaTheme="minorEastAsia"/>
          <w:b/>
          <w:color w:val="000000"/>
          <w:sz w:val="28"/>
          <w:szCs w:val="28"/>
        </w:rPr>
        <w:t>上年结转：</w:t>
      </w:r>
      <w:r>
        <w:rPr>
          <w:rFonts w:asciiTheme="minorEastAsia" w:hAnsiTheme="minorEastAsia" w:eastAsiaTheme="minorEastAsia"/>
          <w:color w:val="000000"/>
          <w:sz w:val="28"/>
          <w:szCs w:val="28"/>
        </w:rPr>
        <w:t>指以前年度尚未完成、结转到本年仍按原规定用途继续使用的资金。</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10、</w:t>
      </w:r>
      <w:r>
        <w:rPr>
          <w:rFonts w:asciiTheme="minorEastAsia" w:hAnsiTheme="minorEastAsia" w:eastAsiaTheme="minorEastAsia"/>
          <w:b/>
          <w:color w:val="000000"/>
          <w:sz w:val="28"/>
          <w:szCs w:val="28"/>
        </w:rPr>
        <w:t>事业单位经营支出：</w:t>
      </w:r>
      <w:r>
        <w:rPr>
          <w:rFonts w:asciiTheme="minorEastAsia" w:hAnsiTheme="minorEastAsia" w:eastAsiaTheme="minorEastAsia"/>
          <w:color w:val="000000"/>
          <w:sz w:val="28"/>
          <w:szCs w:val="28"/>
        </w:rPr>
        <w:t>指事业单位在专业业务活动及其辅助活动之外开展非独立核算经营活动发生的支出。</w:t>
      </w:r>
    </w:p>
    <w:p>
      <w:pPr>
        <w:ind w:firstLine="640"/>
        <w:outlineLvl w:val="2"/>
        <w:rPr>
          <w:rFonts w:asciiTheme="minorEastAsia" w:hAnsiTheme="minorEastAsia" w:eastAsiaTheme="minorEastAsia"/>
          <w:b/>
          <w:bCs/>
          <w:sz w:val="28"/>
          <w:szCs w:val="28"/>
        </w:rPr>
      </w:pPr>
      <w:bookmarkStart w:id="17" w:name="_Toc_3_3_0000000018"/>
      <w:r>
        <w:rPr>
          <w:rFonts w:cs="黑体" w:asciiTheme="minorEastAsia" w:hAnsiTheme="minorEastAsia" w:eastAsiaTheme="minorEastAsia"/>
          <w:b/>
          <w:bCs/>
          <w:color w:val="000000"/>
          <w:sz w:val="28"/>
          <w:szCs w:val="28"/>
        </w:rPr>
        <w:t>九、其他需要说明的事项</w:t>
      </w:r>
      <w:bookmarkEnd w:id="17"/>
    </w:p>
    <w:p>
      <w:pPr>
        <w:ind w:firstLine="560"/>
        <w:rPr>
          <w:rFonts w:asciiTheme="minorEastAsia" w:hAnsiTheme="minorEastAsia" w:eastAsiaTheme="minorEastAsia"/>
          <w:sz w:val="28"/>
          <w:szCs w:val="28"/>
          <w:lang w:eastAsia="zh-CN"/>
        </w:rPr>
        <w:sectPr>
          <w:pgSz w:w="16840" w:h="11900" w:orient="landscape"/>
          <w:pgMar w:top="1361" w:right="1020" w:bottom="1134" w:left="1020" w:header="720" w:footer="720" w:gutter="0"/>
          <w:cols w:space="720" w:num="1"/>
          <w:docGrid w:type="linesAndChars" w:linePitch="335" w:charSpace="-4578"/>
        </w:sectPr>
      </w:pPr>
      <w:r>
        <w:rPr>
          <w:rFonts w:asciiTheme="minorEastAsia" w:hAnsiTheme="minorEastAsia" w:eastAsiaTheme="minorEastAsia"/>
          <w:color w:val="000000"/>
          <w:sz w:val="28"/>
          <w:szCs w:val="28"/>
        </w:rPr>
        <w:t>我部门无其他需要说明的事项。</w:t>
      </w:r>
    </w:p>
    <w:p>
      <w:pPr>
        <w:rPr>
          <w:rFonts w:asciiTheme="minorEastAsia" w:hAnsiTheme="minorEastAsia" w:eastAsiaTheme="minorEastAsia"/>
          <w:sz w:val="28"/>
          <w:szCs w:val="28"/>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80EC4D"/>
    <w:multiLevelType w:val="singleLevel"/>
    <w:tmpl w:val="7680EC4D"/>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NotTrackMoves/>
  <w:documentProtection w:enforcement="0"/>
  <w:defaultTabStop w:val="720"/>
  <w:evenAndOddHeaders w:val="1"/>
  <w:drawingGridHorizontalSpacing w:val="109"/>
  <w:drawingGridVerticalSpacing w:val="335"/>
  <w:displayHorizontalDrawingGridEvery w:val="2"/>
  <w:characterSpacingControl w:val="doNotCompress"/>
  <w:compat>
    <w:doNotLeaveBackslashAlone/>
    <w:doNotExpandShiftReturn/>
    <w:adjustLineHeightInTable/>
    <w:useFELayout/>
    <w:compatSetting w:name="compatibilityMode" w:uri="http://schemas.microsoft.com/office/word" w:val="12"/>
  </w:compat>
  <w:rsids>
    <w:rsidRoot w:val="00C3212B"/>
    <w:rsid w:val="000A1FD7"/>
    <w:rsid w:val="002009C0"/>
    <w:rsid w:val="002508B8"/>
    <w:rsid w:val="00287D5D"/>
    <w:rsid w:val="002C3FC0"/>
    <w:rsid w:val="00535478"/>
    <w:rsid w:val="005661DB"/>
    <w:rsid w:val="007D04F3"/>
    <w:rsid w:val="008377E7"/>
    <w:rsid w:val="00844127"/>
    <w:rsid w:val="00864E13"/>
    <w:rsid w:val="00A10477"/>
    <w:rsid w:val="00B050DD"/>
    <w:rsid w:val="00B77E6D"/>
    <w:rsid w:val="00C3212B"/>
    <w:rsid w:val="00CB63D3"/>
    <w:rsid w:val="00CD05D5"/>
    <w:rsid w:val="00DD2BEB"/>
    <w:rsid w:val="00FE4C59"/>
    <w:rsid w:val="0B802F10"/>
    <w:rsid w:val="26B96B44"/>
    <w:rsid w:val="66D102B5"/>
    <w:rsid w:val="6D8E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3"/>
    <w:semiHidden/>
    <w:unhideWhenUsed/>
    <w:uiPriority w:val="99"/>
    <w:pPr>
      <w:tabs>
        <w:tab w:val="center" w:pos="4153"/>
        <w:tab w:val="right" w:pos="8306"/>
      </w:tabs>
      <w:snapToGrid w:val="0"/>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2022-05-23T09:15:00Z</dcterms:created>
  <dcterms:modified xsi:type="dcterms:W3CDTF">2022-05-23T01:15:00Z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2022-05-23T09:13:30Z</dcterms:created>
  <dcterms:modified xsi:type="dcterms:W3CDTF">2022-05-23T01:13:30Z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2022-05-23T09:13:14Z</dcterms:created>
  <dcterms:modified xsi:type="dcterms:W3CDTF">2022-05-23T01:13:14Z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2022-05-23T09:15:13Z</dcterms:created>
  <dcterms:modified xsi:type="dcterms:W3CDTF">2022-05-23T01:15:13Z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2022-05-23T09:13:32Z</dcterms:created>
  <dcterms:modified xsi:type="dcterms:W3CDTF">2022-05-23T01:13:32Z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2022-05-23T09:14:36Z</dcterms:created>
  <dcterms:modified xsi:type="dcterms:W3CDTF">2022-05-23T01:14:36Z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2022-05-23T09:14:57Z</dcterms:created>
  <dcterms:modified xsi:type="dcterms:W3CDTF">2022-05-23T01:14:57Z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2022-05-23T09:14:05Z</dcterms:created>
  <dcterms:modified xsi:type="dcterms:W3CDTF">2022-05-23T01:14:05Z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2022-05-23T09:14:56Z</dcterms:created>
  <dcterms:modified xsi:type="dcterms:W3CDTF">2022-05-23T01:14:56Z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2022-05-23T09:13:41Z</dcterms:created>
  <dcterms:modified xsi:type="dcterms:W3CDTF">2022-05-23T01:13:41Z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2022-05-23T09:14:48Z</dcterms:created>
  <dcterms:modified xsi:type="dcterms:W3CDTF">2022-05-23T01:14:48Z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2022-05-23T09:14:51Z</dcterms:created>
  <dcterms:modified xsi:type="dcterms:W3CDTF">2022-05-23T01:14:51Z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2022-05-23T09:13:36Z</dcterms:created>
  <dcterms:modified xsi:type="dcterms:W3CDTF">2022-05-23T01:13:36Z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2022-05-23T09:13:35Z</dcterms:created>
  <dcterms:modified xsi:type="dcterms:W3CDTF">2022-05-23T01:13:35Z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2022-05-23T09:13:45Z</dcterms:created>
  <dcterms:modified xsi:type="dcterms:W3CDTF">2022-05-23T01:13:45Z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42D9B6F-DF1B-4C78-868C-CF96931E861A}">
  <ds:schemaRefs/>
</ds:datastoreItem>
</file>

<file path=customXml/itemProps11.xml><?xml version="1.0" encoding="utf-8"?>
<ds:datastoreItem xmlns:ds="http://schemas.openxmlformats.org/officeDocument/2006/customXml" ds:itemID="{C54F2908-D04F-40AE-83E8-28534E32FFF8}">
  <ds:schemaRefs/>
</ds:datastoreItem>
</file>

<file path=customXml/itemProps12.xml><?xml version="1.0" encoding="utf-8"?>
<ds:datastoreItem xmlns:ds="http://schemas.openxmlformats.org/officeDocument/2006/customXml" ds:itemID="{C4F6911B-802F-483D-8B71-E4325339241D}">
  <ds:schemaRefs/>
</ds:datastoreItem>
</file>

<file path=customXml/itemProps13.xml><?xml version="1.0" encoding="utf-8"?>
<ds:datastoreItem xmlns:ds="http://schemas.openxmlformats.org/officeDocument/2006/customXml" ds:itemID="{9605BF75-1F36-418B-977D-879E6EF190AC}">
  <ds:schemaRefs/>
</ds:datastoreItem>
</file>

<file path=customXml/itemProps14.xml><?xml version="1.0" encoding="utf-8"?>
<ds:datastoreItem xmlns:ds="http://schemas.openxmlformats.org/officeDocument/2006/customXml" ds:itemID="{D88C7537-3CA6-4CC1-8663-2D0CD757298D}">
  <ds:schemaRefs/>
</ds:datastoreItem>
</file>

<file path=customXml/itemProps15.xml><?xml version="1.0" encoding="utf-8"?>
<ds:datastoreItem xmlns:ds="http://schemas.openxmlformats.org/officeDocument/2006/customXml" ds:itemID="{1C2BFEB2-2CF1-4A42-8CF4-36C63991DEAB}">
  <ds:schemaRefs/>
</ds:datastoreItem>
</file>

<file path=customXml/itemProps16.xml><?xml version="1.0" encoding="utf-8"?>
<ds:datastoreItem xmlns:ds="http://schemas.openxmlformats.org/officeDocument/2006/customXml" ds:itemID="{CEFA967B-3934-4B01-87B2-7513D0F51AAD}">
  <ds:schemaRefs/>
</ds:datastoreItem>
</file>

<file path=customXml/itemProps17.xml><?xml version="1.0" encoding="utf-8"?>
<ds:datastoreItem xmlns:ds="http://schemas.openxmlformats.org/officeDocument/2006/customXml" ds:itemID="{3EDD0CC2-4732-4F24-BE8B-5AFBDC7091AE}">
  <ds:schemaRefs/>
</ds:datastoreItem>
</file>

<file path=customXml/itemProps18.xml><?xml version="1.0" encoding="utf-8"?>
<ds:datastoreItem xmlns:ds="http://schemas.openxmlformats.org/officeDocument/2006/customXml" ds:itemID="{8F9852C5-D40B-4257-B830-48BB074566BD}">
  <ds:schemaRefs/>
</ds:datastoreItem>
</file>

<file path=customXml/itemProps19.xml><?xml version="1.0" encoding="utf-8"?>
<ds:datastoreItem xmlns:ds="http://schemas.openxmlformats.org/officeDocument/2006/customXml" ds:itemID="{22AF66F7-A8D2-46C8-95EA-FB63C361A438}">
  <ds:schemaRefs/>
</ds:datastoreItem>
</file>

<file path=customXml/itemProps2.xml><?xml version="1.0" encoding="utf-8"?>
<ds:datastoreItem xmlns:ds="http://schemas.openxmlformats.org/officeDocument/2006/customXml" ds:itemID="{DA1CD75B-E37F-4A08-9A24-DD5D27B70EDE}">
  <ds:schemaRefs/>
</ds:datastoreItem>
</file>

<file path=customXml/itemProps20.xml><?xml version="1.0" encoding="utf-8"?>
<ds:datastoreItem xmlns:ds="http://schemas.openxmlformats.org/officeDocument/2006/customXml" ds:itemID="{8BAEDFCB-5915-4E2A-86F3-479D27FAE38B}">
  <ds:schemaRefs/>
</ds:datastoreItem>
</file>

<file path=customXml/itemProps21.xml><?xml version="1.0" encoding="utf-8"?>
<ds:datastoreItem xmlns:ds="http://schemas.openxmlformats.org/officeDocument/2006/customXml" ds:itemID="{C7B002AE-CDDF-4571-97CE-08BC573B6D02}">
  <ds:schemaRefs/>
</ds:datastoreItem>
</file>

<file path=customXml/itemProps22.xml><?xml version="1.0" encoding="utf-8"?>
<ds:datastoreItem xmlns:ds="http://schemas.openxmlformats.org/officeDocument/2006/customXml" ds:itemID="{433D7BD5-4D7D-40E1-B3FE-769BED25E5A9}">
  <ds:schemaRefs/>
</ds:datastoreItem>
</file>

<file path=customXml/itemProps23.xml><?xml version="1.0" encoding="utf-8"?>
<ds:datastoreItem xmlns:ds="http://schemas.openxmlformats.org/officeDocument/2006/customXml" ds:itemID="{25D7A5B0-B1E0-4A90-B64E-1FD79C5B57F1}">
  <ds:schemaRefs/>
</ds:datastoreItem>
</file>

<file path=customXml/itemProps24.xml><?xml version="1.0" encoding="utf-8"?>
<ds:datastoreItem xmlns:ds="http://schemas.openxmlformats.org/officeDocument/2006/customXml" ds:itemID="{E0276754-B2AE-48D9-B8C0-E59545B31C39}">
  <ds:schemaRefs/>
</ds:datastoreItem>
</file>

<file path=customXml/itemProps25.xml><?xml version="1.0" encoding="utf-8"?>
<ds:datastoreItem xmlns:ds="http://schemas.openxmlformats.org/officeDocument/2006/customXml" ds:itemID="{96A55AD6-C011-40DE-B057-909C18542ABA}">
  <ds:schemaRefs/>
</ds:datastoreItem>
</file>

<file path=customXml/itemProps26.xml><?xml version="1.0" encoding="utf-8"?>
<ds:datastoreItem xmlns:ds="http://schemas.openxmlformats.org/officeDocument/2006/customXml" ds:itemID="{D27557FA-33F9-4356-8370-0283E3F865E2}">
  <ds:schemaRefs/>
</ds:datastoreItem>
</file>

<file path=customXml/itemProps27.xml><?xml version="1.0" encoding="utf-8"?>
<ds:datastoreItem xmlns:ds="http://schemas.openxmlformats.org/officeDocument/2006/customXml" ds:itemID="{E5ECB120-82DC-4689-BCF9-1AD8A6B56DBC}">
  <ds:schemaRefs/>
</ds:datastoreItem>
</file>

<file path=customXml/itemProps28.xml><?xml version="1.0" encoding="utf-8"?>
<ds:datastoreItem xmlns:ds="http://schemas.openxmlformats.org/officeDocument/2006/customXml" ds:itemID="{B0AE2644-B34E-4C04-8006-91A919CFCBD4}">
  <ds:schemaRefs/>
</ds:datastoreItem>
</file>

<file path=customXml/itemProps29.xml><?xml version="1.0" encoding="utf-8"?>
<ds:datastoreItem xmlns:ds="http://schemas.openxmlformats.org/officeDocument/2006/customXml" ds:itemID="{1BFE3503-96AC-477A-9482-32C29BE119B7}">
  <ds:schemaRefs/>
</ds:datastoreItem>
</file>

<file path=customXml/itemProps3.xml><?xml version="1.0" encoding="utf-8"?>
<ds:datastoreItem xmlns:ds="http://schemas.openxmlformats.org/officeDocument/2006/customXml" ds:itemID="{F6530CF4-1231-4EF0-8ACD-0AC72093AE73}">
  <ds:schemaRefs/>
</ds:datastoreItem>
</file>

<file path=customXml/itemProps30.xml><?xml version="1.0" encoding="utf-8"?>
<ds:datastoreItem xmlns:ds="http://schemas.openxmlformats.org/officeDocument/2006/customXml" ds:itemID="{C62CB2A3-B38B-487C-AEBE-89CB3DE9CAA3}">
  <ds:schemaRefs/>
</ds:datastoreItem>
</file>

<file path=customXml/itemProps31.xml><?xml version="1.0" encoding="utf-8"?>
<ds:datastoreItem xmlns:ds="http://schemas.openxmlformats.org/officeDocument/2006/customXml" ds:itemID="{3FB9FEC3-8DAA-433B-876F-F3C2C69EE7A1}">
  <ds:schemaRefs/>
</ds:datastoreItem>
</file>

<file path=customXml/itemProps4.xml><?xml version="1.0" encoding="utf-8"?>
<ds:datastoreItem xmlns:ds="http://schemas.openxmlformats.org/officeDocument/2006/customXml" ds:itemID="{3BC460F5-417B-4673-9B14-40297E1AF956}">
  <ds:schemaRefs/>
</ds:datastoreItem>
</file>

<file path=customXml/itemProps5.xml><?xml version="1.0" encoding="utf-8"?>
<ds:datastoreItem xmlns:ds="http://schemas.openxmlformats.org/officeDocument/2006/customXml" ds:itemID="{01602C51-A22F-4F6F-AB5D-EF691058E35D}">
  <ds:schemaRefs/>
</ds:datastoreItem>
</file>

<file path=customXml/itemProps6.xml><?xml version="1.0" encoding="utf-8"?>
<ds:datastoreItem xmlns:ds="http://schemas.openxmlformats.org/officeDocument/2006/customXml" ds:itemID="{F27A8A1E-B540-4D0E-841E-E42F64F6A7D8}">
  <ds:schemaRefs/>
</ds:datastoreItem>
</file>

<file path=customXml/itemProps7.xml><?xml version="1.0" encoding="utf-8"?>
<ds:datastoreItem xmlns:ds="http://schemas.openxmlformats.org/officeDocument/2006/customXml" ds:itemID="{B46ED5EC-EE10-4312-AF55-086F78F84B00}">
  <ds:schemaRefs/>
</ds:datastoreItem>
</file>

<file path=customXml/itemProps8.xml><?xml version="1.0" encoding="utf-8"?>
<ds:datastoreItem xmlns:ds="http://schemas.openxmlformats.org/officeDocument/2006/customXml" ds:itemID="{B36C234B-4C84-4B13-8950-BED3291A2BD7}">
  <ds:schemaRefs/>
</ds:datastoreItem>
</file>

<file path=customXml/itemProps9.xml><?xml version="1.0" encoding="utf-8"?>
<ds:datastoreItem xmlns:ds="http://schemas.openxmlformats.org/officeDocument/2006/customXml" ds:itemID="{07AC8156-BACF-49D5-B794-2FDF8F9C19E7}">
  <ds:schemaRefs/>
</ds:datastoreItem>
</file>

<file path=docProps/app.xml><?xml version="1.0" encoding="utf-8"?>
<Properties xmlns="http://schemas.openxmlformats.org/officeDocument/2006/extended-properties" xmlns:vt="http://schemas.openxmlformats.org/officeDocument/2006/docPropsVTypes">
  <Template>Normal</Template>
  <Pages>1</Pages>
  <Words>1545</Words>
  <Characters>8810</Characters>
  <Lines>73</Lines>
  <Paragraphs>20</Paragraphs>
  <TotalTime>22</TotalTime>
  <ScaleCrop>false</ScaleCrop>
  <LinksUpToDate>false</LinksUpToDate>
  <CharactersWithSpaces>10335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2022-05-23T03:10:00Z</dcterms:created>
  <dc:creator>Administrator</dc:creator>
  <cp:lastModifiedBy>Master</cp:lastModifiedBy>
  <dcterms:modified xsi:type="dcterms:W3CDTF">2023-09-05T09:28:53Z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