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812A">
      <w:pPr>
        <w:keepNext w:val="0"/>
        <w:keepLines w:val="0"/>
        <w:pageBreakBefore w:val="0"/>
        <w:widowControl w:val="0"/>
        <w:kinsoku/>
        <w:wordWrap/>
        <w:overflowPunct/>
        <w:topLinePunct w:val="0"/>
        <w:autoSpaceDE w:val="0"/>
        <w:autoSpaceDN w:val="0"/>
        <w:bidi w:val="0"/>
        <w:adjustRightInd w:val="0"/>
        <w:snapToGrid w:val="0"/>
        <w:spacing w:line="570" w:lineRule="exact"/>
        <w:jc w:val="center"/>
        <w:textAlignment w:val="auto"/>
        <w:rPr>
          <w:rFonts w:hint="eastAsia" w:ascii="方正小标宋简体" w:hAnsi="方正小标宋简体" w:eastAsia="方正小标宋简体" w:cs="方正小标宋简体"/>
          <w:bCs/>
          <w:sz w:val="40"/>
          <w:szCs w:val="40"/>
          <w:u w:val="none"/>
          <w:lang w:val="zh-CN"/>
        </w:rPr>
      </w:pPr>
      <w:bookmarkStart w:id="0" w:name="_GoBack"/>
      <w:bookmarkEnd w:id="0"/>
    </w:p>
    <w:p w14:paraId="24C74D22">
      <w:pPr>
        <w:pStyle w:val="2"/>
        <w:rPr>
          <w:rFonts w:hint="eastAsia"/>
          <w:lang w:val="zh-CN"/>
        </w:rPr>
      </w:pPr>
    </w:p>
    <w:p w14:paraId="7E4D1EE8">
      <w:pPr>
        <w:keepNext w:val="0"/>
        <w:keepLines w:val="0"/>
        <w:pageBreakBefore w:val="0"/>
        <w:widowControl w:val="0"/>
        <w:kinsoku/>
        <w:wordWrap/>
        <w:overflowPunct/>
        <w:topLinePunct w:val="0"/>
        <w:autoSpaceDE w:val="0"/>
        <w:autoSpaceDN w:val="0"/>
        <w:bidi w:val="0"/>
        <w:adjustRightInd w:val="0"/>
        <w:snapToGrid w:val="0"/>
        <w:spacing w:line="570" w:lineRule="exact"/>
        <w:jc w:val="center"/>
        <w:textAlignment w:val="auto"/>
        <w:rPr>
          <w:rFonts w:hint="eastAsia" w:ascii="方正小标宋简体" w:hAnsi="方正小标宋简体" w:eastAsia="方正小标宋简体" w:cs="方正小标宋简体"/>
          <w:bCs/>
          <w:sz w:val="40"/>
          <w:szCs w:val="40"/>
          <w:u w:val="none"/>
        </w:rPr>
      </w:pPr>
      <w:r>
        <w:rPr>
          <w:rFonts w:hint="eastAsia" w:ascii="方正小标宋简体" w:hAnsi="方正小标宋简体" w:eastAsia="方正小标宋简体" w:cs="方正小标宋简体"/>
          <w:bCs/>
          <w:sz w:val="40"/>
          <w:szCs w:val="40"/>
          <w:u w:val="none"/>
          <w:lang w:val="zh-CN"/>
        </w:rPr>
        <w:t>唐山高新技术产业开发区</w:t>
      </w:r>
    </w:p>
    <w:p w14:paraId="0701844D">
      <w:pPr>
        <w:keepNext w:val="0"/>
        <w:keepLines w:val="0"/>
        <w:pageBreakBefore w:val="0"/>
        <w:widowControl w:val="0"/>
        <w:kinsoku/>
        <w:wordWrap/>
        <w:overflowPunct/>
        <w:topLinePunct w:val="0"/>
        <w:autoSpaceDE w:val="0"/>
        <w:autoSpaceDN w:val="0"/>
        <w:bidi w:val="0"/>
        <w:adjustRightInd w:val="0"/>
        <w:snapToGrid w:val="0"/>
        <w:spacing w:line="570" w:lineRule="exact"/>
        <w:jc w:val="center"/>
        <w:textAlignment w:val="auto"/>
        <w:rPr>
          <w:rFonts w:hint="eastAsia" w:ascii="方正小标宋简体" w:hAnsi="方正小标宋简体" w:eastAsia="方正小标宋简体" w:cs="方正小标宋简体"/>
          <w:b/>
          <w:bCs/>
          <w:sz w:val="40"/>
          <w:szCs w:val="40"/>
          <w:u w:val="none"/>
        </w:rPr>
      </w:pPr>
      <w:r>
        <w:rPr>
          <w:rFonts w:hint="eastAsia" w:ascii="方正小标宋简体" w:hAnsi="方正小标宋简体" w:eastAsia="方正小标宋简体" w:cs="方正小标宋简体"/>
          <w:bCs/>
          <w:sz w:val="40"/>
          <w:szCs w:val="40"/>
          <w:u w:val="none"/>
          <w:lang w:val="zh-CN"/>
        </w:rPr>
        <w:t>关于</w:t>
      </w:r>
      <w:r>
        <w:rPr>
          <w:rFonts w:hint="eastAsia" w:ascii="方正小标宋简体" w:hAnsi="方正小标宋简体" w:eastAsia="方正小标宋简体" w:cs="方正小标宋简体"/>
          <w:bCs/>
          <w:sz w:val="40"/>
          <w:szCs w:val="40"/>
          <w:u w:val="none"/>
          <w:lang w:val="en-US" w:eastAsia="zh-CN"/>
        </w:rPr>
        <w:t>2024</w:t>
      </w:r>
      <w:r>
        <w:rPr>
          <w:rFonts w:hint="eastAsia" w:ascii="方正小标宋简体" w:hAnsi="方正小标宋简体" w:eastAsia="方正小标宋简体" w:cs="方正小标宋简体"/>
          <w:bCs/>
          <w:sz w:val="40"/>
          <w:szCs w:val="40"/>
          <w:u w:val="none"/>
          <w:lang w:val="zh-CN"/>
        </w:rPr>
        <w:t>年国民经济计划</w:t>
      </w:r>
      <w:r>
        <w:rPr>
          <w:rFonts w:hint="eastAsia" w:ascii="方正小标宋简体" w:hAnsi="方正小标宋简体" w:eastAsia="方正小标宋简体" w:cs="方正小标宋简体"/>
          <w:bCs/>
          <w:sz w:val="40"/>
          <w:szCs w:val="40"/>
          <w:u w:val="none"/>
          <w:lang w:val="en-US" w:eastAsia="zh-CN"/>
        </w:rPr>
        <w:t>和</w:t>
      </w:r>
      <w:r>
        <w:rPr>
          <w:rFonts w:hint="eastAsia" w:ascii="方正小标宋简体" w:hAnsi="方正小标宋简体" w:eastAsia="方正小标宋简体" w:cs="方正小标宋简体"/>
          <w:bCs/>
          <w:sz w:val="40"/>
          <w:szCs w:val="40"/>
          <w:u w:val="none"/>
          <w:lang w:val="zh-CN"/>
        </w:rPr>
        <w:t>预算执行</w:t>
      </w:r>
      <w:r>
        <w:rPr>
          <w:rFonts w:hint="eastAsia" w:ascii="方正小标宋简体" w:hAnsi="方正小标宋简体" w:eastAsia="方正小标宋简体" w:cs="方正小标宋简体"/>
          <w:bCs/>
          <w:sz w:val="40"/>
          <w:szCs w:val="40"/>
          <w:u w:val="none"/>
          <w:lang w:val="en-US" w:eastAsia="zh-CN"/>
        </w:rPr>
        <w:t>及2025</w:t>
      </w:r>
      <w:r>
        <w:rPr>
          <w:rFonts w:hint="eastAsia" w:ascii="方正小标宋简体" w:hAnsi="方正小标宋简体" w:eastAsia="方正小标宋简体" w:cs="方正小标宋简体"/>
          <w:bCs/>
          <w:sz w:val="40"/>
          <w:szCs w:val="40"/>
          <w:u w:val="none"/>
          <w:lang w:val="zh-CN"/>
        </w:rPr>
        <w:t>年国民经济计划</w:t>
      </w:r>
      <w:r>
        <w:rPr>
          <w:rFonts w:hint="eastAsia" w:ascii="方正小标宋简体" w:hAnsi="方正小标宋简体" w:eastAsia="方正小标宋简体" w:cs="方正小标宋简体"/>
          <w:bCs/>
          <w:sz w:val="40"/>
          <w:szCs w:val="40"/>
          <w:u w:val="none"/>
          <w:lang w:val="en-US" w:eastAsia="zh-CN"/>
        </w:rPr>
        <w:t>和政府预算</w:t>
      </w:r>
      <w:r>
        <w:rPr>
          <w:rFonts w:hint="eastAsia" w:ascii="方正小标宋简体" w:hAnsi="方正小标宋简体" w:eastAsia="方正小标宋简体" w:cs="方正小标宋简体"/>
          <w:bCs/>
          <w:sz w:val="40"/>
          <w:szCs w:val="40"/>
          <w:u w:val="none"/>
          <w:lang w:val="zh-CN"/>
        </w:rPr>
        <w:t>草案情况的汇报</w:t>
      </w:r>
    </w:p>
    <w:p w14:paraId="29A88D62">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方正楷体简体" w:hAnsi="方正楷体简体" w:eastAsia="方正楷体简体" w:cs="方正楷体简体"/>
          <w:bCs/>
          <w:kern w:val="0"/>
          <w:szCs w:val="32"/>
          <w:u w:val="none"/>
        </w:rPr>
      </w:pPr>
      <w:r>
        <w:rPr>
          <w:rFonts w:hint="eastAsia" w:ascii="方正楷体简体" w:hAnsi="方正楷体简体" w:eastAsia="方正楷体简体" w:cs="方正楷体简体"/>
          <w:bCs/>
          <w:kern w:val="0"/>
          <w:szCs w:val="32"/>
          <w:u w:val="none"/>
        </w:rPr>
        <w:t>唐山高新技术产业开发区管理委员会</w:t>
      </w:r>
    </w:p>
    <w:p w14:paraId="6F4D5BF1">
      <w:pPr>
        <w:keepNext w:val="0"/>
        <w:keepLines w:val="0"/>
        <w:pageBreakBefore w:val="0"/>
        <w:widowControl w:val="0"/>
        <w:kinsoku/>
        <w:wordWrap/>
        <w:overflowPunct/>
        <w:topLinePunct w:val="0"/>
        <w:autoSpaceDE w:val="0"/>
        <w:autoSpaceDN w:val="0"/>
        <w:bidi w:val="0"/>
        <w:adjustRightInd w:val="0"/>
        <w:snapToGrid w:val="0"/>
        <w:spacing w:line="570" w:lineRule="exact"/>
        <w:textAlignment w:val="auto"/>
        <w:rPr>
          <w:rFonts w:hint="eastAsia" w:ascii="宋体" w:hAnsi="宋体" w:eastAsia="方正仿宋简体" w:cs="方正仿宋简体"/>
          <w:bCs/>
          <w:szCs w:val="32"/>
          <w:u w:val="none"/>
          <w:lang w:val="zh-CN"/>
        </w:rPr>
      </w:pPr>
    </w:p>
    <w:p w14:paraId="5B09AB86">
      <w:pPr>
        <w:keepNext w:val="0"/>
        <w:keepLines w:val="0"/>
        <w:pageBreakBefore w:val="0"/>
        <w:widowControl w:val="0"/>
        <w:kinsoku/>
        <w:wordWrap/>
        <w:overflowPunct/>
        <w:topLinePunct w:val="0"/>
        <w:bidi w:val="0"/>
        <w:adjustRightInd w:val="0"/>
        <w:snapToGrid w:val="0"/>
        <w:spacing w:line="570" w:lineRule="exact"/>
        <w:textAlignment w:val="auto"/>
        <w:rPr>
          <w:rFonts w:hint="eastAsia" w:ascii="宋体" w:hAnsi="宋体" w:eastAsia="方正仿宋简体" w:cs="方正仿宋简体"/>
          <w:color w:val="000000"/>
          <w:kern w:val="0"/>
          <w:sz w:val="32"/>
          <w:szCs w:val="32"/>
          <w:u w:val="none"/>
        </w:rPr>
      </w:pPr>
      <w:r>
        <w:rPr>
          <w:rFonts w:hint="eastAsia" w:ascii="宋体" w:hAnsi="宋体" w:eastAsia="方正仿宋简体" w:cs="方正仿宋简体"/>
          <w:color w:val="000000"/>
          <w:kern w:val="0"/>
          <w:sz w:val="32"/>
          <w:szCs w:val="32"/>
          <w:u w:val="none"/>
          <w:lang w:eastAsia="zh-CN"/>
        </w:rPr>
        <w:t>主任</w:t>
      </w:r>
      <w:r>
        <w:rPr>
          <w:rFonts w:hint="eastAsia" w:ascii="宋体" w:hAnsi="宋体" w:eastAsia="方正仿宋简体" w:cs="方正仿宋简体"/>
          <w:color w:val="000000"/>
          <w:kern w:val="0"/>
          <w:sz w:val="32"/>
          <w:szCs w:val="32"/>
          <w:u w:val="none"/>
        </w:rPr>
        <w:t>、各位</w:t>
      </w:r>
      <w:r>
        <w:rPr>
          <w:rFonts w:hint="eastAsia" w:ascii="宋体" w:hAnsi="宋体" w:eastAsia="方正仿宋简体" w:cs="方正仿宋简体"/>
          <w:color w:val="000000"/>
          <w:kern w:val="0"/>
          <w:sz w:val="32"/>
          <w:szCs w:val="32"/>
          <w:u w:val="none"/>
          <w:lang w:eastAsia="zh-CN"/>
        </w:rPr>
        <w:t>委员</w:t>
      </w:r>
      <w:r>
        <w:rPr>
          <w:rFonts w:hint="eastAsia" w:ascii="宋体" w:hAnsi="宋体" w:eastAsia="方正仿宋简体" w:cs="方正仿宋简体"/>
          <w:color w:val="000000"/>
          <w:kern w:val="0"/>
          <w:sz w:val="32"/>
          <w:szCs w:val="32"/>
          <w:u w:val="none"/>
        </w:rPr>
        <w:t>:</w:t>
      </w:r>
    </w:p>
    <w:p w14:paraId="23ED71A5">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rPr>
      </w:pPr>
      <w:r>
        <w:rPr>
          <w:rFonts w:hint="eastAsia" w:ascii="宋体" w:hAnsi="宋体" w:eastAsia="方正仿宋简体" w:cs="方正仿宋简体"/>
          <w:color w:val="000000"/>
          <w:kern w:val="0"/>
          <w:sz w:val="32"/>
          <w:szCs w:val="32"/>
          <w:u w:val="none"/>
        </w:rPr>
        <w:t>按照会议通知要求，现将高新区</w:t>
      </w:r>
      <w:r>
        <w:rPr>
          <w:rFonts w:hint="eastAsia" w:ascii="宋体" w:hAnsi="宋体" w:eastAsia="方正仿宋简体" w:cs="方正仿宋简体"/>
          <w:bCs/>
          <w:sz w:val="32"/>
          <w:szCs w:val="32"/>
          <w:u w:val="none"/>
          <w:lang w:val="en-US" w:eastAsia="zh-CN"/>
        </w:rPr>
        <w:t>2024</w:t>
      </w:r>
      <w:r>
        <w:rPr>
          <w:rFonts w:hint="eastAsia" w:ascii="宋体" w:hAnsi="宋体" w:eastAsia="方正仿宋简体" w:cs="方正仿宋简体"/>
          <w:color w:val="000000"/>
          <w:kern w:val="0"/>
          <w:sz w:val="32"/>
          <w:szCs w:val="32"/>
          <w:u w:val="none"/>
        </w:rPr>
        <w:t>年</w:t>
      </w:r>
      <w:r>
        <w:rPr>
          <w:rFonts w:hint="eastAsia" w:ascii="宋体" w:hAnsi="宋体" w:eastAsia="方正仿宋简体" w:cs="方正仿宋简体"/>
          <w:color w:val="000000"/>
          <w:kern w:val="0"/>
          <w:sz w:val="32"/>
          <w:szCs w:val="32"/>
          <w:u w:val="none"/>
          <w:lang w:val="zh-CN"/>
        </w:rPr>
        <w:t>国民经济社会发展计划</w:t>
      </w:r>
      <w:r>
        <w:rPr>
          <w:rFonts w:hint="eastAsia" w:ascii="宋体" w:hAnsi="宋体" w:eastAsia="方正仿宋简体" w:cs="方正仿宋简体"/>
          <w:color w:val="000000"/>
          <w:kern w:val="0"/>
          <w:sz w:val="32"/>
          <w:szCs w:val="32"/>
          <w:u w:val="none"/>
          <w:lang w:val="en-US" w:eastAsia="zh-CN"/>
        </w:rPr>
        <w:t>和</w:t>
      </w:r>
      <w:r>
        <w:rPr>
          <w:rFonts w:hint="eastAsia" w:ascii="宋体" w:hAnsi="宋体" w:eastAsia="方正仿宋简体" w:cs="方正仿宋简体"/>
          <w:color w:val="000000"/>
          <w:kern w:val="0"/>
          <w:sz w:val="32"/>
          <w:szCs w:val="32"/>
          <w:u w:val="none"/>
          <w:lang w:val="zh-CN"/>
        </w:rPr>
        <w:t>预算执行</w:t>
      </w:r>
      <w:r>
        <w:rPr>
          <w:rFonts w:hint="eastAsia" w:ascii="宋体" w:hAnsi="宋体" w:eastAsia="方正仿宋简体" w:cs="方正仿宋简体"/>
          <w:color w:val="000000"/>
          <w:kern w:val="0"/>
          <w:sz w:val="32"/>
          <w:szCs w:val="32"/>
          <w:u w:val="none"/>
          <w:lang w:val="en-US" w:eastAsia="zh-CN"/>
        </w:rPr>
        <w:t>情况及2025</w:t>
      </w:r>
      <w:r>
        <w:rPr>
          <w:rFonts w:hint="eastAsia" w:ascii="宋体" w:hAnsi="宋体" w:eastAsia="方正仿宋简体" w:cs="方正仿宋简体"/>
          <w:color w:val="000000"/>
          <w:kern w:val="0"/>
          <w:sz w:val="32"/>
          <w:szCs w:val="32"/>
          <w:u w:val="none"/>
          <w:lang w:val="zh-CN"/>
        </w:rPr>
        <w:t>年</w:t>
      </w:r>
      <w:r>
        <w:rPr>
          <w:rFonts w:hint="eastAsia" w:ascii="宋体" w:hAnsi="宋体" w:eastAsia="方正仿宋简体" w:cs="方正仿宋简体"/>
          <w:color w:val="000000"/>
          <w:kern w:val="0"/>
          <w:sz w:val="32"/>
          <w:szCs w:val="32"/>
          <w:u w:val="none"/>
          <w:lang w:val="en-US" w:eastAsia="zh-CN"/>
        </w:rPr>
        <w:t>政府预算</w:t>
      </w:r>
      <w:r>
        <w:rPr>
          <w:rFonts w:hint="eastAsia" w:ascii="宋体" w:hAnsi="宋体" w:eastAsia="方正仿宋简体" w:cs="方正仿宋简体"/>
          <w:color w:val="000000"/>
          <w:kern w:val="0"/>
          <w:sz w:val="32"/>
          <w:szCs w:val="32"/>
          <w:u w:val="none"/>
          <w:lang w:val="zh-CN"/>
        </w:rPr>
        <w:t>草案</w:t>
      </w:r>
      <w:r>
        <w:rPr>
          <w:rFonts w:hint="eastAsia" w:ascii="宋体" w:hAnsi="宋体" w:eastAsia="方正仿宋简体" w:cs="方正仿宋简体"/>
          <w:color w:val="000000"/>
          <w:kern w:val="0"/>
          <w:sz w:val="32"/>
          <w:szCs w:val="32"/>
          <w:u w:val="none"/>
        </w:rPr>
        <w:t>情况汇报如下：</w:t>
      </w:r>
    </w:p>
    <w:p w14:paraId="711BB25C">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方正黑体简体" w:hAnsi="方正黑体简体" w:eastAsia="方正黑体简体" w:cs="方正黑体简体"/>
          <w:color w:val="000000"/>
          <w:kern w:val="0"/>
          <w:sz w:val="32"/>
          <w:szCs w:val="32"/>
          <w:u w:val="none"/>
        </w:rPr>
      </w:pPr>
      <w:r>
        <w:rPr>
          <w:rFonts w:hint="eastAsia" w:ascii="方正黑体简体" w:hAnsi="方正黑体简体" w:eastAsia="方正黑体简体" w:cs="方正黑体简体"/>
          <w:color w:val="000000"/>
          <w:kern w:val="0"/>
          <w:sz w:val="32"/>
          <w:szCs w:val="32"/>
          <w:u w:val="none"/>
        </w:rPr>
        <w:t>一、</w:t>
      </w:r>
      <w:r>
        <w:rPr>
          <w:rFonts w:hint="eastAsia" w:ascii="方正黑体简体" w:hAnsi="方正黑体简体" w:eastAsia="方正黑体简体" w:cs="方正黑体简体"/>
          <w:bCs/>
          <w:sz w:val="32"/>
          <w:szCs w:val="32"/>
          <w:u w:val="none"/>
          <w:lang w:val="en-US" w:eastAsia="zh-CN"/>
        </w:rPr>
        <w:t>2024</w:t>
      </w:r>
      <w:r>
        <w:rPr>
          <w:rFonts w:hint="eastAsia" w:ascii="方正黑体简体" w:hAnsi="方正黑体简体" w:eastAsia="方正黑体简体" w:cs="方正黑体简体"/>
          <w:color w:val="000000"/>
          <w:kern w:val="0"/>
          <w:sz w:val="32"/>
          <w:szCs w:val="32"/>
          <w:u w:val="none"/>
        </w:rPr>
        <w:t>年</w:t>
      </w:r>
      <w:r>
        <w:rPr>
          <w:rFonts w:hint="eastAsia" w:ascii="方正黑体简体" w:hAnsi="方正黑体简体" w:eastAsia="方正黑体简体" w:cs="方正黑体简体"/>
          <w:color w:val="000000"/>
          <w:kern w:val="0"/>
          <w:sz w:val="32"/>
          <w:szCs w:val="32"/>
          <w:u w:val="none"/>
          <w:lang w:val="en-US" w:eastAsia="zh-CN"/>
        </w:rPr>
        <w:t>预算执行</w:t>
      </w:r>
      <w:r>
        <w:rPr>
          <w:rFonts w:hint="eastAsia" w:ascii="方正黑体简体" w:hAnsi="方正黑体简体" w:eastAsia="方正黑体简体" w:cs="方正黑体简体"/>
          <w:color w:val="000000"/>
          <w:kern w:val="0"/>
          <w:sz w:val="32"/>
          <w:szCs w:val="32"/>
          <w:u w:val="none"/>
        </w:rPr>
        <w:t>情况</w:t>
      </w:r>
    </w:p>
    <w:p w14:paraId="26BC65C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bCs/>
          <w:color w:val="000000"/>
          <w:kern w:val="0"/>
          <w:sz w:val="32"/>
          <w:szCs w:val="32"/>
          <w:u w:val="none"/>
          <w:lang w:val="zh-CN" w:eastAsia="zh-CN"/>
        </w:rPr>
      </w:pPr>
      <w:r>
        <w:rPr>
          <w:rFonts w:hint="eastAsia" w:ascii="宋体" w:hAnsi="宋体" w:eastAsia="方正仿宋简体" w:cs="方正仿宋简体"/>
          <w:bCs/>
          <w:color w:val="000000"/>
          <w:kern w:val="0"/>
          <w:sz w:val="32"/>
          <w:szCs w:val="32"/>
          <w:u w:val="none"/>
          <w:lang w:val="en-US" w:eastAsia="zh-CN"/>
        </w:rPr>
        <w:t>2024</w:t>
      </w:r>
      <w:r>
        <w:rPr>
          <w:rFonts w:hint="eastAsia" w:ascii="宋体" w:hAnsi="宋体" w:eastAsia="方正仿宋简体" w:cs="方正仿宋简体"/>
          <w:bCs/>
          <w:color w:val="000000"/>
          <w:kern w:val="0"/>
          <w:sz w:val="32"/>
          <w:szCs w:val="32"/>
          <w:u w:val="none"/>
          <w:lang w:eastAsia="zh-CN"/>
        </w:rPr>
        <w:t>年，面对</w:t>
      </w:r>
      <w:r>
        <w:rPr>
          <w:rFonts w:hint="eastAsia" w:ascii="宋体" w:hAnsi="宋体" w:eastAsia="方正仿宋简体" w:cs="方正仿宋简体"/>
          <w:bCs/>
          <w:color w:val="000000"/>
          <w:kern w:val="0"/>
          <w:sz w:val="32"/>
          <w:szCs w:val="32"/>
          <w:u w:val="none"/>
          <w:lang w:val="en-US" w:eastAsia="zh-CN"/>
        </w:rPr>
        <w:t>外部压力加大、内部困难增多的复杂严峻形势，高新区在市委、市政府</w:t>
      </w:r>
      <w:r>
        <w:rPr>
          <w:rFonts w:hint="eastAsia" w:ascii="宋体" w:hAnsi="宋体" w:eastAsia="方正仿宋简体" w:cs="方正仿宋简体"/>
          <w:bCs/>
          <w:color w:val="000000"/>
          <w:kern w:val="0"/>
          <w:sz w:val="32"/>
          <w:szCs w:val="32"/>
          <w:u w:val="none"/>
          <w:lang w:eastAsia="zh-CN"/>
        </w:rPr>
        <w:t>的坚强领导和市人大的监督指导下，坚持以习近平新时代中国特色社会主义思想为指导，</w:t>
      </w:r>
      <w:r>
        <w:rPr>
          <w:rFonts w:hint="eastAsia" w:ascii="宋体" w:hAnsi="宋体" w:eastAsia="方正仿宋简体" w:cs="方正仿宋简体"/>
          <w:bCs/>
          <w:color w:val="000000"/>
          <w:kern w:val="0"/>
          <w:sz w:val="32"/>
          <w:szCs w:val="32"/>
          <w:u w:val="none"/>
          <w:lang w:val="en-US" w:eastAsia="zh-CN"/>
        </w:rPr>
        <w:t>全面贯彻落实党的二十大和二十届二中、三中全会精神和中央、省、市决策部署，坚持稳中求进工作总基调，围绕“两区三高地”目标，强力推进各项重点工作，全区</w:t>
      </w:r>
      <w:r>
        <w:rPr>
          <w:rFonts w:hint="eastAsia" w:ascii="宋体" w:hAnsi="宋体" w:eastAsia="方正仿宋简体" w:cs="方正仿宋简体"/>
          <w:bCs/>
          <w:color w:val="000000"/>
          <w:kern w:val="0"/>
          <w:sz w:val="32"/>
          <w:szCs w:val="32"/>
          <w:u w:val="none"/>
          <w:lang w:eastAsia="zh-CN"/>
        </w:rPr>
        <w:t>经济运行总体平稳、稳中有进，新质生产力稳步发展，重点领域风险化解有序有效，民生保障扎实有力，</w:t>
      </w:r>
      <w:r>
        <w:rPr>
          <w:rFonts w:hint="eastAsia" w:ascii="宋体" w:hAnsi="宋体" w:eastAsia="方正仿宋简体" w:cs="方正仿宋简体"/>
          <w:bCs/>
          <w:color w:val="000000"/>
          <w:kern w:val="0"/>
          <w:sz w:val="32"/>
          <w:szCs w:val="32"/>
          <w:u w:val="none"/>
          <w:lang w:val="en-US" w:eastAsia="zh-CN"/>
        </w:rPr>
        <w:t>各项计划指标完成较好</w:t>
      </w:r>
      <w:r>
        <w:rPr>
          <w:rFonts w:hint="eastAsia" w:ascii="宋体" w:hAnsi="宋体" w:eastAsia="方正仿宋简体" w:cs="方正仿宋简体"/>
          <w:bCs/>
          <w:color w:val="000000"/>
          <w:kern w:val="0"/>
          <w:sz w:val="32"/>
          <w:szCs w:val="32"/>
          <w:u w:val="none"/>
          <w:lang w:eastAsia="zh-CN"/>
        </w:rPr>
        <w:t>。</w:t>
      </w:r>
    </w:p>
    <w:p w14:paraId="72F41743">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(一)预算收支情况</w:t>
      </w:r>
    </w:p>
    <w:p w14:paraId="23ADEF47">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rPr>
      </w:pPr>
      <w:r>
        <w:rPr>
          <w:rFonts w:hint="eastAsia" w:ascii="宋体" w:hAnsi="宋体" w:eastAsia="方正仿宋简体" w:cs="方正仿宋简体"/>
          <w:color w:val="000000"/>
          <w:kern w:val="0"/>
          <w:sz w:val="32"/>
          <w:szCs w:val="32"/>
          <w:u w:val="none"/>
          <w:lang w:val="en-US" w:eastAsia="zh-CN"/>
        </w:rPr>
        <w:t>1.</w:t>
      </w:r>
      <w:r>
        <w:rPr>
          <w:rFonts w:hint="eastAsia" w:ascii="宋体" w:hAnsi="宋体" w:eastAsia="方正仿宋简体" w:cs="方正仿宋简体"/>
          <w:color w:val="000000"/>
          <w:kern w:val="0"/>
          <w:sz w:val="32"/>
          <w:szCs w:val="32"/>
          <w:u w:val="none"/>
        </w:rPr>
        <w:t>一般公共预算收支情况。</w:t>
      </w:r>
      <w:r>
        <w:rPr>
          <w:rFonts w:hint="eastAsia" w:ascii="宋体" w:hAnsi="宋体" w:eastAsia="方正仿宋简体" w:cs="方正仿宋简体"/>
          <w:color w:val="000000"/>
          <w:kern w:val="0"/>
          <w:sz w:val="32"/>
          <w:szCs w:val="32"/>
          <w:u w:val="none"/>
          <w:lang w:val="en-US" w:eastAsia="zh-CN"/>
        </w:rPr>
        <w:t>2024</w:t>
      </w:r>
      <w:r>
        <w:rPr>
          <w:rFonts w:hint="eastAsia" w:ascii="宋体" w:hAnsi="宋体" w:eastAsia="方正仿宋简体" w:cs="方正仿宋简体"/>
          <w:color w:val="000000"/>
          <w:kern w:val="0"/>
          <w:sz w:val="32"/>
          <w:szCs w:val="32"/>
          <w:u w:val="none"/>
        </w:rPr>
        <w:t>年，高新区一般公共预算收入完成</w:t>
      </w:r>
      <w:r>
        <w:rPr>
          <w:rFonts w:hint="eastAsia" w:ascii="宋体" w:hAnsi="宋体" w:eastAsia="方正仿宋简体" w:cs="方正仿宋简体"/>
          <w:color w:val="000000"/>
          <w:kern w:val="0"/>
          <w:sz w:val="32"/>
          <w:szCs w:val="32"/>
          <w:u w:val="none"/>
          <w:lang w:val="en-US" w:eastAsia="zh-CN"/>
        </w:rPr>
        <w:t>140902</w:t>
      </w:r>
      <w:r>
        <w:rPr>
          <w:rFonts w:hint="eastAsia" w:ascii="宋体" w:hAnsi="宋体" w:eastAsia="方正仿宋简体" w:cs="方正仿宋简体"/>
          <w:color w:val="000000"/>
          <w:kern w:val="0"/>
          <w:sz w:val="32"/>
          <w:szCs w:val="32"/>
          <w:u w:val="none"/>
        </w:rPr>
        <w:t>万元，完成预算的</w:t>
      </w:r>
      <w:r>
        <w:rPr>
          <w:rFonts w:hint="eastAsia" w:ascii="宋体" w:hAnsi="宋体" w:eastAsia="方正仿宋简体" w:cs="方正仿宋简体"/>
          <w:color w:val="000000"/>
          <w:kern w:val="0"/>
          <w:sz w:val="32"/>
          <w:szCs w:val="32"/>
          <w:u w:val="none"/>
          <w:lang w:val="en-US" w:eastAsia="zh-CN"/>
        </w:rPr>
        <w:t>97.2</w:t>
      </w:r>
      <w:r>
        <w:rPr>
          <w:rFonts w:hint="eastAsia" w:ascii="宋体" w:hAnsi="宋体" w:eastAsia="方正仿宋简体" w:cs="方正仿宋简体"/>
          <w:color w:val="000000"/>
          <w:kern w:val="0"/>
          <w:sz w:val="32"/>
          <w:szCs w:val="32"/>
          <w:u w:val="none"/>
          <w:lang w:val="zh-CN"/>
        </w:rPr>
        <w:t>%</w:t>
      </w:r>
      <w:r>
        <w:rPr>
          <w:rFonts w:hint="eastAsia" w:ascii="宋体" w:hAnsi="宋体" w:eastAsia="方正仿宋简体" w:cs="方正仿宋简体"/>
          <w:color w:val="000000"/>
          <w:kern w:val="0"/>
          <w:sz w:val="32"/>
          <w:szCs w:val="32"/>
          <w:u w:val="none"/>
        </w:rPr>
        <w:t>，同比</w:t>
      </w:r>
      <w:r>
        <w:rPr>
          <w:rFonts w:hint="eastAsia" w:ascii="宋体" w:hAnsi="宋体" w:eastAsia="方正仿宋简体" w:cs="方正仿宋简体"/>
          <w:color w:val="000000"/>
          <w:kern w:val="0"/>
          <w:sz w:val="32"/>
          <w:szCs w:val="32"/>
          <w:u w:val="none"/>
          <w:lang w:eastAsia="zh-CN"/>
        </w:rPr>
        <w:t>增长</w:t>
      </w:r>
      <w:r>
        <w:rPr>
          <w:rFonts w:hint="eastAsia" w:ascii="宋体" w:hAnsi="宋体" w:eastAsia="方正仿宋简体" w:cs="方正仿宋简体"/>
          <w:color w:val="000000"/>
          <w:kern w:val="0"/>
          <w:sz w:val="32"/>
          <w:szCs w:val="32"/>
          <w:u w:val="none"/>
          <w:lang w:val="en-US" w:eastAsia="zh-CN"/>
        </w:rPr>
        <w:t>4</w:t>
      </w:r>
      <w:r>
        <w:rPr>
          <w:rFonts w:hint="eastAsia" w:ascii="宋体" w:hAnsi="宋体" w:eastAsia="方正仿宋简体" w:cs="方正仿宋简体"/>
          <w:color w:val="000000"/>
          <w:kern w:val="0"/>
          <w:sz w:val="32"/>
          <w:szCs w:val="32"/>
          <w:u w:val="none"/>
          <w:lang w:val="zh-CN"/>
        </w:rPr>
        <w:t>%</w:t>
      </w:r>
      <w:r>
        <w:rPr>
          <w:rFonts w:hint="eastAsia" w:ascii="宋体" w:hAnsi="宋体" w:eastAsia="方正仿宋简体" w:cs="方正仿宋简体"/>
          <w:color w:val="000000"/>
          <w:kern w:val="0"/>
          <w:sz w:val="32"/>
          <w:szCs w:val="32"/>
          <w:u w:val="none"/>
        </w:rPr>
        <w:t>。其中，税收收入完成</w:t>
      </w:r>
      <w:r>
        <w:rPr>
          <w:rFonts w:hint="eastAsia" w:ascii="宋体" w:hAnsi="宋体" w:eastAsia="方正仿宋简体" w:cs="方正仿宋简体"/>
          <w:color w:val="000000"/>
          <w:kern w:val="0"/>
          <w:sz w:val="32"/>
          <w:szCs w:val="32"/>
          <w:u w:val="none"/>
          <w:lang w:val="en-US" w:eastAsia="zh-CN"/>
        </w:rPr>
        <w:t>123735</w:t>
      </w:r>
      <w:r>
        <w:rPr>
          <w:rFonts w:hint="eastAsia" w:ascii="宋体" w:hAnsi="宋体" w:eastAsia="方正仿宋简体" w:cs="方正仿宋简体"/>
          <w:color w:val="000000"/>
          <w:kern w:val="0"/>
          <w:sz w:val="32"/>
          <w:szCs w:val="32"/>
          <w:u w:val="none"/>
        </w:rPr>
        <w:t>万元，同比</w:t>
      </w:r>
      <w:r>
        <w:rPr>
          <w:rFonts w:hint="eastAsia" w:ascii="宋体" w:hAnsi="宋体" w:eastAsia="方正仿宋简体" w:cs="方正仿宋简体"/>
          <w:color w:val="000000"/>
          <w:kern w:val="0"/>
          <w:sz w:val="32"/>
          <w:szCs w:val="32"/>
          <w:u w:val="none"/>
          <w:lang w:eastAsia="zh-CN"/>
        </w:rPr>
        <w:t>增长</w:t>
      </w:r>
      <w:r>
        <w:rPr>
          <w:rFonts w:hint="eastAsia" w:ascii="宋体" w:hAnsi="宋体" w:eastAsia="方正仿宋简体" w:cs="方正仿宋简体"/>
          <w:color w:val="000000"/>
          <w:kern w:val="0"/>
          <w:sz w:val="32"/>
          <w:szCs w:val="32"/>
          <w:u w:val="none"/>
          <w:lang w:val="en-US" w:eastAsia="zh-CN"/>
        </w:rPr>
        <w:t>2.1</w:t>
      </w:r>
      <w:r>
        <w:rPr>
          <w:rFonts w:hint="eastAsia" w:ascii="宋体" w:hAnsi="宋体" w:eastAsia="方正仿宋简体" w:cs="方正仿宋简体"/>
          <w:color w:val="000000"/>
          <w:kern w:val="0"/>
          <w:sz w:val="32"/>
          <w:szCs w:val="32"/>
          <w:u w:val="none"/>
          <w:lang w:val="zh-CN"/>
        </w:rPr>
        <w:t>%</w:t>
      </w:r>
      <w:r>
        <w:rPr>
          <w:rFonts w:hint="eastAsia" w:ascii="宋体" w:hAnsi="宋体" w:eastAsia="方正仿宋简体" w:cs="方正仿宋简体"/>
          <w:color w:val="000000"/>
          <w:kern w:val="0"/>
          <w:sz w:val="32"/>
          <w:szCs w:val="32"/>
          <w:u w:val="none"/>
        </w:rPr>
        <w:t>；非税收入完成</w:t>
      </w:r>
      <w:r>
        <w:rPr>
          <w:rFonts w:hint="eastAsia" w:ascii="宋体" w:hAnsi="宋体" w:eastAsia="方正仿宋简体" w:cs="方正仿宋简体"/>
          <w:color w:val="000000"/>
          <w:kern w:val="0"/>
          <w:sz w:val="32"/>
          <w:szCs w:val="32"/>
          <w:u w:val="none"/>
          <w:lang w:val="en-US" w:eastAsia="zh-CN"/>
        </w:rPr>
        <w:t>17167</w:t>
      </w:r>
      <w:r>
        <w:rPr>
          <w:rFonts w:hint="eastAsia" w:ascii="宋体" w:hAnsi="宋体" w:eastAsia="方正仿宋简体" w:cs="方正仿宋简体"/>
          <w:color w:val="000000"/>
          <w:kern w:val="0"/>
          <w:sz w:val="32"/>
          <w:szCs w:val="32"/>
          <w:u w:val="none"/>
        </w:rPr>
        <w:t>万元，</w:t>
      </w:r>
      <w:r>
        <w:rPr>
          <w:rFonts w:hint="eastAsia" w:ascii="宋体" w:hAnsi="宋体" w:eastAsia="方正仿宋简体" w:cs="方正仿宋简体"/>
          <w:color w:val="000000"/>
          <w:kern w:val="0"/>
          <w:sz w:val="32"/>
          <w:szCs w:val="32"/>
          <w:u w:val="none"/>
          <w:lang w:eastAsia="zh-CN"/>
        </w:rPr>
        <w:t>同比增长</w:t>
      </w:r>
      <w:r>
        <w:rPr>
          <w:rFonts w:hint="eastAsia" w:ascii="宋体" w:hAnsi="宋体" w:eastAsia="方正仿宋简体" w:cs="方正仿宋简体"/>
          <w:color w:val="000000"/>
          <w:kern w:val="0"/>
          <w:sz w:val="32"/>
          <w:szCs w:val="32"/>
          <w:u w:val="none"/>
          <w:lang w:val="en-US" w:eastAsia="zh-CN"/>
        </w:rPr>
        <w:t>19.9%，</w:t>
      </w:r>
      <w:r>
        <w:rPr>
          <w:rFonts w:hint="eastAsia" w:ascii="宋体" w:hAnsi="宋体" w:eastAsia="方正仿宋简体" w:cs="方正仿宋简体"/>
          <w:color w:val="000000"/>
          <w:kern w:val="0"/>
          <w:sz w:val="32"/>
          <w:szCs w:val="32"/>
          <w:u w:val="none"/>
          <w:lang w:eastAsia="zh-CN"/>
        </w:rPr>
        <w:t>非税占比</w:t>
      </w:r>
      <w:r>
        <w:rPr>
          <w:rFonts w:hint="eastAsia" w:ascii="宋体" w:hAnsi="宋体" w:eastAsia="方正仿宋简体" w:cs="方正仿宋简体"/>
          <w:color w:val="000000"/>
          <w:kern w:val="0"/>
          <w:sz w:val="32"/>
          <w:szCs w:val="32"/>
          <w:u w:val="none"/>
          <w:lang w:val="en-US" w:eastAsia="zh-CN"/>
        </w:rPr>
        <w:t>12.2%</w:t>
      </w:r>
      <w:r>
        <w:rPr>
          <w:rFonts w:hint="eastAsia" w:ascii="宋体" w:hAnsi="宋体" w:eastAsia="方正仿宋简体" w:cs="方正仿宋简体"/>
          <w:color w:val="000000"/>
          <w:kern w:val="0"/>
          <w:sz w:val="32"/>
          <w:szCs w:val="32"/>
          <w:u w:val="none"/>
        </w:rPr>
        <w:t>。一般公共预算支出</w:t>
      </w:r>
      <w:r>
        <w:rPr>
          <w:rFonts w:hint="eastAsia" w:ascii="宋体" w:hAnsi="宋体" w:eastAsia="方正仿宋简体" w:cs="方正仿宋简体"/>
          <w:color w:val="000000"/>
          <w:kern w:val="0"/>
          <w:sz w:val="32"/>
          <w:szCs w:val="32"/>
          <w:u w:val="none"/>
          <w:lang w:val="en-US" w:eastAsia="zh-CN"/>
        </w:rPr>
        <w:t>167233</w:t>
      </w:r>
      <w:r>
        <w:rPr>
          <w:rFonts w:hint="eastAsia" w:ascii="宋体" w:hAnsi="宋体" w:eastAsia="方正仿宋简体" w:cs="方正仿宋简体"/>
          <w:color w:val="000000"/>
          <w:kern w:val="0"/>
          <w:sz w:val="32"/>
          <w:szCs w:val="32"/>
          <w:u w:val="none"/>
        </w:rPr>
        <w:t>万元，完成调整预算的</w:t>
      </w:r>
      <w:r>
        <w:rPr>
          <w:rFonts w:hint="eastAsia" w:ascii="宋体" w:hAnsi="宋体" w:eastAsia="方正仿宋简体" w:cs="方正仿宋简体"/>
          <w:color w:val="000000"/>
          <w:kern w:val="0"/>
          <w:sz w:val="32"/>
          <w:szCs w:val="32"/>
          <w:u w:val="none"/>
          <w:lang w:val="en-US" w:eastAsia="zh-CN"/>
        </w:rPr>
        <w:t>97.5%</w:t>
      </w:r>
      <w:r>
        <w:rPr>
          <w:rFonts w:hint="eastAsia" w:ascii="宋体" w:hAnsi="宋体" w:eastAsia="方正仿宋简体" w:cs="方正仿宋简体"/>
          <w:color w:val="000000"/>
          <w:kern w:val="0"/>
          <w:sz w:val="32"/>
          <w:szCs w:val="32"/>
          <w:u w:val="none"/>
        </w:rPr>
        <w:t>，同比</w:t>
      </w:r>
      <w:r>
        <w:rPr>
          <w:rFonts w:hint="eastAsia" w:ascii="宋体" w:hAnsi="宋体" w:eastAsia="方正仿宋简体" w:cs="方正仿宋简体"/>
          <w:color w:val="000000"/>
          <w:kern w:val="0"/>
          <w:sz w:val="32"/>
          <w:szCs w:val="32"/>
          <w:u w:val="none"/>
          <w:lang w:eastAsia="zh-CN"/>
        </w:rPr>
        <w:t>增长</w:t>
      </w:r>
      <w:r>
        <w:rPr>
          <w:rFonts w:hint="eastAsia" w:ascii="宋体" w:hAnsi="宋体" w:eastAsia="方正仿宋简体" w:cs="方正仿宋简体"/>
          <w:color w:val="000000"/>
          <w:kern w:val="0"/>
          <w:sz w:val="32"/>
          <w:szCs w:val="32"/>
          <w:u w:val="none"/>
          <w:lang w:val="en-US" w:eastAsia="zh-CN"/>
        </w:rPr>
        <w:t>47.6</w:t>
      </w:r>
      <w:r>
        <w:rPr>
          <w:rFonts w:hint="eastAsia" w:ascii="宋体" w:hAnsi="宋体" w:eastAsia="方正仿宋简体" w:cs="方正仿宋简体"/>
          <w:color w:val="000000"/>
          <w:kern w:val="0"/>
          <w:sz w:val="32"/>
          <w:szCs w:val="32"/>
          <w:u w:val="none"/>
          <w:lang w:val="zh-CN"/>
        </w:rPr>
        <w:t>%（主要因超长期国债、新能源电池补贴</w:t>
      </w:r>
      <w:r>
        <w:rPr>
          <w:rFonts w:hint="eastAsia" w:ascii="宋体" w:hAnsi="宋体" w:eastAsia="方正仿宋简体" w:cs="方正仿宋简体"/>
          <w:color w:val="000000"/>
          <w:kern w:val="0"/>
          <w:sz w:val="32"/>
          <w:szCs w:val="32"/>
          <w:u w:val="none"/>
          <w:lang w:val="en-US" w:eastAsia="zh-CN"/>
        </w:rPr>
        <w:t>等转移支付资金</w:t>
      </w:r>
      <w:r>
        <w:rPr>
          <w:rFonts w:hint="eastAsia" w:ascii="宋体" w:hAnsi="宋体" w:eastAsia="方正仿宋简体" w:cs="方正仿宋简体"/>
          <w:color w:val="000000"/>
          <w:kern w:val="0"/>
          <w:sz w:val="32"/>
          <w:szCs w:val="32"/>
          <w:u w:val="none"/>
          <w:lang w:val="zh-CN"/>
        </w:rPr>
        <w:t>增加）</w:t>
      </w:r>
      <w:r>
        <w:rPr>
          <w:rFonts w:hint="eastAsia" w:ascii="宋体" w:hAnsi="宋体" w:eastAsia="方正仿宋简体" w:cs="方正仿宋简体"/>
          <w:color w:val="000000"/>
          <w:kern w:val="0"/>
          <w:sz w:val="32"/>
          <w:szCs w:val="32"/>
          <w:u w:val="none"/>
        </w:rPr>
        <w:t xml:space="preserve">。 </w:t>
      </w:r>
    </w:p>
    <w:p w14:paraId="383D5291">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rPr>
      </w:pPr>
      <w:r>
        <w:rPr>
          <w:rFonts w:hint="eastAsia" w:ascii="宋体" w:hAnsi="宋体" w:eastAsia="方正仿宋简体" w:cs="方正仿宋简体"/>
          <w:color w:val="auto"/>
          <w:kern w:val="0"/>
          <w:sz w:val="32"/>
          <w:szCs w:val="32"/>
          <w:u w:val="none"/>
          <w:lang w:val="en-US" w:eastAsia="zh-CN"/>
        </w:rPr>
        <w:t>2.</w:t>
      </w:r>
      <w:r>
        <w:rPr>
          <w:rFonts w:hint="eastAsia" w:ascii="宋体" w:hAnsi="宋体" w:eastAsia="方正仿宋简体" w:cs="方正仿宋简体"/>
          <w:color w:val="auto"/>
          <w:kern w:val="0"/>
          <w:sz w:val="32"/>
          <w:szCs w:val="32"/>
          <w:u w:val="none"/>
        </w:rPr>
        <w:t>政府性基金预算收支情况。</w:t>
      </w:r>
      <w:r>
        <w:rPr>
          <w:rFonts w:hint="eastAsia" w:ascii="宋体" w:hAnsi="宋体" w:eastAsia="方正仿宋简体" w:cs="方正仿宋简体"/>
          <w:color w:val="000000"/>
          <w:kern w:val="0"/>
          <w:sz w:val="32"/>
          <w:szCs w:val="32"/>
          <w:u w:val="none"/>
        </w:rPr>
        <w:t>政府性基金收入完成</w:t>
      </w:r>
      <w:r>
        <w:rPr>
          <w:rFonts w:hint="eastAsia" w:ascii="宋体" w:hAnsi="宋体" w:eastAsia="方正仿宋简体" w:cs="方正仿宋简体"/>
          <w:color w:val="000000"/>
          <w:kern w:val="0"/>
          <w:sz w:val="32"/>
          <w:szCs w:val="32"/>
          <w:u w:val="none"/>
          <w:lang w:val="en-US" w:eastAsia="zh-CN"/>
        </w:rPr>
        <w:t>63628</w:t>
      </w:r>
      <w:r>
        <w:rPr>
          <w:rFonts w:hint="eastAsia" w:ascii="宋体" w:hAnsi="宋体" w:eastAsia="方正仿宋简体" w:cs="方正仿宋简体"/>
          <w:color w:val="000000"/>
          <w:kern w:val="0"/>
          <w:sz w:val="32"/>
          <w:szCs w:val="32"/>
          <w:u w:val="none"/>
        </w:rPr>
        <w:t>万元,完成预算的</w:t>
      </w:r>
      <w:r>
        <w:rPr>
          <w:rFonts w:hint="eastAsia" w:ascii="宋体" w:hAnsi="宋体" w:eastAsia="方正仿宋简体" w:cs="方正仿宋简体"/>
          <w:color w:val="000000"/>
          <w:kern w:val="0"/>
          <w:sz w:val="32"/>
          <w:szCs w:val="32"/>
          <w:u w:val="none"/>
          <w:lang w:val="en-US" w:eastAsia="zh-CN"/>
        </w:rPr>
        <w:t>98.7%</w:t>
      </w:r>
      <w:r>
        <w:rPr>
          <w:rFonts w:hint="eastAsia" w:ascii="宋体" w:hAnsi="宋体" w:eastAsia="方正仿宋简体" w:cs="方正仿宋简体"/>
          <w:color w:val="000000"/>
          <w:kern w:val="0"/>
          <w:sz w:val="32"/>
          <w:szCs w:val="32"/>
          <w:u w:val="none"/>
        </w:rPr>
        <w:t>，同比</w:t>
      </w:r>
      <w:r>
        <w:rPr>
          <w:rFonts w:hint="eastAsia" w:ascii="宋体" w:hAnsi="宋体" w:eastAsia="方正仿宋简体" w:cs="方正仿宋简体"/>
          <w:color w:val="000000"/>
          <w:kern w:val="0"/>
          <w:sz w:val="32"/>
          <w:szCs w:val="32"/>
          <w:u w:val="none"/>
          <w:lang w:eastAsia="zh-CN"/>
        </w:rPr>
        <w:t>增长</w:t>
      </w:r>
      <w:r>
        <w:rPr>
          <w:rFonts w:hint="eastAsia" w:ascii="宋体" w:hAnsi="宋体" w:eastAsia="方正仿宋简体" w:cs="方正仿宋简体"/>
          <w:color w:val="000000"/>
          <w:kern w:val="0"/>
          <w:sz w:val="32"/>
          <w:szCs w:val="32"/>
          <w:u w:val="none"/>
          <w:lang w:val="en-US" w:eastAsia="zh-CN"/>
        </w:rPr>
        <w:t>810.8</w:t>
      </w:r>
      <w:r>
        <w:rPr>
          <w:rFonts w:hint="eastAsia" w:ascii="宋体" w:hAnsi="宋体" w:eastAsia="方正仿宋简体" w:cs="方正仿宋简体"/>
          <w:color w:val="000000"/>
          <w:kern w:val="0"/>
          <w:sz w:val="32"/>
          <w:szCs w:val="32"/>
          <w:u w:val="none"/>
          <w:lang w:val="zh-CN"/>
        </w:rPr>
        <w:t>%</w:t>
      </w:r>
      <w:r>
        <w:rPr>
          <w:rFonts w:hint="eastAsia" w:ascii="宋体" w:hAnsi="宋体" w:eastAsia="方正仿宋简体" w:cs="方正仿宋简体"/>
          <w:color w:val="000000"/>
          <w:kern w:val="0"/>
          <w:sz w:val="32"/>
          <w:szCs w:val="32"/>
          <w:u w:val="none"/>
        </w:rPr>
        <w:t>。政府性基金支出完成</w:t>
      </w:r>
      <w:r>
        <w:rPr>
          <w:rFonts w:hint="eastAsia" w:ascii="宋体" w:hAnsi="宋体" w:eastAsia="方正仿宋简体" w:cs="方正仿宋简体"/>
          <w:color w:val="000000"/>
          <w:kern w:val="0"/>
          <w:sz w:val="32"/>
          <w:szCs w:val="32"/>
          <w:u w:val="none"/>
          <w:lang w:val="en-US" w:eastAsia="zh-CN"/>
        </w:rPr>
        <w:t>110417</w:t>
      </w:r>
      <w:r>
        <w:rPr>
          <w:rFonts w:hint="eastAsia" w:ascii="宋体" w:hAnsi="宋体" w:eastAsia="方正仿宋简体" w:cs="方正仿宋简体"/>
          <w:color w:val="000000"/>
          <w:kern w:val="0"/>
          <w:sz w:val="32"/>
          <w:szCs w:val="32"/>
          <w:u w:val="none"/>
        </w:rPr>
        <w:t>万元，完成调整预算的</w:t>
      </w:r>
      <w:r>
        <w:rPr>
          <w:rFonts w:hint="eastAsia" w:ascii="宋体" w:hAnsi="宋体" w:eastAsia="方正仿宋简体" w:cs="方正仿宋简体"/>
          <w:color w:val="000000"/>
          <w:kern w:val="0"/>
          <w:sz w:val="32"/>
          <w:szCs w:val="32"/>
          <w:u w:val="none"/>
          <w:lang w:val="en-US" w:eastAsia="zh-CN"/>
        </w:rPr>
        <w:t>74.4</w:t>
      </w:r>
      <w:r>
        <w:rPr>
          <w:rFonts w:hint="eastAsia" w:ascii="宋体" w:hAnsi="宋体" w:eastAsia="方正仿宋简体" w:cs="方正仿宋简体"/>
          <w:color w:val="000000"/>
          <w:kern w:val="0"/>
          <w:sz w:val="32"/>
          <w:szCs w:val="32"/>
          <w:u w:val="none"/>
        </w:rPr>
        <w:t>%，同比</w:t>
      </w:r>
      <w:r>
        <w:rPr>
          <w:rFonts w:hint="eastAsia" w:ascii="宋体" w:hAnsi="宋体" w:eastAsia="方正仿宋简体" w:cs="方正仿宋简体"/>
          <w:color w:val="000000"/>
          <w:kern w:val="0"/>
          <w:sz w:val="32"/>
          <w:szCs w:val="32"/>
          <w:u w:val="none"/>
          <w:lang w:eastAsia="zh-CN"/>
        </w:rPr>
        <w:t>增长</w:t>
      </w:r>
      <w:r>
        <w:rPr>
          <w:rFonts w:hint="eastAsia" w:ascii="宋体" w:hAnsi="宋体" w:eastAsia="方正仿宋简体" w:cs="方正仿宋简体"/>
          <w:color w:val="000000"/>
          <w:kern w:val="0"/>
          <w:sz w:val="32"/>
          <w:szCs w:val="32"/>
          <w:u w:val="none"/>
          <w:lang w:val="en-US" w:eastAsia="zh-CN"/>
        </w:rPr>
        <w:t>27.4</w:t>
      </w:r>
      <w:r>
        <w:rPr>
          <w:rFonts w:hint="eastAsia" w:ascii="宋体" w:hAnsi="宋体" w:eastAsia="方正仿宋简体" w:cs="方正仿宋简体"/>
          <w:color w:val="000000"/>
          <w:kern w:val="0"/>
          <w:sz w:val="32"/>
          <w:szCs w:val="32"/>
          <w:u w:val="none"/>
          <w:lang w:val="zh-CN"/>
        </w:rPr>
        <w:t>%</w:t>
      </w:r>
      <w:r>
        <w:rPr>
          <w:rFonts w:hint="eastAsia" w:ascii="宋体" w:hAnsi="宋体" w:eastAsia="方正仿宋简体" w:cs="方正仿宋简体"/>
          <w:color w:val="000000"/>
          <w:kern w:val="0"/>
          <w:sz w:val="32"/>
          <w:szCs w:val="32"/>
          <w:u w:val="none"/>
        </w:rPr>
        <w:t>。</w:t>
      </w:r>
    </w:p>
    <w:p w14:paraId="11B188C5">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lang w:eastAsia="zh-CN"/>
        </w:rPr>
      </w:pPr>
      <w:r>
        <w:rPr>
          <w:rFonts w:hint="eastAsia" w:ascii="宋体" w:hAnsi="宋体" w:eastAsia="方正仿宋简体" w:cs="方正仿宋简体"/>
          <w:color w:val="000000"/>
          <w:kern w:val="0"/>
          <w:sz w:val="32"/>
          <w:szCs w:val="32"/>
          <w:u w:val="none"/>
          <w:lang w:val="en-US" w:eastAsia="zh-CN"/>
        </w:rPr>
        <w:t>3.</w:t>
      </w:r>
      <w:r>
        <w:rPr>
          <w:rFonts w:hint="eastAsia" w:ascii="宋体" w:hAnsi="宋体" w:eastAsia="方正仿宋简体" w:cs="方正仿宋简体"/>
          <w:color w:val="000000"/>
          <w:kern w:val="0"/>
          <w:sz w:val="32"/>
          <w:szCs w:val="32"/>
          <w:u w:val="none"/>
        </w:rPr>
        <w:t>国有资本经营预算收支情况。高新区本级无国有资本经营预算</w:t>
      </w:r>
      <w:r>
        <w:rPr>
          <w:rFonts w:hint="eastAsia" w:ascii="宋体" w:hAnsi="宋体" w:eastAsia="方正仿宋简体" w:cs="方正仿宋简体"/>
          <w:color w:val="000000"/>
          <w:kern w:val="0"/>
          <w:sz w:val="32"/>
          <w:szCs w:val="32"/>
          <w:u w:val="none"/>
          <w:lang w:eastAsia="zh-CN"/>
        </w:rPr>
        <w:t>收入</w:t>
      </w:r>
      <w:r>
        <w:rPr>
          <w:rFonts w:hint="eastAsia" w:ascii="宋体" w:hAnsi="宋体" w:eastAsia="方正仿宋简体" w:cs="方正仿宋简体"/>
          <w:color w:val="000000"/>
          <w:kern w:val="0"/>
          <w:sz w:val="32"/>
          <w:szCs w:val="32"/>
          <w:u w:val="none"/>
        </w:rPr>
        <w:t>。</w:t>
      </w:r>
      <w:r>
        <w:rPr>
          <w:rFonts w:hint="eastAsia" w:ascii="宋体" w:hAnsi="宋体" w:eastAsia="方正仿宋简体" w:cs="方正仿宋简体"/>
          <w:color w:val="000000"/>
          <w:kern w:val="0"/>
          <w:sz w:val="32"/>
          <w:szCs w:val="32"/>
          <w:u w:val="none"/>
          <w:lang w:eastAsia="zh-CN"/>
        </w:rPr>
        <w:t>执行中收到上级转移支付资金</w:t>
      </w:r>
      <w:r>
        <w:rPr>
          <w:rFonts w:hint="eastAsia" w:ascii="宋体" w:hAnsi="宋体" w:eastAsia="方正仿宋简体" w:cs="方正仿宋简体"/>
          <w:color w:val="000000"/>
          <w:kern w:val="0"/>
          <w:sz w:val="32"/>
          <w:szCs w:val="32"/>
          <w:u w:val="none"/>
          <w:lang w:val="en-US" w:eastAsia="zh-CN"/>
        </w:rPr>
        <w:t>13</w:t>
      </w:r>
      <w:r>
        <w:rPr>
          <w:rFonts w:hint="eastAsia" w:ascii="宋体" w:hAnsi="宋体" w:eastAsia="方正仿宋简体" w:cs="方正仿宋简体"/>
          <w:color w:val="000000"/>
          <w:kern w:val="0"/>
          <w:sz w:val="32"/>
          <w:szCs w:val="32"/>
          <w:u w:val="none"/>
          <w:lang w:eastAsia="zh-CN"/>
        </w:rPr>
        <w:t>万元，全部用于国有企业退休人员社会化管理工作，</w:t>
      </w:r>
      <w:r>
        <w:rPr>
          <w:rFonts w:hint="eastAsia" w:ascii="宋体" w:hAnsi="宋体" w:eastAsia="方正仿宋简体" w:cs="方正仿宋简体"/>
          <w:color w:val="000000"/>
          <w:kern w:val="0"/>
          <w:sz w:val="32"/>
          <w:szCs w:val="32"/>
          <w:u w:val="none"/>
          <w:lang w:val="en-US" w:eastAsia="zh-CN"/>
        </w:rPr>
        <w:t>支出率100%，与上年持平</w:t>
      </w:r>
      <w:r>
        <w:rPr>
          <w:rFonts w:hint="eastAsia" w:ascii="宋体" w:hAnsi="宋体" w:eastAsia="方正仿宋简体" w:cs="方正仿宋简体"/>
          <w:color w:val="000000"/>
          <w:kern w:val="0"/>
          <w:sz w:val="32"/>
          <w:szCs w:val="32"/>
          <w:u w:val="none"/>
          <w:lang w:eastAsia="zh-CN"/>
        </w:rPr>
        <w:t>。</w:t>
      </w:r>
    </w:p>
    <w:p w14:paraId="68BA0219">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zh-CN"/>
        </w:rPr>
      </w:pPr>
      <w:r>
        <w:rPr>
          <w:rFonts w:hint="eastAsia" w:ascii="宋体" w:hAnsi="宋体" w:eastAsia="方正仿宋简体" w:cs="方正仿宋简体"/>
          <w:color w:val="000000"/>
          <w:kern w:val="0"/>
          <w:sz w:val="32"/>
          <w:szCs w:val="32"/>
          <w:highlight w:val="none"/>
          <w:u w:val="none"/>
          <w:lang w:val="en-US" w:eastAsia="zh-CN"/>
        </w:rPr>
        <w:t>4.</w:t>
      </w:r>
      <w:r>
        <w:rPr>
          <w:rFonts w:hint="eastAsia" w:ascii="宋体" w:hAnsi="宋体" w:eastAsia="方正仿宋简体" w:cs="方正仿宋简体"/>
          <w:color w:val="000000"/>
          <w:kern w:val="0"/>
          <w:sz w:val="32"/>
          <w:szCs w:val="32"/>
          <w:highlight w:val="none"/>
          <w:u w:val="none"/>
          <w:lang w:val="zh-CN"/>
        </w:rPr>
        <w:t>社会保险基金预算收支情况。社会保险基金收入完成</w:t>
      </w:r>
      <w:r>
        <w:rPr>
          <w:rFonts w:hint="eastAsia" w:ascii="宋体" w:hAnsi="宋体" w:eastAsia="方正仿宋简体" w:cs="方正仿宋简体"/>
          <w:color w:val="000000"/>
          <w:kern w:val="0"/>
          <w:sz w:val="32"/>
          <w:szCs w:val="32"/>
          <w:highlight w:val="none"/>
          <w:u w:val="none"/>
          <w:lang w:val="en-US" w:eastAsia="zh-CN"/>
        </w:rPr>
        <w:t>12468</w:t>
      </w:r>
      <w:r>
        <w:rPr>
          <w:rFonts w:hint="eastAsia" w:ascii="宋体" w:hAnsi="宋体" w:eastAsia="方正仿宋简体" w:cs="方正仿宋简体"/>
          <w:color w:val="000000"/>
          <w:kern w:val="0"/>
          <w:sz w:val="32"/>
          <w:szCs w:val="32"/>
          <w:highlight w:val="none"/>
          <w:u w:val="none"/>
          <w:lang w:val="zh-CN"/>
        </w:rPr>
        <w:t>万元，完成调整预算的</w:t>
      </w:r>
      <w:r>
        <w:rPr>
          <w:rFonts w:hint="eastAsia" w:ascii="宋体" w:hAnsi="宋体" w:eastAsia="方正仿宋简体" w:cs="方正仿宋简体"/>
          <w:color w:val="000000"/>
          <w:kern w:val="0"/>
          <w:sz w:val="32"/>
          <w:szCs w:val="32"/>
          <w:highlight w:val="none"/>
          <w:u w:val="none"/>
          <w:lang w:val="en-US" w:eastAsia="zh-CN"/>
        </w:rPr>
        <w:t>102.2</w:t>
      </w:r>
      <w:r>
        <w:rPr>
          <w:rFonts w:hint="eastAsia" w:ascii="宋体" w:hAnsi="宋体" w:eastAsia="方正仿宋简体" w:cs="方正仿宋简体"/>
          <w:color w:val="000000"/>
          <w:kern w:val="0"/>
          <w:sz w:val="32"/>
          <w:szCs w:val="32"/>
          <w:highlight w:val="none"/>
          <w:u w:val="none"/>
          <w:lang w:val="zh-CN"/>
        </w:rPr>
        <w:t>%，同比增长</w:t>
      </w:r>
      <w:r>
        <w:rPr>
          <w:rFonts w:hint="eastAsia" w:ascii="宋体" w:hAnsi="宋体" w:eastAsia="方正仿宋简体" w:cs="方正仿宋简体"/>
          <w:color w:val="000000"/>
          <w:kern w:val="0"/>
          <w:sz w:val="32"/>
          <w:szCs w:val="32"/>
          <w:highlight w:val="none"/>
          <w:u w:val="none"/>
          <w:lang w:val="en-US" w:eastAsia="zh-CN"/>
        </w:rPr>
        <w:t>281.4</w:t>
      </w:r>
      <w:r>
        <w:rPr>
          <w:rFonts w:hint="eastAsia" w:ascii="宋体" w:hAnsi="宋体" w:eastAsia="方正仿宋简体" w:cs="方正仿宋简体"/>
          <w:color w:val="000000"/>
          <w:kern w:val="0"/>
          <w:sz w:val="32"/>
          <w:szCs w:val="32"/>
          <w:highlight w:val="none"/>
          <w:u w:val="none"/>
          <w:lang w:val="zh-CN"/>
        </w:rPr>
        <w:t>%。社会保险基金支出</w:t>
      </w:r>
      <w:r>
        <w:rPr>
          <w:rFonts w:hint="eastAsia" w:ascii="宋体" w:hAnsi="宋体" w:eastAsia="方正仿宋简体" w:cs="方正仿宋简体"/>
          <w:color w:val="000000"/>
          <w:kern w:val="0"/>
          <w:sz w:val="32"/>
          <w:szCs w:val="32"/>
          <w:highlight w:val="none"/>
          <w:u w:val="none"/>
          <w:lang w:val="en-US" w:eastAsia="zh-CN"/>
        </w:rPr>
        <w:t>7494</w:t>
      </w:r>
      <w:r>
        <w:rPr>
          <w:rFonts w:hint="eastAsia" w:ascii="宋体" w:hAnsi="宋体" w:eastAsia="方正仿宋简体" w:cs="方正仿宋简体"/>
          <w:color w:val="000000"/>
          <w:kern w:val="0"/>
          <w:sz w:val="32"/>
          <w:szCs w:val="32"/>
          <w:highlight w:val="none"/>
          <w:u w:val="none"/>
          <w:lang w:val="zh-CN"/>
        </w:rPr>
        <w:t>万元，完成调整预算的</w:t>
      </w:r>
      <w:r>
        <w:rPr>
          <w:rFonts w:hint="eastAsia" w:ascii="宋体" w:hAnsi="宋体" w:eastAsia="方正仿宋简体" w:cs="方正仿宋简体"/>
          <w:color w:val="000000"/>
          <w:kern w:val="0"/>
          <w:sz w:val="32"/>
          <w:szCs w:val="32"/>
          <w:highlight w:val="none"/>
          <w:u w:val="none"/>
          <w:lang w:val="en-US" w:eastAsia="zh-CN"/>
        </w:rPr>
        <w:t>98.7%，</w:t>
      </w:r>
      <w:r>
        <w:rPr>
          <w:rFonts w:hint="eastAsia" w:ascii="宋体" w:hAnsi="宋体" w:eastAsia="方正仿宋简体" w:cs="方正仿宋简体"/>
          <w:color w:val="000000"/>
          <w:kern w:val="0"/>
          <w:sz w:val="32"/>
          <w:szCs w:val="32"/>
          <w:highlight w:val="none"/>
          <w:u w:val="none"/>
          <w:lang w:val="zh-CN"/>
        </w:rPr>
        <w:t>同比</w:t>
      </w:r>
      <w:r>
        <w:rPr>
          <w:rFonts w:hint="eastAsia" w:ascii="宋体" w:hAnsi="宋体" w:eastAsia="方正仿宋简体" w:cs="方正仿宋简体"/>
          <w:color w:val="000000"/>
          <w:kern w:val="0"/>
          <w:sz w:val="32"/>
          <w:szCs w:val="32"/>
          <w:highlight w:val="none"/>
          <w:u w:val="none"/>
          <w:lang w:val="zh-CN" w:eastAsia="zh-CN"/>
        </w:rPr>
        <w:t>增长</w:t>
      </w:r>
      <w:r>
        <w:rPr>
          <w:rFonts w:hint="eastAsia" w:ascii="宋体" w:hAnsi="宋体" w:eastAsia="方正仿宋简体" w:cs="方正仿宋简体"/>
          <w:color w:val="000000"/>
          <w:kern w:val="0"/>
          <w:sz w:val="32"/>
          <w:szCs w:val="32"/>
          <w:highlight w:val="none"/>
          <w:u w:val="none"/>
          <w:lang w:val="en-US" w:eastAsia="zh-CN"/>
        </w:rPr>
        <w:t>156.6</w:t>
      </w:r>
      <w:r>
        <w:rPr>
          <w:rFonts w:hint="eastAsia" w:ascii="宋体" w:hAnsi="宋体" w:eastAsia="方正仿宋简体" w:cs="方正仿宋简体"/>
          <w:color w:val="000000"/>
          <w:kern w:val="0"/>
          <w:sz w:val="32"/>
          <w:szCs w:val="32"/>
          <w:highlight w:val="none"/>
          <w:u w:val="none"/>
          <w:lang w:val="zh-CN"/>
        </w:rPr>
        <w:t>%。</w:t>
      </w:r>
    </w:p>
    <w:p w14:paraId="55DA681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（二）落实市人大预算决议情况及2024年预算执行效果</w:t>
      </w:r>
    </w:p>
    <w:p w14:paraId="69428B78">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zh-CN"/>
        </w:rPr>
      </w:pPr>
      <w:r>
        <w:rPr>
          <w:rFonts w:hint="eastAsia" w:ascii="宋体" w:hAnsi="宋体" w:eastAsia="方正仿宋简体" w:cs="方正仿宋简体"/>
          <w:color w:val="000000"/>
          <w:kern w:val="0"/>
          <w:sz w:val="32"/>
          <w:szCs w:val="32"/>
          <w:u w:val="none"/>
          <w:lang w:val="en-US" w:eastAsia="zh-CN"/>
        </w:rPr>
        <w:t>一年来，</w:t>
      </w:r>
      <w:r>
        <w:rPr>
          <w:rFonts w:hint="eastAsia" w:ascii="宋体" w:hAnsi="宋体" w:eastAsia="方正仿宋简体" w:cs="方正仿宋简体"/>
          <w:color w:val="000000"/>
          <w:kern w:val="0"/>
          <w:sz w:val="32"/>
          <w:szCs w:val="32"/>
          <w:u w:val="none"/>
          <w:lang w:val="zh-CN"/>
        </w:rPr>
        <w:t>高新区深入贯彻落实中央和省、市决策部署，认真执行市</w:t>
      </w:r>
      <w:r>
        <w:rPr>
          <w:rFonts w:hint="eastAsia" w:ascii="宋体" w:hAnsi="宋体" w:eastAsia="方正仿宋简体" w:cs="方正仿宋简体"/>
          <w:color w:val="000000"/>
          <w:kern w:val="0"/>
          <w:sz w:val="32"/>
          <w:szCs w:val="32"/>
          <w:u w:val="none"/>
          <w:lang w:val="zh-CN" w:eastAsia="zh-CN"/>
        </w:rPr>
        <w:t>十六</w:t>
      </w:r>
      <w:r>
        <w:rPr>
          <w:rFonts w:hint="eastAsia" w:ascii="宋体" w:hAnsi="宋体" w:eastAsia="方正仿宋简体" w:cs="方正仿宋简体"/>
          <w:color w:val="000000"/>
          <w:kern w:val="0"/>
          <w:sz w:val="32"/>
          <w:szCs w:val="32"/>
          <w:u w:val="none"/>
          <w:lang w:val="zh-CN"/>
        </w:rPr>
        <w:t>届人大五次会议各项决议，坚持稳中求进、以进促稳、先立后破，按照积极的财政政策适度加力、提质增效，开源挖潜促增收，统筹优化保支出，多措并举抓化债，预算执行总体平稳有序，基本民生和重点领域支出得到较好保障。</w:t>
      </w:r>
    </w:p>
    <w:p w14:paraId="2EBDF1B2">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1.坚持积极有为，在提质增效上下功夫。一是大力培育税源，全面落实减税降费政策，统筹各类资源要素、财政资金向重点产业倾斜，积极财政政策适度加力，有效提振市场主体信心。二是全力抓好税费征管工作。继续落实财税部门联席会议职责，强化税费征管，加强对重点税源分析研判，及时掌握税费增减动态。强化税费挖潜增收，做到应收尽收，应征尽征。三是大力推动资产盘活、资源有偿使用出让等工作。提前规划，精准实施，协调统筹谋划好土地出让等工作，增加可用非税收入。</w:t>
      </w:r>
    </w:p>
    <w:p w14:paraId="1E04FCEE">
      <w:pPr>
        <w:keepNext w:val="0"/>
        <w:keepLines w:val="0"/>
        <w:pageBreakBefore w:val="0"/>
        <w:widowControl w:val="0"/>
        <w:numPr>
          <w:ilvl w:val="0"/>
          <w:numId w:val="0"/>
        </w:numPr>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u w:val="none"/>
          <w:lang w:val="en-US" w:eastAsia="zh-CN"/>
        </w:rPr>
        <w:t>2.坚持尽力而为，在兜牢民生上下功夫。围绕提升社会保障，推进教育事业、医疗卫生健康、农业发展等，提升基本公共服务水平，投入资金74593万元。一是教育支出15008万元，重点用</w:t>
      </w:r>
      <w:r>
        <w:rPr>
          <w:rFonts w:hint="eastAsia" w:ascii="宋体" w:hAnsi="宋体" w:eastAsia="方正仿宋简体" w:cs="方正仿宋简体"/>
          <w:color w:val="000000"/>
          <w:kern w:val="0"/>
          <w:sz w:val="32"/>
          <w:szCs w:val="32"/>
          <w:highlight w:val="none"/>
          <w:u w:val="none"/>
          <w:lang w:val="en-US" w:eastAsia="zh-CN"/>
        </w:rPr>
        <w:t>于落实教师工资待遇、京唐智慧港第一小学建设、高新中学装备经费、义务教育保障、校园保安、实验小学教育教学装备经费等，持续改善校园基础设施，提高学校办学保障条件；二是社会保障和就业支出20840万元，主要用于对基本养老保险基金的补助、人才发展、社区工作者待遇、退役安置及困难群体救助等，落实生活补助措施，完善多层次社会保障体系；三是卫生健康支出9542万元，主要用于医疗保险资金、基本公共卫生服务、计划生育事务等，促进优质医疗资源均衡分布，推进卫生健康事业稳步发展；四是节能环保支出23860万元，重点用于燃料电池奖补、海绵城市专项资金、气代煤及电代煤补贴及环保专项经费等，健全绿色低碳发展机制，加快经济社会发展全面绿色转型；五是农林水支出5343万元，主要用于耕地建设利用、农村综合改革、农业保险补贴、农村户厕粪污无害化处理、产业发展及村干部工资保险等，支持农业农村优先发展，强化财政支农投入保障。</w:t>
      </w:r>
    </w:p>
    <w:p w14:paraId="498B5403">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3.坚持科技创新，在保障重点上下功夫。聚焦科技创新及产业发展，投入资金14790万元。一是统筹产业资金助理创新发展，投入2261万元用于孵化器房屋租赁、唐山创新中心运营服务、物业服务外包等，助力应用技术创新和科技成果加快转化；二是提升科技企业孵化能力，加大对高新技术企业的扶持培育力度，投入2529万元用于科技创新及科普资金、创新型园区建设、高新技术企业扶持、西安交大成果转化等，助理科技型企业高质量发展；三是加力发挥政府投资基金引导撬动作用，投入10000万元用于平台注资，有效发挥财政资金作为“耐心资本”的稳定引导支持作用。</w:t>
      </w:r>
    </w:p>
    <w:p w14:paraId="5D7F7832">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4.坚持统筹发展，在城乡建设上下功夫。围绕推进城乡统筹发展、提升城乡宜居水平，投入资金99655万元。一是促进城乡环境可持续发展，不断改善环境卫生，投入资金27196万元，用于人居环境提升整治、农村环卫保洁、餐厨废弃物收运、生活垃圾分类等；二是不断改善人民居住环境，投入资金15438万元，用于市政基础设施PPP项目政府付费、环境卫生综合提升、城建项目等；三是推进城镇化进程投入57021万元，主要用于城中村改造项目返还、征地拆迁补偿、绿化租地费、补偿安置费、委托补充耕地费等。</w:t>
      </w:r>
    </w:p>
    <w:p w14:paraId="518E2ED3">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5.坚持底线思维，在风险管控上下功夫。一是统筹好发展和安全，优化政府债务结构，科学合理安排政府债务规模，建立全口径防范化解隐性债务风险长效机制。二是依托预算管理一体化系统，加强预算执行全过程跟踪监控，加大财会监督力度，聚焦会计评估领域、预算执行等方面，进一步严肃财经纪律。三是自觉接受人大预决算审计监督，认真吸纳有关意见建议，作为改进财政工作，提升预算管理的主要参考。</w:t>
      </w:r>
    </w:p>
    <w:p w14:paraId="77F3D050">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bCs/>
          <w:color w:val="000000"/>
          <w:kern w:val="0"/>
          <w:sz w:val="32"/>
          <w:szCs w:val="32"/>
          <w:u w:val="none"/>
        </w:rPr>
      </w:pPr>
      <w:r>
        <w:rPr>
          <w:rFonts w:hint="eastAsia" w:ascii="宋体" w:hAnsi="宋体" w:eastAsia="方正仿宋简体" w:cs="方正仿宋简体"/>
          <w:bCs/>
          <w:color w:val="000000"/>
          <w:kern w:val="0"/>
          <w:sz w:val="32"/>
          <w:szCs w:val="32"/>
          <w:u w:val="none"/>
          <w:lang w:eastAsia="zh-CN"/>
        </w:rPr>
        <w:t>（三）</w:t>
      </w:r>
      <w:r>
        <w:rPr>
          <w:rFonts w:hint="eastAsia" w:ascii="宋体" w:hAnsi="宋体" w:eastAsia="方正仿宋简体" w:cs="方正仿宋简体"/>
          <w:bCs/>
          <w:color w:val="000000"/>
          <w:kern w:val="0"/>
          <w:sz w:val="32"/>
          <w:szCs w:val="32"/>
          <w:u w:val="none"/>
        </w:rPr>
        <w:t>“三公”经费支出情况</w:t>
      </w:r>
    </w:p>
    <w:p w14:paraId="1277E55B">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u w:val="none"/>
        </w:rPr>
      </w:pPr>
      <w:r>
        <w:rPr>
          <w:rFonts w:hint="eastAsia" w:ascii="宋体" w:hAnsi="宋体" w:eastAsia="方正仿宋简体" w:cs="方正仿宋简体"/>
          <w:kern w:val="0"/>
          <w:sz w:val="32"/>
          <w:szCs w:val="32"/>
          <w:u w:val="none"/>
          <w:lang w:val="en-US" w:eastAsia="zh-CN"/>
        </w:rPr>
        <w:t>2024</w:t>
      </w:r>
      <w:r>
        <w:rPr>
          <w:rFonts w:hint="eastAsia" w:ascii="宋体" w:hAnsi="宋体" w:eastAsia="方正仿宋简体" w:cs="方正仿宋简体"/>
          <w:kern w:val="0"/>
          <w:sz w:val="32"/>
          <w:szCs w:val="32"/>
          <w:u w:val="none"/>
        </w:rPr>
        <w:t>年，预算安排“三公”经费</w:t>
      </w:r>
      <w:r>
        <w:rPr>
          <w:rFonts w:hint="eastAsia" w:ascii="宋体" w:hAnsi="宋体" w:eastAsia="方正仿宋简体" w:cs="方正仿宋简体"/>
          <w:kern w:val="0"/>
          <w:sz w:val="32"/>
          <w:szCs w:val="32"/>
          <w:u w:val="none"/>
          <w:lang w:val="en-US" w:eastAsia="zh-CN"/>
        </w:rPr>
        <w:t>384</w:t>
      </w:r>
      <w:r>
        <w:rPr>
          <w:rFonts w:hint="eastAsia" w:ascii="宋体" w:hAnsi="宋体" w:eastAsia="方正仿宋简体" w:cs="方正仿宋简体"/>
          <w:kern w:val="0"/>
          <w:sz w:val="32"/>
          <w:szCs w:val="32"/>
          <w:u w:val="none"/>
        </w:rPr>
        <w:t>万元，实际支出</w:t>
      </w:r>
      <w:r>
        <w:rPr>
          <w:rFonts w:hint="eastAsia" w:ascii="宋体" w:hAnsi="宋体" w:eastAsia="方正仿宋简体" w:cs="方正仿宋简体"/>
          <w:kern w:val="0"/>
          <w:sz w:val="32"/>
          <w:szCs w:val="32"/>
          <w:u w:val="none"/>
          <w:lang w:val="en-US" w:eastAsia="zh-CN"/>
        </w:rPr>
        <w:t>156</w:t>
      </w:r>
      <w:r>
        <w:rPr>
          <w:rFonts w:hint="eastAsia" w:ascii="宋体" w:hAnsi="宋体" w:eastAsia="方正仿宋简体" w:cs="方正仿宋简体"/>
          <w:kern w:val="0"/>
          <w:sz w:val="32"/>
          <w:szCs w:val="32"/>
          <w:u w:val="none"/>
        </w:rPr>
        <w:t>万元，占预算的</w:t>
      </w:r>
      <w:r>
        <w:rPr>
          <w:rFonts w:hint="eastAsia" w:ascii="宋体" w:hAnsi="宋体" w:eastAsia="方正仿宋简体" w:cs="方正仿宋简体"/>
          <w:kern w:val="0"/>
          <w:sz w:val="32"/>
          <w:szCs w:val="32"/>
          <w:u w:val="none"/>
          <w:lang w:val="en-US" w:eastAsia="zh-CN"/>
        </w:rPr>
        <w:t>40.6</w:t>
      </w:r>
      <w:r>
        <w:rPr>
          <w:rFonts w:hint="eastAsia" w:ascii="宋体" w:hAnsi="宋体" w:eastAsia="方正仿宋简体" w:cs="方正仿宋简体"/>
          <w:kern w:val="0"/>
          <w:sz w:val="32"/>
          <w:szCs w:val="32"/>
          <w:u w:val="none"/>
          <w:lang w:val="zh-CN"/>
        </w:rPr>
        <w:t>%</w:t>
      </w:r>
      <w:r>
        <w:rPr>
          <w:rFonts w:hint="eastAsia" w:ascii="宋体" w:hAnsi="宋体" w:eastAsia="方正仿宋简体" w:cs="方正仿宋简体"/>
          <w:kern w:val="0"/>
          <w:sz w:val="32"/>
          <w:szCs w:val="32"/>
          <w:u w:val="none"/>
        </w:rPr>
        <w:t>。其中,公务接待费</w:t>
      </w:r>
      <w:r>
        <w:rPr>
          <w:rFonts w:hint="eastAsia" w:ascii="宋体" w:hAnsi="宋体" w:eastAsia="方正仿宋简体" w:cs="方正仿宋简体"/>
          <w:kern w:val="0"/>
          <w:sz w:val="32"/>
          <w:szCs w:val="32"/>
          <w:u w:val="none"/>
          <w:lang w:val="en-US" w:eastAsia="zh-CN"/>
        </w:rPr>
        <w:t>36</w:t>
      </w:r>
      <w:r>
        <w:rPr>
          <w:rFonts w:hint="eastAsia" w:ascii="宋体" w:hAnsi="宋体" w:eastAsia="方正仿宋简体" w:cs="方正仿宋简体"/>
          <w:kern w:val="0"/>
          <w:sz w:val="32"/>
          <w:szCs w:val="32"/>
          <w:u w:val="none"/>
        </w:rPr>
        <w:t>万元，比预算减少</w:t>
      </w:r>
      <w:r>
        <w:rPr>
          <w:rFonts w:hint="eastAsia" w:ascii="宋体" w:hAnsi="宋体" w:eastAsia="方正仿宋简体" w:cs="方正仿宋简体"/>
          <w:kern w:val="0"/>
          <w:sz w:val="32"/>
          <w:szCs w:val="32"/>
          <w:u w:val="none"/>
          <w:lang w:val="en-US" w:eastAsia="zh-CN"/>
        </w:rPr>
        <w:t>130</w:t>
      </w:r>
      <w:r>
        <w:rPr>
          <w:rFonts w:hint="eastAsia" w:ascii="宋体" w:hAnsi="宋体" w:eastAsia="方正仿宋简体" w:cs="方正仿宋简体"/>
          <w:kern w:val="0"/>
          <w:sz w:val="32"/>
          <w:szCs w:val="32"/>
          <w:u w:val="none"/>
        </w:rPr>
        <w:t>万元；因公出国（境）费用</w:t>
      </w:r>
      <w:r>
        <w:rPr>
          <w:rFonts w:hint="eastAsia" w:ascii="宋体" w:hAnsi="宋体" w:eastAsia="方正仿宋简体" w:cs="方正仿宋简体"/>
          <w:kern w:val="0"/>
          <w:sz w:val="32"/>
          <w:szCs w:val="32"/>
          <w:u w:val="none"/>
          <w:lang w:val="en-US" w:eastAsia="zh-CN"/>
        </w:rPr>
        <w:t>18万元</w:t>
      </w:r>
      <w:r>
        <w:rPr>
          <w:rFonts w:hint="eastAsia" w:ascii="宋体" w:hAnsi="宋体" w:eastAsia="方正仿宋简体" w:cs="方正仿宋简体"/>
          <w:kern w:val="0"/>
          <w:sz w:val="32"/>
          <w:szCs w:val="32"/>
          <w:u w:val="none"/>
        </w:rPr>
        <w:t>，比预算减少</w:t>
      </w:r>
      <w:r>
        <w:rPr>
          <w:rFonts w:hint="eastAsia" w:ascii="宋体" w:hAnsi="宋体" w:eastAsia="方正仿宋简体" w:cs="方正仿宋简体"/>
          <w:kern w:val="0"/>
          <w:sz w:val="32"/>
          <w:szCs w:val="32"/>
          <w:u w:val="none"/>
          <w:lang w:val="en-US" w:eastAsia="zh-CN"/>
        </w:rPr>
        <w:t>32</w:t>
      </w:r>
      <w:r>
        <w:rPr>
          <w:rFonts w:hint="eastAsia" w:ascii="宋体" w:hAnsi="宋体" w:eastAsia="方正仿宋简体" w:cs="方正仿宋简体"/>
          <w:kern w:val="0"/>
          <w:sz w:val="32"/>
          <w:szCs w:val="32"/>
          <w:u w:val="none"/>
        </w:rPr>
        <w:t>万元；公务用车运行维护费</w:t>
      </w:r>
      <w:r>
        <w:rPr>
          <w:rFonts w:hint="eastAsia" w:ascii="宋体" w:hAnsi="宋体" w:eastAsia="方正仿宋简体" w:cs="方正仿宋简体"/>
          <w:kern w:val="0"/>
          <w:sz w:val="32"/>
          <w:szCs w:val="32"/>
          <w:u w:val="none"/>
          <w:lang w:val="en-US" w:eastAsia="zh-CN"/>
        </w:rPr>
        <w:t>102</w:t>
      </w:r>
      <w:r>
        <w:rPr>
          <w:rFonts w:hint="eastAsia" w:ascii="宋体" w:hAnsi="宋体" w:eastAsia="方正仿宋简体" w:cs="方正仿宋简体"/>
          <w:kern w:val="0"/>
          <w:sz w:val="32"/>
          <w:szCs w:val="32"/>
          <w:u w:val="none"/>
        </w:rPr>
        <w:t>万元，比预算减少</w:t>
      </w:r>
      <w:r>
        <w:rPr>
          <w:rFonts w:hint="eastAsia" w:ascii="宋体" w:hAnsi="宋体" w:eastAsia="方正仿宋简体" w:cs="方正仿宋简体"/>
          <w:kern w:val="0"/>
          <w:sz w:val="32"/>
          <w:szCs w:val="32"/>
          <w:u w:val="none"/>
          <w:lang w:val="en-US" w:eastAsia="zh-CN"/>
        </w:rPr>
        <w:t>66</w:t>
      </w:r>
      <w:r>
        <w:rPr>
          <w:rFonts w:hint="eastAsia" w:ascii="宋体" w:hAnsi="宋体" w:eastAsia="方正仿宋简体" w:cs="方正仿宋简体"/>
          <w:kern w:val="0"/>
          <w:sz w:val="32"/>
          <w:szCs w:val="32"/>
          <w:u w:val="none"/>
        </w:rPr>
        <w:t>万元；</w:t>
      </w:r>
      <w:r>
        <w:rPr>
          <w:rFonts w:hint="eastAsia" w:ascii="宋体" w:hAnsi="宋体" w:eastAsia="方正仿宋简体" w:cs="方正仿宋简体"/>
          <w:kern w:val="0"/>
          <w:sz w:val="32"/>
          <w:szCs w:val="32"/>
          <w:u w:val="none"/>
          <w:lang w:eastAsia="zh-CN"/>
        </w:rPr>
        <w:t>本年未安排</w:t>
      </w:r>
      <w:r>
        <w:rPr>
          <w:rFonts w:hint="eastAsia" w:ascii="宋体" w:hAnsi="宋体" w:eastAsia="方正仿宋简体" w:cs="方正仿宋简体"/>
          <w:kern w:val="0"/>
          <w:sz w:val="32"/>
          <w:szCs w:val="32"/>
          <w:u w:val="none"/>
        </w:rPr>
        <w:t>公务用车购置</w:t>
      </w:r>
      <w:r>
        <w:rPr>
          <w:rFonts w:hint="eastAsia" w:ascii="宋体" w:hAnsi="宋体" w:eastAsia="方正仿宋简体" w:cs="方正仿宋简体"/>
          <w:kern w:val="0"/>
          <w:sz w:val="32"/>
          <w:szCs w:val="32"/>
          <w:u w:val="none"/>
          <w:lang w:val="en-US" w:eastAsia="zh-CN"/>
        </w:rPr>
        <w:t>费资金</w:t>
      </w:r>
      <w:r>
        <w:rPr>
          <w:rFonts w:hint="eastAsia" w:ascii="宋体" w:hAnsi="宋体" w:eastAsia="方正仿宋简体" w:cs="方正仿宋简体"/>
          <w:kern w:val="0"/>
          <w:sz w:val="32"/>
          <w:szCs w:val="32"/>
          <w:u w:val="none"/>
        </w:rPr>
        <w:t>。</w:t>
      </w:r>
    </w:p>
    <w:p w14:paraId="120BCBD2">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bCs/>
          <w:color w:val="000000"/>
          <w:kern w:val="0"/>
          <w:sz w:val="32"/>
          <w:szCs w:val="32"/>
          <w:u w:val="none"/>
        </w:rPr>
      </w:pPr>
      <w:r>
        <w:rPr>
          <w:rFonts w:hint="eastAsia" w:ascii="宋体" w:hAnsi="宋体" w:eastAsia="方正仿宋简体" w:cs="方正仿宋简体"/>
          <w:bCs/>
          <w:color w:val="000000"/>
          <w:kern w:val="0"/>
          <w:sz w:val="32"/>
          <w:szCs w:val="32"/>
          <w:u w:val="none"/>
          <w:lang w:eastAsia="zh-CN"/>
        </w:rPr>
        <w:t>（四）</w:t>
      </w:r>
      <w:r>
        <w:rPr>
          <w:rFonts w:hint="eastAsia" w:ascii="宋体" w:hAnsi="宋体" w:eastAsia="方正仿宋简体" w:cs="方正仿宋简体"/>
          <w:bCs/>
          <w:color w:val="000000"/>
          <w:kern w:val="0"/>
          <w:sz w:val="32"/>
          <w:szCs w:val="32"/>
          <w:u w:val="none"/>
        </w:rPr>
        <w:t>预备费使用情况</w:t>
      </w:r>
    </w:p>
    <w:p w14:paraId="2776B603">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sz w:val="32"/>
          <w:szCs w:val="32"/>
          <w:u w:val="none"/>
        </w:rPr>
      </w:pPr>
      <w:r>
        <w:rPr>
          <w:rFonts w:hint="eastAsia" w:ascii="宋体" w:hAnsi="宋体" w:eastAsia="方正仿宋简体" w:cs="方正仿宋简体"/>
          <w:kern w:val="0"/>
          <w:sz w:val="32"/>
          <w:szCs w:val="32"/>
          <w:highlight w:val="none"/>
          <w:u w:val="none"/>
          <w:lang w:val="en-US" w:eastAsia="zh-CN"/>
        </w:rPr>
        <w:t>2024年，预算安排预备费2800万元，实际支出2541万元，主要用于信访维稳、李各庄河道治理、应对和防范突发事件等难以预见的开支。</w:t>
      </w:r>
    </w:p>
    <w:p w14:paraId="0EF63AD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 xml:space="preserve">总体来看，2024年高新区财政预算执行面临极大困难和挑战。收入方面，当前外部环境变化带来的不利影响增多，国内有效需求不足，造成财政收入增长乏力，税收总量规模较小，产业结构欠优，税源培植工作仍需进一步加强。同时，由于房地产市场供求关系发生重大变化，从税收及土地出让两方面严重影响财政收入，财政可持续增长能力受到挑战。支出方面，平改项目成本返还及民生支出、助推经济转型升级、化解政府债务等刚性支出需求增长，现有财力难以满足各方面的资金需求，财政收支平衡难度进一步增加。我们将高度重视这些问题，积极采取措施加以解决。    </w:t>
      </w:r>
    </w:p>
    <w:p w14:paraId="081A074A">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方正黑体简体" w:hAnsi="方正黑体简体" w:eastAsia="方正黑体简体" w:cs="方正黑体简体"/>
          <w:color w:val="000000"/>
          <w:sz w:val="32"/>
          <w:szCs w:val="32"/>
          <w:u w:val="none"/>
          <w:lang w:val="zh-CN"/>
        </w:rPr>
      </w:pPr>
      <w:r>
        <w:rPr>
          <w:rFonts w:hint="eastAsia" w:ascii="方正黑体简体" w:hAnsi="方正黑体简体" w:eastAsia="方正黑体简体" w:cs="方正黑体简体"/>
          <w:color w:val="000000"/>
          <w:kern w:val="0"/>
          <w:sz w:val="32"/>
          <w:szCs w:val="32"/>
          <w:u w:val="none"/>
        </w:rPr>
        <w:t>二、</w:t>
      </w:r>
      <w:r>
        <w:rPr>
          <w:rFonts w:hint="eastAsia" w:ascii="方正黑体简体" w:hAnsi="方正黑体简体" w:eastAsia="方正黑体简体" w:cs="方正黑体简体"/>
          <w:bCs/>
          <w:sz w:val="32"/>
          <w:szCs w:val="32"/>
          <w:u w:val="none"/>
          <w:lang w:val="en-US" w:eastAsia="zh-CN"/>
        </w:rPr>
        <w:t>2025</w:t>
      </w:r>
      <w:r>
        <w:rPr>
          <w:rFonts w:hint="eastAsia" w:ascii="方正黑体简体" w:hAnsi="方正黑体简体" w:eastAsia="方正黑体简体" w:cs="方正黑体简体"/>
          <w:color w:val="000000"/>
          <w:kern w:val="0"/>
          <w:sz w:val="32"/>
          <w:szCs w:val="32"/>
          <w:u w:val="none"/>
        </w:rPr>
        <w:t>年预算</w:t>
      </w:r>
      <w:r>
        <w:rPr>
          <w:rFonts w:hint="eastAsia" w:ascii="方正黑体简体" w:hAnsi="方正黑体简体" w:eastAsia="方正黑体简体" w:cs="方正黑体简体"/>
          <w:color w:val="000000"/>
          <w:kern w:val="0"/>
          <w:sz w:val="32"/>
          <w:szCs w:val="32"/>
          <w:u w:val="none"/>
          <w:lang w:val="en-US" w:eastAsia="zh-CN"/>
        </w:rPr>
        <w:t>草案</w:t>
      </w:r>
      <w:r>
        <w:rPr>
          <w:rFonts w:hint="eastAsia" w:ascii="方正黑体简体" w:hAnsi="方正黑体简体" w:eastAsia="方正黑体简体" w:cs="方正黑体简体"/>
          <w:color w:val="000000"/>
          <w:kern w:val="0"/>
          <w:sz w:val="32"/>
          <w:szCs w:val="32"/>
          <w:u w:val="none"/>
        </w:rPr>
        <w:t>情况</w:t>
      </w:r>
    </w:p>
    <w:p w14:paraId="0BC563CB">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rtl w:val="0"/>
          <w:lang w:val="en-US" w:eastAsia="zh-CN" w:bidi="ar-SA"/>
        </w:rPr>
      </w:pPr>
      <w:r>
        <w:rPr>
          <w:rFonts w:hint="eastAsia" w:ascii="宋体" w:hAnsi="宋体" w:eastAsia="方正仿宋简体" w:cs="方正仿宋简体"/>
          <w:kern w:val="0"/>
          <w:sz w:val="32"/>
          <w:szCs w:val="32"/>
          <w:highlight w:val="none"/>
          <w:u w:val="none"/>
          <w:lang w:val="en-US" w:eastAsia="zh-CN"/>
        </w:rPr>
        <w:t>2025年是“十四五”规划全面落实的收官之年,也是充满机遇与挑战的一年。受外部环境变化带来的不利影响加深，我国经济运行仍面临不少困难和挑战，主要是国内需求不足，部分企业生产经营困难，群众就业增收面临压力，风险隐患仍然较多。同时，我国经济基础稳、优势多、韧性强、潜能大，长期向好的支撑条件和基本趋势没有变化，加之国家出台一系列更加积极的财政政策，对提振经济增速和投资信心具有至关重要的作用。综合以上因素，制定我区2025年政府收支预算，具体情况如下：</w:t>
      </w:r>
    </w:p>
    <w:p w14:paraId="267B6E0A">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方正楷体简体" w:hAnsi="方正楷体简体" w:eastAsia="方正楷体简体" w:cs="方正楷体简体"/>
          <w:bCs/>
          <w:color w:val="000000"/>
          <w:kern w:val="0"/>
          <w:sz w:val="32"/>
          <w:szCs w:val="32"/>
          <w:u w:val="none"/>
        </w:rPr>
      </w:pPr>
      <w:r>
        <w:rPr>
          <w:rFonts w:hint="eastAsia" w:ascii="方正楷体简体" w:hAnsi="方正楷体简体" w:eastAsia="方正楷体简体" w:cs="方正楷体简体"/>
          <w:bCs/>
          <w:color w:val="000000"/>
          <w:kern w:val="0"/>
          <w:sz w:val="32"/>
          <w:szCs w:val="32"/>
          <w:u w:val="none"/>
        </w:rPr>
        <w:t>（</w:t>
      </w:r>
      <w:r>
        <w:rPr>
          <w:rFonts w:hint="eastAsia" w:ascii="方正楷体简体" w:hAnsi="方正楷体简体" w:eastAsia="方正楷体简体" w:cs="方正楷体简体"/>
          <w:bCs/>
          <w:color w:val="000000"/>
          <w:kern w:val="0"/>
          <w:sz w:val="32"/>
          <w:szCs w:val="32"/>
          <w:u w:val="none"/>
          <w:lang w:eastAsia="zh-CN"/>
        </w:rPr>
        <w:t>一</w:t>
      </w:r>
      <w:r>
        <w:rPr>
          <w:rFonts w:hint="eastAsia" w:ascii="方正楷体简体" w:hAnsi="方正楷体简体" w:eastAsia="方正楷体简体" w:cs="方正楷体简体"/>
          <w:bCs/>
          <w:color w:val="000000"/>
          <w:kern w:val="0"/>
          <w:sz w:val="32"/>
          <w:szCs w:val="32"/>
          <w:u w:val="none"/>
        </w:rPr>
        <w:t>）</w:t>
      </w:r>
      <w:r>
        <w:rPr>
          <w:rFonts w:hint="eastAsia" w:ascii="方正楷体简体" w:hAnsi="方正楷体简体" w:eastAsia="方正楷体简体" w:cs="方正楷体简体"/>
          <w:bCs/>
          <w:sz w:val="32"/>
          <w:szCs w:val="32"/>
          <w:u w:val="none"/>
          <w:lang w:val="en-US" w:eastAsia="zh-CN"/>
        </w:rPr>
        <w:t>2025</w:t>
      </w:r>
      <w:r>
        <w:rPr>
          <w:rFonts w:hint="eastAsia" w:ascii="方正楷体简体" w:hAnsi="方正楷体简体" w:eastAsia="方正楷体简体" w:cs="方正楷体简体"/>
          <w:bCs/>
          <w:color w:val="000000"/>
          <w:kern w:val="0"/>
          <w:sz w:val="32"/>
          <w:szCs w:val="32"/>
          <w:u w:val="none"/>
        </w:rPr>
        <w:t>年预算安排</w:t>
      </w:r>
    </w:p>
    <w:p w14:paraId="74A08B65">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1.预算编制的指导思想及原则</w:t>
      </w:r>
    </w:p>
    <w:p w14:paraId="7494CB86">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宋体" w:hAnsi="宋体" w:eastAsia="方正仿宋简体" w:cs="方正仿宋简体"/>
          <w:bCs/>
          <w:kern w:val="36"/>
          <w:sz w:val="32"/>
          <w:szCs w:val="32"/>
          <w:u w:val="none"/>
          <w:lang w:eastAsia="zh-CN"/>
        </w:rPr>
      </w:pPr>
      <w:r>
        <w:rPr>
          <w:rFonts w:hint="eastAsia" w:ascii="宋体" w:hAnsi="宋体" w:eastAsia="方正仿宋简体" w:cs="方正仿宋简体"/>
          <w:color w:val="000000"/>
          <w:kern w:val="0"/>
          <w:sz w:val="32"/>
          <w:szCs w:val="32"/>
          <w:u w:val="none"/>
          <w:lang w:val="en-US" w:eastAsia="zh-CN"/>
        </w:rPr>
        <w:t>按照市委、市政府的安排部署，结合我区实际，2025年高新区预算安排的指导思想是：</w:t>
      </w:r>
      <w:r>
        <w:rPr>
          <w:rFonts w:hint="eastAsia" w:ascii="宋体" w:hAnsi="宋体" w:eastAsia="方正仿宋简体" w:cs="方正仿宋简体"/>
          <w:sz w:val="32"/>
          <w:szCs w:val="32"/>
          <w:u w:val="none"/>
          <w:lang w:val="en-US" w:eastAsia="zh-CN"/>
        </w:rPr>
        <w:t>以习近平新时代中国特色社会主义思想为指导，全面贯彻党的二十大和二十届二中、三中全会以及中央经济工作会议精神，坚持稳中求进工作总基调，着力推动高质量发展，</w:t>
      </w:r>
      <w:r>
        <w:rPr>
          <w:rFonts w:hint="eastAsia" w:ascii="宋体" w:hAnsi="宋体" w:eastAsia="方正仿宋简体" w:cs="方正仿宋简体"/>
          <w:bCs/>
          <w:kern w:val="36"/>
          <w:sz w:val="32"/>
          <w:szCs w:val="32"/>
          <w:u w:val="none"/>
          <w:lang w:val="en-US" w:eastAsia="zh-CN"/>
        </w:rPr>
        <w:t>全面落实党政机关要“过紧日子”要求，兜牢兜实“三保”底线</w:t>
      </w:r>
      <w:r>
        <w:rPr>
          <w:rFonts w:hint="eastAsia" w:ascii="宋体" w:hAnsi="宋体" w:eastAsia="方正仿宋简体" w:cs="方正仿宋简体"/>
          <w:bCs/>
          <w:kern w:val="36"/>
          <w:sz w:val="32"/>
          <w:szCs w:val="32"/>
          <w:u w:val="none"/>
          <w:lang w:eastAsia="zh-CN"/>
        </w:rPr>
        <w:t>、</w:t>
      </w:r>
      <w:r>
        <w:rPr>
          <w:rFonts w:hint="eastAsia" w:ascii="宋体" w:hAnsi="宋体" w:eastAsia="方正仿宋简体" w:cs="方正仿宋简体"/>
          <w:bCs/>
          <w:kern w:val="36"/>
          <w:sz w:val="32"/>
          <w:szCs w:val="32"/>
          <w:u w:val="none"/>
          <w:lang w:val="en-US" w:eastAsia="zh-CN"/>
        </w:rPr>
        <w:t>积极</w:t>
      </w:r>
      <w:r>
        <w:rPr>
          <w:rFonts w:hint="eastAsia" w:ascii="宋体" w:hAnsi="宋体" w:eastAsia="方正仿宋简体" w:cs="方正仿宋简体"/>
          <w:bCs/>
          <w:kern w:val="36"/>
          <w:sz w:val="32"/>
          <w:szCs w:val="32"/>
          <w:u w:val="none"/>
          <w:lang w:eastAsia="zh-CN"/>
        </w:rPr>
        <w:t>防范</w:t>
      </w:r>
      <w:r>
        <w:rPr>
          <w:rFonts w:hint="eastAsia" w:ascii="宋体" w:hAnsi="宋体" w:eastAsia="方正仿宋简体" w:cs="方正仿宋简体"/>
          <w:bCs/>
          <w:kern w:val="36"/>
          <w:sz w:val="32"/>
          <w:szCs w:val="32"/>
          <w:u w:val="none"/>
          <w:lang w:val="en-US" w:eastAsia="zh-CN"/>
        </w:rPr>
        <w:t>系统性风险，全力推进人才发展、科技创新，加大招商引资力度，为高新区“两区三高地”建设保驾护航</w:t>
      </w:r>
      <w:r>
        <w:rPr>
          <w:rFonts w:hint="eastAsia" w:ascii="宋体" w:hAnsi="宋体" w:eastAsia="方正仿宋简体" w:cs="方正仿宋简体"/>
          <w:bCs/>
          <w:kern w:val="36"/>
          <w:sz w:val="32"/>
          <w:szCs w:val="32"/>
          <w:u w:val="none"/>
          <w:lang w:eastAsia="zh-CN"/>
        </w:rPr>
        <w:t>。</w:t>
      </w:r>
    </w:p>
    <w:p w14:paraId="327F6420">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zh-CN" w:eastAsia="zh-CN"/>
        </w:rPr>
      </w:pPr>
      <w:r>
        <w:rPr>
          <w:rFonts w:hint="eastAsia" w:ascii="宋体" w:hAnsi="宋体" w:eastAsia="方正仿宋简体" w:cs="方正仿宋简体"/>
          <w:bCs/>
          <w:kern w:val="36"/>
          <w:sz w:val="32"/>
          <w:szCs w:val="32"/>
          <w:u w:val="none"/>
          <w:lang w:eastAsia="zh-CN"/>
        </w:rPr>
        <w:t>围绕上述指导思想，</w:t>
      </w:r>
      <w:r>
        <w:rPr>
          <w:rFonts w:hint="eastAsia" w:ascii="宋体" w:hAnsi="宋体" w:eastAsia="方正仿宋简体" w:cs="方正仿宋简体"/>
          <w:bCs/>
          <w:kern w:val="36"/>
          <w:sz w:val="32"/>
          <w:szCs w:val="32"/>
          <w:u w:val="none"/>
        </w:rPr>
        <w:t>预算编制过程中，坚持</w:t>
      </w:r>
      <w:r>
        <w:rPr>
          <w:rFonts w:hint="eastAsia" w:ascii="宋体" w:hAnsi="宋体" w:eastAsia="方正仿宋简体" w:cs="方正仿宋简体"/>
          <w:bCs/>
          <w:kern w:val="36"/>
          <w:sz w:val="32"/>
          <w:szCs w:val="32"/>
          <w:u w:val="none"/>
          <w:lang w:val="en-US" w:eastAsia="zh-CN"/>
        </w:rPr>
        <w:t>政治引领、</w:t>
      </w:r>
      <w:r>
        <w:rPr>
          <w:rFonts w:hint="eastAsia" w:ascii="宋体" w:hAnsi="宋体" w:eastAsia="方正仿宋简体" w:cs="方正仿宋简体"/>
          <w:bCs/>
          <w:kern w:val="36"/>
          <w:sz w:val="32"/>
          <w:szCs w:val="32"/>
          <w:u w:val="none"/>
          <w:lang w:eastAsia="zh-CN"/>
        </w:rPr>
        <w:t>统筹兼顾、</w:t>
      </w:r>
      <w:r>
        <w:rPr>
          <w:rFonts w:hint="eastAsia" w:ascii="宋体" w:hAnsi="宋体" w:eastAsia="方正仿宋简体" w:cs="方正仿宋简体"/>
          <w:bCs/>
          <w:kern w:val="36"/>
          <w:sz w:val="32"/>
          <w:szCs w:val="32"/>
          <w:u w:val="none"/>
        </w:rPr>
        <w:t>厉行节约、</w:t>
      </w:r>
      <w:r>
        <w:rPr>
          <w:rFonts w:hint="eastAsia" w:ascii="宋体" w:hAnsi="宋体" w:eastAsia="方正仿宋简体" w:cs="方正仿宋简体"/>
          <w:bCs/>
          <w:kern w:val="36"/>
          <w:sz w:val="32"/>
          <w:szCs w:val="32"/>
          <w:u w:val="none"/>
          <w:lang w:val="en-US" w:eastAsia="zh-CN"/>
        </w:rPr>
        <w:t>突出重点、讲求</w:t>
      </w:r>
      <w:r>
        <w:rPr>
          <w:rFonts w:hint="eastAsia" w:ascii="宋体" w:hAnsi="宋体" w:eastAsia="方正仿宋简体" w:cs="方正仿宋简体"/>
          <w:bCs/>
          <w:kern w:val="36"/>
          <w:sz w:val="32"/>
          <w:szCs w:val="32"/>
          <w:u w:val="none"/>
          <w:lang w:eastAsia="zh-CN"/>
        </w:rPr>
        <w:t>绩效、</w:t>
      </w:r>
      <w:r>
        <w:rPr>
          <w:rFonts w:hint="eastAsia" w:ascii="宋体" w:hAnsi="宋体" w:eastAsia="方正仿宋简体" w:cs="方正仿宋简体"/>
          <w:bCs/>
          <w:kern w:val="36"/>
          <w:sz w:val="32"/>
          <w:szCs w:val="32"/>
          <w:u w:val="none"/>
          <w:lang w:val="en-US" w:eastAsia="zh-CN"/>
        </w:rPr>
        <w:t>防控风险</w:t>
      </w:r>
      <w:r>
        <w:rPr>
          <w:rFonts w:hint="eastAsia" w:ascii="宋体" w:hAnsi="宋体" w:eastAsia="方正仿宋简体" w:cs="方正仿宋简体"/>
          <w:bCs/>
          <w:kern w:val="36"/>
          <w:sz w:val="32"/>
          <w:szCs w:val="32"/>
          <w:u w:val="none"/>
        </w:rPr>
        <w:t>的原则</w:t>
      </w:r>
      <w:r>
        <w:rPr>
          <w:rFonts w:hint="eastAsia" w:ascii="宋体" w:hAnsi="宋体" w:eastAsia="方正仿宋简体" w:cs="方正仿宋简体"/>
          <w:bCs/>
          <w:kern w:val="36"/>
          <w:sz w:val="32"/>
          <w:szCs w:val="32"/>
          <w:u w:val="none"/>
          <w:lang w:eastAsia="zh-CN"/>
        </w:rPr>
        <w:t>，</w:t>
      </w:r>
      <w:r>
        <w:rPr>
          <w:rFonts w:hint="eastAsia" w:ascii="宋体" w:hAnsi="宋体" w:eastAsia="方正仿宋简体" w:cs="方正仿宋简体"/>
          <w:color w:val="000000"/>
          <w:kern w:val="0"/>
          <w:sz w:val="32"/>
          <w:szCs w:val="32"/>
          <w:u w:val="none"/>
          <w:lang w:val="en-US" w:eastAsia="zh-CN"/>
        </w:rPr>
        <w:t>综合分析区内税源变化</w:t>
      </w:r>
      <w:r>
        <w:rPr>
          <w:rFonts w:hint="eastAsia" w:ascii="宋体" w:hAnsi="宋体" w:eastAsia="方正仿宋简体" w:cs="方正仿宋简体"/>
          <w:color w:val="000000"/>
          <w:kern w:val="0"/>
          <w:sz w:val="32"/>
          <w:szCs w:val="32"/>
          <w:highlight w:val="none"/>
          <w:u w:val="none"/>
          <w:lang w:val="en-US" w:eastAsia="zh-CN"/>
        </w:rPr>
        <w:t>，经济发展趋势等，2025年高新区一般公共预算收入预计完成14.8亿元，同比增长5%（其中入市级2.1亿元，入区级12.7亿元）。</w:t>
      </w:r>
    </w:p>
    <w:p w14:paraId="526104E9">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2.预算安排情况</w:t>
      </w:r>
    </w:p>
    <w:p w14:paraId="334E9762">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（1）一般公共预算收支情况</w:t>
      </w:r>
    </w:p>
    <w:p w14:paraId="71DB193D">
      <w:pPr>
        <w:pStyle w:val="2"/>
        <w:keepNext w:val="0"/>
        <w:keepLines w:val="0"/>
        <w:pageBreakBefore w:val="0"/>
        <w:widowControl w:val="0"/>
        <w:kinsoku/>
        <w:wordWrap/>
        <w:overflowPunct/>
        <w:topLinePunct w:val="0"/>
        <w:bidi w:val="0"/>
        <w:spacing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一般公共预算收入127242万元，上级补助收入45358万元，调入资金12800万元，调入预算稳定调节基金16603万元，上年结转收入4366万元，上解上级支出79903万元，一般公共预算财力为126466万元。</w:t>
      </w:r>
    </w:p>
    <w:p w14:paraId="1F17FE3B">
      <w:pPr>
        <w:pStyle w:val="2"/>
        <w:keepNext w:val="0"/>
        <w:keepLines w:val="0"/>
        <w:pageBreakBefore w:val="0"/>
        <w:widowControl w:val="0"/>
        <w:kinsoku/>
        <w:wordWrap/>
        <w:overflowPunct/>
        <w:topLinePunct w:val="0"/>
        <w:bidi w:val="0"/>
        <w:spacing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按照保工资、保运转、保基本民生、保债务还本付息、保发展的顺序，2025年安排支出126466万元，比上年减少20679万元，同比下降14.05%。其中基本支出安排48697万元，占支出预算的38.5%，比上年增加5160万元；项目支出安排73402万元，占支出预算的58.04%，比上年减少30206万元。</w:t>
      </w:r>
    </w:p>
    <w:p w14:paraId="6C9A5C17">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（2）政府性基金预算收支情况</w:t>
      </w:r>
    </w:p>
    <w:p w14:paraId="335EE055">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政府性基金收入132879万元，其中本级收入62930万元（包括：国有土地使用权出让金收入62570万元、农业土地开发资金收入360万元），上级补助收入691万元，上年结余收入69258万元（主要为专项债项目）。</w:t>
      </w:r>
    </w:p>
    <w:p w14:paraId="56315B0A">
      <w:pPr>
        <w:keepNext w:val="0"/>
        <w:keepLines w:val="0"/>
        <w:pageBreakBefore w:val="0"/>
        <w:widowControl w:val="0"/>
        <w:kinsoku/>
        <w:wordWrap/>
        <w:overflowPunct/>
        <w:topLinePunct w:val="0"/>
        <w:bidi w:val="0"/>
        <w:adjustRightInd/>
        <w:snapToGrid w:val="0"/>
        <w:spacing w:beforeAutospacing="0" w:afterAutospacing="0"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u w:val="none"/>
          <w:lang w:val="en-US" w:eastAsia="zh-CN"/>
        </w:rPr>
        <w:t>政府性基金支出132879万元，其中：土地出让金安排支出68450万元。一是征地拆迁补偿40200万元，二是土地开发支出4000万元，三是城市建设支出9683万元，四是补助被征地农民支出6935万元，五是农业农村生态环境及其他土地出让金安排的支出7632万元。基础设施配套费安排的支出500万元。超长期特别国债安排的支出4572万元。大中型水库移民后期扶持基金支出28万元。其他政府性基金及对应专项债务收入安排的支出50158万元。付息及服务费支出8880万元。提前下达上级专项转移支付安排的支出291万元。</w:t>
      </w:r>
    </w:p>
    <w:p w14:paraId="0815B15C">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sz w:val="32"/>
          <w:szCs w:val="32"/>
          <w:u w:val="none"/>
          <w:lang w:val="en-US" w:eastAsia="zh-CN"/>
        </w:rPr>
      </w:pPr>
      <w:r>
        <w:rPr>
          <w:rFonts w:hint="eastAsia" w:ascii="宋体" w:hAnsi="宋体" w:eastAsia="方正仿宋简体" w:cs="方正仿宋简体"/>
          <w:color w:val="000000"/>
          <w:sz w:val="32"/>
          <w:szCs w:val="32"/>
          <w:u w:val="none"/>
          <w:lang w:eastAsia="zh-CN"/>
        </w:rPr>
        <w:t>（</w:t>
      </w:r>
      <w:r>
        <w:rPr>
          <w:rFonts w:hint="eastAsia" w:ascii="宋体" w:hAnsi="宋体" w:eastAsia="方正仿宋简体" w:cs="方正仿宋简体"/>
          <w:color w:val="000000"/>
          <w:sz w:val="32"/>
          <w:szCs w:val="32"/>
          <w:u w:val="none"/>
          <w:lang w:val="en-US" w:eastAsia="zh-CN"/>
        </w:rPr>
        <w:t>3</w:t>
      </w:r>
      <w:r>
        <w:rPr>
          <w:rFonts w:hint="eastAsia" w:ascii="宋体" w:hAnsi="宋体" w:eastAsia="方正仿宋简体" w:cs="方正仿宋简体"/>
          <w:color w:val="000000"/>
          <w:sz w:val="32"/>
          <w:szCs w:val="32"/>
          <w:u w:val="none"/>
          <w:lang w:eastAsia="zh-CN"/>
        </w:rPr>
        <w:t>）</w:t>
      </w:r>
      <w:r>
        <w:rPr>
          <w:rFonts w:hint="eastAsia" w:ascii="宋体" w:hAnsi="宋体" w:eastAsia="方正仿宋简体" w:cs="方正仿宋简体"/>
          <w:color w:val="000000"/>
          <w:sz w:val="32"/>
          <w:szCs w:val="32"/>
          <w:u w:val="none"/>
        </w:rPr>
        <w:t>国有资本经营预算</w:t>
      </w:r>
      <w:r>
        <w:rPr>
          <w:rFonts w:hint="eastAsia" w:ascii="宋体" w:hAnsi="宋体" w:eastAsia="方正仿宋简体" w:cs="方正仿宋简体"/>
          <w:color w:val="000000"/>
          <w:sz w:val="32"/>
          <w:szCs w:val="32"/>
          <w:u w:val="none"/>
          <w:lang w:val="en-US" w:eastAsia="zh-CN"/>
        </w:rPr>
        <w:t>收支情况</w:t>
      </w:r>
    </w:p>
    <w:p w14:paraId="18A4AA4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textAlignment w:val="auto"/>
        <w:rPr>
          <w:rFonts w:hint="eastAsia" w:ascii="宋体" w:hAnsi="宋体" w:eastAsia="方正仿宋简体" w:cs="方正仿宋简体"/>
          <w:snapToGrid w:val="0"/>
          <w:color w:val="000000"/>
          <w:kern w:val="0"/>
          <w:sz w:val="32"/>
          <w:szCs w:val="32"/>
          <w:u w:val="none"/>
          <w:lang w:val="en-US" w:eastAsia="zh-CN"/>
        </w:rPr>
      </w:pPr>
      <w:r>
        <w:rPr>
          <w:rFonts w:hint="eastAsia" w:ascii="宋体" w:hAnsi="宋体" w:eastAsia="方正仿宋简体" w:cs="方正仿宋简体"/>
          <w:snapToGrid w:val="0"/>
          <w:color w:val="000000"/>
          <w:kern w:val="0"/>
          <w:sz w:val="32"/>
          <w:szCs w:val="32"/>
          <w:u w:val="none"/>
          <w:lang w:eastAsia="zh-CN"/>
        </w:rPr>
        <w:t>国有资本经营预算收入</w:t>
      </w:r>
      <w:r>
        <w:rPr>
          <w:rFonts w:hint="eastAsia" w:ascii="宋体" w:hAnsi="宋体" w:eastAsia="方正仿宋简体" w:cs="方正仿宋简体"/>
          <w:snapToGrid w:val="0"/>
          <w:color w:val="000000"/>
          <w:kern w:val="0"/>
          <w:sz w:val="32"/>
          <w:szCs w:val="32"/>
          <w:u w:val="none"/>
          <w:lang w:val="en-US" w:eastAsia="zh-CN"/>
        </w:rPr>
        <w:t>13万元，</w:t>
      </w:r>
      <w:r>
        <w:rPr>
          <w:rFonts w:hint="eastAsia" w:ascii="宋体" w:hAnsi="宋体" w:eastAsia="方正仿宋简体" w:cs="方正仿宋简体"/>
          <w:snapToGrid w:val="0"/>
          <w:color w:val="000000"/>
          <w:kern w:val="0"/>
          <w:sz w:val="32"/>
          <w:szCs w:val="32"/>
          <w:u w:val="none"/>
          <w:lang w:eastAsia="zh-CN"/>
        </w:rPr>
        <w:t>全部为上级转移支付资金</w:t>
      </w:r>
      <w:r>
        <w:rPr>
          <w:rFonts w:hint="eastAsia" w:ascii="宋体" w:hAnsi="宋体" w:eastAsia="方正仿宋简体" w:cs="方正仿宋简体"/>
          <w:snapToGrid w:val="0"/>
          <w:color w:val="000000"/>
          <w:kern w:val="0"/>
          <w:sz w:val="32"/>
          <w:szCs w:val="32"/>
          <w:u w:val="none"/>
          <w:lang w:val="en-US" w:eastAsia="zh-CN"/>
        </w:rPr>
        <w:t>。</w:t>
      </w:r>
      <w:r>
        <w:rPr>
          <w:rFonts w:hint="eastAsia" w:ascii="宋体" w:hAnsi="宋体" w:eastAsia="方正仿宋简体" w:cs="方正仿宋简体"/>
          <w:snapToGrid w:val="0"/>
          <w:color w:val="000000"/>
          <w:kern w:val="0"/>
          <w:sz w:val="32"/>
          <w:szCs w:val="32"/>
          <w:u w:val="none"/>
          <w:lang w:eastAsia="zh-CN"/>
        </w:rPr>
        <w:t>国有资本经营预算支出</w:t>
      </w:r>
      <w:r>
        <w:rPr>
          <w:rFonts w:hint="eastAsia" w:ascii="宋体" w:hAnsi="宋体" w:eastAsia="方正仿宋简体" w:cs="方正仿宋简体"/>
          <w:snapToGrid w:val="0"/>
          <w:color w:val="000000"/>
          <w:kern w:val="0"/>
          <w:sz w:val="32"/>
          <w:szCs w:val="32"/>
          <w:u w:val="none"/>
          <w:lang w:val="en-US" w:eastAsia="zh-CN"/>
        </w:rPr>
        <w:t>13</w:t>
      </w:r>
      <w:r>
        <w:rPr>
          <w:rFonts w:hint="eastAsia" w:ascii="宋体" w:hAnsi="宋体" w:eastAsia="方正仿宋简体" w:cs="方正仿宋简体"/>
          <w:snapToGrid w:val="0"/>
          <w:color w:val="000000"/>
          <w:kern w:val="0"/>
          <w:sz w:val="32"/>
          <w:szCs w:val="32"/>
          <w:u w:val="none"/>
          <w:lang w:eastAsia="zh-CN"/>
        </w:rPr>
        <w:t>万元，</w:t>
      </w:r>
      <w:r>
        <w:rPr>
          <w:rFonts w:hint="eastAsia" w:ascii="宋体" w:hAnsi="宋体" w:eastAsia="方正仿宋简体" w:cs="方正仿宋简体"/>
          <w:snapToGrid w:val="0"/>
          <w:color w:val="000000"/>
          <w:kern w:val="0"/>
          <w:sz w:val="32"/>
          <w:szCs w:val="32"/>
          <w:u w:val="none"/>
          <w:lang w:val="en-US" w:eastAsia="zh-CN"/>
        </w:rPr>
        <w:t>用于国有企业退休人员社会化管理工作。</w:t>
      </w:r>
    </w:p>
    <w:p w14:paraId="3E5D7A8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color w:val="000000"/>
          <w:sz w:val="32"/>
          <w:szCs w:val="32"/>
          <w:u w:val="none"/>
          <w:lang w:val="en-US" w:eastAsia="zh-CN"/>
        </w:rPr>
      </w:pPr>
      <w:r>
        <w:rPr>
          <w:rFonts w:hint="eastAsia" w:ascii="宋体" w:hAnsi="宋体" w:eastAsia="方正仿宋简体" w:cs="方正仿宋简体"/>
          <w:color w:val="000000"/>
          <w:sz w:val="32"/>
          <w:szCs w:val="32"/>
          <w:u w:val="none"/>
          <w:lang w:val="en-US" w:eastAsia="zh-CN"/>
        </w:rPr>
        <w:t>（4）</w:t>
      </w:r>
      <w:r>
        <w:rPr>
          <w:rFonts w:hint="eastAsia" w:ascii="宋体" w:hAnsi="宋体" w:eastAsia="方正仿宋简体" w:cs="方正仿宋简体"/>
          <w:color w:val="000000"/>
          <w:sz w:val="32"/>
          <w:szCs w:val="32"/>
          <w:u w:val="none"/>
        </w:rPr>
        <w:t>社会保险基金预算</w:t>
      </w:r>
      <w:r>
        <w:rPr>
          <w:rFonts w:hint="eastAsia" w:ascii="宋体" w:hAnsi="宋体" w:eastAsia="方正仿宋简体" w:cs="方正仿宋简体"/>
          <w:color w:val="000000"/>
          <w:sz w:val="32"/>
          <w:szCs w:val="32"/>
          <w:u w:val="none"/>
          <w:lang w:val="en-US" w:eastAsia="zh-CN"/>
        </w:rPr>
        <w:t>收支情况</w:t>
      </w:r>
    </w:p>
    <w:p w14:paraId="7C2BB633">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sz w:val="32"/>
          <w:szCs w:val="32"/>
          <w:u w:val="none"/>
        </w:rPr>
        <w:t>社会保险基金预算</w:t>
      </w:r>
      <w:r>
        <w:rPr>
          <w:rFonts w:hint="eastAsia" w:ascii="宋体" w:hAnsi="宋体" w:eastAsia="方正仿宋简体" w:cs="方正仿宋简体"/>
          <w:color w:val="000000"/>
          <w:kern w:val="0"/>
          <w:sz w:val="32"/>
          <w:szCs w:val="32"/>
          <w:u w:val="none"/>
          <w:lang w:val="en-US" w:eastAsia="zh-CN"/>
        </w:rPr>
        <w:t>收入21851万元，其中城乡居民基本养老保险基金收入4896万元，机关事业基本养老保险基金收入4259万元，上年结余收入12696万元。支出预算总计21851万元，包括：城乡居民基本养老保险基金支出3962万元，机关事业基本养老保险基金支出4258万元，年终滚动结余13631万元。</w:t>
      </w:r>
    </w:p>
    <w:p w14:paraId="58A6D32A">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3.重大支出预算安排情况</w:t>
      </w:r>
    </w:p>
    <w:p w14:paraId="3D4B4061">
      <w:pPr>
        <w:keepNext w:val="0"/>
        <w:keepLines w:val="0"/>
        <w:pageBreakBefore w:val="0"/>
        <w:widowControl w:val="0"/>
        <w:kinsoku/>
        <w:wordWrap/>
        <w:overflowPunct/>
        <w:topLinePunct w:val="0"/>
        <w:bidi w:val="0"/>
        <w:spacing w:line="570" w:lineRule="exact"/>
        <w:ind w:firstLine="632" w:firstLineChars="200"/>
        <w:textAlignment w:val="auto"/>
        <w:rPr>
          <w:rFonts w:hint="eastAsia" w:ascii="宋体" w:hAnsi="宋体" w:eastAsia="方正仿宋简体" w:cs="方正仿宋简体"/>
          <w:bCs/>
          <w:kern w:val="36"/>
          <w:sz w:val="32"/>
          <w:szCs w:val="32"/>
          <w:u w:val="none"/>
        </w:rPr>
      </w:pPr>
      <w:r>
        <w:rPr>
          <w:rFonts w:hint="eastAsia" w:ascii="宋体" w:hAnsi="宋体" w:eastAsia="方正仿宋简体" w:cs="方正仿宋简体"/>
          <w:bCs/>
          <w:kern w:val="36"/>
          <w:sz w:val="32"/>
          <w:szCs w:val="32"/>
          <w:u w:val="none"/>
          <w:lang w:val="en-US" w:eastAsia="zh-CN"/>
        </w:rPr>
        <w:t>2025</w:t>
      </w:r>
      <w:r>
        <w:rPr>
          <w:rFonts w:hint="eastAsia" w:ascii="宋体" w:hAnsi="宋体" w:eastAsia="方正仿宋简体" w:cs="方正仿宋简体"/>
          <w:bCs/>
          <w:kern w:val="36"/>
          <w:sz w:val="32"/>
          <w:szCs w:val="32"/>
          <w:u w:val="none"/>
        </w:rPr>
        <w:t>年预算安排，在保障人员和基本运转支出的基础上，重点保障和改善民生</w:t>
      </w:r>
      <w:r>
        <w:rPr>
          <w:rFonts w:hint="eastAsia" w:ascii="宋体" w:hAnsi="宋体" w:eastAsia="方正仿宋简体" w:cs="方正仿宋简体"/>
          <w:bCs/>
          <w:kern w:val="36"/>
          <w:sz w:val="32"/>
          <w:szCs w:val="32"/>
          <w:u w:val="none"/>
          <w:lang w:val="en-US" w:eastAsia="zh-CN"/>
        </w:rPr>
        <w:t>、</w:t>
      </w:r>
      <w:r>
        <w:rPr>
          <w:rFonts w:hint="eastAsia" w:ascii="宋体" w:hAnsi="宋体" w:eastAsia="方正仿宋简体" w:cs="方正仿宋简体"/>
          <w:bCs/>
          <w:kern w:val="36"/>
          <w:sz w:val="32"/>
          <w:szCs w:val="32"/>
          <w:u w:val="none"/>
        </w:rPr>
        <w:t>突出科技创新、保障政府债务还本付息支出</w:t>
      </w:r>
      <w:r>
        <w:rPr>
          <w:rFonts w:hint="eastAsia" w:ascii="宋体" w:hAnsi="宋体" w:eastAsia="方正仿宋简体" w:cs="方正仿宋简体"/>
          <w:bCs/>
          <w:kern w:val="36"/>
          <w:sz w:val="32"/>
          <w:szCs w:val="32"/>
          <w:u w:val="none"/>
          <w:lang w:eastAsia="zh-CN"/>
        </w:rPr>
        <w:t>等，</w:t>
      </w:r>
      <w:r>
        <w:rPr>
          <w:rFonts w:hint="eastAsia" w:ascii="宋体" w:hAnsi="宋体" w:eastAsia="方正仿宋简体" w:cs="方正仿宋简体"/>
          <w:bCs/>
          <w:kern w:val="36"/>
          <w:sz w:val="32"/>
          <w:szCs w:val="32"/>
          <w:u w:val="none"/>
        </w:rPr>
        <w:t>重点项目保障情况如下：</w:t>
      </w:r>
    </w:p>
    <w:p w14:paraId="1B5A668F">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（1）持续增进民生福祉。围绕社会保障，推进社保就业、教育事业、医疗卫生健康等发展，提升基本公共服务水平，安排资金</w:t>
      </w:r>
      <w:r>
        <w:rPr>
          <w:rFonts w:hint="eastAsia" w:ascii="宋体" w:hAnsi="宋体" w:eastAsia="方正仿宋简体" w:cs="方正仿宋简体"/>
          <w:color w:val="auto"/>
          <w:kern w:val="0"/>
          <w:sz w:val="32"/>
          <w:szCs w:val="32"/>
          <w:highlight w:val="none"/>
          <w:u w:val="none"/>
          <w:lang w:val="en-US" w:eastAsia="zh-CN"/>
        </w:rPr>
        <w:t>32223</w:t>
      </w:r>
      <w:r>
        <w:rPr>
          <w:rFonts w:hint="eastAsia" w:ascii="宋体" w:hAnsi="宋体" w:eastAsia="方正仿宋简体" w:cs="方正仿宋简体"/>
          <w:kern w:val="0"/>
          <w:sz w:val="32"/>
          <w:szCs w:val="32"/>
          <w:highlight w:val="none"/>
          <w:u w:val="none"/>
          <w:lang w:val="en-US" w:eastAsia="zh-CN"/>
        </w:rPr>
        <w:t>万元。一是安排社会保障和就业资金14238万元，主要用于人才发展、机关事业及城乡居民养老保险财政补助、退役军人专岗、老年福利及困难群众救助等，不断突出社会保障及就业优先地位；二是安排卫生健康资金6875万元，主要用于医疗保险、疫情防控尾款、计划生育事务、基本公共卫生等，不断提升医疗卫生服务能力；三是安排教育事业发展资金4228万元，主要用于京唐智慧港第一小学（多功能体育中心）项目建设、义务教育保障、幼儿园生均及运行经费、教育教学装备购置、校园保安等，不断支持建设高质量教育体系；四是安排文体事业发展资金3840万元，主要用于报社改革、文化宣传及滑冰馆运营等，不断推动文化体育事业健康发展；五是安排公共安全保障资金3042万元，主要用于数智孪生警务应用及视侦警用大模型平台、法检大楼租赁、数据技术服务、雪亮工程维修保养等，不断维护社会持续稳定。</w:t>
      </w:r>
    </w:p>
    <w:p w14:paraId="0DDABE2E">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（2）全力支持增强科技创新能力。围绕落实好科技创新引领产业创业发展，安排</w:t>
      </w:r>
      <w:r>
        <w:rPr>
          <w:rFonts w:hint="eastAsia" w:ascii="宋体" w:hAnsi="宋体" w:eastAsia="方正仿宋简体" w:cs="方正仿宋简体"/>
          <w:color w:val="000000"/>
          <w:kern w:val="0"/>
          <w:sz w:val="32"/>
          <w:szCs w:val="32"/>
          <w:highlight w:val="none"/>
          <w:u w:val="none"/>
          <w:lang w:val="en-US" w:eastAsia="zh-CN"/>
        </w:rPr>
        <w:t>科技支出14001万元。</w:t>
      </w:r>
      <w:r>
        <w:rPr>
          <w:rFonts w:hint="eastAsia" w:ascii="宋体" w:hAnsi="宋体" w:eastAsia="方正仿宋简体" w:cs="方正仿宋简体"/>
          <w:kern w:val="0"/>
          <w:sz w:val="32"/>
          <w:szCs w:val="32"/>
          <w:highlight w:val="none"/>
          <w:u w:val="none"/>
          <w:lang w:val="en-US" w:eastAsia="zh-CN"/>
        </w:rPr>
        <w:t>一是推动战略性新兴产业加快发展和未来产业培育，安排项目扶持资金</w:t>
      </w:r>
      <w:r>
        <w:rPr>
          <w:rFonts w:hint="eastAsia" w:ascii="宋体" w:hAnsi="宋体" w:eastAsia="方正仿宋简体" w:cs="方正仿宋简体"/>
          <w:color w:val="auto"/>
          <w:kern w:val="0"/>
          <w:sz w:val="32"/>
          <w:szCs w:val="32"/>
          <w:highlight w:val="none"/>
          <w:u w:val="none"/>
          <w:lang w:val="en-US" w:eastAsia="zh-CN"/>
        </w:rPr>
        <w:t>2747</w:t>
      </w:r>
      <w:r>
        <w:rPr>
          <w:rFonts w:hint="eastAsia" w:ascii="宋体" w:hAnsi="宋体" w:eastAsia="方正仿宋简体" w:cs="方正仿宋简体"/>
          <w:kern w:val="0"/>
          <w:sz w:val="32"/>
          <w:szCs w:val="32"/>
          <w:highlight w:val="none"/>
          <w:u w:val="none"/>
          <w:lang w:val="en-US" w:eastAsia="zh-CN"/>
        </w:rPr>
        <w:t>万元，用于高新技术企业扶持资金、创制券补贴、创新发展及数字转型升级补助资金等；二是充分撬动社会资本，发挥国企效能，安排国企注资等10000万元，引导企业科技创新以及产业发展；三是安排企业孵化平台资金1254万元，用于孵化器房屋租赁、创新中心展厅改造、机器人展示中心运营服务、物业服务外包及维修等。</w:t>
      </w:r>
    </w:p>
    <w:p w14:paraId="19B95F0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3）助力生态环保事业发展。围绕改善生态环境，安排资金7926万元。一是安排节能环保资金2249万元，主要用于“双代”运行补贴、大气污染防治、电代煤工程及环境影响评价等；二是安排支持农村环境改善资金5677万元，用于农业保险补贴、农村综合改革、农村户厕及农村学校、卫生院粪污抽运无害化处理经费等，促进城乡环境可持续发展。</w:t>
      </w:r>
    </w:p>
    <w:p w14:paraId="0705CC3C">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4）着力推进城乡统筹发展。围绕城乡基础设施建设安排资金70675万元。一是安排城市建设资金20116万元，用于农村房屋抗震改造、餐厨废弃物收运、卫生及文明城市创建、京唐智慧港产业园区供水等配套基础设施建设及生活垃圾分类等；二是推进城镇化进程投入50559万元，主要用于征地补偿、平改项目成本返还、委托补充耕地费、被征地农民社会保障费、绿化租地费等。</w:t>
      </w:r>
    </w:p>
    <w:p w14:paraId="5BC44F34">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en-US" w:eastAsia="zh-CN"/>
        </w:rPr>
      </w:pPr>
      <w:r>
        <w:rPr>
          <w:rFonts w:hint="eastAsia" w:ascii="宋体" w:hAnsi="宋体" w:eastAsia="方正仿宋简体" w:cs="方正仿宋简体"/>
          <w:kern w:val="0"/>
          <w:sz w:val="32"/>
          <w:szCs w:val="32"/>
          <w:highlight w:val="none"/>
          <w:u w:val="none"/>
          <w:lang w:val="en-US" w:eastAsia="zh-CN"/>
        </w:rPr>
        <w:t>（5）保障政府债券付息，做好债务化解工作。为全面防控债务风险，坚决遏制政府隐性债务增量，稳妥化解存量债务，防范隐性债务风险，安排11981万元用于政府债券付息支出，安排4000万元用于防范和化解债务风险。</w:t>
      </w:r>
    </w:p>
    <w:p w14:paraId="0FF5A69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u w:val="none"/>
          <w:lang w:val="en-US" w:eastAsia="zh-CN"/>
        </w:rPr>
      </w:pPr>
      <w:r>
        <w:rPr>
          <w:rFonts w:hint="eastAsia" w:ascii="宋体" w:hAnsi="宋体" w:eastAsia="方正仿宋简体" w:cs="方正仿宋简体"/>
          <w:kern w:val="0"/>
          <w:sz w:val="32"/>
          <w:szCs w:val="32"/>
          <w:u w:val="none"/>
          <w:lang w:val="en-US" w:eastAsia="zh-CN"/>
        </w:rPr>
        <w:t>4.“三公”经费安排情况</w:t>
      </w:r>
    </w:p>
    <w:p w14:paraId="6FCF4BCD">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按照中央八项规定要求和厉行节约原则，严控“三公”经费运行成本，2025年全区“三公”经费预算安排380.48万元，较上年减少4万元。其中，因公出国（境）费用</w:t>
      </w:r>
      <w:r>
        <w:rPr>
          <w:rFonts w:hint="eastAsia" w:ascii="宋体" w:hAnsi="宋体" w:eastAsia="方正仿宋简体" w:cs="方正仿宋简体"/>
          <w:color w:val="000000"/>
          <w:kern w:val="0"/>
          <w:sz w:val="32"/>
          <w:szCs w:val="32"/>
          <w:u w:val="none"/>
          <w:lang w:val="zh-CN" w:eastAsia="zh-CN"/>
        </w:rPr>
        <w:t>50</w:t>
      </w:r>
      <w:r>
        <w:rPr>
          <w:rFonts w:hint="eastAsia" w:ascii="宋体" w:hAnsi="宋体" w:eastAsia="方正仿宋简体" w:cs="方正仿宋简体"/>
          <w:color w:val="000000"/>
          <w:kern w:val="0"/>
          <w:sz w:val="32"/>
          <w:szCs w:val="32"/>
          <w:u w:val="none"/>
          <w:lang w:val="en-US" w:eastAsia="zh-CN"/>
        </w:rPr>
        <w:t>万元，与上年持平；公务接待费162.48万元，比上年减少4万元，同比减少2.1%；公务用车运行维护费168万元，与上年持平；公务用车购置费0万元，与上年持平。</w:t>
      </w:r>
    </w:p>
    <w:p w14:paraId="7C33F19A">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u w:val="none"/>
          <w:lang w:val="en-US" w:eastAsia="zh-CN"/>
        </w:rPr>
      </w:pPr>
      <w:r>
        <w:rPr>
          <w:rFonts w:hint="eastAsia" w:ascii="宋体" w:hAnsi="宋体" w:eastAsia="方正仿宋简体" w:cs="方正仿宋简体"/>
          <w:kern w:val="0"/>
          <w:sz w:val="32"/>
          <w:szCs w:val="32"/>
          <w:u w:val="none"/>
          <w:lang w:val="en-US" w:eastAsia="zh-CN"/>
        </w:rPr>
        <w:t>5.预备费安排情况</w:t>
      </w:r>
    </w:p>
    <w:p w14:paraId="42347D6F">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2025年，高新区安排预备费2800万元，主要用于当年预算执行中的自然灾害等突发事件处理以及其他难以预见的开支。</w:t>
      </w:r>
    </w:p>
    <w:p w14:paraId="5842E4A1">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rPr>
          <w:rFonts w:hint="eastAsia" w:ascii="宋体" w:hAnsi="宋体" w:eastAsia="方正仿宋简体" w:cs="方正仿宋简体"/>
          <w:kern w:val="0"/>
          <w:sz w:val="32"/>
          <w:szCs w:val="32"/>
          <w:highlight w:val="none"/>
          <w:u w:val="none"/>
          <w:lang w:val="zh-CN" w:eastAsia="zh-CN"/>
        </w:rPr>
      </w:pPr>
      <w:r>
        <w:rPr>
          <w:rFonts w:hint="eastAsia" w:ascii="宋体" w:hAnsi="宋体" w:eastAsia="方正仿宋简体" w:cs="方正仿宋简体"/>
          <w:kern w:val="0"/>
          <w:sz w:val="32"/>
          <w:szCs w:val="32"/>
          <w:highlight w:val="none"/>
          <w:u w:val="none"/>
          <w:lang w:val="en-US" w:eastAsia="zh-CN"/>
        </w:rPr>
        <w:t>6.债务管理、使用、偿还情况</w:t>
      </w:r>
    </w:p>
    <w:p w14:paraId="21ECF073">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default"/>
          <w:highlight w:val="none"/>
          <w:lang w:val="en-US" w:eastAsia="zh-CN"/>
        </w:rPr>
      </w:pPr>
      <w:r>
        <w:rPr>
          <w:rFonts w:hint="eastAsia" w:ascii="宋体" w:hAnsi="宋体" w:eastAsia="方正仿宋简体" w:cs="方正仿宋简体"/>
          <w:color w:val="000000"/>
          <w:kern w:val="0"/>
          <w:sz w:val="32"/>
          <w:szCs w:val="32"/>
          <w:highlight w:val="none"/>
          <w:u w:val="none"/>
          <w:lang w:val="en-US" w:eastAsia="zh-CN"/>
        </w:rPr>
        <w:t>2024年，我区政府债券转贷收入58300万元（再融资债券9000万元，新增专项债券49300万元），自有资金偿还到期政府债券本金1000万元、债券付息8150万元。截至2024年底，我区政府性债券余额290798万元，其中一般债券93998万元，专项债券196800万元。</w:t>
      </w:r>
    </w:p>
    <w:p w14:paraId="30C32E42">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auto"/>
          <w:kern w:val="0"/>
          <w:sz w:val="32"/>
          <w:szCs w:val="32"/>
          <w:highlight w:val="none"/>
          <w:u w:val="none"/>
          <w:lang w:val="en-US" w:eastAsia="zh-CN"/>
        </w:rPr>
      </w:pPr>
      <w:r>
        <w:rPr>
          <w:rFonts w:hint="eastAsia" w:ascii="宋体" w:hAnsi="宋体" w:eastAsia="方正仿宋简体" w:cs="方正仿宋简体"/>
          <w:color w:val="auto"/>
          <w:kern w:val="0"/>
          <w:sz w:val="32"/>
          <w:szCs w:val="32"/>
          <w:highlight w:val="none"/>
          <w:u w:val="none"/>
          <w:lang w:val="en-US" w:eastAsia="zh-CN"/>
        </w:rPr>
        <w:t>7.上级提前下达转移支付情况</w:t>
      </w:r>
    </w:p>
    <w:p w14:paraId="0C630452">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auto"/>
          <w:kern w:val="0"/>
          <w:sz w:val="32"/>
          <w:szCs w:val="32"/>
          <w:highlight w:val="none"/>
          <w:u w:val="none"/>
          <w:lang w:val="en-US" w:eastAsia="zh-CN"/>
        </w:rPr>
      </w:pPr>
      <w:r>
        <w:rPr>
          <w:rFonts w:hint="eastAsia" w:ascii="宋体" w:hAnsi="宋体" w:eastAsia="方正仿宋简体" w:cs="方正仿宋简体"/>
          <w:color w:val="auto"/>
          <w:kern w:val="0"/>
          <w:sz w:val="32"/>
          <w:szCs w:val="32"/>
          <w:highlight w:val="none"/>
          <w:u w:val="none"/>
          <w:lang w:val="en-US" w:eastAsia="zh-CN"/>
        </w:rPr>
        <w:t>上级提前下达转移支付资金46267万元。其中，一般性转移支付45963万元，专项转移支付291万元，国有资本运营预算转移支付13万元。主要用于社会保障和就业、农业、教育、住房保障、卫生健康等方面。</w:t>
      </w:r>
    </w:p>
    <w:p w14:paraId="07E20D0A">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8.上年结转项目情况</w:t>
      </w:r>
    </w:p>
    <w:p w14:paraId="4FE9A3A3">
      <w:pPr>
        <w:pStyle w:val="8"/>
        <w:keepNext w:val="0"/>
        <w:keepLines w:val="0"/>
        <w:pageBreakBefore w:val="0"/>
        <w:widowControl w:val="0"/>
        <w:numPr>
          <w:ilvl w:val="0"/>
          <w:numId w:val="0"/>
        </w:numPr>
        <w:kinsoku/>
        <w:wordWrap/>
        <w:overflowPunct/>
        <w:topLinePunct w:val="0"/>
        <w:autoSpaceDE/>
        <w:autoSpaceDN/>
        <w:bidi w:val="0"/>
        <w:snapToGrid w:val="0"/>
        <w:spacing w:line="570" w:lineRule="exact"/>
        <w:ind w:firstLine="632" w:firstLineChars="200"/>
        <w:textAlignment w:val="auto"/>
        <w:rPr>
          <w:rFonts w:hint="eastAsia" w:ascii="宋体" w:hAnsi="宋体" w:eastAsia="方正仿宋简体" w:cs="方正仿宋简体"/>
          <w:color w:val="000000"/>
          <w:kern w:val="0"/>
          <w:sz w:val="32"/>
          <w:szCs w:val="32"/>
          <w:highlight w:val="none"/>
          <w:u w:val="none"/>
          <w:lang w:val="en-US" w:eastAsia="zh-CN" w:bidi="ar-SA"/>
        </w:rPr>
      </w:pPr>
      <w:r>
        <w:rPr>
          <w:rFonts w:hint="eastAsia" w:ascii="宋体" w:hAnsi="宋体" w:eastAsia="方正仿宋简体" w:cs="方正仿宋简体"/>
          <w:color w:val="000000"/>
          <w:kern w:val="0"/>
          <w:sz w:val="32"/>
          <w:szCs w:val="32"/>
          <w:highlight w:val="none"/>
          <w:u w:val="none"/>
          <w:lang w:val="en-US" w:eastAsia="zh-CN" w:bidi="ar-SA"/>
        </w:rPr>
        <w:t>上年结转资金共计42278万元，其中：一般公共预算上年结转4366万元，主要为上年未执行完的转移支付资金；政府性基金预算上年结转37912万元，主要为专项债及超长期国债项目。</w:t>
      </w:r>
    </w:p>
    <w:p w14:paraId="7D532A34">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9.预算稳定调节基金情况</w:t>
      </w:r>
    </w:p>
    <w:p w14:paraId="366FADDD">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截至2025年底，预算稳定调节基金余额约19800万元，2025年结合我区实际情况，安排预算稳定调节基金调入一般公共预算16603万元，用于弥补一般公共预算收支差额。</w:t>
      </w:r>
    </w:p>
    <w:p w14:paraId="64D7D9C8">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10.预算绩效管理情况</w:t>
      </w:r>
    </w:p>
    <w:p w14:paraId="1C363AD7">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bCs/>
          <w:color w:val="000000"/>
          <w:kern w:val="0"/>
          <w:sz w:val="32"/>
          <w:szCs w:val="32"/>
          <w:highlight w:val="none"/>
          <w:u w:val="none"/>
          <w:lang w:eastAsia="zh-CN"/>
        </w:rPr>
      </w:pPr>
      <w:r>
        <w:rPr>
          <w:rFonts w:hint="eastAsia" w:ascii="宋体" w:hAnsi="宋体" w:eastAsia="方正仿宋简体" w:cs="方正仿宋简体"/>
          <w:bCs/>
          <w:color w:val="000000"/>
          <w:kern w:val="0"/>
          <w:sz w:val="32"/>
          <w:szCs w:val="32"/>
          <w:highlight w:val="none"/>
          <w:u w:val="none"/>
          <w:lang w:val="en-US" w:eastAsia="zh-CN"/>
        </w:rPr>
        <w:t>2025年，高新区继续深入推进预算绩效管理改革，</w:t>
      </w:r>
      <w:r>
        <w:rPr>
          <w:rFonts w:hint="eastAsia" w:ascii="宋体" w:hAnsi="宋体" w:eastAsia="方正仿宋简体" w:cs="方正仿宋简体"/>
          <w:bCs/>
          <w:color w:val="000000"/>
          <w:kern w:val="0"/>
          <w:sz w:val="32"/>
          <w:szCs w:val="32"/>
          <w:highlight w:val="none"/>
          <w:u w:val="none"/>
          <w:lang w:eastAsia="zh-CN"/>
        </w:rPr>
        <w:t>完善制度体系，加大各项制度落实力度，着力提升预算绩效管理水平。一是狠抓事前绩效评估，针对新出台重大政策、支出项目开展事前绩效评估，提升预算决策的科学性、精准性，发挥事前绩效评估“过滤器”作用，避免低效、无效项目进入预算。二是强化绩效运行监控，对绩效目标、支出进度实施双监控，发现问题及时纠偏，确保绩效目标保质高效完成。三是扎实开展绩效评价工作，在组织部门开展绩效自评全覆盖的基础上，开展财政重点评价，推动绩效评价提质扩围，引入第三方机构参与评价，全面提高绩效评价质量。四是强化绩效评价整改，针对绩效评价发现问题，督促逐一整改销号，并建立长效机制，杜绝类似问题再次发生。</w:t>
      </w:r>
    </w:p>
    <w:p w14:paraId="22AF78D6">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11.完成2025年预算的工作措施</w:t>
      </w:r>
    </w:p>
    <w:p w14:paraId="735B0805">
      <w:pPr>
        <w:keepNext w:val="0"/>
        <w:keepLines w:val="0"/>
        <w:pageBreakBefore w:val="0"/>
        <w:widowControl w:val="0"/>
        <w:tabs>
          <w:tab w:val="center" w:pos="4473"/>
        </w:tabs>
        <w:kinsoku/>
        <w:wordWrap/>
        <w:overflowPunct/>
        <w:topLinePunct w:val="0"/>
        <w:bidi w:val="0"/>
        <w:adjustRightInd w:val="0"/>
        <w:snapToGrid w:val="0"/>
        <w:spacing w:line="570" w:lineRule="exact"/>
        <w:ind w:firstLine="624"/>
        <w:textAlignment w:val="auto"/>
        <w:rPr>
          <w:rFonts w:hint="eastAsia" w:ascii="宋体" w:hAnsi="宋体" w:eastAsia="方正仿宋简体" w:cs="方正仿宋简体"/>
          <w:color w:val="000000"/>
          <w:kern w:val="0"/>
          <w:sz w:val="32"/>
          <w:szCs w:val="32"/>
          <w:highlight w:val="none"/>
          <w:u w:val="none"/>
          <w:lang w:val="en-US" w:eastAsia="zh-CN"/>
        </w:rPr>
      </w:pPr>
      <w:r>
        <w:rPr>
          <w:rFonts w:hint="eastAsia" w:ascii="宋体" w:hAnsi="宋体" w:eastAsia="方正仿宋简体" w:cs="方正仿宋简体"/>
          <w:color w:val="000000"/>
          <w:kern w:val="0"/>
          <w:sz w:val="32"/>
          <w:szCs w:val="32"/>
          <w:highlight w:val="none"/>
          <w:u w:val="none"/>
          <w:lang w:val="en-US" w:eastAsia="zh-CN"/>
        </w:rPr>
        <w:t>（1）坚持扩量与提质并举，以更大力度扩财源。千方百计增加可用财力，精打细算安排各项支出，切实强化中央和省、市工作部署财力保障。一是全力抓好税收征管。继续落实财税联席会议制度，规范税收征管，加强对重点税源分析研判，及时掌握税收增减动态，同时，强化税收挖潜增收，做到应收尽收，应征尽征。二是进一步强化非税征管。组织非税部门规范非税征管，防止跑冒滴漏，做到应缴尽缴，加大盘活存量资产、资源力度，有效增加非税收入。三是努力增加土地出让收入。进一步加大招商引资力度、积极引进符合高新区产业发展的项目，提升服务水平，加快项目落地。对未挂牌和已挂牌未出让土地进行梳理，配合相关部门推进土地尽快出让，确保土地出让收入尽早实现。</w:t>
      </w:r>
    </w:p>
    <w:p w14:paraId="035A1353">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2）坚持锻长板与补短板并举，以更高站位保重点。以创新谋发展、以品质强优势，努力实现高质量发展。一是围绕“两区三高地”目标，加强政策研究，优化营商环境，用好财政奖补、专项债券、招商引资等政策，持续加快构建现代化产业体系。二是进一步加大各类财政资金统筹力度，继续压减非必要非刚性支出，全力保障重点民生和重大项目财政投入。三是充分发挥财政支出标准的基础引导作用，切实提高财政资源配置效率，持续调整优化财政支出结构，建立“三保”长效机制，保障全区财政稳健运行。</w:t>
      </w:r>
    </w:p>
    <w:p w14:paraId="64F38711">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3）坚持加力与增效并举，以更优管理强绩效。以落实适度加力、提质增效的积极财政政策为主线，全面发挥财政政策效能。一是深化部门预算改革，着力细化部门预算编制，强化综合预算管理，增强预算编制的科学性和规范性，提升预算编制的完整性和前瞻性。二是深入推进预算绩效管理，扎实开展事前绩效评估，提升绩效目标指标质量，强化绩效监控、绩效评价、结果应用和信息公开，进一步完善全方位、全过程、全覆盖的预算绩效管理体系。三是推进财政公开改革，全面公开政府及部门预决算情况，持续推动财政工作阳光、规范、公平运行。</w:t>
      </w:r>
    </w:p>
    <w:p w14:paraId="6EFFDD93">
      <w:pPr>
        <w:keepNext w:val="0"/>
        <w:keepLines w:val="0"/>
        <w:pageBreakBefore w:val="0"/>
        <w:widowControl w:val="0"/>
        <w:kinsoku/>
        <w:wordWrap/>
        <w:overflowPunct/>
        <w:topLinePunct w:val="0"/>
        <w:bidi w:val="0"/>
        <w:adjustRightInd w:val="0"/>
        <w:snapToGrid w:val="0"/>
        <w:spacing w:line="570" w:lineRule="exact"/>
        <w:ind w:firstLine="632" w:firstLineChars="200"/>
        <w:textAlignment w:val="auto"/>
        <w:outlineLvl w:val="0"/>
        <w:rPr>
          <w:rFonts w:hint="eastAsia" w:ascii="宋体" w:hAnsi="宋体" w:eastAsia="方正仿宋简体" w:cs="方正仿宋简体"/>
          <w:color w:val="000000"/>
          <w:kern w:val="0"/>
          <w:sz w:val="32"/>
          <w:szCs w:val="32"/>
          <w:u w:val="none"/>
          <w:lang w:val="en-US" w:eastAsia="zh-CN"/>
        </w:rPr>
      </w:pPr>
      <w:r>
        <w:rPr>
          <w:rFonts w:hint="eastAsia" w:ascii="宋体" w:hAnsi="宋体" w:eastAsia="方正仿宋简体" w:cs="方正仿宋简体"/>
          <w:color w:val="000000"/>
          <w:kern w:val="0"/>
          <w:sz w:val="32"/>
          <w:szCs w:val="32"/>
          <w:u w:val="none"/>
          <w:lang w:val="en-US" w:eastAsia="zh-CN"/>
        </w:rPr>
        <w:t>（4）坚持防范与治理并举，以更严标准防风险。强化底线思维和极限思维，坚持高质量发展和高水平安全良性互动，筑牢风险“防火墙”，进一步增强财政可持续性和财政韧性，推动财政发展和财政安全动态平衡、相得益彰。一是守住不发生政府债务风险的底线。加强政府债务管理，有效防范化解政府债务风险。二是防范基层“三保”风险。坚持“三保”支出在财政支出中的优先地位，确保兜牢“三保”底线不出风险。三是加强库款管理。建立健全库款管理长效机制，密切关注和预测库款流入流出情况，确保库款维持在合理水平。</w:t>
      </w:r>
    </w:p>
    <w:p w14:paraId="5D7B4FBA">
      <w:pPr>
        <w:pStyle w:val="8"/>
        <w:rPr>
          <w:rFonts w:hint="eastAsia" w:ascii="宋体" w:hAnsi="宋体" w:eastAsia="方正仿宋简体" w:cs="方正仿宋简体"/>
          <w:color w:val="000000"/>
          <w:kern w:val="0"/>
          <w:sz w:val="32"/>
          <w:szCs w:val="32"/>
          <w:u w:val="none"/>
          <w:lang w:val="en-US" w:eastAsia="zh-CN" w:bidi="ar-SA"/>
        </w:rPr>
      </w:pPr>
    </w:p>
    <w:p w14:paraId="0657BBB8">
      <w:pPr>
        <w:pStyle w:val="8"/>
        <w:rPr>
          <w:rFonts w:hint="eastAsia" w:ascii="宋体" w:hAnsi="宋体" w:eastAsia="方正仿宋简体" w:cs="方正仿宋简体"/>
          <w:color w:val="000000"/>
          <w:kern w:val="0"/>
          <w:sz w:val="32"/>
          <w:szCs w:val="32"/>
          <w:u w:val="none"/>
          <w:lang w:val="en-US" w:eastAsia="zh-CN" w:bidi="ar-SA"/>
        </w:rPr>
      </w:pPr>
    </w:p>
    <w:sectPr>
      <w:footerReference r:id="rId3" w:type="default"/>
      <w:footerReference r:id="rId4" w:type="even"/>
      <w:pgSz w:w="11906" w:h="16838"/>
      <w:pgMar w:top="2098" w:right="1474" w:bottom="1985" w:left="1588" w:header="851" w:footer="181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简体">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68FE">
    <w:pPr>
      <w:pStyle w:val="7"/>
      <w:framePr w:w="1846" w:h="584" w:hRule="exact" w:wrap="around" w:vAnchor="text" w:hAnchor="page" w:x="8566" w:y="180"/>
      <w:ind w:right="640" w:rightChars="200"/>
      <w:rPr>
        <w:rStyle w:val="12"/>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14:paraId="25149ABD">
    <w:pPr>
      <w:pStyle w:val="7"/>
      <w:framePr w:w="1846" w:h="584" w:hRule="exact" w:wrap="around" w:vAnchor="text" w:hAnchor="page" w:x="8566" w:y="180"/>
      <w:ind w:right="320" w:rightChars="100"/>
      <w:rPr>
        <w:rStyle w:val="12"/>
        <w:rFonts w:hint="eastAsia" w:ascii="仿宋_GB2312" w:eastAsia="仿宋_GB2312"/>
        <w:sz w:val="32"/>
        <w:szCs w:val="32"/>
      </w:rPr>
    </w:pPr>
  </w:p>
  <w:p w14:paraId="66F82E3A">
    <w:pPr>
      <w:tabs>
        <w:tab w:val="left" w:pos="4153"/>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F262">
    <w:pPr>
      <w:pStyle w:val="7"/>
      <w:framePr w:wrap="around" w:vAnchor="text" w:hAnchor="margin" w:xAlign="outside" w:y="1"/>
      <w:rPr>
        <w:rStyle w:val="12"/>
        <w:rFonts w:hint="eastAsia" w:ascii="仿宋_GB2312" w:eastAsia="仿宋_GB2312"/>
        <w:sz w:val="28"/>
        <w:szCs w:val="28"/>
      </w:rPr>
    </w:pPr>
  </w:p>
  <w:p w14:paraId="74F5E67F">
    <w:pPr>
      <w:pStyle w:val="7"/>
      <w:ind w:right="640" w:rightChars="2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7051369"/>
    <w:rsid w:val="0FA234AE"/>
    <w:rsid w:val="0FE6158C"/>
    <w:rsid w:val="13986D70"/>
    <w:rsid w:val="15A135F4"/>
    <w:rsid w:val="192B1A20"/>
    <w:rsid w:val="1A682512"/>
    <w:rsid w:val="1C26636E"/>
    <w:rsid w:val="1D2C37DC"/>
    <w:rsid w:val="257936F1"/>
    <w:rsid w:val="28B4018F"/>
    <w:rsid w:val="3D6237E6"/>
    <w:rsid w:val="41AC315F"/>
    <w:rsid w:val="426D1D88"/>
    <w:rsid w:val="460658E0"/>
    <w:rsid w:val="464257A8"/>
    <w:rsid w:val="4A13231D"/>
    <w:rsid w:val="54B84551"/>
    <w:rsid w:val="57523478"/>
    <w:rsid w:val="5F2F6A86"/>
    <w:rsid w:val="647A77F3"/>
    <w:rsid w:val="67D47BC2"/>
    <w:rsid w:val="6A082E0C"/>
    <w:rsid w:val="6C6842BE"/>
    <w:rsid w:val="6FBB05B8"/>
    <w:rsid w:val="77914550"/>
    <w:rsid w:val="79BE1A71"/>
    <w:rsid w:val="7C29601F"/>
    <w:rsid w:val="AE75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51"/>
      <w:ind w:left="112"/>
    </w:pPr>
    <w:rPr>
      <w:rFonts w:ascii="仿宋_GB2312" w:hAnsi="仿宋_GB2312" w:eastAsia="仿宋_GB2312" w:cs="仿宋_GB2312"/>
      <w:szCs w:val="32"/>
      <w:lang w:val="zh-CN" w:bidi="zh-CN"/>
    </w:rPr>
  </w:style>
  <w:style w:type="paragraph" w:customStyle="1" w:styleId="3">
    <w:name w:val="正文部分 Char Char Char"/>
    <w:basedOn w:val="2"/>
    <w:next w:val="4"/>
    <w:qFormat/>
    <w:uiPriority w:val="0"/>
    <w:pPr>
      <w:adjustRightInd w:val="0"/>
      <w:spacing w:line="460" w:lineRule="exact"/>
      <w:textAlignment w:val="baseline"/>
    </w:pPr>
    <w:rPr>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spacing w:before="240" w:after="60"/>
      <w:jc w:val="center"/>
      <w:outlineLvl w:val="0"/>
    </w:pPr>
    <w:rPr>
      <w:rFonts w:ascii="Cambria" w:hAnsi="Cambria"/>
      <w:b/>
      <w:bCs/>
      <w:szCs w:val="32"/>
    </w:rPr>
  </w:style>
  <w:style w:type="paragraph" w:styleId="6">
    <w:name w:val="Body Text Indent"/>
    <w:basedOn w:val="1"/>
    <w:next w:val="2"/>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footnote text"/>
    <w:basedOn w:val="1"/>
    <w:qFormat/>
    <w:uiPriority w:val="0"/>
    <w:pPr>
      <w:snapToGrid w:val="0"/>
      <w:jc w:val="left"/>
    </w:pPr>
    <w:rPr>
      <w:sz w:val="18"/>
      <w:szCs w:val="18"/>
    </w:rPr>
  </w:style>
  <w:style w:type="paragraph" w:styleId="9">
    <w:name w:val="Body Text First Indent 2"/>
    <w:basedOn w:val="6"/>
    <w:next w:val="2"/>
    <w:qFormat/>
    <w:uiPriority w:val="99"/>
    <w:pPr>
      <w:ind w:firstLine="420" w:firstLineChars="200"/>
    </w:pPr>
  </w:style>
  <w:style w:type="character" w:styleId="12">
    <w:name w:val="page number"/>
    <w:basedOn w:val="11"/>
    <w:qFormat/>
    <w:uiPriority w:val="0"/>
  </w:style>
  <w:style w:type="paragraph" w:customStyle="1" w:styleId="13">
    <w:name w:val="UserStyle_0"/>
    <w:qFormat/>
    <w:uiPriority w:val="0"/>
    <w:pPr>
      <w:ind w:firstLine="420" w:firstLineChars="200"/>
      <w:jc w:val="both"/>
      <w:textAlignment w:val="baseline"/>
    </w:pPr>
    <w:rPr>
      <w:rFonts w:ascii="Times New Roman" w:hAnsi="Times New Roman" w:eastAsia="宋体" w:cs="Times New Roman"/>
      <w:kern w:val="2"/>
      <w:sz w:val="32"/>
      <w:szCs w:val="24"/>
      <w:lang w:val="en-US" w:eastAsia="zh-CN" w:bidi="ar-SA"/>
    </w:rPr>
  </w:style>
  <w:style w:type="paragraph" w:customStyle="1" w:styleId="1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6963</Words>
  <Characters>7550</Characters>
  <Lines>0</Lines>
  <Paragraphs>0</Paragraphs>
  <TotalTime>92</TotalTime>
  <ScaleCrop>false</ScaleCrop>
  <LinksUpToDate>false</LinksUpToDate>
  <CharactersWithSpaces>7555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2024-01-12T17:52:00Z</dcterms:created>
  <dc:creator>Administrator</dc:creator>
  <cp:lastModifiedBy>勇敢编辑部</cp:lastModifiedBy>
  <cp:lastPrinted>2025-01-04T08:00:00Z</cp:lastPrinted>
  <dcterms:modified xsi:type="dcterms:W3CDTF">2025-03-07T06:30:19Z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B1BE0431FFA14E7EA9CD83810A96B97A_13</vt:lpwstr>
  </property>
  <property fmtid="{D5CDD505-2E9C-101B-9397-08002B2CF9AE}" pid="4" name="KSOTemplateDocerSaveRecord">
    <vt:lpwstr>eyJoZGlkIjoiMWZhOWFkNjBiNzczM2ZkNWJlMmFkMGI2YmI1ZWNmNGIiLCJ1c2VySWQiOiIxNjU1MzMyOTYxIn0=</vt:lpwstr>
  </property>
</Properties>
</file>