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hint="eastAsia" w:ascii="黑体" w:hAnsi="黑体" w:eastAsia="黑体" w:cs="黑体"/>
          <w:b/>
          <w:color w:val="000000"/>
          <w:sz w:val="44"/>
          <w:lang w:eastAsia="zh-CN"/>
        </w:rPr>
        <w:t>2021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财政局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rPr>
          <w:highlight w:val="none"/>
        </w:rPr>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4"/>
        <w:gridCol w:w="3315"/>
        <w:gridCol w:w="2814"/>
        <w:gridCol w:w="3390"/>
        <w:gridCol w:w="2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2814" w:type="dxa"/>
            <w:tcBorders>
              <w:top w:val="single" w:color="FFFFFF" w:sz="6" w:space="0"/>
              <w:left w:val="single" w:color="FFFFFF" w:sz="6" w:space="0"/>
              <w:right w:val="single" w:color="FFFFFF" w:sz="6" w:space="0"/>
            </w:tcBorders>
            <w:vAlign w:val="center"/>
          </w:tcPr>
          <w:p>
            <w:pPr>
              <w:pStyle w:val="10"/>
              <w:ind w:firstLine="720" w:firstLineChars="300"/>
              <w:jc w:val="both"/>
              <w:rPr>
                <w:rFonts w:hint="eastAsia" w:eastAsia="方正小标宋_GBK"/>
                <w:highlight w:val="none"/>
                <w:lang w:eastAsia="zh-CN"/>
              </w:rPr>
            </w:pPr>
            <w:r>
              <w:rPr>
                <w:highlight w:val="none"/>
              </w:rPr>
              <w:t>预算年度：</w:t>
            </w:r>
            <w:r>
              <w:rPr>
                <w:rFonts w:hint="eastAsia"/>
                <w:highlight w:val="none"/>
                <w:lang w:eastAsia="zh-CN"/>
              </w:rPr>
              <w:t>2021</w:t>
            </w:r>
          </w:p>
        </w:tc>
        <w:tc>
          <w:tcPr>
            <w:tcW w:w="6057"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restart"/>
            <w:vAlign w:val="center"/>
          </w:tcPr>
          <w:p>
            <w:pPr>
              <w:pStyle w:val="12"/>
              <w:rPr>
                <w:highlight w:val="none"/>
              </w:rPr>
            </w:pPr>
            <w:r>
              <w:rPr>
                <w:highlight w:val="none"/>
              </w:rPr>
              <w:t>序号</w:t>
            </w:r>
          </w:p>
        </w:tc>
        <w:tc>
          <w:tcPr>
            <w:tcW w:w="6129" w:type="dxa"/>
            <w:gridSpan w:val="2"/>
            <w:vAlign w:val="center"/>
          </w:tcPr>
          <w:p>
            <w:pPr>
              <w:pStyle w:val="12"/>
              <w:rPr>
                <w:highlight w:val="none"/>
              </w:rPr>
            </w:pPr>
            <w:r>
              <w:rPr>
                <w:highlight w:val="none"/>
              </w:rPr>
              <w:t>收入</w:t>
            </w:r>
          </w:p>
        </w:tc>
        <w:tc>
          <w:tcPr>
            <w:tcW w:w="6057" w:type="dxa"/>
            <w:gridSpan w:val="2"/>
            <w:vAlign w:val="center"/>
          </w:tcPr>
          <w:p>
            <w:pPr>
              <w:pStyle w:val="12"/>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continue"/>
          </w:tcPr>
          <w:p/>
        </w:tc>
        <w:tc>
          <w:tcPr>
            <w:tcW w:w="3315" w:type="dxa"/>
            <w:vAlign w:val="center"/>
          </w:tcPr>
          <w:p>
            <w:pPr>
              <w:pStyle w:val="12"/>
            </w:pPr>
            <w:r>
              <w:t>项  目</w:t>
            </w:r>
          </w:p>
        </w:tc>
        <w:tc>
          <w:tcPr>
            <w:tcW w:w="2814" w:type="dxa"/>
            <w:vAlign w:val="center"/>
          </w:tcPr>
          <w:p>
            <w:pPr>
              <w:pStyle w:val="12"/>
            </w:pPr>
            <w:r>
              <w:t>预算数</w:t>
            </w:r>
          </w:p>
        </w:tc>
        <w:tc>
          <w:tcPr>
            <w:tcW w:w="3390" w:type="dxa"/>
            <w:vAlign w:val="center"/>
          </w:tcPr>
          <w:p>
            <w:pPr>
              <w:pStyle w:val="12"/>
            </w:pPr>
            <w:r>
              <w:t>项  目</w:t>
            </w:r>
          </w:p>
        </w:tc>
        <w:tc>
          <w:tcPr>
            <w:tcW w:w="266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Align w:val="center"/>
          </w:tcPr>
          <w:p>
            <w:pPr>
              <w:pStyle w:val="12"/>
            </w:pPr>
            <w:r>
              <w:t>栏次</w:t>
            </w:r>
          </w:p>
        </w:tc>
        <w:tc>
          <w:tcPr>
            <w:tcW w:w="3315" w:type="dxa"/>
            <w:vAlign w:val="center"/>
          </w:tcPr>
          <w:p>
            <w:pPr>
              <w:pStyle w:val="12"/>
            </w:pPr>
            <w:r>
              <w:t>1</w:t>
            </w:r>
          </w:p>
        </w:tc>
        <w:tc>
          <w:tcPr>
            <w:tcW w:w="2814" w:type="dxa"/>
            <w:vAlign w:val="center"/>
          </w:tcPr>
          <w:p>
            <w:pPr>
              <w:pStyle w:val="12"/>
            </w:pPr>
            <w:r>
              <w:t>2</w:t>
            </w:r>
          </w:p>
        </w:tc>
        <w:tc>
          <w:tcPr>
            <w:tcW w:w="3390" w:type="dxa"/>
            <w:vAlign w:val="center"/>
          </w:tcPr>
          <w:p>
            <w:pPr>
              <w:pStyle w:val="12"/>
            </w:pPr>
            <w:r>
              <w:t>3</w:t>
            </w:r>
          </w:p>
        </w:tc>
        <w:tc>
          <w:tcPr>
            <w:tcW w:w="266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w:t>
            </w:r>
          </w:p>
        </w:tc>
        <w:tc>
          <w:tcPr>
            <w:tcW w:w="3315" w:type="dxa"/>
            <w:vAlign w:val="center"/>
          </w:tcPr>
          <w:p>
            <w:pPr>
              <w:pStyle w:val="14"/>
            </w:pPr>
            <w:r>
              <w:t>一、一般公共预算拨款收入</w:t>
            </w:r>
          </w:p>
        </w:tc>
        <w:tc>
          <w:tcPr>
            <w:tcW w:w="2814" w:type="dxa"/>
            <w:vAlign w:val="center"/>
          </w:tcPr>
          <w:p>
            <w:pPr>
              <w:pStyle w:val="13"/>
              <w:rPr>
                <w:rFonts w:hint="default"/>
                <w:lang w:val="en-US"/>
              </w:rPr>
            </w:pPr>
            <w:r>
              <w:rPr>
                <w:rFonts w:hint="eastAsia"/>
                <w:lang w:val="en-US" w:eastAsia="zh-CN"/>
              </w:rPr>
              <w:t>6162.12</w:t>
            </w:r>
          </w:p>
        </w:tc>
        <w:tc>
          <w:tcPr>
            <w:tcW w:w="3390" w:type="dxa"/>
            <w:vAlign w:val="center"/>
          </w:tcPr>
          <w:p>
            <w:pPr>
              <w:pStyle w:val="14"/>
            </w:pPr>
            <w:r>
              <w:t>一、一般公共服务支出</w:t>
            </w:r>
          </w:p>
        </w:tc>
        <w:tc>
          <w:tcPr>
            <w:tcW w:w="266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471.39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w:t>
            </w:r>
          </w:p>
        </w:tc>
        <w:tc>
          <w:tcPr>
            <w:tcW w:w="3315" w:type="dxa"/>
            <w:vAlign w:val="center"/>
          </w:tcPr>
          <w:p>
            <w:pPr>
              <w:pStyle w:val="14"/>
            </w:pPr>
            <w:r>
              <w:t>二、政府性基金预算拨款收入</w:t>
            </w:r>
          </w:p>
        </w:tc>
        <w:tc>
          <w:tcPr>
            <w:tcW w:w="2814" w:type="dxa"/>
            <w:vAlign w:val="center"/>
          </w:tcPr>
          <w:p>
            <w:pPr>
              <w:pStyle w:val="13"/>
            </w:pPr>
          </w:p>
        </w:tc>
        <w:tc>
          <w:tcPr>
            <w:tcW w:w="3390" w:type="dxa"/>
            <w:vAlign w:val="center"/>
          </w:tcPr>
          <w:p>
            <w:pPr>
              <w:pStyle w:val="14"/>
            </w:pPr>
            <w:r>
              <w:t>二、外交支出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w:t>
            </w:r>
          </w:p>
        </w:tc>
        <w:tc>
          <w:tcPr>
            <w:tcW w:w="3315" w:type="dxa"/>
            <w:vAlign w:val="center"/>
          </w:tcPr>
          <w:p>
            <w:pPr>
              <w:pStyle w:val="14"/>
            </w:pPr>
            <w:r>
              <w:t>三、国有资本经营预算拨款收入</w:t>
            </w:r>
          </w:p>
        </w:tc>
        <w:tc>
          <w:tcPr>
            <w:tcW w:w="2814" w:type="dxa"/>
            <w:vAlign w:val="center"/>
          </w:tcPr>
          <w:p>
            <w:pPr>
              <w:pStyle w:val="13"/>
              <w:rPr>
                <w:rFonts w:hint="default" w:eastAsia="方正书宋_GBK"/>
                <w:lang w:val="en-US" w:eastAsia="zh-CN"/>
              </w:rPr>
            </w:pPr>
          </w:p>
        </w:tc>
        <w:tc>
          <w:tcPr>
            <w:tcW w:w="3390" w:type="dxa"/>
            <w:vAlign w:val="center"/>
          </w:tcPr>
          <w:p>
            <w:pPr>
              <w:pStyle w:val="14"/>
            </w:pPr>
            <w:r>
              <w:t>三、国防支出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504" w:type="dxa"/>
            <w:vAlign w:val="center"/>
          </w:tcPr>
          <w:p>
            <w:pPr>
              <w:pStyle w:val="15"/>
            </w:pPr>
            <w:r>
              <w:t>4</w:t>
            </w:r>
          </w:p>
        </w:tc>
        <w:tc>
          <w:tcPr>
            <w:tcW w:w="3315" w:type="dxa"/>
            <w:vAlign w:val="center"/>
          </w:tcPr>
          <w:p>
            <w:pPr>
              <w:pStyle w:val="14"/>
            </w:pPr>
            <w:r>
              <w:t>四、财政专户管理资金收入</w:t>
            </w:r>
          </w:p>
        </w:tc>
        <w:tc>
          <w:tcPr>
            <w:tcW w:w="2814" w:type="dxa"/>
            <w:vAlign w:val="center"/>
          </w:tcPr>
          <w:p>
            <w:pPr>
              <w:pStyle w:val="13"/>
            </w:pPr>
          </w:p>
        </w:tc>
        <w:tc>
          <w:tcPr>
            <w:tcW w:w="3390" w:type="dxa"/>
            <w:vAlign w:val="center"/>
          </w:tcPr>
          <w:p>
            <w:pPr>
              <w:pStyle w:val="14"/>
            </w:pPr>
            <w:r>
              <w:t>四、公共安全支出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5</w:t>
            </w:r>
          </w:p>
        </w:tc>
        <w:tc>
          <w:tcPr>
            <w:tcW w:w="3315" w:type="dxa"/>
            <w:vAlign w:val="center"/>
          </w:tcPr>
          <w:p>
            <w:pPr>
              <w:pStyle w:val="14"/>
            </w:pPr>
            <w:r>
              <w:t>五、事业收入</w:t>
            </w:r>
          </w:p>
        </w:tc>
        <w:tc>
          <w:tcPr>
            <w:tcW w:w="2814" w:type="dxa"/>
            <w:vAlign w:val="center"/>
          </w:tcPr>
          <w:p>
            <w:pPr>
              <w:pStyle w:val="13"/>
            </w:pPr>
          </w:p>
        </w:tc>
        <w:tc>
          <w:tcPr>
            <w:tcW w:w="3390" w:type="dxa"/>
            <w:vAlign w:val="center"/>
          </w:tcPr>
          <w:p>
            <w:pPr>
              <w:pStyle w:val="14"/>
            </w:pPr>
            <w:r>
              <w:t>五、教育支出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6</w:t>
            </w:r>
          </w:p>
        </w:tc>
        <w:tc>
          <w:tcPr>
            <w:tcW w:w="3315" w:type="dxa"/>
            <w:vAlign w:val="center"/>
          </w:tcPr>
          <w:p>
            <w:pPr>
              <w:pStyle w:val="14"/>
            </w:pPr>
            <w:r>
              <w:t>六、事业单位经营收入</w:t>
            </w:r>
          </w:p>
        </w:tc>
        <w:tc>
          <w:tcPr>
            <w:tcW w:w="2814" w:type="dxa"/>
            <w:vAlign w:val="center"/>
          </w:tcPr>
          <w:p>
            <w:pPr>
              <w:pStyle w:val="13"/>
            </w:pPr>
          </w:p>
        </w:tc>
        <w:tc>
          <w:tcPr>
            <w:tcW w:w="3390" w:type="dxa"/>
            <w:vAlign w:val="center"/>
          </w:tcPr>
          <w:p>
            <w:pPr>
              <w:pStyle w:val="14"/>
            </w:pPr>
            <w:r>
              <w:t>六、科学技术支出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7</w:t>
            </w:r>
          </w:p>
        </w:tc>
        <w:tc>
          <w:tcPr>
            <w:tcW w:w="3315" w:type="dxa"/>
            <w:vAlign w:val="center"/>
          </w:tcPr>
          <w:p>
            <w:pPr>
              <w:pStyle w:val="14"/>
            </w:pPr>
            <w:r>
              <w:t>七、上级补助收入</w:t>
            </w:r>
          </w:p>
        </w:tc>
        <w:tc>
          <w:tcPr>
            <w:tcW w:w="2814" w:type="dxa"/>
            <w:vAlign w:val="center"/>
          </w:tcPr>
          <w:p>
            <w:pPr>
              <w:pStyle w:val="13"/>
            </w:pPr>
          </w:p>
        </w:tc>
        <w:tc>
          <w:tcPr>
            <w:tcW w:w="3390" w:type="dxa"/>
            <w:vAlign w:val="center"/>
          </w:tcPr>
          <w:p>
            <w:pPr>
              <w:pStyle w:val="14"/>
            </w:pPr>
            <w:r>
              <w:t>七、文化旅游体育与传媒支出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8</w:t>
            </w:r>
          </w:p>
        </w:tc>
        <w:tc>
          <w:tcPr>
            <w:tcW w:w="3315" w:type="dxa"/>
            <w:vAlign w:val="center"/>
          </w:tcPr>
          <w:p>
            <w:pPr>
              <w:pStyle w:val="14"/>
            </w:pPr>
            <w:r>
              <w:t>八、附属单位上缴收入</w:t>
            </w:r>
          </w:p>
        </w:tc>
        <w:tc>
          <w:tcPr>
            <w:tcW w:w="2814" w:type="dxa"/>
            <w:vAlign w:val="center"/>
          </w:tcPr>
          <w:p>
            <w:pPr>
              <w:pStyle w:val="13"/>
            </w:pPr>
          </w:p>
        </w:tc>
        <w:tc>
          <w:tcPr>
            <w:tcW w:w="3390" w:type="dxa"/>
            <w:vAlign w:val="center"/>
          </w:tcPr>
          <w:p>
            <w:pPr>
              <w:pStyle w:val="14"/>
            </w:pPr>
            <w:r>
              <w:t>八、社会保障和就业支出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9</w:t>
            </w:r>
          </w:p>
        </w:tc>
        <w:tc>
          <w:tcPr>
            <w:tcW w:w="3315" w:type="dxa"/>
            <w:vAlign w:val="center"/>
          </w:tcPr>
          <w:p>
            <w:pPr>
              <w:pStyle w:val="14"/>
            </w:pPr>
            <w:r>
              <w:t>九、其他收入</w:t>
            </w:r>
          </w:p>
        </w:tc>
        <w:tc>
          <w:tcPr>
            <w:tcW w:w="2814" w:type="dxa"/>
            <w:vAlign w:val="center"/>
          </w:tcPr>
          <w:p>
            <w:pPr>
              <w:pStyle w:val="13"/>
            </w:pPr>
          </w:p>
        </w:tc>
        <w:tc>
          <w:tcPr>
            <w:tcW w:w="3390" w:type="dxa"/>
            <w:vAlign w:val="center"/>
          </w:tcPr>
          <w:p>
            <w:pPr>
              <w:pStyle w:val="14"/>
            </w:pPr>
            <w:r>
              <w:t>九、社会保险基金支出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十、卫生健康支出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十一、节能环保支出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十二、城乡社区支出</w:t>
            </w:r>
          </w:p>
        </w:tc>
        <w:tc>
          <w:tcPr>
            <w:tcW w:w="266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十三、农林水支出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十四、交通运输支出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十五、资源勘探工业信息等支出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十六、商业服务业等支出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十七、金融支出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十八、援助其他地区支出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十九、自然资源海洋气象等支出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二十、住房保障支出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二十一、粮油物资储备支出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二十二、国有资本经营预算支出</w:t>
            </w:r>
          </w:p>
        </w:tc>
        <w:tc>
          <w:tcPr>
            <w:tcW w:w="266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二十三、灾害防治及应急管理支出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二十四、预备费</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二十五、其他支出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二十六、转移性支出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二十七、债务还本支出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二十八、债务付息支出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二十九、债务发行费用支出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三十、抗疫特别国债安排的支出</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6162.12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31</w:t>
            </w:r>
          </w:p>
        </w:tc>
        <w:tc>
          <w:tcPr>
            <w:tcW w:w="3315" w:type="dxa"/>
            <w:vAlign w:val="center"/>
          </w:tcPr>
          <w:p>
            <w:pPr>
              <w:pStyle w:val="16"/>
            </w:pPr>
            <w:r>
              <w:t>本年收入合计</w:t>
            </w:r>
          </w:p>
        </w:tc>
        <w:tc>
          <w:tcPr>
            <w:tcW w:w="2814" w:type="dxa"/>
            <w:vAlign w:val="center"/>
          </w:tcPr>
          <w:p>
            <w:pPr>
              <w:pStyle w:val="17"/>
              <w:rPr>
                <w:rFonts w:hint="default" w:eastAsia="方正书宋_GBK"/>
                <w:lang w:val="en-US" w:eastAsia="zh-CN"/>
              </w:rPr>
            </w:pPr>
            <w:r>
              <w:rPr>
                <w:rFonts w:hint="eastAsia"/>
                <w:lang w:val="en-US" w:eastAsia="zh-CN"/>
              </w:rPr>
              <w:t>6162.12</w:t>
            </w:r>
          </w:p>
        </w:tc>
        <w:tc>
          <w:tcPr>
            <w:tcW w:w="3390" w:type="dxa"/>
            <w:vAlign w:val="center"/>
          </w:tcPr>
          <w:p>
            <w:pPr>
              <w:pStyle w:val="16"/>
            </w:pPr>
            <w:r>
              <w:t>本年支出合计</w:t>
            </w:r>
          </w:p>
        </w:tc>
        <w:tc>
          <w:tcPr>
            <w:tcW w:w="266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32</w:t>
            </w:r>
          </w:p>
        </w:tc>
        <w:tc>
          <w:tcPr>
            <w:tcW w:w="3315" w:type="dxa"/>
            <w:vAlign w:val="center"/>
          </w:tcPr>
          <w:p>
            <w:pPr>
              <w:pStyle w:val="14"/>
            </w:pPr>
            <w:r>
              <w:t>上年结转结余</w:t>
            </w:r>
          </w:p>
        </w:tc>
        <w:tc>
          <w:tcPr>
            <w:tcW w:w="2814" w:type="dxa"/>
            <w:vAlign w:val="center"/>
          </w:tcPr>
          <w:p>
            <w:pPr>
              <w:pStyle w:val="13"/>
              <w:rPr>
                <w:rFonts w:hint="default" w:eastAsia="方正书宋_GBK"/>
                <w:lang w:val="en-US" w:eastAsia="zh-CN"/>
              </w:rPr>
            </w:pPr>
          </w:p>
        </w:tc>
        <w:tc>
          <w:tcPr>
            <w:tcW w:w="3390" w:type="dxa"/>
            <w:vAlign w:val="center"/>
          </w:tcPr>
          <w:p>
            <w:pPr>
              <w:pStyle w:val="14"/>
            </w:pPr>
            <w:r>
              <w:t>年终结转结余</w:t>
            </w:r>
          </w:p>
        </w:tc>
        <w:tc>
          <w:tcPr>
            <w:tcW w:w="266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33</w:t>
            </w:r>
          </w:p>
        </w:tc>
        <w:tc>
          <w:tcPr>
            <w:tcW w:w="3315" w:type="dxa"/>
            <w:vAlign w:val="center"/>
          </w:tcPr>
          <w:p>
            <w:pPr>
              <w:pStyle w:val="16"/>
            </w:pPr>
            <w:r>
              <w:t>收入总计</w:t>
            </w:r>
          </w:p>
        </w:tc>
        <w:tc>
          <w:tcPr>
            <w:tcW w:w="2814" w:type="dxa"/>
            <w:vAlign w:val="center"/>
          </w:tcPr>
          <w:p>
            <w:pPr>
              <w:pStyle w:val="17"/>
              <w:rPr>
                <w:rFonts w:hint="default" w:eastAsia="方正书宋_GBK"/>
                <w:lang w:val="en-US" w:eastAsia="zh-CN"/>
              </w:rPr>
            </w:pPr>
            <w:r>
              <w:rPr>
                <w:rFonts w:hint="eastAsia"/>
                <w:lang w:val="en-US" w:eastAsia="zh-CN"/>
              </w:rPr>
              <w:t>6162.12</w:t>
            </w:r>
          </w:p>
        </w:tc>
        <w:tc>
          <w:tcPr>
            <w:tcW w:w="3390" w:type="dxa"/>
            <w:vAlign w:val="center"/>
          </w:tcPr>
          <w:p>
            <w:pPr>
              <w:pStyle w:val="16"/>
            </w:pPr>
            <w:r>
              <w:t>支出总计</w:t>
            </w:r>
          </w:p>
        </w:tc>
        <w:tc>
          <w:tcPr>
            <w:tcW w:w="266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6162.12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125"/>
        <w:gridCol w:w="3018"/>
        <w:gridCol w:w="1237"/>
        <w:gridCol w:w="1175"/>
        <w:gridCol w:w="1245"/>
        <w:gridCol w:w="791"/>
        <w:gridCol w:w="758"/>
        <w:gridCol w:w="758"/>
        <w:gridCol w:w="948"/>
        <w:gridCol w:w="1075"/>
        <w:gridCol w:w="7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0"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2794" w:type="dxa"/>
            <w:gridSpan w:val="3"/>
            <w:tcBorders>
              <w:top w:val="single" w:color="FFFFFF" w:sz="6" w:space="0"/>
              <w:left w:val="single" w:color="FFFFFF" w:sz="6" w:space="0"/>
              <w:right w:val="single" w:color="FFFFFF" w:sz="6" w:space="0"/>
            </w:tcBorders>
            <w:vAlign w:val="center"/>
          </w:tcPr>
          <w:p>
            <w:pPr>
              <w:pStyle w:val="10"/>
              <w:jc w:val="both"/>
              <w:rPr>
                <w:rFonts w:hint="eastAsia" w:eastAsia="方正小标宋_GBK"/>
                <w:highlight w:val="none"/>
                <w:lang w:eastAsia="zh-CN"/>
              </w:rPr>
            </w:pPr>
            <w:r>
              <w:rPr>
                <w:highlight w:val="none"/>
              </w:rPr>
              <w:t>预算年度：</w:t>
            </w:r>
            <w:r>
              <w:rPr>
                <w:rFonts w:hint="eastAsia"/>
                <w:highlight w:val="none"/>
                <w:lang w:eastAsia="zh-CN"/>
              </w:rPr>
              <w:t>2021</w:t>
            </w:r>
          </w:p>
        </w:tc>
        <w:tc>
          <w:tcPr>
            <w:tcW w:w="4594"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restart"/>
            <w:vAlign w:val="center"/>
          </w:tcPr>
          <w:p>
            <w:pPr>
              <w:pStyle w:val="12"/>
            </w:pPr>
            <w:r>
              <w:t>序号</w:t>
            </w:r>
          </w:p>
        </w:tc>
        <w:tc>
          <w:tcPr>
            <w:tcW w:w="4143" w:type="dxa"/>
            <w:gridSpan w:val="2"/>
            <w:vAlign w:val="center"/>
          </w:tcPr>
          <w:p>
            <w:pPr>
              <w:pStyle w:val="12"/>
            </w:pPr>
            <w:r>
              <w:t>功能分类科目</w:t>
            </w:r>
          </w:p>
        </w:tc>
        <w:tc>
          <w:tcPr>
            <w:tcW w:w="1237" w:type="dxa"/>
            <w:vMerge w:val="restart"/>
            <w:vAlign w:val="center"/>
          </w:tcPr>
          <w:p>
            <w:pPr>
              <w:pStyle w:val="12"/>
            </w:pPr>
            <w:r>
              <w:t>合计</w:t>
            </w:r>
          </w:p>
        </w:tc>
        <w:tc>
          <w:tcPr>
            <w:tcW w:w="7513" w:type="dxa"/>
            <w:gridSpan w:val="8"/>
            <w:vAlign w:val="center"/>
          </w:tcPr>
          <w:p>
            <w:pPr>
              <w:pStyle w:val="12"/>
            </w:pPr>
            <w:r>
              <w:t>本年收入</w:t>
            </w:r>
          </w:p>
        </w:tc>
        <w:tc>
          <w:tcPr>
            <w:tcW w:w="1050"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continue"/>
          </w:tcPr>
          <w:p/>
        </w:tc>
        <w:tc>
          <w:tcPr>
            <w:tcW w:w="1125" w:type="dxa"/>
            <w:vAlign w:val="center"/>
          </w:tcPr>
          <w:p>
            <w:pPr>
              <w:pStyle w:val="12"/>
            </w:pPr>
            <w:r>
              <w:t>科目    编码</w:t>
            </w:r>
          </w:p>
        </w:tc>
        <w:tc>
          <w:tcPr>
            <w:tcW w:w="3018" w:type="dxa"/>
            <w:vAlign w:val="center"/>
          </w:tcPr>
          <w:p>
            <w:pPr>
              <w:pStyle w:val="12"/>
            </w:pPr>
            <w:r>
              <w:t>科目名称</w:t>
            </w:r>
          </w:p>
        </w:tc>
        <w:tc>
          <w:tcPr>
            <w:tcW w:w="1237" w:type="dxa"/>
            <w:vMerge w:val="continue"/>
          </w:tcPr>
          <w:p/>
        </w:tc>
        <w:tc>
          <w:tcPr>
            <w:tcW w:w="1175" w:type="dxa"/>
            <w:vAlign w:val="center"/>
          </w:tcPr>
          <w:p>
            <w:pPr>
              <w:pStyle w:val="12"/>
            </w:pPr>
            <w:r>
              <w:t>小计</w:t>
            </w:r>
          </w:p>
        </w:tc>
        <w:tc>
          <w:tcPr>
            <w:tcW w:w="1245" w:type="dxa"/>
            <w:vAlign w:val="center"/>
          </w:tcPr>
          <w:p>
            <w:pPr>
              <w:pStyle w:val="12"/>
            </w:pPr>
            <w:r>
              <w:t>财政拨款 收入</w:t>
            </w:r>
          </w:p>
        </w:tc>
        <w:tc>
          <w:tcPr>
            <w:tcW w:w="791"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948" w:type="dxa"/>
            <w:vAlign w:val="center"/>
          </w:tcPr>
          <w:p>
            <w:pPr>
              <w:pStyle w:val="12"/>
            </w:pPr>
            <w:r>
              <w:t>上级补助收入</w:t>
            </w:r>
          </w:p>
        </w:tc>
        <w:tc>
          <w:tcPr>
            <w:tcW w:w="1075" w:type="dxa"/>
            <w:vAlign w:val="center"/>
          </w:tcPr>
          <w:p>
            <w:pPr>
              <w:pStyle w:val="12"/>
            </w:pPr>
            <w:r>
              <w:t>附属单位上缴收入</w:t>
            </w:r>
          </w:p>
        </w:tc>
        <w:tc>
          <w:tcPr>
            <w:tcW w:w="763" w:type="dxa"/>
            <w:vAlign w:val="center"/>
          </w:tcPr>
          <w:p>
            <w:pPr>
              <w:pStyle w:val="12"/>
            </w:pPr>
            <w:r>
              <w:t>其他收入</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Align w:val="center"/>
          </w:tcPr>
          <w:p>
            <w:pPr>
              <w:pStyle w:val="12"/>
            </w:pPr>
            <w:r>
              <w:t>栏次</w:t>
            </w:r>
          </w:p>
        </w:tc>
        <w:tc>
          <w:tcPr>
            <w:tcW w:w="1125" w:type="dxa"/>
            <w:vAlign w:val="center"/>
          </w:tcPr>
          <w:p>
            <w:pPr>
              <w:pStyle w:val="12"/>
            </w:pPr>
            <w:r>
              <w:t>1</w:t>
            </w:r>
          </w:p>
        </w:tc>
        <w:tc>
          <w:tcPr>
            <w:tcW w:w="3018" w:type="dxa"/>
            <w:vAlign w:val="center"/>
          </w:tcPr>
          <w:p>
            <w:pPr>
              <w:pStyle w:val="12"/>
            </w:pPr>
            <w:r>
              <w:t>2</w:t>
            </w:r>
          </w:p>
        </w:tc>
        <w:tc>
          <w:tcPr>
            <w:tcW w:w="1237" w:type="dxa"/>
            <w:vAlign w:val="center"/>
          </w:tcPr>
          <w:p>
            <w:pPr>
              <w:pStyle w:val="12"/>
            </w:pPr>
            <w:r>
              <w:t>3</w:t>
            </w:r>
          </w:p>
        </w:tc>
        <w:tc>
          <w:tcPr>
            <w:tcW w:w="1175" w:type="dxa"/>
            <w:vAlign w:val="center"/>
          </w:tcPr>
          <w:p>
            <w:pPr>
              <w:pStyle w:val="12"/>
            </w:pPr>
            <w:r>
              <w:t>4</w:t>
            </w:r>
          </w:p>
        </w:tc>
        <w:tc>
          <w:tcPr>
            <w:tcW w:w="1245" w:type="dxa"/>
            <w:vAlign w:val="center"/>
          </w:tcPr>
          <w:p>
            <w:pPr>
              <w:pStyle w:val="12"/>
            </w:pPr>
            <w:r>
              <w:t>5</w:t>
            </w:r>
          </w:p>
        </w:tc>
        <w:tc>
          <w:tcPr>
            <w:tcW w:w="791"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948" w:type="dxa"/>
            <w:vAlign w:val="center"/>
          </w:tcPr>
          <w:p>
            <w:pPr>
              <w:pStyle w:val="12"/>
            </w:pPr>
            <w:r>
              <w:t>9</w:t>
            </w:r>
          </w:p>
        </w:tc>
        <w:tc>
          <w:tcPr>
            <w:tcW w:w="1075" w:type="dxa"/>
            <w:vAlign w:val="center"/>
          </w:tcPr>
          <w:p>
            <w:pPr>
              <w:pStyle w:val="12"/>
            </w:pPr>
            <w:r>
              <w:t>10</w:t>
            </w:r>
          </w:p>
        </w:tc>
        <w:tc>
          <w:tcPr>
            <w:tcW w:w="763" w:type="dxa"/>
            <w:vAlign w:val="center"/>
          </w:tcPr>
          <w:p>
            <w:pPr>
              <w:pStyle w:val="12"/>
            </w:pPr>
            <w:r>
              <w:t>11</w:t>
            </w:r>
          </w:p>
        </w:tc>
        <w:tc>
          <w:tcPr>
            <w:tcW w:w="1050"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w:t>
            </w:r>
          </w:p>
        </w:tc>
        <w:tc>
          <w:tcPr>
            <w:tcW w:w="1125" w:type="dxa"/>
            <w:vAlign w:val="bottom"/>
          </w:tcPr>
          <w:p>
            <w:pPr>
              <w:rPr>
                <w:rFonts w:hint="eastAsia" w:ascii="宋体" w:hAnsi="宋体" w:eastAsia="宋体" w:cs="宋体"/>
                <w:i w:val="0"/>
                <w:iCs w:val="0"/>
                <w:color w:val="000000"/>
                <w:sz w:val="18"/>
                <w:szCs w:val="18"/>
                <w:u w:val="none"/>
              </w:rPr>
            </w:pP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合计</w:t>
            </w:r>
          </w:p>
        </w:tc>
        <w:tc>
          <w:tcPr>
            <w:tcW w:w="1237"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6162.12</w:t>
            </w:r>
          </w:p>
        </w:tc>
        <w:tc>
          <w:tcPr>
            <w:tcW w:w="117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6162.12</w:t>
            </w:r>
          </w:p>
        </w:tc>
        <w:tc>
          <w:tcPr>
            <w:tcW w:w="124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7"/>
            </w:pPr>
          </w:p>
        </w:tc>
        <w:tc>
          <w:tcPr>
            <w:tcW w:w="758" w:type="dxa"/>
            <w:vAlign w:val="center"/>
          </w:tcPr>
          <w:p>
            <w:pPr>
              <w:pStyle w:val="17"/>
            </w:pPr>
          </w:p>
        </w:tc>
        <w:tc>
          <w:tcPr>
            <w:tcW w:w="948" w:type="dxa"/>
            <w:vAlign w:val="center"/>
          </w:tcPr>
          <w:p>
            <w:pPr>
              <w:pStyle w:val="17"/>
              <w:rPr>
                <w:rFonts w:hint="default" w:eastAsia="方正书宋_GBK"/>
                <w:lang w:val="en-US" w:eastAsia="zh-CN"/>
              </w:rPr>
            </w:pPr>
          </w:p>
        </w:tc>
        <w:tc>
          <w:tcPr>
            <w:tcW w:w="1075" w:type="dxa"/>
            <w:vAlign w:val="center"/>
          </w:tcPr>
          <w:p>
            <w:pPr>
              <w:pStyle w:val="17"/>
            </w:pPr>
          </w:p>
        </w:tc>
        <w:tc>
          <w:tcPr>
            <w:tcW w:w="763" w:type="dxa"/>
            <w:vAlign w:val="center"/>
          </w:tcPr>
          <w:p>
            <w:pPr>
              <w:pStyle w:val="17"/>
            </w:pPr>
          </w:p>
        </w:tc>
        <w:tc>
          <w:tcPr>
            <w:tcW w:w="105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2</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一般公共服务支出</w:t>
            </w:r>
          </w:p>
        </w:tc>
        <w:tc>
          <w:tcPr>
            <w:tcW w:w="1237"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471.39</w:t>
            </w:r>
          </w:p>
        </w:tc>
        <w:tc>
          <w:tcPr>
            <w:tcW w:w="117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471.39</w:t>
            </w:r>
          </w:p>
        </w:tc>
        <w:tc>
          <w:tcPr>
            <w:tcW w:w="124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3</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财政事务</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471.39</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471.39</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4</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行政运行</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5</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2010602</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一般行政管理事务</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6</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社会保障和就业支出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7</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行政事业单位养老支出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8</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2080505</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机关事业单位基本养老保险缴费支出★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37.56</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37.56</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9</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2080506</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机关事业单位职业年金缴费支出★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18.78</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18.78</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10</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卫生健康支出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11</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行政事业单位医疗</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12</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行政单位医疗</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4.85</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4.85</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13</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2101102</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事业单位医疗</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30.37</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30.37</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14</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农林水支出</w:t>
            </w:r>
          </w:p>
        </w:tc>
        <w:tc>
          <w:tcPr>
            <w:tcW w:w="123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371.00</w:t>
            </w:r>
          </w:p>
        </w:tc>
        <w:tc>
          <w:tcPr>
            <w:tcW w:w="117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371.00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lang w:val="en-US" w:eastAsia="zh-CN"/>
              </w:rPr>
            </w:pPr>
            <w:r>
              <w:rPr>
                <w:rFonts w:hint="eastAsia"/>
                <w:lang w:val="en-US" w:eastAsia="zh-CN"/>
              </w:rPr>
              <w:t>15</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农业农村</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eastAsia"/>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lang w:val="en-US" w:eastAsia="zh-CN"/>
              </w:rPr>
            </w:pPr>
            <w:r>
              <w:rPr>
                <w:rFonts w:hint="eastAsia"/>
                <w:lang w:val="en-US" w:eastAsia="zh-CN"/>
              </w:rPr>
              <w:t>16</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2130199</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其他农业农村支出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eastAsia"/>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17</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21307</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农村综合改革</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18</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2130799</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其他农村综合改革支出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val="en-US" w:eastAsia="zh-CN"/>
              </w:rPr>
            </w:pPr>
            <w:r>
              <w:t>1</w:t>
            </w:r>
            <w:r>
              <w:rPr>
                <w:rFonts w:hint="eastAsia"/>
                <w:lang w:val="en-US" w:eastAsia="zh-CN"/>
              </w:rPr>
              <w:t>9</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21308</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普惠金融发展支出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340.00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340.00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20</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2130803</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农业保险保费补贴</w:t>
            </w:r>
          </w:p>
        </w:tc>
        <w:tc>
          <w:tcPr>
            <w:tcW w:w="123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340.00</w:t>
            </w:r>
          </w:p>
        </w:tc>
        <w:tc>
          <w:tcPr>
            <w:tcW w:w="117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340.00</w:t>
            </w:r>
          </w:p>
        </w:tc>
        <w:tc>
          <w:tcPr>
            <w:tcW w:w="124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21</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住房保障支出</w:t>
            </w:r>
          </w:p>
        </w:tc>
        <w:tc>
          <w:tcPr>
            <w:tcW w:w="1237"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28.17</w:t>
            </w:r>
          </w:p>
        </w:tc>
        <w:tc>
          <w:tcPr>
            <w:tcW w:w="117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28.17</w:t>
            </w:r>
          </w:p>
        </w:tc>
        <w:tc>
          <w:tcPr>
            <w:tcW w:w="124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22</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住房改革支出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24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23</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住房公积金</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24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24</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债务付息支出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25</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23203</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地方政府一般债务付息支出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26</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2320301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地方政府一般债券付息支出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lang w:val="en-US" w:eastAsia="zh-CN"/>
              </w:rPr>
            </w:pPr>
            <w:r>
              <w:rPr>
                <w:rFonts w:hint="eastAsia"/>
                <w:lang w:val="en-US" w:eastAsia="zh-CN"/>
              </w:rPr>
              <w:t>27</w:t>
            </w:r>
          </w:p>
        </w:tc>
        <w:tc>
          <w:tcPr>
            <w:tcW w:w="1125"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23204</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地方政府专项债务付息支出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keepNext w:val="0"/>
              <w:keepLines w:val="0"/>
              <w:widowControl/>
              <w:suppressLineNumbers w:val="0"/>
              <w:ind w:firstLine="210" w:firstLineChars="10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2320411</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国有土地使用权出让金债务付息支出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keepNext w:val="0"/>
              <w:keepLines w:val="0"/>
              <w:widowControl/>
              <w:suppressLineNumbers w:val="0"/>
              <w:ind w:firstLine="210" w:firstLineChars="10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233</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债务发行费用支出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keepNext w:val="0"/>
              <w:keepLines w:val="0"/>
              <w:widowControl/>
              <w:suppressLineNumbers w:val="0"/>
              <w:ind w:firstLine="210" w:firstLineChars="10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w:t>
            </w:r>
          </w:p>
        </w:tc>
        <w:tc>
          <w:tcPr>
            <w:tcW w:w="1125"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23303</w:t>
            </w:r>
          </w:p>
        </w:tc>
        <w:tc>
          <w:tcPr>
            <w:tcW w:w="3018"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地方政府一般债务发行费用支出</w:t>
            </w:r>
          </w:p>
        </w:tc>
        <w:tc>
          <w:tcPr>
            <w:tcW w:w="1237"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17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24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91"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2190"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4380" w:type="dxa"/>
            <w:gridSpan w:val="4"/>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2"/>
            </w:pPr>
            <w:r>
              <w:t>序号</w:t>
            </w:r>
          </w:p>
        </w:tc>
        <w:tc>
          <w:tcPr>
            <w:tcW w:w="6526"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2"/>
            </w:pPr>
            <w:r>
              <w:t>科目    编码</w:t>
            </w:r>
          </w:p>
        </w:tc>
        <w:tc>
          <w:tcPr>
            <w:tcW w:w="5142"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2"/>
            </w:pPr>
            <w:r>
              <w:t>栏次</w:t>
            </w:r>
          </w:p>
        </w:tc>
        <w:tc>
          <w:tcPr>
            <w:tcW w:w="1384" w:type="dxa"/>
            <w:vAlign w:val="center"/>
          </w:tcPr>
          <w:p>
            <w:pPr>
              <w:pStyle w:val="12"/>
            </w:pPr>
            <w:r>
              <w:t>1</w:t>
            </w:r>
          </w:p>
        </w:tc>
        <w:tc>
          <w:tcPr>
            <w:tcW w:w="5142"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w:t>
            </w:r>
          </w:p>
        </w:tc>
        <w:tc>
          <w:tcPr>
            <w:tcW w:w="1384" w:type="dxa"/>
            <w:vAlign w:val="bottom"/>
          </w:tcPr>
          <w:p>
            <w:pPr>
              <w:rPr>
                <w:rFonts w:hint="eastAsia" w:ascii="方正书宋_GBK" w:hAnsi="方正书宋_GBK" w:eastAsia="方正书宋_GBK" w:cs="方正书宋_GBK"/>
                <w:sz w:val="21"/>
                <w:szCs w:val="24"/>
                <w:lang w:val="en-US" w:eastAsia="uk-UA" w:bidi="ar-SA"/>
              </w:rPr>
            </w:pP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合计</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6162.12</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521.12</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5641.00</w:t>
            </w:r>
          </w:p>
        </w:tc>
        <w:tc>
          <w:tcPr>
            <w:tcW w:w="1095" w:type="dxa"/>
            <w:vAlign w:val="center"/>
          </w:tcPr>
          <w:p>
            <w:pPr>
              <w:pStyle w:val="17"/>
              <w:rPr>
                <w:rFonts w:ascii="方正书宋_GBK" w:hAnsi="方正书宋_GBK" w:eastAsia="方正书宋_GBK" w:cs="方正书宋_GBK"/>
                <w:sz w:val="21"/>
                <w:szCs w:val="24"/>
                <w:lang w:val="en-US" w:eastAsia="uk-UA" w:bidi="ar-SA"/>
              </w:rPr>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2</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一般公共服务支出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471.39</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3</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财政事务</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471.39</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4</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行政运行</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401.39</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5</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2010602</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一般行政管理事务</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6</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社会保障和就业支出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7</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行政事业单位养老支出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56.34</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8</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2080505</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机关事业单位基本养老保险缴费支出★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37.56</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37.56</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9</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2080506</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机关事业单位职业年金缴费支出★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18.78</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18.78</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10</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卫生健康支出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11</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行政事业单位医疗</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35.22</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12</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行政单位医疗</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4.85</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4.85</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13</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2101102</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事业单位医疗</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30.37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30.37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5"/>
              <w:rPr>
                <w:rFonts w:hint="default"/>
                <w:lang w:val="en-US" w:eastAsia="zh-CN"/>
              </w:rPr>
            </w:pPr>
            <w:r>
              <w:rPr>
                <w:rFonts w:hint="eastAsia"/>
                <w:lang w:val="en-US" w:eastAsia="zh-CN"/>
              </w:rPr>
              <w:t>14</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农林水支出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371.00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371.00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15</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农业农村</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212" w:type="dxa"/>
            <w:vAlign w:val="center"/>
          </w:tcPr>
          <w:p>
            <w:pPr>
              <w:pStyle w:val="15"/>
              <w:rPr>
                <w:rFonts w:hint="default" w:eastAsia="方正书宋_GBK"/>
                <w:lang w:val="en-US" w:eastAsia="zh-CN"/>
              </w:rPr>
            </w:pPr>
            <w:r>
              <w:rPr>
                <w:rFonts w:hint="eastAsia"/>
                <w:lang w:val="en-US" w:eastAsia="zh-CN"/>
              </w:rPr>
              <w:t>16</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2130199</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其他农业农村支出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17</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21307</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农村综合改革</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18</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2130799</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其他农村综合改革支出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eastAsia" w:eastAsia="方正书宋_GBK"/>
                <w:lang w:eastAsia="zh-CN"/>
              </w:rPr>
            </w:pPr>
            <w:r>
              <w:t>1</w:t>
            </w:r>
            <w:r>
              <w:rPr>
                <w:rFonts w:hint="eastAsia"/>
                <w:lang w:val="en-US" w:eastAsia="zh-CN"/>
              </w:rPr>
              <w:t>9</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21308</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普惠金融发展支出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340.00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340.00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20</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2130803</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农业保险保费补贴</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21</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住房保障支出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22</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住房改革支出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23</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住房公积金</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28.17</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24</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债务付息支出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5170.00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25</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23203</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地方政府一般债务付息支出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26</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2320301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地方政府一般债券付息支出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3570.00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27</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23204</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地方政府专项债务付息支出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1600.00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1600.00</w:t>
            </w:r>
          </w:p>
        </w:tc>
        <w:tc>
          <w:tcPr>
            <w:tcW w:w="1095" w:type="dxa"/>
            <w:vAlign w:val="center"/>
          </w:tcPr>
          <w:p>
            <w:pPr>
              <w:pStyle w:val="13"/>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28</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2320411</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国有土地使用权出让金债务付息支出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1600.00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1600.00</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29</w:t>
            </w:r>
          </w:p>
        </w:tc>
        <w:tc>
          <w:tcPr>
            <w:tcW w:w="1384" w:type="dxa"/>
            <w:vAlign w:val="bottom"/>
          </w:tcPr>
          <w:p>
            <w:pPr>
              <w:keepNext w:val="0"/>
              <w:keepLines w:val="0"/>
              <w:widowControl/>
              <w:suppressLineNumbers w:val="0"/>
              <w:jc w:val="lef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233</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债务发行费用支出</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30</w:t>
            </w:r>
          </w:p>
        </w:tc>
        <w:tc>
          <w:tcPr>
            <w:tcW w:w="1384"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23303</w:t>
            </w:r>
          </w:p>
        </w:tc>
        <w:tc>
          <w:tcPr>
            <w:tcW w:w="5142" w:type="dxa"/>
            <w:vAlign w:val="bottom"/>
          </w:tcPr>
          <w:p>
            <w:pPr>
              <w:keepNext w:val="0"/>
              <w:keepLines w:val="0"/>
              <w:widowControl/>
              <w:suppressLineNumbers w:val="0"/>
              <w:jc w:val="lef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地方政府一般债务发行费用支出</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10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pStyle w:val="13"/>
              <w:rPr>
                <w:rFonts w:ascii="方正书宋_GBK" w:hAnsi="方正书宋_GBK" w:eastAsia="方正书宋_GBK" w:cs="方正书宋_GBK"/>
                <w:sz w:val="21"/>
                <w:szCs w:val="24"/>
                <w:lang w:val="en-US" w:eastAsia="uk-UA" w:bidi="ar-SA"/>
              </w:rPr>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预算财政拨款收支总表</w:t>
      </w:r>
      <w:bookmarkEnd w:id="3"/>
    </w:p>
    <w:tbl>
      <w:tblPr>
        <w:tblStyle w:val="6"/>
        <w:tblW w:w="15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965"/>
        <w:gridCol w:w="1281"/>
        <w:gridCol w:w="3669"/>
        <w:gridCol w:w="1085"/>
        <w:gridCol w:w="1615"/>
        <w:gridCol w:w="1766"/>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3669"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6648" w:type="dxa"/>
            <w:gridSpan w:val="4"/>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2"/>
            </w:pPr>
            <w:r>
              <w:t>序号</w:t>
            </w:r>
          </w:p>
        </w:tc>
        <w:tc>
          <w:tcPr>
            <w:tcW w:w="4246" w:type="dxa"/>
            <w:gridSpan w:val="2"/>
            <w:vAlign w:val="center"/>
          </w:tcPr>
          <w:p>
            <w:pPr>
              <w:pStyle w:val="12"/>
            </w:pPr>
            <w:r>
              <w:t>收入</w:t>
            </w:r>
          </w:p>
        </w:tc>
        <w:tc>
          <w:tcPr>
            <w:tcW w:w="1031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tcPr>
          <w:p/>
        </w:tc>
        <w:tc>
          <w:tcPr>
            <w:tcW w:w="2965" w:type="dxa"/>
            <w:vAlign w:val="center"/>
          </w:tcPr>
          <w:p>
            <w:pPr>
              <w:pStyle w:val="12"/>
            </w:pPr>
            <w:r>
              <w:t>项  目</w:t>
            </w:r>
          </w:p>
        </w:tc>
        <w:tc>
          <w:tcPr>
            <w:tcW w:w="1281" w:type="dxa"/>
            <w:vAlign w:val="center"/>
          </w:tcPr>
          <w:p>
            <w:pPr>
              <w:pStyle w:val="12"/>
            </w:pPr>
            <w:r>
              <w:t>金额</w:t>
            </w:r>
          </w:p>
        </w:tc>
        <w:tc>
          <w:tcPr>
            <w:tcW w:w="3669" w:type="dxa"/>
            <w:vAlign w:val="center"/>
          </w:tcPr>
          <w:p>
            <w:pPr>
              <w:pStyle w:val="12"/>
            </w:pPr>
            <w:r>
              <w:t>项  目</w:t>
            </w:r>
          </w:p>
        </w:tc>
        <w:tc>
          <w:tcPr>
            <w:tcW w:w="1085" w:type="dxa"/>
            <w:vAlign w:val="center"/>
          </w:tcPr>
          <w:p>
            <w:pPr>
              <w:pStyle w:val="12"/>
            </w:pPr>
            <w:r>
              <w:t>合计</w:t>
            </w:r>
          </w:p>
        </w:tc>
        <w:tc>
          <w:tcPr>
            <w:tcW w:w="1615" w:type="dxa"/>
            <w:vAlign w:val="center"/>
          </w:tcPr>
          <w:p>
            <w:pPr>
              <w:pStyle w:val="12"/>
            </w:pPr>
            <w:r>
              <w:t>一般公共预算财政拨款</w:t>
            </w:r>
          </w:p>
        </w:tc>
        <w:tc>
          <w:tcPr>
            <w:tcW w:w="1766" w:type="dxa"/>
            <w:vAlign w:val="center"/>
          </w:tcPr>
          <w:p>
            <w:pPr>
              <w:pStyle w:val="12"/>
            </w:pPr>
            <w:r>
              <w:t>政府性基金预算财政拨款</w:t>
            </w:r>
          </w:p>
        </w:tc>
        <w:tc>
          <w:tcPr>
            <w:tcW w:w="218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2"/>
            </w:pPr>
            <w:r>
              <w:t>栏次</w:t>
            </w:r>
          </w:p>
        </w:tc>
        <w:tc>
          <w:tcPr>
            <w:tcW w:w="2965" w:type="dxa"/>
            <w:vAlign w:val="center"/>
          </w:tcPr>
          <w:p>
            <w:pPr>
              <w:pStyle w:val="12"/>
            </w:pPr>
            <w:r>
              <w:t>1</w:t>
            </w:r>
          </w:p>
        </w:tc>
        <w:tc>
          <w:tcPr>
            <w:tcW w:w="1281" w:type="dxa"/>
            <w:vAlign w:val="center"/>
          </w:tcPr>
          <w:p>
            <w:pPr>
              <w:pStyle w:val="12"/>
            </w:pPr>
            <w:r>
              <w:t>2</w:t>
            </w:r>
          </w:p>
        </w:tc>
        <w:tc>
          <w:tcPr>
            <w:tcW w:w="3669" w:type="dxa"/>
            <w:vAlign w:val="center"/>
          </w:tcPr>
          <w:p>
            <w:pPr>
              <w:pStyle w:val="12"/>
            </w:pPr>
            <w:r>
              <w:t>3</w:t>
            </w:r>
          </w:p>
        </w:tc>
        <w:tc>
          <w:tcPr>
            <w:tcW w:w="1085" w:type="dxa"/>
            <w:vAlign w:val="center"/>
          </w:tcPr>
          <w:p>
            <w:pPr>
              <w:pStyle w:val="12"/>
            </w:pPr>
            <w:r>
              <w:t>4</w:t>
            </w:r>
          </w:p>
        </w:tc>
        <w:tc>
          <w:tcPr>
            <w:tcW w:w="1615" w:type="dxa"/>
            <w:vAlign w:val="center"/>
          </w:tcPr>
          <w:p>
            <w:pPr>
              <w:pStyle w:val="12"/>
            </w:pPr>
            <w:r>
              <w:t>5</w:t>
            </w:r>
          </w:p>
        </w:tc>
        <w:tc>
          <w:tcPr>
            <w:tcW w:w="1766" w:type="dxa"/>
            <w:vAlign w:val="center"/>
          </w:tcPr>
          <w:p>
            <w:pPr>
              <w:pStyle w:val="12"/>
            </w:pPr>
            <w:r>
              <w:t>6</w:t>
            </w:r>
          </w:p>
        </w:tc>
        <w:tc>
          <w:tcPr>
            <w:tcW w:w="218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w:t>
            </w:r>
          </w:p>
        </w:tc>
        <w:tc>
          <w:tcPr>
            <w:tcW w:w="2965" w:type="dxa"/>
            <w:vAlign w:val="center"/>
          </w:tcPr>
          <w:p>
            <w:pPr>
              <w:pStyle w:val="14"/>
            </w:pPr>
            <w:r>
              <w:t>一、一般公共预算拨款</w:t>
            </w:r>
          </w:p>
        </w:tc>
        <w:tc>
          <w:tcPr>
            <w:tcW w:w="1281" w:type="dxa"/>
            <w:vAlign w:val="bottom"/>
          </w:tcPr>
          <w:p>
            <w:pPr>
              <w:keepNext w:val="0"/>
              <w:keepLines w:val="0"/>
              <w:widowControl/>
              <w:suppressLineNumbers w:val="0"/>
              <w:jc w:val="right"/>
              <w:textAlignment w:val="bottom"/>
            </w:pPr>
            <w:r>
              <w:rPr>
                <w:rFonts w:hint="eastAsia" w:ascii="宋体" w:hAnsi="宋体" w:eastAsia="宋体" w:cs="宋体"/>
                <w:i w:val="0"/>
                <w:iCs w:val="0"/>
                <w:color w:val="000000"/>
                <w:kern w:val="0"/>
                <w:sz w:val="18"/>
                <w:szCs w:val="18"/>
                <w:u w:val="none"/>
                <w:lang w:val="en-US" w:eastAsia="zh-CN" w:bidi="ar"/>
              </w:rPr>
              <w:t>4562.12</w:t>
            </w:r>
          </w:p>
        </w:tc>
        <w:tc>
          <w:tcPr>
            <w:tcW w:w="3669" w:type="dxa"/>
            <w:vAlign w:val="center"/>
          </w:tcPr>
          <w:p>
            <w:pPr>
              <w:pStyle w:val="14"/>
            </w:pPr>
            <w:r>
              <w:t>一、一般公共服务支出</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471.39</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471.39</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w:t>
            </w:r>
          </w:p>
        </w:tc>
        <w:tc>
          <w:tcPr>
            <w:tcW w:w="2965" w:type="dxa"/>
            <w:vAlign w:val="center"/>
          </w:tcPr>
          <w:p>
            <w:pPr>
              <w:pStyle w:val="14"/>
            </w:pPr>
            <w:r>
              <w:t>二、政府性基金预算拨款</w:t>
            </w:r>
          </w:p>
        </w:tc>
        <w:tc>
          <w:tcPr>
            <w:tcW w:w="1281" w:type="dxa"/>
            <w:vAlign w:val="bottom"/>
          </w:tcPr>
          <w:p>
            <w:pPr>
              <w:keepNext w:val="0"/>
              <w:keepLines w:val="0"/>
              <w:widowControl/>
              <w:suppressLineNumbers w:val="0"/>
              <w:jc w:val="right"/>
              <w:textAlignment w:val="bottom"/>
            </w:pPr>
            <w:r>
              <w:rPr>
                <w:rFonts w:hint="eastAsia" w:ascii="宋体" w:hAnsi="宋体" w:eastAsia="宋体" w:cs="宋体"/>
                <w:i w:val="0"/>
                <w:iCs w:val="0"/>
                <w:color w:val="000000"/>
                <w:kern w:val="0"/>
                <w:sz w:val="18"/>
                <w:szCs w:val="18"/>
                <w:u w:val="none"/>
                <w:lang w:val="en-US" w:eastAsia="zh-CN" w:bidi="ar"/>
              </w:rPr>
              <w:t>1600.00</w:t>
            </w:r>
          </w:p>
        </w:tc>
        <w:tc>
          <w:tcPr>
            <w:tcW w:w="3669" w:type="dxa"/>
            <w:vAlign w:val="center"/>
          </w:tcPr>
          <w:p>
            <w:pPr>
              <w:pStyle w:val="14"/>
            </w:pPr>
            <w:r>
              <w:t>二、外交支出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w:t>
            </w:r>
          </w:p>
        </w:tc>
        <w:tc>
          <w:tcPr>
            <w:tcW w:w="2965" w:type="dxa"/>
            <w:vAlign w:val="center"/>
          </w:tcPr>
          <w:p>
            <w:pPr>
              <w:pStyle w:val="14"/>
            </w:pPr>
            <w:r>
              <w:t>三、国有资本经营预算拨款</w:t>
            </w:r>
          </w:p>
        </w:tc>
        <w:tc>
          <w:tcPr>
            <w:tcW w:w="1281" w:type="dxa"/>
            <w:vAlign w:val="bottom"/>
          </w:tcPr>
          <w:p>
            <w:pPr>
              <w:keepNext w:val="0"/>
              <w:keepLines w:val="0"/>
              <w:widowControl/>
              <w:suppressLineNumbers w:val="0"/>
              <w:jc w:val="right"/>
              <w:textAlignment w:val="bottom"/>
            </w:pPr>
            <w:r>
              <w:rPr>
                <w:rFonts w:hint="eastAsia" w:ascii="宋体" w:hAnsi="宋体" w:eastAsia="宋体" w:cs="宋体"/>
                <w:i w:val="0"/>
                <w:iCs w:val="0"/>
                <w:color w:val="000000"/>
                <w:kern w:val="0"/>
                <w:sz w:val="18"/>
                <w:szCs w:val="18"/>
                <w:u w:val="none"/>
                <w:lang w:val="en-US" w:eastAsia="zh-CN" w:bidi="ar"/>
              </w:rPr>
              <w:t>0.00</w:t>
            </w:r>
          </w:p>
        </w:tc>
        <w:tc>
          <w:tcPr>
            <w:tcW w:w="3669" w:type="dxa"/>
            <w:vAlign w:val="center"/>
          </w:tcPr>
          <w:p>
            <w:pPr>
              <w:pStyle w:val="14"/>
            </w:pPr>
            <w:r>
              <w:t>三、国防支出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4</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四、公共安全支出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5</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五、教育支出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6</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六、科学技术支出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7</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七、文化旅游体育与传媒支出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8</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八、社会保障和就业支出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9</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九、社会保险基金支出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10</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十、卫生健康支出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11</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十一、节能环保支出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12</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十二、城乡社区支出</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13</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十三、农林水支出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371.00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371.00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14</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十四、交通运输支出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15</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十五、资源勘探工业信息等支出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16</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十六、商业服务业等支出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17</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十七、金融支出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18</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十八、援助其他地区支出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19</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十九、自然资源海洋气象等支出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20</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二十、住房保障支出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21</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二十一、粮油物资储备支出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22</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二十二、国有资本经营预算支出</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23</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二十三、灾害防治及应急管理支出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24</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二十四、预备费</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25</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二十五、其他支出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26</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二十六、转移性支出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27</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二十七、债务还本支出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28</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二十八、债务付息支出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5170.00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1600.00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29</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二十九、债务发行费用支出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30</w:t>
            </w:r>
          </w:p>
        </w:tc>
        <w:tc>
          <w:tcPr>
            <w:tcW w:w="2965" w:type="dxa"/>
            <w:vAlign w:val="center"/>
          </w:tcPr>
          <w:p>
            <w:pPr>
              <w:pStyle w:val="14"/>
            </w:pPr>
          </w:p>
        </w:tc>
        <w:tc>
          <w:tcPr>
            <w:tcW w:w="1281" w:type="dxa"/>
            <w:vAlign w:val="center"/>
          </w:tcPr>
          <w:p>
            <w:pPr>
              <w:pStyle w:val="13"/>
            </w:pPr>
          </w:p>
        </w:tc>
        <w:tc>
          <w:tcPr>
            <w:tcW w:w="3669" w:type="dxa"/>
            <w:vAlign w:val="center"/>
          </w:tcPr>
          <w:p>
            <w:pPr>
              <w:pStyle w:val="14"/>
            </w:pPr>
            <w:r>
              <w:t>三十、抗疫特别国债安排的支出</w:t>
            </w:r>
          </w:p>
        </w:tc>
        <w:tc>
          <w:tcPr>
            <w:tcW w:w="108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6162.12</w:t>
            </w:r>
          </w:p>
        </w:tc>
        <w:tc>
          <w:tcPr>
            <w:tcW w:w="161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4562.12</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1600.00</w:t>
            </w:r>
          </w:p>
        </w:tc>
        <w:tc>
          <w:tcPr>
            <w:tcW w:w="218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31</w:t>
            </w:r>
          </w:p>
        </w:tc>
        <w:tc>
          <w:tcPr>
            <w:tcW w:w="2965" w:type="dxa"/>
            <w:vAlign w:val="center"/>
          </w:tcPr>
          <w:p>
            <w:pPr>
              <w:pStyle w:val="16"/>
            </w:pPr>
            <w:r>
              <w:t>本年收入合计</w:t>
            </w:r>
          </w:p>
        </w:tc>
        <w:tc>
          <w:tcPr>
            <w:tcW w:w="1281"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6162.12</w:t>
            </w:r>
          </w:p>
        </w:tc>
        <w:tc>
          <w:tcPr>
            <w:tcW w:w="3669" w:type="dxa"/>
            <w:vAlign w:val="center"/>
          </w:tcPr>
          <w:p>
            <w:pPr>
              <w:pStyle w:val="16"/>
            </w:pPr>
            <w:r>
              <w:t>本年支出合计</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1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182"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32</w:t>
            </w:r>
          </w:p>
        </w:tc>
        <w:tc>
          <w:tcPr>
            <w:tcW w:w="2965" w:type="dxa"/>
            <w:vAlign w:val="center"/>
          </w:tcPr>
          <w:p>
            <w:pPr>
              <w:pStyle w:val="14"/>
            </w:pPr>
            <w:r>
              <w:t>年初财政拨款结转和结余</w:t>
            </w:r>
          </w:p>
        </w:tc>
        <w:tc>
          <w:tcPr>
            <w:tcW w:w="1281"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3669" w:type="dxa"/>
            <w:vAlign w:val="center"/>
          </w:tcPr>
          <w:p>
            <w:pPr>
              <w:pStyle w:val="14"/>
            </w:pPr>
            <w:r>
              <w:t>年末财政拨款结转和结余</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6162.12</w:t>
            </w:r>
          </w:p>
        </w:tc>
        <w:tc>
          <w:tcPr>
            <w:tcW w:w="161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4562.12</w:t>
            </w:r>
          </w:p>
        </w:tc>
        <w:tc>
          <w:tcPr>
            <w:tcW w:w="1766"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c>
          <w:tcPr>
            <w:tcW w:w="2182"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36</w:t>
            </w:r>
          </w:p>
        </w:tc>
        <w:tc>
          <w:tcPr>
            <w:tcW w:w="2965" w:type="dxa"/>
            <w:vAlign w:val="center"/>
          </w:tcPr>
          <w:p>
            <w:pPr>
              <w:pStyle w:val="16"/>
            </w:pPr>
            <w:r>
              <w:t>收入总计</w:t>
            </w:r>
          </w:p>
        </w:tc>
        <w:tc>
          <w:tcPr>
            <w:tcW w:w="1281"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6162.12</w:t>
            </w:r>
          </w:p>
        </w:tc>
        <w:tc>
          <w:tcPr>
            <w:tcW w:w="3669" w:type="dxa"/>
            <w:vAlign w:val="center"/>
          </w:tcPr>
          <w:p>
            <w:pPr>
              <w:pStyle w:val="16"/>
            </w:pPr>
            <w:r>
              <w:t>支出总计</w:t>
            </w:r>
          </w:p>
        </w:tc>
        <w:tc>
          <w:tcPr>
            <w:tcW w:w="108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6162.12</w:t>
            </w:r>
          </w:p>
        </w:tc>
        <w:tc>
          <w:tcPr>
            <w:tcW w:w="1615"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4562.12</w:t>
            </w:r>
          </w:p>
        </w:tc>
        <w:tc>
          <w:tcPr>
            <w:tcW w:w="1766"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1600.00</w:t>
            </w:r>
          </w:p>
        </w:tc>
        <w:tc>
          <w:tcPr>
            <w:tcW w:w="2182"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581"/>
        <w:gridCol w:w="4335"/>
        <w:gridCol w:w="292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2927"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2"/>
              <w:rPr>
                <w:highlight w:val="none"/>
              </w:rPr>
            </w:pPr>
            <w:r>
              <w:rPr>
                <w:highlight w:val="none"/>
              </w:rPr>
              <w:t>序号</w:t>
            </w:r>
          </w:p>
        </w:tc>
        <w:tc>
          <w:tcPr>
            <w:tcW w:w="5916" w:type="dxa"/>
            <w:gridSpan w:val="2"/>
            <w:vAlign w:val="center"/>
          </w:tcPr>
          <w:p>
            <w:pPr>
              <w:pStyle w:val="12"/>
              <w:rPr>
                <w:highlight w:val="none"/>
              </w:rPr>
            </w:pPr>
            <w:r>
              <w:rPr>
                <w:highlight w:val="none"/>
              </w:rPr>
              <w:t>功能分类科目</w:t>
            </w:r>
          </w:p>
        </w:tc>
        <w:tc>
          <w:tcPr>
            <w:tcW w:w="2927" w:type="dxa"/>
            <w:vMerge w:val="restart"/>
            <w:vAlign w:val="center"/>
          </w:tcPr>
          <w:p>
            <w:pPr>
              <w:pStyle w:val="12"/>
              <w:rPr>
                <w:highlight w:val="none"/>
              </w:rPr>
            </w:pPr>
            <w:r>
              <w:rPr>
                <w:highlight w:val="none"/>
              </w:rPr>
              <w:t>合计</w:t>
            </w:r>
          </w:p>
        </w:tc>
        <w:tc>
          <w:tcPr>
            <w:tcW w:w="1643" w:type="dxa"/>
            <w:vMerge w:val="restart"/>
            <w:vAlign w:val="center"/>
          </w:tcPr>
          <w:p>
            <w:pPr>
              <w:pStyle w:val="12"/>
              <w:rPr>
                <w:highlight w:val="none"/>
              </w:rPr>
            </w:pPr>
            <w:r>
              <w:rPr>
                <w:highlight w:val="none"/>
              </w:rPr>
              <w:t>基本支出</w:t>
            </w:r>
          </w:p>
        </w:tc>
        <w:tc>
          <w:tcPr>
            <w:tcW w:w="1643" w:type="dxa"/>
            <w:vMerge w:val="restart"/>
            <w:vAlign w:val="center"/>
          </w:tcPr>
          <w:p>
            <w:pPr>
              <w:pStyle w:val="12"/>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581" w:type="dxa"/>
            <w:vAlign w:val="center"/>
          </w:tcPr>
          <w:p>
            <w:pPr>
              <w:pStyle w:val="12"/>
            </w:pPr>
            <w:r>
              <w:t>科目编码</w:t>
            </w:r>
          </w:p>
        </w:tc>
        <w:tc>
          <w:tcPr>
            <w:tcW w:w="4335" w:type="dxa"/>
            <w:vAlign w:val="center"/>
          </w:tcPr>
          <w:p>
            <w:pPr>
              <w:pStyle w:val="12"/>
            </w:pPr>
            <w:r>
              <w:t>科目名称</w:t>
            </w:r>
          </w:p>
        </w:tc>
        <w:tc>
          <w:tcPr>
            <w:tcW w:w="292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2"/>
            </w:pPr>
            <w:r>
              <w:t>栏次</w:t>
            </w:r>
          </w:p>
        </w:tc>
        <w:tc>
          <w:tcPr>
            <w:tcW w:w="1581" w:type="dxa"/>
            <w:vAlign w:val="center"/>
          </w:tcPr>
          <w:p>
            <w:pPr>
              <w:pStyle w:val="12"/>
            </w:pPr>
            <w:r>
              <w:t>1</w:t>
            </w:r>
          </w:p>
        </w:tc>
        <w:tc>
          <w:tcPr>
            <w:tcW w:w="4335" w:type="dxa"/>
            <w:vAlign w:val="center"/>
          </w:tcPr>
          <w:p>
            <w:pPr>
              <w:pStyle w:val="12"/>
            </w:pPr>
            <w:r>
              <w:t>2</w:t>
            </w:r>
          </w:p>
        </w:tc>
        <w:tc>
          <w:tcPr>
            <w:tcW w:w="2927"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w:t>
            </w:r>
          </w:p>
        </w:tc>
        <w:tc>
          <w:tcPr>
            <w:tcW w:w="1581" w:type="dxa"/>
            <w:vAlign w:val="bottom"/>
          </w:tcPr>
          <w:p>
            <w:pPr>
              <w:rPr>
                <w:rFonts w:hint="eastAsia" w:ascii="宋体" w:hAnsi="宋体" w:eastAsia="宋体" w:cs="宋体"/>
                <w:i w:val="0"/>
                <w:iCs w:val="0"/>
                <w:color w:val="000000"/>
                <w:sz w:val="18"/>
                <w:szCs w:val="18"/>
                <w:u w:val="none"/>
              </w:rPr>
            </w:pP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合计</w:t>
            </w:r>
          </w:p>
        </w:tc>
        <w:tc>
          <w:tcPr>
            <w:tcW w:w="2927"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4562.12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521.12</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2</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201</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一般公共服务支出</w:t>
            </w:r>
          </w:p>
        </w:tc>
        <w:tc>
          <w:tcPr>
            <w:tcW w:w="2927"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3</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20106</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财政事务</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4</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2010601</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行政运行</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401.39</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5</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2010602</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6</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208</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7</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20805</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56.34</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8</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2080505</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37.56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37.56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9</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2080506</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18.78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18.78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10</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210</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卫生健康支出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11</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21011</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行政事业单位医疗</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12</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2101101</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行政单位医疗</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4.85</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4.85</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13</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2101102</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事业单位医疗</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30.37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30.37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ascii="方正书宋_GBK" w:hAnsi="方正书宋_GBK" w:eastAsia="方正书宋_GBK" w:cs="方正书宋_GBK"/>
                <w:sz w:val="21"/>
                <w:szCs w:val="24"/>
                <w:lang w:val="en-US" w:eastAsia="uk-UA" w:bidi="ar-SA"/>
              </w:rPr>
            </w:pPr>
            <w:r>
              <w:t>14</w:t>
            </w:r>
          </w:p>
        </w:tc>
        <w:tc>
          <w:tcPr>
            <w:tcW w:w="1581"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w:t>
            </w:r>
          </w:p>
        </w:tc>
        <w:tc>
          <w:tcPr>
            <w:tcW w:w="4335"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农林水支出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371.00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w:t>
            </w:r>
          </w:p>
        </w:tc>
        <w:tc>
          <w:tcPr>
            <w:tcW w:w="1581"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21301</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农业农村</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w:t>
            </w:r>
          </w:p>
        </w:tc>
        <w:tc>
          <w:tcPr>
            <w:tcW w:w="1581"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2130199</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其他农业农村支出</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7</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21307</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农村综合改革</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8</w:t>
            </w:r>
          </w:p>
        </w:tc>
        <w:tc>
          <w:tcPr>
            <w:tcW w:w="1581"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2130799</w:t>
            </w:r>
          </w:p>
        </w:tc>
        <w:tc>
          <w:tcPr>
            <w:tcW w:w="433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其他农村综合改革支出</w:t>
            </w:r>
          </w:p>
        </w:tc>
        <w:tc>
          <w:tcPr>
            <w:tcW w:w="2927"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9</w:t>
            </w:r>
          </w:p>
        </w:tc>
        <w:tc>
          <w:tcPr>
            <w:tcW w:w="1581"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普惠金融发展支出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340.00</w:t>
            </w:r>
          </w:p>
        </w:tc>
        <w:tc>
          <w:tcPr>
            <w:tcW w:w="1643" w:type="dxa"/>
            <w:vAlign w:val="center"/>
          </w:tcPr>
          <w:p>
            <w:pPr>
              <w:pStyle w:val="13"/>
            </w:pPr>
            <w:r>
              <w:rPr>
                <w:rFonts w:hint="eastAsia"/>
                <w:lang w:val="en-US" w:eastAsia="zh-CN"/>
              </w:rPr>
              <w:t>404.00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20</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农业保险保费补贴</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340.00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340.00</w:t>
            </w:r>
          </w:p>
        </w:tc>
        <w:tc>
          <w:tcPr>
            <w:tcW w:w="1643" w:type="dxa"/>
            <w:vAlign w:val="center"/>
          </w:tcPr>
          <w:p>
            <w:pPr>
              <w:pStyle w:val="13"/>
            </w:pPr>
            <w:r>
              <w:t>292.00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21</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住房保障支出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pStyle w:val="13"/>
            </w:pPr>
            <w:r>
              <w:t>292.00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2</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住房改革支出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3</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住房公积金</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4</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债务付息支出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5</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地方政府一般债务付息支出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1643" w:type="dxa"/>
            <w:vAlign w:val="center"/>
          </w:tcPr>
          <w:p>
            <w:pPr>
              <w:pStyle w:val="13"/>
            </w:pPr>
            <w:r>
              <w:t>3114.00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6</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地方政府一般债券付息支出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3570.00</w:t>
            </w:r>
          </w:p>
        </w:tc>
        <w:tc>
          <w:tcPr>
            <w:tcW w:w="1643" w:type="dxa"/>
            <w:vAlign w:val="center"/>
          </w:tcPr>
          <w:p>
            <w:pPr>
              <w:pStyle w:val="13"/>
            </w:pPr>
            <w:r>
              <w:t>3114.00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7</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债务发行费用支出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1643" w:type="dxa"/>
            <w:vAlign w:val="center"/>
          </w:tcPr>
          <w:p>
            <w:pPr>
              <w:pStyle w:val="13"/>
            </w:pPr>
            <w:r>
              <w:t>3114.00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8</w:t>
            </w:r>
          </w:p>
        </w:tc>
        <w:tc>
          <w:tcPr>
            <w:tcW w:w="158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地方政府一般债务发行费用支出</w:t>
            </w:r>
          </w:p>
        </w:tc>
        <w:tc>
          <w:tcPr>
            <w:tcW w:w="4335"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2927"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30.00</w:t>
            </w:r>
          </w:p>
        </w:tc>
        <w:tc>
          <w:tcPr>
            <w:tcW w:w="1643" w:type="dxa"/>
            <w:vAlign w:val="center"/>
          </w:tcPr>
          <w:p>
            <w:pPr>
              <w:pStyle w:val="13"/>
            </w:pPr>
            <w:r>
              <w:t>3492.00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3685"/>
        <w:gridCol w:w="34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3492"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2"/>
              <w:rPr>
                <w:highlight w:val="none"/>
              </w:rPr>
            </w:pPr>
            <w:r>
              <w:rPr>
                <w:highlight w:val="none"/>
              </w:rPr>
              <w:t>序号</w:t>
            </w:r>
          </w:p>
        </w:tc>
        <w:tc>
          <w:tcPr>
            <w:tcW w:w="5585" w:type="dxa"/>
            <w:gridSpan w:val="2"/>
            <w:vAlign w:val="center"/>
          </w:tcPr>
          <w:p>
            <w:pPr>
              <w:pStyle w:val="12"/>
              <w:rPr>
                <w:highlight w:val="none"/>
              </w:rPr>
            </w:pPr>
            <w:r>
              <w:rPr>
                <w:highlight w:val="none"/>
              </w:rPr>
              <w:t>支出部门经济分类科目</w:t>
            </w:r>
          </w:p>
        </w:tc>
        <w:tc>
          <w:tcPr>
            <w:tcW w:w="6778" w:type="dxa"/>
            <w:gridSpan w:val="3"/>
            <w:vAlign w:val="center"/>
          </w:tcPr>
          <w:p>
            <w:pPr>
              <w:pStyle w:val="12"/>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2"/>
            </w:pPr>
            <w:r>
              <w:t>科目编码</w:t>
            </w:r>
          </w:p>
        </w:tc>
        <w:tc>
          <w:tcPr>
            <w:tcW w:w="3685" w:type="dxa"/>
            <w:vAlign w:val="center"/>
          </w:tcPr>
          <w:p>
            <w:pPr>
              <w:pStyle w:val="12"/>
            </w:pPr>
            <w:r>
              <w:t>科目名称</w:t>
            </w:r>
          </w:p>
        </w:tc>
        <w:tc>
          <w:tcPr>
            <w:tcW w:w="3492"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pPr>
              <w:pStyle w:val="12"/>
            </w:pPr>
            <w:r>
              <w:t>栏次</w:t>
            </w:r>
          </w:p>
        </w:tc>
        <w:tc>
          <w:tcPr>
            <w:tcW w:w="1900" w:type="dxa"/>
            <w:vAlign w:val="center"/>
          </w:tcPr>
          <w:p>
            <w:pPr>
              <w:pStyle w:val="12"/>
            </w:pPr>
            <w:r>
              <w:t>1</w:t>
            </w:r>
          </w:p>
        </w:tc>
        <w:tc>
          <w:tcPr>
            <w:tcW w:w="3685" w:type="dxa"/>
            <w:vAlign w:val="center"/>
          </w:tcPr>
          <w:p>
            <w:pPr>
              <w:pStyle w:val="12"/>
            </w:pPr>
            <w:r>
              <w:t>2</w:t>
            </w:r>
          </w:p>
        </w:tc>
        <w:tc>
          <w:tcPr>
            <w:tcW w:w="3492"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w:t>
            </w:r>
          </w:p>
        </w:tc>
        <w:tc>
          <w:tcPr>
            <w:tcW w:w="1900" w:type="dxa"/>
            <w:vAlign w:val="bottom"/>
          </w:tcPr>
          <w:p>
            <w:pPr>
              <w:rPr>
                <w:rFonts w:hint="eastAsia" w:ascii="宋体" w:hAnsi="宋体" w:eastAsia="宋体" w:cs="宋体"/>
                <w:i w:val="0"/>
                <w:iCs w:val="0"/>
                <w:color w:val="000000"/>
                <w:sz w:val="18"/>
                <w:szCs w:val="18"/>
                <w:u w:val="none"/>
              </w:rPr>
            </w:pP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合计</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521.12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488.40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工资福利支出</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488.40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488.40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3</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30101</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基本工资</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115.18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115.18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4</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30102</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津贴补贴★</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116.17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116.17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5</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30103</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奖金</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1.45</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1.45</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6</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30107</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绩效工资</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129.73</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129.73</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7</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30108</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37.56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37.56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8</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30109</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职业年金缴费★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18.78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18.78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9</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30110</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35.22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10</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30112</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其他社会保障缴费★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3.86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3.86</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11</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30113</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住房公积金</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28.17</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12</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30199</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其他工资福利支出</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2.18</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13</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商品和服务支出</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32.72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14</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30201</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办公费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15</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30202</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印刷费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16</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30207</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邮电费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3.60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17</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30211</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差旅费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3.80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18</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30213</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维修(护)费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19</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30215</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会议费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20</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30216</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培训费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21</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30217</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公务接待费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22</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30228</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工会经费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23</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30231</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24</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30299</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0.32</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25</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303</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26</w:t>
            </w:r>
          </w:p>
        </w:tc>
        <w:tc>
          <w:tcPr>
            <w:tcW w:w="1900"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30309</w:t>
            </w:r>
          </w:p>
        </w:tc>
        <w:tc>
          <w:tcPr>
            <w:tcW w:w="3685"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奖励金</w:t>
            </w:r>
          </w:p>
        </w:tc>
        <w:tc>
          <w:tcPr>
            <w:tcW w:w="3492"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0.10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0.10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2"/>
            </w:pPr>
            <w:r>
              <w:t>序号</w:t>
            </w:r>
          </w:p>
        </w:tc>
        <w:tc>
          <w:tcPr>
            <w:tcW w:w="7205"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2"/>
            </w:pPr>
            <w:r>
              <w:t>科目编码</w:t>
            </w:r>
          </w:p>
        </w:tc>
        <w:tc>
          <w:tcPr>
            <w:tcW w:w="572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2"/>
            </w:pPr>
            <w:r>
              <w:t>栏次</w:t>
            </w:r>
          </w:p>
        </w:tc>
        <w:tc>
          <w:tcPr>
            <w:tcW w:w="1484" w:type="dxa"/>
            <w:vAlign w:val="center"/>
          </w:tcPr>
          <w:p>
            <w:pPr>
              <w:pStyle w:val="12"/>
            </w:pPr>
            <w:r>
              <w:t>1</w:t>
            </w:r>
          </w:p>
        </w:tc>
        <w:tc>
          <w:tcPr>
            <w:tcW w:w="572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pPr>
            <w:r>
              <w:t>1</w:t>
            </w:r>
          </w:p>
        </w:tc>
        <w:tc>
          <w:tcPr>
            <w:tcW w:w="1484" w:type="dxa"/>
            <w:vAlign w:val="bottom"/>
          </w:tcPr>
          <w:p>
            <w:pPr>
              <w:rPr>
                <w:rFonts w:hint="eastAsia" w:ascii="宋体" w:hAnsi="宋体" w:eastAsia="宋体" w:cs="宋体"/>
                <w:i w:val="0"/>
                <w:iCs w:val="0"/>
                <w:color w:val="000000"/>
                <w:sz w:val="18"/>
                <w:szCs w:val="18"/>
                <w:u w:val="none"/>
              </w:rPr>
            </w:pPr>
          </w:p>
        </w:tc>
        <w:tc>
          <w:tcPr>
            <w:tcW w:w="572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合计</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1600.00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2</w:t>
            </w:r>
          </w:p>
        </w:tc>
        <w:tc>
          <w:tcPr>
            <w:tcW w:w="1484"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w:t>
            </w:r>
          </w:p>
        </w:tc>
        <w:tc>
          <w:tcPr>
            <w:tcW w:w="572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债务付息支出</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3</w:t>
            </w:r>
          </w:p>
        </w:tc>
        <w:tc>
          <w:tcPr>
            <w:tcW w:w="1484"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23204</w:t>
            </w:r>
          </w:p>
        </w:tc>
        <w:tc>
          <w:tcPr>
            <w:tcW w:w="572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地方政府专项债务付息支出</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4</w:t>
            </w:r>
          </w:p>
        </w:tc>
        <w:tc>
          <w:tcPr>
            <w:tcW w:w="1484" w:type="dxa"/>
            <w:vAlign w:val="bottom"/>
          </w:tcPr>
          <w:p>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2320411</w:t>
            </w:r>
          </w:p>
        </w:tc>
        <w:tc>
          <w:tcPr>
            <w:tcW w:w="572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国有土地使用权出让金债务付息支出</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2190"/>
        <w:gridCol w:w="40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2"/>
            </w:pPr>
            <w:r>
              <w:t>序号</w:t>
            </w:r>
          </w:p>
        </w:tc>
        <w:tc>
          <w:tcPr>
            <w:tcW w:w="6268"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2190" w:type="dxa"/>
            <w:vAlign w:val="center"/>
          </w:tcPr>
          <w:p>
            <w:pPr>
              <w:pStyle w:val="12"/>
            </w:pPr>
            <w:r>
              <w:t>科目编码</w:t>
            </w:r>
          </w:p>
        </w:tc>
        <w:tc>
          <w:tcPr>
            <w:tcW w:w="407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2"/>
            </w:pPr>
            <w:r>
              <w:t>栏次</w:t>
            </w:r>
          </w:p>
        </w:tc>
        <w:tc>
          <w:tcPr>
            <w:tcW w:w="2190" w:type="dxa"/>
            <w:vAlign w:val="center"/>
          </w:tcPr>
          <w:p>
            <w:pPr>
              <w:pStyle w:val="12"/>
            </w:pPr>
            <w:r>
              <w:t>1</w:t>
            </w:r>
          </w:p>
        </w:tc>
        <w:tc>
          <w:tcPr>
            <w:tcW w:w="407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5"/>
              <w:rPr>
                <w:rFonts w:hint="eastAsia" w:eastAsia="方正书宋_GBK"/>
                <w:lang w:val="en-US" w:eastAsia="zh-CN"/>
              </w:rPr>
            </w:pPr>
            <w:r>
              <w:rPr>
                <w:rFonts w:hint="eastAsia"/>
                <w:lang w:val="en-US" w:eastAsia="zh-CN"/>
              </w:rPr>
              <w:t>1</w:t>
            </w:r>
          </w:p>
        </w:tc>
        <w:tc>
          <w:tcPr>
            <w:tcW w:w="2190" w:type="dxa"/>
            <w:vAlign w:val="center"/>
          </w:tcPr>
          <w:p>
            <w:pPr>
              <w:pStyle w:val="14"/>
            </w:pPr>
          </w:p>
        </w:tc>
        <w:tc>
          <w:tcPr>
            <w:tcW w:w="4078" w:type="dxa"/>
            <w:vAlign w:val="center"/>
          </w:tcPr>
          <w:p>
            <w:pPr>
              <w:pStyle w:val="14"/>
              <w:rPr>
                <w:rFonts w:hint="eastAsia" w:eastAsia="方正书宋_GBK"/>
                <w:lang w:eastAsia="zh-CN"/>
              </w:rPr>
            </w:pPr>
            <w:r>
              <w:rPr>
                <w:rFonts w:hint="eastAsia"/>
                <w:lang w:eastAsia="zh-CN"/>
              </w:rPr>
              <w:t>合计</w:t>
            </w:r>
          </w:p>
        </w:tc>
        <w:tc>
          <w:tcPr>
            <w:tcW w:w="1643" w:type="dxa"/>
            <w:vAlign w:val="center"/>
          </w:tcPr>
          <w:p>
            <w:pPr>
              <w:pStyle w:val="13"/>
              <w:rPr>
                <w:rFonts w:hint="default" w:eastAsia="方正书宋_GBK"/>
                <w:lang w:val="en-US" w:eastAsia="zh-CN"/>
              </w:rPr>
            </w:pPr>
            <w:r>
              <w:rPr>
                <w:rFonts w:hint="eastAsia"/>
                <w:lang w:val="en-US" w:eastAsia="zh-CN"/>
              </w:rPr>
              <w:t>0.00</w:t>
            </w:r>
          </w:p>
        </w:tc>
        <w:tc>
          <w:tcPr>
            <w:tcW w:w="1643" w:type="dxa"/>
            <w:vAlign w:val="center"/>
          </w:tcPr>
          <w:p>
            <w:pPr>
              <w:pStyle w:val="13"/>
              <w:rPr>
                <w:rFonts w:hint="default" w:eastAsia="方正书宋_GBK"/>
                <w:lang w:val="en-US" w:eastAsia="zh-CN"/>
              </w:rPr>
            </w:pPr>
            <w:r>
              <w:rPr>
                <w:rFonts w:hint="eastAsia"/>
                <w:lang w:val="en-US" w:eastAsia="zh-CN"/>
              </w:rPr>
              <w:t>0.00</w:t>
            </w:r>
          </w:p>
        </w:tc>
        <w:tc>
          <w:tcPr>
            <w:tcW w:w="1643" w:type="dxa"/>
            <w:vAlign w:val="center"/>
          </w:tcPr>
          <w:p>
            <w:pPr>
              <w:pStyle w:val="13"/>
              <w:rPr>
                <w:rFonts w:hint="default"/>
                <w:lang w:val="en-US"/>
              </w:rPr>
            </w:pPr>
            <w:r>
              <w:rPr>
                <w:rFonts w:hint="eastAsia"/>
                <w:lang w:val="en-US" w:eastAsia="zh-CN"/>
              </w:rPr>
              <w:t>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预算财政拨款“三公”经费支出表</w:t>
      </w:r>
      <w:bookmarkEnd w:id="8"/>
    </w:p>
    <w:tbl>
      <w:tblPr>
        <w:tblStyle w:val="6"/>
        <w:tblW w:w="13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4261"/>
        <w:gridCol w:w="1719"/>
        <w:gridCol w:w="282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trHeight w:val="369" w:hRule="atLeast"/>
          <w:tblHeader/>
          <w:jc w:val="center"/>
        </w:trPr>
        <w:tc>
          <w:tcPr>
            <w:tcW w:w="768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2824"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eastAsia="zh-CN"/>
              </w:rPr>
            </w:pPr>
            <w:r>
              <w:rPr>
                <w:highlight w:val="none"/>
              </w:rPr>
              <w:t>预算年度：</w:t>
            </w:r>
            <w:r>
              <w:rPr>
                <w:rFonts w:hint="eastAsia"/>
                <w:highlight w:val="none"/>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trHeight w:val="369" w:hRule="atLeast"/>
          <w:tblHeader/>
          <w:jc w:val="center"/>
        </w:trPr>
        <w:tc>
          <w:tcPr>
            <w:tcW w:w="1707" w:type="dxa"/>
            <w:vMerge w:val="restart"/>
            <w:vAlign w:val="center"/>
          </w:tcPr>
          <w:p>
            <w:pPr>
              <w:pStyle w:val="12"/>
              <w:rPr>
                <w:highlight w:val="none"/>
              </w:rPr>
            </w:pPr>
            <w:r>
              <w:rPr>
                <w:highlight w:val="none"/>
              </w:rPr>
              <w:t>序号</w:t>
            </w:r>
          </w:p>
        </w:tc>
        <w:tc>
          <w:tcPr>
            <w:tcW w:w="4261" w:type="dxa"/>
            <w:vMerge w:val="restart"/>
            <w:vAlign w:val="center"/>
          </w:tcPr>
          <w:p>
            <w:pPr>
              <w:pStyle w:val="12"/>
              <w:rPr>
                <w:highlight w:val="none"/>
              </w:rPr>
            </w:pPr>
            <w:r>
              <w:rPr>
                <w:highlight w:val="none"/>
              </w:rPr>
              <w:t>项  目</w:t>
            </w:r>
          </w:p>
        </w:tc>
        <w:tc>
          <w:tcPr>
            <w:tcW w:w="7829" w:type="dxa"/>
            <w:gridSpan w:val="4"/>
            <w:vAlign w:val="center"/>
          </w:tcPr>
          <w:p>
            <w:pPr>
              <w:pStyle w:val="12"/>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trHeight w:val="567" w:hRule="atLeast"/>
          <w:tblHeader/>
          <w:jc w:val="center"/>
        </w:trPr>
        <w:tc>
          <w:tcPr>
            <w:tcW w:w="1707" w:type="dxa"/>
            <w:vMerge w:val="continue"/>
          </w:tcPr>
          <w:p/>
        </w:tc>
        <w:tc>
          <w:tcPr>
            <w:tcW w:w="4261" w:type="dxa"/>
            <w:vMerge w:val="continue"/>
          </w:tcPr>
          <w:p/>
        </w:tc>
        <w:tc>
          <w:tcPr>
            <w:tcW w:w="1719" w:type="dxa"/>
            <w:vAlign w:val="center"/>
          </w:tcPr>
          <w:p>
            <w:pPr>
              <w:pStyle w:val="12"/>
            </w:pPr>
            <w:r>
              <w:t>合计</w:t>
            </w:r>
          </w:p>
        </w:tc>
        <w:tc>
          <w:tcPr>
            <w:tcW w:w="2824"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trHeight w:val="567" w:hRule="atLeast"/>
          <w:tblHeader/>
          <w:jc w:val="center"/>
        </w:trPr>
        <w:tc>
          <w:tcPr>
            <w:tcW w:w="1707" w:type="dxa"/>
            <w:vAlign w:val="center"/>
          </w:tcPr>
          <w:p>
            <w:pPr>
              <w:pStyle w:val="12"/>
            </w:pPr>
            <w:r>
              <w:t>栏次</w:t>
            </w:r>
          </w:p>
        </w:tc>
        <w:tc>
          <w:tcPr>
            <w:tcW w:w="4261" w:type="dxa"/>
            <w:vAlign w:val="center"/>
          </w:tcPr>
          <w:p>
            <w:pPr>
              <w:pStyle w:val="12"/>
            </w:pPr>
            <w:r>
              <w:t>1</w:t>
            </w:r>
          </w:p>
        </w:tc>
        <w:tc>
          <w:tcPr>
            <w:tcW w:w="1719" w:type="dxa"/>
            <w:vAlign w:val="center"/>
          </w:tcPr>
          <w:p>
            <w:pPr>
              <w:pStyle w:val="12"/>
            </w:pPr>
            <w:r>
              <w:t>2</w:t>
            </w:r>
          </w:p>
        </w:tc>
        <w:tc>
          <w:tcPr>
            <w:tcW w:w="2824"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合计</w:t>
            </w:r>
          </w:p>
        </w:tc>
        <w:tc>
          <w:tcPr>
            <w:tcW w:w="1719" w:type="dxa"/>
            <w:vAlign w:val="bottom"/>
          </w:tcPr>
          <w:p>
            <w:pPr>
              <w:jc w:val="righ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2824" w:type="dxa"/>
            <w:vAlign w:val="bottom"/>
          </w:tcPr>
          <w:p>
            <w:pPr>
              <w:jc w:val="righ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643" w:type="dxa"/>
            <w:vAlign w:val="bottom"/>
          </w:tcPr>
          <w:p>
            <w:pPr>
              <w:jc w:val="righ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jc w:val="righ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2</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“三公”经费小计</w:t>
            </w:r>
          </w:p>
        </w:tc>
        <w:tc>
          <w:tcPr>
            <w:tcW w:w="1719"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7.00</w:t>
            </w:r>
          </w:p>
        </w:tc>
        <w:tc>
          <w:tcPr>
            <w:tcW w:w="2824"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3</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一、因公出国（境）费</w:t>
            </w:r>
          </w:p>
        </w:tc>
        <w:tc>
          <w:tcPr>
            <w:tcW w:w="1719"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2824"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4</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1719" w:type="dxa"/>
            <w:vAlign w:val="bottom"/>
          </w:tcPr>
          <w:p>
            <w:pPr>
              <w:rPr>
                <w:rFonts w:hint="eastAsia" w:ascii="宋体" w:hAnsi="宋体" w:eastAsia="宋体" w:cs="宋体"/>
                <w:i w:val="0"/>
                <w:iCs w:val="0"/>
                <w:color w:val="000000"/>
                <w:sz w:val="18"/>
                <w:szCs w:val="18"/>
                <w:u w:val="none"/>
              </w:rPr>
            </w:pPr>
          </w:p>
        </w:tc>
        <w:tc>
          <w:tcPr>
            <w:tcW w:w="2824"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5</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1719" w:type="dxa"/>
            <w:vAlign w:val="bottom"/>
          </w:tcPr>
          <w:p>
            <w:pPr>
              <w:rPr>
                <w:rFonts w:hint="eastAsia" w:ascii="宋体" w:hAnsi="宋体" w:eastAsia="宋体" w:cs="宋体"/>
                <w:i w:val="0"/>
                <w:iCs w:val="0"/>
                <w:color w:val="000000"/>
                <w:sz w:val="18"/>
                <w:szCs w:val="18"/>
                <w:u w:val="none"/>
              </w:rPr>
            </w:pPr>
          </w:p>
        </w:tc>
        <w:tc>
          <w:tcPr>
            <w:tcW w:w="2824"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6</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1719"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c>
          <w:tcPr>
            <w:tcW w:w="2824"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7</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1719" w:type="dxa"/>
            <w:vAlign w:val="bottom"/>
          </w:tcPr>
          <w:p>
            <w:pPr>
              <w:rPr>
                <w:rFonts w:hint="eastAsia" w:ascii="宋体" w:hAnsi="宋体" w:eastAsia="宋体" w:cs="宋体"/>
                <w:i w:val="0"/>
                <w:iCs w:val="0"/>
                <w:color w:val="000000"/>
                <w:sz w:val="18"/>
                <w:szCs w:val="18"/>
                <w:u w:val="none"/>
              </w:rPr>
            </w:pPr>
          </w:p>
        </w:tc>
        <w:tc>
          <w:tcPr>
            <w:tcW w:w="2824"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c>
          <w:tcPr>
            <w:tcW w:w="1643" w:type="dxa"/>
            <w:vAlign w:val="bottom"/>
          </w:tcPr>
          <w:p>
            <w:pPr>
              <w:rPr>
                <w:rFonts w:hint="eastAsia" w:ascii="宋体" w:hAnsi="宋体" w:eastAsia="宋体" w:cs="宋体"/>
                <w:i w:val="0"/>
                <w:iCs w:val="0"/>
                <w:color w:val="000000"/>
                <w:sz w:val="18"/>
                <w:szCs w:val="18"/>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8</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719"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c>
          <w:tcPr>
            <w:tcW w:w="2824"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9</w:t>
            </w:r>
          </w:p>
        </w:tc>
        <w:tc>
          <w:tcPr>
            <w:tcW w:w="4261" w:type="dxa"/>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三、公务接待费</w:t>
            </w:r>
          </w:p>
        </w:tc>
        <w:tc>
          <w:tcPr>
            <w:tcW w:w="1719"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w:t>
            </w:r>
          </w:p>
        </w:tc>
        <w:tc>
          <w:tcPr>
            <w:tcW w:w="2824"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2.50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c>
          <w:tcPr>
            <w:tcW w:w="1643" w:type="dxa"/>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hint="eastAsia" w:ascii="方正小标宋_GBK" w:hAnsi="方正小标宋_GBK" w:eastAsia="方正小标宋_GBK" w:cs="方正小标宋_GBK"/>
          <w:color w:val="000000"/>
          <w:sz w:val="44"/>
          <w:highlight w:val="none"/>
          <w:lang w:eastAsia="zh-CN"/>
        </w:rPr>
      </w:pPr>
      <w:r>
        <w:rPr>
          <w:rFonts w:ascii="方正小标宋_GBK" w:hAnsi="方正小标宋_GBK" w:eastAsia="方正小标宋_GBK" w:cs="方正小标宋_GBK"/>
          <w:color w:val="000000"/>
          <w:sz w:val="44"/>
        </w:rPr>
        <w:t>唐山高新技术产业开发区财政</w:t>
      </w:r>
      <w:r>
        <w:rPr>
          <w:rFonts w:ascii="方正小标宋_GBK" w:hAnsi="方正小标宋_GBK" w:eastAsia="方正小标宋_GBK" w:cs="方正小标宋_GBK"/>
          <w:color w:val="000000"/>
          <w:sz w:val="44"/>
          <w:highlight w:val="none"/>
        </w:rPr>
        <w:t>局</w:t>
      </w:r>
      <w:r>
        <w:rPr>
          <w:rFonts w:hint="eastAsia" w:ascii="方正小标宋_GBK" w:hAnsi="方正小标宋_GBK" w:eastAsia="方正小标宋_GBK" w:cs="方正小标宋_GBK"/>
          <w:color w:val="000000"/>
          <w:sz w:val="44"/>
          <w:highlight w:val="none"/>
          <w:lang w:eastAsia="zh-CN"/>
        </w:rPr>
        <w:t>（本级）</w:t>
      </w:r>
    </w:p>
    <w:p>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44"/>
          <w:highlight w:val="none"/>
          <w:lang w:eastAsia="zh-CN"/>
        </w:rPr>
        <w:t>2021</w:t>
      </w:r>
      <w:r>
        <w:rPr>
          <w:rFonts w:ascii="方正小标宋_GBK" w:hAnsi="方正小标宋_GBK" w:eastAsia="方正小标宋_GBK" w:cs="方正小标宋_GBK"/>
          <w:color w:val="000000"/>
          <w:sz w:val="44"/>
          <w:highlight w:val="none"/>
        </w:rPr>
        <w:t>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highlight w:val="none"/>
        </w:rPr>
        <w:t>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按照《预算法》、《地方预决算公开操作规程》和《关于进一步推进预算公开工作的实施意见》规定，现将唐山高新技术产业开发区财政局</w:t>
      </w:r>
      <w:r>
        <w:rPr>
          <w:rFonts w:hint="eastAsia" w:eastAsia="方正仿宋_GBK" w:cs="Times New Roman"/>
          <w:color w:val="000000"/>
          <w:sz w:val="28"/>
          <w:highlight w:val="none"/>
          <w:lang w:eastAsia="zh-CN"/>
        </w:rPr>
        <w:t>2021</w:t>
      </w:r>
      <w:r>
        <w:rPr>
          <w:rFonts w:ascii="Times New Roman" w:hAnsi="Times New Roman" w:eastAsia="方正仿宋_GBK" w:cs="Times New Roman"/>
          <w:color w:val="000000"/>
          <w:sz w:val="28"/>
          <w:highlight w:val="none"/>
        </w:rPr>
        <w:t>年</w:t>
      </w:r>
      <w:r>
        <w:rPr>
          <w:rFonts w:hint="eastAsia" w:eastAsia="方正仿宋_GBK" w:cs="Times New Roman"/>
          <w:color w:val="000000"/>
          <w:sz w:val="28"/>
          <w:highlight w:val="none"/>
          <w:lang w:eastAsia="zh-CN"/>
        </w:rPr>
        <w:t>单位</w:t>
      </w:r>
      <w:r>
        <w:rPr>
          <w:rFonts w:ascii="Times New Roman" w:hAnsi="Times New Roman" w:eastAsia="方正仿宋_GBK" w:cs="Times New Roman"/>
          <w:color w:val="000000"/>
          <w:sz w:val="28"/>
          <w:highlight w:val="none"/>
        </w:rPr>
        <w:t>预算公开如下：</w:t>
      </w:r>
    </w:p>
    <w:p>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职责及机构设置情况</w:t>
      </w:r>
      <w:bookmarkEnd w:id="9"/>
    </w:p>
    <w:p>
      <w:pPr>
        <w:spacing w:before="0" w:after="0" w:line="240" w:lineRule="auto"/>
        <w:ind w:firstLine="640"/>
        <w:jc w:val="left"/>
        <w:outlineLvl w:val="9"/>
        <w:rPr>
          <w:highlight w:val="none"/>
        </w:rPr>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职责：</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单位</w:t>
      </w:r>
      <w:r>
        <w:rPr>
          <w:rFonts w:hint="eastAsia" w:ascii="仿宋" w:hAnsi="仿宋" w:eastAsia="仿宋" w:cs="仿宋"/>
          <w:sz w:val="32"/>
          <w:szCs w:val="32"/>
          <w:highlight w:val="none"/>
        </w:rPr>
        <w:t>唐山高新技术产业开发区财政局</w:t>
      </w:r>
      <w:r>
        <w:rPr>
          <w:rFonts w:hint="eastAsia" w:ascii="仿宋" w:hAnsi="仿宋" w:eastAsia="仿宋" w:cs="仿宋"/>
          <w:sz w:val="32"/>
          <w:szCs w:val="32"/>
          <w:highlight w:val="none"/>
          <w:lang w:eastAsia="zh-CN"/>
        </w:rPr>
        <w:t>（本级）</w:t>
      </w:r>
      <w:r>
        <w:rPr>
          <w:rFonts w:hint="eastAsia" w:ascii="仿宋_GB2312" w:eastAsia="仿宋_GB2312"/>
          <w:sz w:val="32"/>
          <w:szCs w:val="32"/>
          <w:highlight w:val="none"/>
        </w:rPr>
        <w:t>为副县级、行政单位，经费形式是财政拨款。</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根据工作需要，设有</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个处室</w:t>
      </w:r>
      <w:r>
        <w:rPr>
          <w:rFonts w:ascii="仿宋" w:hAnsi="仿宋" w:eastAsia="仿宋" w:cs="仿宋"/>
          <w:sz w:val="32"/>
          <w:szCs w:val="32"/>
          <w:highlight w:val="none"/>
        </w:rPr>
        <w:t>:</w:t>
      </w:r>
      <w:r>
        <w:rPr>
          <w:rFonts w:hint="eastAsia" w:ascii="仿宋" w:hAnsi="仿宋" w:eastAsia="仿宋" w:cs="仿宋"/>
          <w:sz w:val="32"/>
          <w:szCs w:val="32"/>
          <w:highlight w:val="none"/>
        </w:rPr>
        <w:t>综合处、预算处、社会事业处、基建处、综合治税办、集中支付中心、国资办、产业基金公司</w:t>
      </w:r>
      <w:r>
        <w:rPr>
          <w:rFonts w:hint="eastAsia" w:ascii="仿宋" w:hAnsi="仿宋" w:eastAsia="仿宋" w:cs="仿宋"/>
          <w:sz w:val="32"/>
          <w:szCs w:val="32"/>
          <w:highlight w:val="none"/>
          <w:lang w:eastAsia="zh-CN"/>
        </w:rPr>
        <w:t>、监督评价处</w:t>
      </w:r>
      <w:r>
        <w:rPr>
          <w:rFonts w:hint="eastAsia" w:ascii="仿宋" w:hAnsi="仿宋" w:eastAsia="仿宋" w:cs="仿宋"/>
          <w:sz w:val="32"/>
          <w:szCs w:val="32"/>
          <w:highlight w:val="none"/>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主要职责：</w:t>
      </w:r>
    </w:p>
    <w:p>
      <w:pPr>
        <w:ind w:firstLine="640" w:firstLineChars="200"/>
        <w:rPr>
          <w:rFonts w:ascii="仿宋_GB2312" w:eastAsia="仿宋_GB2312"/>
          <w:sz w:val="32"/>
          <w:szCs w:val="32"/>
        </w:rPr>
      </w:pPr>
      <w:r>
        <w:rPr>
          <w:rFonts w:hint="eastAsia" w:ascii="仿宋_GB2312" w:eastAsia="仿宋_GB2312"/>
          <w:sz w:val="32"/>
          <w:szCs w:val="32"/>
          <w:highlight w:val="none"/>
        </w:rPr>
        <w:t>贯彻落实党中央和省、市、区关于财政和国有资产监督管理工作的方针政策</w:t>
      </w:r>
      <w:r>
        <w:rPr>
          <w:rFonts w:hint="eastAsia" w:ascii="仿宋_GB2312" w:eastAsia="仿宋_GB2312"/>
          <w:sz w:val="32"/>
          <w:szCs w:val="32"/>
        </w:rPr>
        <w:t>和决策部署，坚持和加强党对财政和国有资产监督管理工作的集中统一领导。主要职责是：</w:t>
      </w:r>
    </w:p>
    <w:p>
      <w:pPr>
        <w:ind w:firstLine="640" w:firstLineChars="200"/>
        <w:rPr>
          <w:rFonts w:ascii="仿宋_GB2312" w:eastAsia="仿宋_GB2312"/>
          <w:sz w:val="32"/>
          <w:szCs w:val="32"/>
        </w:rPr>
      </w:pPr>
      <w:r>
        <w:rPr>
          <w:rFonts w:hint="eastAsia" w:ascii="仿宋_GB2312" w:eastAsia="仿宋_GB2312"/>
          <w:sz w:val="32"/>
          <w:szCs w:val="32"/>
        </w:rPr>
        <w:t>（一）拟订财税发展战略、规划、政策和改革方案并组织实施。分析预测宏观经济形势，参与制定宏观经济政策，提出运用财税政策实施宏观调控和综合平衡社会财力的建议。</w:t>
      </w:r>
    </w:p>
    <w:p>
      <w:pPr>
        <w:ind w:firstLine="640" w:firstLineChars="200"/>
        <w:rPr>
          <w:rFonts w:ascii="仿宋_GB2312" w:eastAsia="仿宋_GB2312"/>
          <w:sz w:val="32"/>
          <w:szCs w:val="32"/>
        </w:rPr>
      </w:pPr>
      <w:r>
        <w:rPr>
          <w:rFonts w:hint="eastAsia" w:ascii="仿宋_GB2312" w:eastAsia="仿宋_GB2312"/>
          <w:sz w:val="32"/>
          <w:szCs w:val="32"/>
        </w:rPr>
        <w:t>（二）贯彻执行财政、财务、会计管理的法律、行政法规、规章。</w:t>
      </w:r>
    </w:p>
    <w:p>
      <w:pPr>
        <w:ind w:firstLine="640" w:firstLineChars="200"/>
        <w:rPr>
          <w:rFonts w:ascii="仿宋_GB2312" w:eastAsia="仿宋_GB2312"/>
          <w:sz w:val="32"/>
          <w:szCs w:val="32"/>
        </w:rPr>
      </w:pPr>
      <w:r>
        <w:rPr>
          <w:rFonts w:hint="eastAsia" w:ascii="仿宋_GB2312" w:eastAsia="仿宋_GB2312"/>
          <w:sz w:val="32"/>
          <w:szCs w:val="32"/>
        </w:rPr>
        <w:t>（三）负责管理各项财政收支。编制年度预决算草案并组织执行。组织制定经费开支标准、定额，审核批复部门（单位）年度预决算。受管委会委托，向市人民代表大会及其常委会报告财政预算、执行和决算等情况。负责财政预决算公开。</w:t>
      </w:r>
    </w:p>
    <w:p>
      <w:pPr>
        <w:ind w:firstLine="640" w:firstLineChars="200"/>
        <w:rPr>
          <w:rFonts w:ascii="仿宋_GB2312" w:eastAsia="仿宋_GB2312"/>
          <w:sz w:val="32"/>
          <w:szCs w:val="32"/>
        </w:rPr>
      </w:pPr>
      <w:r>
        <w:rPr>
          <w:rFonts w:hint="eastAsia" w:ascii="仿宋_GB2312" w:eastAsia="仿宋_GB2312"/>
          <w:sz w:val="32"/>
          <w:szCs w:val="32"/>
        </w:rPr>
        <w:t>（四）深化财税体制改革。负责落实上级财税政策及调整方案，开展税收政策与税源情况调查。全面实施预算绩效管理，落实财政事权和支出责任划分。</w:t>
      </w:r>
    </w:p>
    <w:p>
      <w:pPr>
        <w:ind w:firstLine="640" w:firstLineChars="200"/>
        <w:rPr>
          <w:rFonts w:ascii="仿宋_GB2312" w:eastAsia="仿宋_GB2312"/>
          <w:sz w:val="32"/>
          <w:szCs w:val="32"/>
        </w:rPr>
      </w:pPr>
      <w:r>
        <w:rPr>
          <w:rFonts w:hint="eastAsia" w:ascii="仿宋_GB2312" w:eastAsia="仿宋_GB2312"/>
          <w:sz w:val="32"/>
          <w:szCs w:val="32"/>
        </w:rPr>
        <w:t>（五）按分工负责政府非税收入管理。按规定管理行政事业性收费，负责政府性基金和财政票据管理。</w:t>
      </w:r>
    </w:p>
    <w:p>
      <w:pPr>
        <w:ind w:firstLine="640" w:firstLineChars="200"/>
        <w:rPr>
          <w:rFonts w:ascii="仿宋_GB2312" w:eastAsia="仿宋_GB2312"/>
          <w:sz w:val="32"/>
          <w:szCs w:val="32"/>
        </w:rPr>
      </w:pPr>
      <w:r>
        <w:rPr>
          <w:rFonts w:hint="eastAsia" w:ascii="仿宋_GB2312" w:eastAsia="仿宋_GB2312"/>
          <w:sz w:val="32"/>
          <w:szCs w:val="32"/>
        </w:rPr>
        <w:t>（六）研究制定国库管理制度、国库集中收付制度，指导和监督国库业务，开展国库现金管理工作，组织政府财务报告的编制。落实政府采购制度并监督管理。</w:t>
      </w:r>
    </w:p>
    <w:p>
      <w:pPr>
        <w:ind w:firstLine="640" w:firstLineChars="200"/>
        <w:rPr>
          <w:rFonts w:ascii="仿宋_GB2312" w:eastAsia="仿宋_GB2312"/>
          <w:sz w:val="32"/>
          <w:szCs w:val="32"/>
        </w:rPr>
      </w:pPr>
      <w:r>
        <w:rPr>
          <w:rFonts w:hint="eastAsia" w:ascii="仿宋_GB2312" w:eastAsia="仿宋_GB2312"/>
          <w:sz w:val="32"/>
          <w:szCs w:val="32"/>
        </w:rPr>
        <w:t>（七）负责执行政府债务管理制度和政策。防范化解地方政府债务风险，规范举债融资机制，构建“闭环”管理体系。</w:t>
      </w:r>
    </w:p>
    <w:p>
      <w:pPr>
        <w:ind w:firstLine="640" w:firstLineChars="200"/>
        <w:rPr>
          <w:rFonts w:ascii="仿宋_GB2312" w:eastAsia="仿宋_GB2312"/>
          <w:sz w:val="32"/>
          <w:szCs w:val="32"/>
        </w:rPr>
      </w:pPr>
      <w:r>
        <w:rPr>
          <w:rFonts w:hint="eastAsia" w:ascii="仿宋_GB2312" w:eastAsia="仿宋_GB2312"/>
          <w:sz w:val="32"/>
          <w:szCs w:val="32"/>
        </w:rPr>
        <w:t>（八）负责审核、汇总、编制全区社会保险基金预决算草案，承担社会保险基金财政监管工作。</w:t>
      </w:r>
    </w:p>
    <w:p>
      <w:pPr>
        <w:ind w:firstLine="640" w:firstLineChars="200"/>
        <w:rPr>
          <w:rFonts w:ascii="仿宋_GB2312" w:eastAsia="仿宋_GB2312"/>
          <w:sz w:val="32"/>
          <w:szCs w:val="32"/>
        </w:rPr>
      </w:pPr>
      <w:r>
        <w:rPr>
          <w:rFonts w:hint="eastAsia" w:ascii="仿宋_GB2312" w:eastAsia="仿宋_GB2312"/>
          <w:sz w:val="32"/>
          <w:szCs w:val="32"/>
        </w:rPr>
        <w:t>（九）负责政府投资项目预算评审管理，严格执行项目建设相关管理政策。</w:t>
      </w:r>
    </w:p>
    <w:p>
      <w:pPr>
        <w:ind w:firstLine="640" w:firstLineChars="200"/>
        <w:rPr>
          <w:rFonts w:ascii="仿宋_GB2312" w:eastAsia="仿宋_GB2312"/>
          <w:sz w:val="32"/>
          <w:szCs w:val="32"/>
        </w:rPr>
      </w:pPr>
      <w:r>
        <w:rPr>
          <w:rFonts w:hint="eastAsia" w:ascii="仿宋_GB2312" w:eastAsia="仿宋_GB2312"/>
          <w:sz w:val="32"/>
          <w:szCs w:val="32"/>
        </w:rPr>
        <w:t>（十）负责管理全区会计工作，监督和规范会计行为，组织实施会计制度。</w:t>
      </w:r>
    </w:p>
    <w:p>
      <w:pPr>
        <w:ind w:firstLine="640" w:firstLineChars="200"/>
        <w:rPr>
          <w:rFonts w:ascii="仿宋_GB2312" w:eastAsia="仿宋_GB2312"/>
          <w:sz w:val="32"/>
          <w:szCs w:val="32"/>
        </w:rPr>
      </w:pPr>
      <w:r>
        <w:rPr>
          <w:rFonts w:hint="eastAsia" w:ascii="仿宋_GB2312" w:eastAsia="仿宋_GB2312"/>
          <w:sz w:val="32"/>
          <w:szCs w:val="32"/>
        </w:rPr>
        <w:t>（十一）牵头编制国有资产管理情况报告及国有资本经营预决算草案。拟订行政事业单位国有资产管理制度，组织实施国有资本经营预算，制定具体办法，收取区属企业国有资本收益。</w:t>
      </w:r>
    </w:p>
    <w:p>
      <w:pPr>
        <w:ind w:firstLine="640" w:firstLineChars="200"/>
        <w:rPr>
          <w:rFonts w:ascii="仿宋_GB2312" w:eastAsia="仿宋_GB2312"/>
          <w:sz w:val="32"/>
          <w:szCs w:val="32"/>
        </w:rPr>
      </w:pPr>
      <w:r>
        <w:rPr>
          <w:rFonts w:hint="eastAsia" w:ascii="仿宋_GB2312" w:eastAsia="仿宋_GB2312"/>
          <w:sz w:val="32"/>
          <w:szCs w:val="32"/>
        </w:rPr>
        <w:t>（十二）根据管委会授权，依照《中华人民共和国企业国有资产法》、《中华人民共和国公司法》等法律和行政法规履行出资人职责。</w:t>
      </w:r>
    </w:p>
    <w:p>
      <w:pPr>
        <w:spacing w:before="0" w:after="0" w:line="240" w:lineRule="auto"/>
        <w:ind w:firstLine="640"/>
        <w:jc w:val="left"/>
        <w:outlineLvl w:val="9"/>
        <w:rPr>
          <w:rFonts w:hint="eastAsia" w:ascii="仿宋_GB2312" w:eastAsia="仿宋_GB2312"/>
          <w:sz w:val="32"/>
          <w:szCs w:val="32"/>
        </w:rPr>
      </w:pPr>
      <w:r>
        <w:rPr>
          <w:rFonts w:hint="eastAsia" w:ascii="仿宋_GB2312" w:eastAsia="仿宋_GB2312"/>
          <w:sz w:val="32"/>
          <w:szCs w:val="32"/>
        </w:rPr>
        <w:t>（十三）完成高新区党工委、管委会交办的其他任务。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32"/>
          <w:highlight w:val="none"/>
          <w:lang w:eastAsia="zh-CN"/>
        </w:rPr>
        <w:t>单位</w:t>
      </w:r>
      <w:r>
        <w:rPr>
          <w:rFonts w:ascii="方正小标宋_GBK" w:hAnsi="方正小标宋_GBK" w:eastAsia="方正小标宋_GBK" w:cs="方正小标宋_GBK"/>
          <w:color w:val="000000"/>
          <w:sz w:val="32"/>
          <w:highlight w:val="none"/>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rPr>
                <w:highlight w:val="none"/>
              </w:rPr>
            </w:pPr>
            <w:r>
              <w:rPr>
                <w:highlight w:val="none"/>
              </w:rPr>
              <w:t>单位名称</w:t>
            </w:r>
          </w:p>
        </w:tc>
        <w:tc>
          <w:tcPr>
            <w:tcW w:w="1843" w:type="dxa"/>
            <w:vAlign w:val="center"/>
          </w:tcPr>
          <w:p>
            <w:pPr>
              <w:pStyle w:val="12"/>
              <w:rPr>
                <w:highlight w:val="none"/>
              </w:rPr>
            </w:pPr>
            <w:r>
              <w:rPr>
                <w:highlight w:val="none"/>
              </w:rPr>
              <w:t>单位性质</w:t>
            </w:r>
          </w:p>
        </w:tc>
        <w:tc>
          <w:tcPr>
            <w:tcW w:w="2126" w:type="dxa"/>
            <w:vAlign w:val="center"/>
          </w:tcPr>
          <w:p>
            <w:pPr>
              <w:pStyle w:val="12"/>
              <w:rPr>
                <w:highlight w:val="none"/>
              </w:rPr>
            </w:pPr>
            <w:r>
              <w:rPr>
                <w:highlight w:val="none"/>
              </w:rPr>
              <w:t>单位规格</w:t>
            </w:r>
          </w:p>
        </w:tc>
        <w:tc>
          <w:tcPr>
            <w:tcW w:w="3827" w:type="dxa"/>
            <w:vAlign w:val="center"/>
          </w:tcPr>
          <w:p>
            <w:pPr>
              <w:pStyle w:val="12"/>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rPr>
                <w:highlight w:val="none"/>
              </w:rPr>
            </w:pPr>
            <w:r>
              <w:rPr>
                <w:highlight w:val="none"/>
              </w:rPr>
              <w:t>唐山高新技术产业开发区财政局（本级）</w:t>
            </w:r>
          </w:p>
        </w:tc>
        <w:tc>
          <w:tcPr>
            <w:tcW w:w="1843" w:type="dxa"/>
            <w:vAlign w:val="center"/>
          </w:tcPr>
          <w:p>
            <w:pPr>
              <w:pStyle w:val="15"/>
              <w:rPr>
                <w:highlight w:val="none"/>
              </w:rPr>
            </w:pPr>
            <w:r>
              <w:rPr>
                <w:highlight w:val="none"/>
              </w:rPr>
              <w:t>行政</w:t>
            </w:r>
          </w:p>
        </w:tc>
        <w:tc>
          <w:tcPr>
            <w:tcW w:w="2126" w:type="dxa"/>
            <w:vAlign w:val="center"/>
          </w:tcPr>
          <w:p>
            <w:pPr>
              <w:pStyle w:val="15"/>
              <w:rPr>
                <w:highlight w:val="none"/>
              </w:rPr>
            </w:pPr>
            <w:r>
              <w:rPr>
                <w:highlight w:val="none"/>
              </w:rPr>
              <w:t>副处（县）级</w:t>
            </w:r>
          </w:p>
        </w:tc>
        <w:tc>
          <w:tcPr>
            <w:tcW w:w="3827" w:type="dxa"/>
            <w:vAlign w:val="center"/>
          </w:tcPr>
          <w:p>
            <w:pPr>
              <w:pStyle w:val="15"/>
              <w:rPr>
                <w:highlight w:val="none"/>
              </w:rPr>
            </w:pPr>
            <w:r>
              <w:rPr>
                <w:highlight w:val="none"/>
              </w:rPr>
              <w:t>财政拨款</w:t>
            </w:r>
          </w:p>
        </w:tc>
      </w:tr>
    </w:tbl>
    <w:p>
      <w:pPr>
        <w:spacing w:before="10" w:after="10" w:line="360" w:lineRule="auto"/>
        <w:ind w:firstLine="640"/>
        <w:jc w:val="left"/>
        <w:outlineLvl w:val="2"/>
        <w:rPr>
          <w:highlight w:val="none"/>
        </w:rPr>
      </w:pPr>
      <w:bookmarkStart w:id="10" w:name="_Toc_3_3_0000000011"/>
      <w:r>
        <w:rPr>
          <w:rFonts w:ascii="黑体" w:hAnsi="黑体" w:eastAsia="黑体" w:cs="黑体"/>
          <w:color w:val="000000"/>
          <w:sz w:val="32"/>
          <w:highlight w:val="none"/>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预算安排的总体情况</w:t>
      </w:r>
      <w:bookmarkEnd w:id="10"/>
    </w:p>
    <w:p>
      <w:pPr>
        <w:ind w:firstLine="563" w:firstLineChars="176"/>
        <w:rPr>
          <w:rFonts w:ascii="仿宋_GB2312" w:eastAsia="仿宋_GB2312"/>
          <w:sz w:val="32"/>
          <w:szCs w:val="32"/>
        </w:rPr>
      </w:pPr>
      <w:bookmarkStart w:id="11" w:name="_Toc_3_3_0000000012"/>
      <w:r>
        <w:rPr>
          <w:rFonts w:hint="eastAsia" w:ascii="仿宋_GB2312" w:eastAsia="仿宋_GB2312"/>
          <w:sz w:val="32"/>
          <w:szCs w:val="32"/>
        </w:rPr>
        <w:t>收入情况：</w:t>
      </w:r>
      <w:r>
        <w:rPr>
          <w:rFonts w:hint="eastAsia" w:ascii="仿宋_GB2312" w:eastAsia="仿宋_GB2312"/>
          <w:sz w:val="32"/>
          <w:szCs w:val="32"/>
          <w:lang w:eastAsia="zh-CN"/>
        </w:rPr>
        <w:t>2021</w:t>
      </w:r>
      <w:r>
        <w:rPr>
          <w:rFonts w:hint="eastAsia" w:ascii="仿宋_GB2312" w:eastAsia="仿宋_GB2312"/>
          <w:sz w:val="32"/>
          <w:szCs w:val="32"/>
        </w:rPr>
        <w:t>年我局预算收入为</w:t>
      </w:r>
      <w:r>
        <w:rPr>
          <w:rFonts w:hint="eastAsia" w:ascii="仿宋_GB2312" w:eastAsia="仿宋_GB2312"/>
          <w:sz w:val="32"/>
          <w:szCs w:val="32"/>
          <w:lang w:val="en-US" w:eastAsia="zh-CN"/>
        </w:rPr>
        <w:t>6162.12</w:t>
      </w:r>
      <w:r>
        <w:rPr>
          <w:rFonts w:hint="eastAsia" w:ascii="仿宋_GB2312" w:eastAsia="仿宋_GB2312"/>
          <w:sz w:val="32"/>
          <w:szCs w:val="32"/>
        </w:rPr>
        <w:t>万元。</w:t>
      </w:r>
    </w:p>
    <w:p>
      <w:pPr>
        <w:ind w:firstLine="563" w:firstLineChars="176"/>
        <w:rPr>
          <w:rFonts w:ascii="仿宋_GB2312" w:eastAsia="仿宋_GB2312"/>
          <w:sz w:val="32"/>
          <w:szCs w:val="32"/>
        </w:rPr>
      </w:pPr>
      <w:r>
        <w:rPr>
          <w:rFonts w:hint="eastAsia" w:ascii="仿宋_GB2312" w:eastAsia="仿宋_GB2312"/>
          <w:sz w:val="32"/>
          <w:szCs w:val="32"/>
        </w:rPr>
        <w:t>支出情况：支出为6162.12万元。人员经费为488.4万元，正常公用为32.72万元，专项项目支出为5641万元。</w:t>
      </w:r>
    </w:p>
    <w:p>
      <w:pPr>
        <w:ind w:firstLine="563" w:firstLineChars="176"/>
        <w:rPr>
          <w:rFonts w:ascii="仿宋_GB2312" w:hAnsi="宋体" w:eastAsia="仿宋_GB2312"/>
          <w:sz w:val="32"/>
          <w:szCs w:val="32"/>
        </w:rPr>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rPr>
        <w:t>20年相比增长4.96</w:t>
      </w:r>
      <w:r>
        <w:rPr>
          <w:rFonts w:ascii="仿宋_GB2312" w:hAnsi="宋体" w:eastAsia="仿宋_GB2312"/>
          <w:sz w:val="32"/>
          <w:szCs w:val="32"/>
        </w:rPr>
        <w:t>%</w:t>
      </w:r>
      <w:r>
        <w:rPr>
          <w:rFonts w:hint="eastAsia" w:ascii="仿宋_GB2312" w:hAnsi="宋体" w:eastAsia="仿宋_GB2312"/>
          <w:sz w:val="32"/>
          <w:szCs w:val="32"/>
        </w:rPr>
        <w:t>，原因：</w:t>
      </w:r>
      <w:r>
        <w:rPr>
          <w:rFonts w:ascii="仿宋_GB2312" w:hAnsi="宋体" w:eastAsia="仿宋_GB2312"/>
          <w:sz w:val="32"/>
          <w:szCs w:val="32"/>
        </w:rPr>
        <w:t>202</w:t>
      </w:r>
      <w:r>
        <w:rPr>
          <w:rFonts w:hint="eastAsia" w:ascii="仿宋_GB2312" w:hAnsi="宋体" w:eastAsia="仿宋_GB2312"/>
          <w:sz w:val="32"/>
          <w:szCs w:val="32"/>
        </w:rPr>
        <w:t>1年安排提前下达2021年中央和省级财政农业保费补贴资金310万元。</w:t>
      </w:r>
    </w:p>
    <w:p>
      <w:pPr>
        <w:spacing w:before="10" w:after="10" w:line="360" w:lineRule="auto"/>
        <w:ind w:firstLine="640" w:firstLineChars="200"/>
        <w:jc w:val="left"/>
        <w:outlineLvl w:val="2"/>
      </w:pPr>
      <w:r>
        <w:rPr>
          <w:rFonts w:ascii="黑体" w:hAnsi="黑体" w:eastAsia="黑体" w:cs="黑体"/>
          <w:color w:val="000000"/>
          <w:sz w:val="32"/>
        </w:rPr>
        <w:t>三、机关运行经费安排情况</w:t>
      </w:r>
      <w:bookmarkEnd w:id="11"/>
    </w:p>
    <w:p>
      <w:pPr>
        <w:ind w:firstLine="640" w:firstLineChars="200"/>
        <w:rPr>
          <w:highlight w:val="yellow"/>
        </w:rPr>
      </w:pPr>
      <w:bookmarkStart w:id="12" w:name="_Toc_3_3_0000000013"/>
      <w:r>
        <w:rPr>
          <w:rFonts w:ascii="仿宋_GB2312" w:eastAsia="仿宋_GB2312"/>
          <w:sz w:val="32"/>
          <w:szCs w:val="32"/>
        </w:rPr>
        <w:t>202</w:t>
      </w:r>
      <w:r>
        <w:rPr>
          <w:rFonts w:hint="eastAsia" w:ascii="仿宋_GB2312" w:eastAsia="仿宋_GB2312"/>
          <w:sz w:val="32"/>
          <w:szCs w:val="32"/>
        </w:rPr>
        <w:t>1年我局机关运行费用预算安排32.72万元（其中：办公费4.80万元、邮电费</w:t>
      </w:r>
      <w:r>
        <w:rPr>
          <w:rFonts w:ascii="仿宋_GB2312" w:eastAsia="仿宋_GB2312"/>
          <w:sz w:val="32"/>
          <w:szCs w:val="32"/>
        </w:rPr>
        <w:t>3.</w:t>
      </w:r>
      <w:r>
        <w:rPr>
          <w:rFonts w:hint="eastAsia" w:ascii="仿宋_GB2312" w:eastAsia="仿宋_GB2312"/>
          <w:sz w:val="32"/>
          <w:szCs w:val="32"/>
        </w:rPr>
        <w:t>6</w:t>
      </w:r>
      <w:r>
        <w:rPr>
          <w:rFonts w:ascii="仿宋_GB2312" w:eastAsia="仿宋_GB2312"/>
          <w:sz w:val="32"/>
          <w:szCs w:val="32"/>
        </w:rPr>
        <w:t>0</w:t>
      </w:r>
      <w:r>
        <w:rPr>
          <w:rFonts w:hint="eastAsia" w:ascii="仿宋_GB2312" w:eastAsia="仿宋_GB2312"/>
          <w:sz w:val="32"/>
          <w:szCs w:val="32"/>
        </w:rPr>
        <w:t>万元、差旅费</w:t>
      </w:r>
      <w:r>
        <w:rPr>
          <w:rFonts w:ascii="仿宋_GB2312" w:eastAsia="仿宋_GB2312"/>
          <w:sz w:val="32"/>
          <w:szCs w:val="32"/>
        </w:rPr>
        <w:t>3.8</w:t>
      </w:r>
      <w:r>
        <w:rPr>
          <w:rFonts w:hint="eastAsia" w:ascii="仿宋_GB2312" w:eastAsia="仿宋_GB2312"/>
          <w:sz w:val="32"/>
          <w:szCs w:val="32"/>
        </w:rPr>
        <w:t>0万元、维修费</w:t>
      </w:r>
      <w:r>
        <w:rPr>
          <w:rFonts w:ascii="仿宋_GB2312" w:eastAsia="仿宋_GB2312"/>
          <w:sz w:val="32"/>
          <w:szCs w:val="32"/>
        </w:rPr>
        <w:t>0.5</w:t>
      </w:r>
      <w:r>
        <w:rPr>
          <w:rFonts w:hint="eastAsia" w:ascii="仿宋_GB2312" w:eastAsia="仿宋_GB2312"/>
          <w:sz w:val="32"/>
          <w:szCs w:val="32"/>
        </w:rPr>
        <w:t>0万元、会议费</w:t>
      </w:r>
      <w:r>
        <w:rPr>
          <w:rFonts w:ascii="仿宋_GB2312" w:eastAsia="仿宋_GB2312"/>
          <w:sz w:val="32"/>
          <w:szCs w:val="32"/>
        </w:rPr>
        <w:t>0.5</w:t>
      </w:r>
      <w:r>
        <w:rPr>
          <w:rFonts w:hint="eastAsia" w:ascii="仿宋_GB2312" w:eastAsia="仿宋_GB2312"/>
          <w:sz w:val="32"/>
          <w:szCs w:val="32"/>
        </w:rPr>
        <w:t>0万元、公务用车运行费</w:t>
      </w:r>
      <w:r>
        <w:rPr>
          <w:rFonts w:ascii="仿宋_GB2312" w:eastAsia="仿宋_GB2312"/>
          <w:sz w:val="32"/>
          <w:szCs w:val="32"/>
        </w:rPr>
        <w:t>4.5</w:t>
      </w:r>
      <w:r>
        <w:rPr>
          <w:rFonts w:hint="eastAsia" w:ascii="仿宋_GB2312" w:eastAsia="仿宋_GB2312"/>
          <w:sz w:val="32"/>
          <w:szCs w:val="32"/>
        </w:rPr>
        <w:t>万元、印刷费</w:t>
      </w:r>
      <w:r>
        <w:rPr>
          <w:rFonts w:ascii="仿宋_GB2312" w:eastAsia="仿宋_GB2312"/>
          <w:sz w:val="32"/>
          <w:szCs w:val="32"/>
        </w:rPr>
        <w:t>6</w:t>
      </w:r>
      <w:r>
        <w:rPr>
          <w:rFonts w:hint="eastAsia" w:ascii="仿宋_GB2312" w:eastAsia="仿宋_GB2312"/>
          <w:sz w:val="32"/>
          <w:szCs w:val="32"/>
        </w:rPr>
        <w:t>.00万、培训费</w:t>
      </w:r>
      <w:r>
        <w:rPr>
          <w:rFonts w:ascii="仿宋_GB2312" w:eastAsia="仿宋_GB2312"/>
          <w:sz w:val="32"/>
          <w:szCs w:val="32"/>
        </w:rPr>
        <w:t>1.5</w:t>
      </w:r>
      <w:r>
        <w:rPr>
          <w:rFonts w:hint="eastAsia" w:ascii="仿宋_GB2312" w:eastAsia="仿宋_GB2312"/>
          <w:sz w:val="32"/>
          <w:szCs w:val="32"/>
        </w:rPr>
        <w:t>万、公务接待费</w:t>
      </w:r>
      <w:r>
        <w:rPr>
          <w:rFonts w:ascii="仿宋_GB2312" w:eastAsia="仿宋_GB2312"/>
          <w:sz w:val="32"/>
          <w:szCs w:val="32"/>
        </w:rPr>
        <w:t>2.5</w:t>
      </w:r>
      <w:r>
        <w:rPr>
          <w:rFonts w:hint="eastAsia" w:ascii="仿宋_GB2312" w:eastAsia="仿宋_GB2312"/>
          <w:sz w:val="32"/>
          <w:szCs w:val="32"/>
        </w:rPr>
        <w:t>万元、工会经费</w:t>
      </w:r>
      <w:r>
        <w:rPr>
          <w:rFonts w:ascii="仿宋_GB2312" w:eastAsia="仿宋_GB2312"/>
          <w:sz w:val="32"/>
          <w:szCs w:val="32"/>
        </w:rPr>
        <w:t>4.7</w:t>
      </w:r>
      <w:r>
        <w:rPr>
          <w:rFonts w:hint="eastAsia" w:ascii="仿宋_GB2312" w:eastAsia="仿宋_GB2312"/>
          <w:sz w:val="32"/>
          <w:szCs w:val="32"/>
        </w:rPr>
        <w:t>0万元、其他业务费</w:t>
      </w:r>
      <w:r>
        <w:rPr>
          <w:rFonts w:ascii="仿宋_GB2312" w:eastAsia="仿宋_GB2312"/>
          <w:sz w:val="32"/>
          <w:szCs w:val="32"/>
        </w:rPr>
        <w:t>0.3</w:t>
      </w:r>
      <w:r>
        <w:rPr>
          <w:rFonts w:hint="eastAsia" w:ascii="仿宋_GB2312" w:eastAsia="仿宋_GB2312"/>
          <w:sz w:val="32"/>
          <w:szCs w:val="32"/>
        </w:rPr>
        <w:t>2万元），对比</w:t>
      </w:r>
      <w:r>
        <w:rPr>
          <w:rFonts w:ascii="仿宋_GB2312" w:eastAsia="仿宋_GB2312"/>
          <w:sz w:val="32"/>
          <w:szCs w:val="32"/>
        </w:rPr>
        <w:t>20</w:t>
      </w:r>
      <w:r>
        <w:rPr>
          <w:rFonts w:hint="eastAsia" w:ascii="仿宋_GB2312" w:eastAsia="仿宋_GB2312"/>
          <w:sz w:val="32"/>
          <w:szCs w:val="32"/>
        </w:rPr>
        <w:t>20年下降8.86</w:t>
      </w:r>
      <w:r>
        <w:rPr>
          <w:rFonts w:ascii="仿宋_GB2312" w:eastAsia="仿宋_GB2312"/>
          <w:sz w:val="32"/>
          <w:szCs w:val="32"/>
        </w:rPr>
        <w:t>%</w:t>
      </w:r>
      <w:r>
        <w:rPr>
          <w:rFonts w:hint="eastAsia" w:ascii="仿宋_GB2312" w:eastAsia="仿宋_GB2312"/>
          <w:sz w:val="32"/>
          <w:szCs w:val="32"/>
        </w:rPr>
        <w:t>。主要原因：减少安排委托业务费预算。</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ascii="仿宋_GB2312" w:eastAsia="仿宋_GB2312"/>
          <w:sz w:val="32"/>
          <w:szCs w:val="32"/>
        </w:rPr>
        <w:t>202</w:t>
      </w:r>
      <w:r>
        <w:rPr>
          <w:rFonts w:hint="eastAsia" w:ascii="仿宋_GB2312" w:eastAsia="仿宋_GB2312"/>
          <w:sz w:val="32"/>
          <w:szCs w:val="32"/>
        </w:rPr>
        <w:t>1年我部门“三公”经费预算安排</w:t>
      </w:r>
      <w:r>
        <w:rPr>
          <w:rFonts w:ascii="仿宋_GB2312" w:eastAsia="仿宋_GB2312"/>
          <w:sz w:val="32"/>
          <w:szCs w:val="32"/>
        </w:rPr>
        <w:t>7</w:t>
      </w:r>
      <w:r>
        <w:rPr>
          <w:rFonts w:hint="eastAsia" w:ascii="仿宋_GB2312" w:eastAsia="仿宋_GB2312"/>
          <w:sz w:val="32"/>
          <w:szCs w:val="32"/>
        </w:rPr>
        <w:t>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4.5</w:t>
      </w:r>
      <w:r>
        <w:rPr>
          <w:rFonts w:hint="eastAsia" w:ascii="仿宋_GB2312" w:eastAsia="仿宋_GB2312"/>
          <w:sz w:val="32"/>
          <w:szCs w:val="32"/>
        </w:rPr>
        <w:t>万元，与上年预算持平。</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ascii="仿宋_GB2312" w:eastAsia="仿宋_GB2312"/>
          <w:sz w:val="32"/>
          <w:szCs w:val="32"/>
        </w:rPr>
        <w:t>4.5</w:t>
      </w:r>
      <w:r>
        <w:rPr>
          <w:rFonts w:hint="eastAsia" w:ascii="仿宋_GB2312" w:eastAsia="仿宋_GB2312"/>
          <w:sz w:val="32"/>
          <w:szCs w:val="32"/>
        </w:rPr>
        <w:t>万元，</w:t>
      </w:r>
      <w:r>
        <w:rPr>
          <w:rFonts w:hint="eastAsia" w:ascii="仿宋" w:hAnsi="仿宋" w:eastAsia="仿宋" w:cs="仿宋_GB2312"/>
          <w:sz w:val="32"/>
          <w:szCs w:val="32"/>
        </w:rPr>
        <w:t>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2.5</w:t>
      </w:r>
      <w:r>
        <w:rPr>
          <w:rFonts w:hint="eastAsia" w:ascii="仿宋_GB2312" w:eastAsia="仿宋_GB2312"/>
          <w:sz w:val="32"/>
          <w:szCs w:val="32"/>
        </w:rPr>
        <w:t>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spacing w:before="10" w:after="10" w:line="360" w:lineRule="auto"/>
        <w:ind w:firstLine="640"/>
        <w:jc w:val="left"/>
        <w:outlineLvl w:val="2"/>
        <w:rPr>
          <w:highlight w:val="none"/>
        </w:rPr>
      </w:pPr>
      <w:r>
        <w:rPr>
          <w:rFonts w:ascii="黑体" w:hAnsi="黑体" w:eastAsia="黑体" w:cs="黑体"/>
          <w:color w:val="000000"/>
          <w:sz w:val="32"/>
          <w:highlight w:val="none"/>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highlight w:val="none"/>
        </w:rPr>
        <w:t xml:space="preserve">第一部分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整体绩效目</w:t>
      </w:r>
      <w:r>
        <w:rPr>
          <w:rFonts w:ascii="方正楷体_GBK" w:hAnsi="方正楷体_GBK" w:eastAsia="方正楷体_GBK" w:cs="方正楷体_GBK"/>
          <w:b/>
          <w:color w:val="000000"/>
          <w:sz w:val="32"/>
        </w:rPr>
        <w:t>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坚持以习近平新时代中国特色社会主义思想为指导，全面落实党的十九届五中全会和中央经济工作会议精神，按照管委会决策部署，充分发挥财政调控和管理职能，坚持稳中求进工作总基调，立足新发展阶段，贯彻新发展理念，构建新发展格局，巩固拓展疫情防控和经济社会发展成果，扎实做好“六稳”工作，全面落实“六保”任务，为夺取疫情防控和经济社会发展提供财力保障。一是全力组织收入，力争全年一般公共预算收入同比增长</w:t>
      </w:r>
      <w:r>
        <w:rPr>
          <w:rFonts w:hint="eastAsia" w:ascii="仿宋_GB2312" w:eastAsia="仿宋_GB2312"/>
          <w:sz w:val="32"/>
          <w:szCs w:val="32"/>
          <w:lang w:val="en-US" w:eastAsia="zh-CN"/>
        </w:rPr>
        <w:t>7</w:t>
      </w:r>
      <w:r>
        <w:rPr>
          <w:rFonts w:hint="eastAsia" w:ascii="仿宋_GB2312" w:eastAsia="仿宋_GB2312"/>
          <w:sz w:val="32"/>
          <w:szCs w:val="32"/>
        </w:rPr>
        <w:t>%；二是扎实推进预算绩效管理，建立预算编制有目标、预算执行有监控、预算完成有评价、评价结果有应用的绩效管理制度；三是加强财政监督和会计管理，进一步提升全区财务管理水平；四是加强国有资产管理，规范政府采购行为；五是创新财政投入方式，有效撬动社会资本，严守底线不放松，防范财政运行潜在风险。</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ind w:left="640"/>
        <w:rPr>
          <w:rFonts w:ascii="仿宋_GB2312" w:eastAsia="仿宋_GB2312"/>
          <w:sz w:val="32"/>
          <w:szCs w:val="32"/>
        </w:rPr>
      </w:pPr>
      <w:r>
        <w:rPr>
          <w:rFonts w:hint="eastAsia" w:ascii="仿宋_GB2312" w:eastAsia="仿宋_GB2312"/>
          <w:sz w:val="32"/>
          <w:szCs w:val="32"/>
        </w:rPr>
        <w:t>（一）财政收入管理</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绩效目标：全面落实减税降费政策，强化税收征管，确保完成全年收入目标。</w:t>
      </w:r>
    </w:p>
    <w:p>
      <w:pPr>
        <w:rPr>
          <w:rFonts w:ascii="仿宋_GB2312" w:eastAsia="仿宋_GB2312"/>
          <w:sz w:val="32"/>
          <w:szCs w:val="32"/>
        </w:rPr>
      </w:pPr>
      <w:r>
        <w:rPr>
          <w:rFonts w:hint="eastAsia" w:ascii="仿宋_GB2312" w:eastAsia="仿宋_GB2312"/>
          <w:sz w:val="32"/>
          <w:szCs w:val="32"/>
        </w:rPr>
        <w:t>评价指标：全区一般公共预算收入增长6%；非税占比小于20%。税费政策及时公开率达到</w:t>
      </w:r>
      <w:r>
        <w:rPr>
          <w:rFonts w:ascii="仿宋_GB2312" w:eastAsia="仿宋_GB2312"/>
          <w:sz w:val="32"/>
          <w:szCs w:val="32"/>
        </w:rPr>
        <w:t>100%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（二）预算执行管理</w:t>
      </w:r>
    </w:p>
    <w:p>
      <w:pPr>
        <w:ind w:firstLine="640" w:firstLineChars="200"/>
        <w:rPr>
          <w:rFonts w:ascii="仿宋_GB2312" w:eastAsia="仿宋_GB2312"/>
          <w:sz w:val="32"/>
          <w:szCs w:val="32"/>
        </w:rPr>
      </w:pPr>
      <w:r>
        <w:rPr>
          <w:rFonts w:hint="eastAsia" w:ascii="仿宋_GB2312" w:eastAsia="仿宋_GB2312"/>
          <w:sz w:val="32"/>
          <w:szCs w:val="32"/>
        </w:rPr>
        <w:t>绩效目标：保障全区经济社会发展；规范预算执行，合理组织财政各项收支，保证全区财政平稳运行；为社会事业健康发展提供保障。</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评价指标：转移支付资金1个月内下达到预算单位的比例≥90%；对部门提交的审核资料进行复核的时间小于等于5个工作日；预算执行监控覆盖率达到100%。绩效评价开展率达到100%（非涉密单位）。</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财政监督评价</w:t>
      </w:r>
    </w:p>
    <w:p>
      <w:pPr>
        <w:ind w:firstLine="640" w:firstLineChars="200"/>
        <w:rPr>
          <w:rFonts w:ascii="仿宋_GB2312" w:eastAsia="仿宋_GB2312"/>
          <w:sz w:val="32"/>
          <w:szCs w:val="32"/>
        </w:rPr>
      </w:pPr>
      <w:r>
        <w:rPr>
          <w:rFonts w:hint="eastAsia" w:ascii="仿宋_GB2312" w:eastAsia="仿宋_GB2312"/>
          <w:sz w:val="32"/>
          <w:szCs w:val="32"/>
        </w:rPr>
        <w:t>绩效目标：定期对财政性资金及全区重大项目进行跟踪监督评价，对区属各单位进行会计监督检查。</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评价指标：被检查单位数量占全区预算单位总数的比例大于等于</w:t>
      </w:r>
      <w:r>
        <w:rPr>
          <w:rFonts w:ascii="仿宋_GB2312" w:eastAsia="仿宋_GB2312"/>
          <w:sz w:val="32"/>
          <w:szCs w:val="32"/>
        </w:rPr>
        <w:t>80%</w:t>
      </w:r>
      <w:r>
        <w:rPr>
          <w:rFonts w:hint="eastAsia" w:ascii="仿宋_GB2312" w:eastAsia="仿宋_GB2312"/>
          <w:sz w:val="32"/>
          <w:szCs w:val="32"/>
        </w:rPr>
        <w:t>；开展监督评价预算单位占全区总数的比例大于等于</w:t>
      </w:r>
      <w:r>
        <w:rPr>
          <w:rFonts w:ascii="仿宋_GB2312" w:eastAsia="仿宋_GB2312"/>
          <w:sz w:val="32"/>
          <w:szCs w:val="32"/>
        </w:rPr>
        <w:t>80%</w:t>
      </w:r>
      <w:r>
        <w:rPr>
          <w:rFonts w:hint="eastAsia" w:ascii="仿宋_GB2312" w:eastAsia="仿宋_GB2312"/>
          <w:sz w:val="32"/>
          <w:szCs w:val="32"/>
        </w:rPr>
        <w:t>；重大项目跟踪评价数量大于等于2家。</w:t>
      </w:r>
    </w:p>
    <w:p>
      <w:pPr>
        <w:ind w:firstLine="640" w:firstLineChars="200"/>
        <w:rPr>
          <w:rFonts w:ascii="仿宋_GB2312" w:eastAsia="仿宋_GB2312"/>
          <w:sz w:val="32"/>
          <w:szCs w:val="32"/>
        </w:rPr>
      </w:pPr>
      <w:r>
        <w:rPr>
          <w:rFonts w:hint="eastAsia" w:ascii="仿宋_GB2312" w:eastAsia="仿宋_GB2312"/>
          <w:sz w:val="32"/>
          <w:szCs w:val="32"/>
        </w:rPr>
        <w:t>（四）内控制度管理</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绩效目标：按照上级要求及时组织编报软件培训、汇总各单位数据，并形成区行政事业单位内部控制报告。</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绩效指标：按照时间节点完成行政事业单位内部控制编报软件培训；完成汇总各单位编报数据比例大于等于</w:t>
      </w:r>
      <w:r>
        <w:rPr>
          <w:rFonts w:ascii="仿宋_GB2312" w:eastAsia="仿宋_GB2312"/>
          <w:sz w:val="32"/>
          <w:szCs w:val="32"/>
        </w:rPr>
        <w:t>90%</w:t>
      </w:r>
      <w:r>
        <w:rPr>
          <w:rFonts w:hint="eastAsia" w:ascii="仿宋_GB2312" w:eastAsia="仿宋_GB2312"/>
          <w:sz w:val="32"/>
          <w:szCs w:val="32"/>
        </w:rPr>
        <w:t>；按照时间节点完成形成区行政事业单位年内部控制报告。</w:t>
      </w:r>
    </w:p>
    <w:p>
      <w:pPr>
        <w:ind w:left="480" w:leftChars="200" w:firstLine="320" w:firstLineChars="100"/>
        <w:rPr>
          <w:rFonts w:ascii="仿宋_GB2312" w:eastAsia="仿宋_GB2312"/>
          <w:sz w:val="32"/>
          <w:szCs w:val="32"/>
        </w:rPr>
      </w:pPr>
      <w:r>
        <w:rPr>
          <w:rFonts w:hint="eastAsia" w:ascii="仿宋_GB2312" w:eastAsia="仿宋_GB2312"/>
          <w:sz w:val="32"/>
          <w:szCs w:val="32"/>
        </w:rPr>
        <w:t>（五）政府采购管理</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绩效目标：规范政府采购行为，提高审批效率，确保3个工作日内完成审批；受理采购投诉事项，在规定时限内答复；提高政府采购资金的使用效益。</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绩效指标：对采购方式审批的时限小于2日；监督检查抽检覆盖率大于等于50%；投诉事项处理率大于等于95%。</w:t>
      </w:r>
    </w:p>
    <w:p>
      <w:pPr>
        <w:numPr>
          <w:ilvl w:val="0"/>
          <w:numId w:val="2"/>
        </w:numPr>
        <w:spacing w:line="580" w:lineRule="exact"/>
        <w:ind w:firstLine="630"/>
        <w:jc w:val="left"/>
        <w:rPr>
          <w:rFonts w:ascii="仿宋_GB2312" w:eastAsia="仿宋_GB2312"/>
          <w:sz w:val="32"/>
          <w:szCs w:val="32"/>
        </w:rPr>
      </w:pPr>
      <w:r>
        <w:rPr>
          <w:rFonts w:hint="eastAsia" w:ascii="仿宋_GB2312" w:eastAsia="仿宋_GB2312"/>
          <w:sz w:val="32"/>
          <w:szCs w:val="32"/>
        </w:rPr>
        <w:t>农村综合改革</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绩效目标：加强一事一议项目组织管理，完成全市下达任务；推动乡村振兴战略实施，改善农村生产生活条件。</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绩效指标：按时完成一事一议项目信息报送；市下达项目任务完成率100%；受益群众满意度大于等于95%。</w:t>
      </w:r>
    </w:p>
    <w:p>
      <w:pPr>
        <w:numPr>
          <w:ilvl w:val="0"/>
          <w:numId w:val="2"/>
        </w:numPr>
        <w:spacing w:line="580" w:lineRule="exact"/>
        <w:ind w:firstLine="630"/>
        <w:jc w:val="left"/>
        <w:rPr>
          <w:rFonts w:ascii="仿宋_GB2312" w:eastAsia="仿宋_GB2312"/>
          <w:sz w:val="32"/>
          <w:szCs w:val="32"/>
        </w:rPr>
      </w:pPr>
      <w:r>
        <w:rPr>
          <w:rFonts w:hint="eastAsia" w:ascii="仿宋_GB2312" w:eastAsia="仿宋_GB2312"/>
          <w:sz w:val="32"/>
          <w:szCs w:val="32"/>
        </w:rPr>
        <w:t>投资评审管理</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绩效目标：严格执行投资评审行管制度和办法，实现财政投资项目（20万元以上）应评尽评；确保招标控制价审核按时限完成。</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绩效指标：财政投资项目评审率大于等于95%；控制和降低预算造价审减率大于等于5%；按时限（天数）要求完成审核。</w:t>
      </w:r>
    </w:p>
    <w:p>
      <w:pPr>
        <w:spacing w:line="580" w:lineRule="exact"/>
        <w:ind w:firstLine="630"/>
        <w:jc w:val="left"/>
        <w:rPr>
          <w:rFonts w:ascii="仿宋_GB2312" w:eastAsia="仿宋_GB2312"/>
          <w:sz w:val="32"/>
          <w:szCs w:val="32"/>
        </w:rPr>
      </w:pPr>
      <w:r>
        <w:rPr>
          <w:rFonts w:hint="eastAsia" w:ascii="仿宋_GB2312" w:eastAsia="仿宋_GB2312"/>
          <w:sz w:val="32"/>
          <w:szCs w:val="32"/>
        </w:rPr>
        <w:t>（八）社会资本引导</w:t>
      </w:r>
    </w:p>
    <w:p>
      <w:pPr>
        <w:spacing w:line="580" w:lineRule="exact"/>
        <w:ind w:firstLine="630"/>
        <w:jc w:val="left"/>
        <w:rPr>
          <w:rFonts w:ascii="仿宋_GB2312" w:eastAsia="仿宋_GB2312"/>
          <w:sz w:val="32"/>
          <w:szCs w:val="32"/>
        </w:rPr>
      </w:pPr>
      <w:r>
        <w:rPr>
          <w:rFonts w:hint="eastAsia" w:ascii="仿宋_GB2312" w:eastAsia="仿宋_GB2312"/>
          <w:sz w:val="32"/>
          <w:szCs w:val="32"/>
        </w:rPr>
        <w:t>绩效目标：按时完成PPP项目运行统计与资料报送；将ppp项目付费足额列入预算；就设立投资基金工作与社会资本方进行洽谈推进。</w:t>
      </w:r>
    </w:p>
    <w:p>
      <w:pPr>
        <w:spacing w:line="580" w:lineRule="exact"/>
        <w:ind w:firstLine="630"/>
        <w:jc w:val="left"/>
        <w:rPr>
          <w:rFonts w:ascii="仿宋_GB2312" w:hAnsi="仿宋_GB2312" w:eastAsia="仿宋_GB2312" w:cs="仿宋_GB2312"/>
          <w:b/>
          <w:bCs/>
          <w:sz w:val="32"/>
          <w:szCs w:val="32"/>
        </w:rPr>
      </w:pPr>
      <w:r>
        <w:rPr>
          <w:rFonts w:hint="eastAsia" w:ascii="仿宋_GB2312" w:eastAsia="仿宋_GB2312"/>
          <w:sz w:val="32"/>
          <w:szCs w:val="32"/>
        </w:rPr>
        <w:t>绩效指标：在ppp项目工程竣工后，按季度组织绩效跟踪评价；实时更新监控系统，按季度报送报表；对投资引导基金进行洽谈数大于5家。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hint="eastAsia" w:ascii="仿宋" w:hAnsi="仿宋" w:eastAsia="仿宋" w:cs="仿宋"/>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完善制度建设。</w:t>
      </w:r>
      <w:r>
        <w:rPr>
          <w:rFonts w:hint="eastAsia" w:ascii="仿宋" w:hAnsi="仿宋" w:eastAsia="仿宋" w:cs="仿宋"/>
          <w:sz w:val="32"/>
          <w:szCs w:val="32"/>
        </w:rPr>
        <w:t>包括制定完善预算绩效管理制度、资金管理办法、工作保障制度等，为全年预算绩效目标的实现奠定制度基础。</w:t>
      </w:r>
    </w:p>
    <w:p>
      <w:pPr>
        <w:spacing w:line="580" w:lineRule="exact"/>
        <w:ind w:firstLine="627" w:firstLineChars="196"/>
        <w:rPr>
          <w:rFonts w:hint="eastAsia" w:ascii="仿宋" w:hAnsi="仿宋" w:eastAsia="仿宋" w:cs="仿宋"/>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27" w:firstLineChars="196"/>
        <w:rPr>
          <w:rFonts w:hint="eastAsia" w:ascii="仿宋" w:hAnsi="仿宋" w:eastAsia="仿宋" w:cs="仿宋"/>
          <w:b/>
          <w:bCs/>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 w:hAnsi="楷体" w:eastAsia="楷体" w:cs="楷体"/>
          <w:sz w:val="32"/>
          <w:szCs w:val="32"/>
          <w:lang w:val="en-US" w:eastAsia="zh-CN"/>
        </w:rPr>
        <w:t>4、</w:t>
      </w:r>
      <w:r>
        <w:rPr>
          <w:rFonts w:hint="eastAsia" w:ascii="楷体" w:hAnsi="楷体" w:eastAsia="楷体" w:cs="楷体"/>
          <w:sz w:val="32"/>
          <w:szCs w:val="32"/>
        </w:rPr>
        <w:t>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ascii="仿宋" w:hAnsi="仿宋" w:eastAsia="仿宋" w:cs="仿宋"/>
          <w:b/>
          <w:bCs/>
          <w:sz w:val="32"/>
          <w:szCs w:val="32"/>
        </w:rPr>
      </w:pPr>
      <w:r>
        <w:rPr>
          <w:rFonts w:hint="eastAsia" w:ascii="楷体" w:hAnsi="楷体" w:eastAsia="楷体" w:cs="楷体"/>
          <w:sz w:val="32"/>
          <w:szCs w:val="32"/>
          <w:lang w:val="en-US" w:eastAsia="zh-CN"/>
        </w:rPr>
        <w:t>6、</w:t>
      </w:r>
      <w:r>
        <w:rPr>
          <w:rFonts w:hint="eastAsia" w:ascii="楷体" w:hAnsi="楷体" w:eastAsia="楷体" w:cs="楷体"/>
          <w:sz w:val="32"/>
          <w:szCs w:val="32"/>
        </w:rPr>
        <w:t>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 w:hAnsi="仿宋" w:eastAsia="仿宋" w:cs="仿宋"/>
          <w:sz w:val="32"/>
          <w:szCs w:val="32"/>
        </w:rPr>
      </w:pPr>
      <w:r>
        <w:rPr>
          <w:rFonts w:hint="eastAsia" w:ascii="楷体" w:hAnsi="楷体" w:eastAsia="楷体" w:cs="楷体"/>
          <w:sz w:val="32"/>
          <w:szCs w:val="32"/>
          <w:lang w:val="en-US" w:eastAsia="zh-CN"/>
        </w:rPr>
        <w:t>7、</w:t>
      </w:r>
      <w:r>
        <w:rPr>
          <w:rFonts w:hint="eastAsia" w:ascii="楷体" w:hAnsi="楷体" w:eastAsia="楷体" w:cs="楷体"/>
          <w:sz w:val="32"/>
          <w:szCs w:val="32"/>
        </w:rPr>
        <w:t>加强宣传培训调研等。</w:t>
      </w:r>
      <w:r>
        <w:rPr>
          <w:rFonts w:hint="eastAsia" w:ascii="仿宋" w:hAnsi="仿宋" w:eastAsia="仿宋" w:cs="仿宋"/>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ind w:firstLine="630"/>
        <w:rPr>
          <w:rFonts w:hint="default"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w:t>
      </w:r>
      <w:r>
        <w:rPr>
          <w:rFonts w:hint="eastAsia" w:ascii="方正楷体_GBK" w:hAnsi="方正楷体_GBK" w:eastAsia="方正楷体_GBK" w:cs="方正楷体_GBK"/>
          <w:b/>
          <w:color w:val="000000"/>
          <w:sz w:val="32"/>
          <w:lang w:val="en-US" w:eastAsia="zh-CN"/>
        </w:rPr>
        <w:t>绩效情况</w:t>
      </w:r>
    </w:p>
    <w:p>
      <w:pPr>
        <w:spacing w:line="580" w:lineRule="exact"/>
        <w:jc w:val="left"/>
        <w:rPr>
          <w:rFonts w:ascii="仿宋" w:hAnsi="仿宋" w:eastAsia="仿宋" w:cs="仿宋"/>
          <w:sz w:val="32"/>
          <w:szCs w:val="32"/>
        </w:rPr>
      </w:pPr>
      <w:bookmarkStart w:id="14" w:name="_Toc_3_3_0000000015"/>
      <w:r>
        <w:rPr>
          <w:rFonts w:hint="eastAsia" w:ascii="仿宋" w:hAnsi="仿宋" w:eastAsia="仿宋" w:cs="仿宋"/>
          <w:sz w:val="32"/>
          <w:szCs w:val="32"/>
        </w:rPr>
        <w:t>1、会计检查、培训、财政重点评价、资产评价及专家费项目绩效目标表</w:t>
      </w:r>
    </w:p>
    <w:p>
      <w:pPr>
        <w:spacing w:line="580" w:lineRule="exact"/>
        <w:jc w:val="center"/>
        <w:rPr>
          <w:rFonts w:ascii="方正小标宋简体" w:hAnsi="方正小标宋简体" w:eastAsia="方正小标宋简体" w:cs="方正小标宋简体"/>
          <w:sz w:val="44"/>
          <w:szCs w:val="44"/>
        </w:rPr>
      </w:pPr>
    </w:p>
    <w:tbl>
      <w:tblPr>
        <w:tblStyle w:val="6"/>
        <w:tblW w:w="8952" w:type="dxa"/>
        <w:tblInd w:w="0" w:type="dxa"/>
        <w:tblLayout w:type="fixed"/>
        <w:tblCellMar>
          <w:top w:w="15" w:type="dxa"/>
          <w:left w:w="15" w:type="dxa"/>
          <w:bottom w:w="15" w:type="dxa"/>
          <w:right w:w="15" w:type="dxa"/>
        </w:tblCellMar>
      </w:tblPr>
      <w:tblGrid>
        <w:gridCol w:w="648"/>
        <w:gridCol w:w="1106"/>
        <w:gridCol w:w="1315"/>
        <w:gridCol w:w="1541"/>
        <w:gridCol w:w="979"/>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342"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kern w:val="0"/>
                <w:sz w:val="20"/>
                <w:szCs w:val="20"/>
              </w:rPr>
              <w:t>会计检查、培训、财政重点评价、资产评价及专家费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50万元</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50万元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kern w:val="0"/>
                <w:sz w:val="20"/>
                <w:szCs w:val="20"/>
              </w:rPr>
              <w:t>主要用于举办区属各预算单位会计人员培训、农村财会人员财政支农惠农政策培训及委托第三方机构开展财政支出绩效评价及财务检查；房产、土地、车辆等国有资产评估使用；专家评标支付费用</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24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27%</w:t>
            </w: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46%</w:t>
            </w:r>
          </w:p>
        </w:tc>
        <w:tc>
          <w:tcPr>
            <w:tcW w:w="24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举办区属各预算单位会计人员培训至少2次、举办农村财会人员财政支农惠农政策培训至少1次，提高财政服务整体水平。</w:t>
            </w:r>
          </w:p>
        </w:tc>
      </w:tr>
      <w:tr>
        <w:tblPrEx>
          <w:tblCellMar>
            <w:top w:w="15" w:type="dxa"/>
            <w:left w:w="15" w:type="dxa"/>
            <w:bottom w:w="15" w:type="dxa"/>
            <w:right w:w="15" w:type="dxa"/>
          </w:tblCellMar>
        </w:tblPrEx>
        <w:trPr>
          <w:trHeight w:val="52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委托第三方机构开展财政支出绩效评价，提高绩效评价工作质量。</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目标3</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开展全区财务会计大检查工作，提高全区财务会计管理水平。</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目标4</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为房产、土地、车辆等国有资产评估价值</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目标5</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保障大额国有资产处置前评估服务的比率达到全覆盖</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财务检查覆盖率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财务检查单位占全区预算单位50%以上，或按照上级要求开展企业会计信息质量检查</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≥50%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重点评价个数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财政绩效重点项目评价个数</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≥2个</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参加人次</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参加会计业务培训人次</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≥200人次</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资产评估覆盖率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资产评估项目占应评估项目的比例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每年定点采购项目比例</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试情况而定，确定采购项目比例</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大于等于90%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工作要求</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工作底稿及评价报告质量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是否依据充分、真实完整、数据准确、分析透彻、逻辑清晰、客观公正</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培训合格率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通过制作相关培训资料、聘请专业教师及相关部门人员授课后随堂测试，测试合格率</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80%以上</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评估报告合格率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评估报告结果是否符合行业标准要求</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大于等于90%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行业标准</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按照政府采购法执行率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专家评标必须严格按照采购法等相关文件执行</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等于100%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采购法等相关文件</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检查报告完成时间</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报告按要求在项目评价完成后1月内完成</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&lt;=1个月</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合同履约情况</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评估报告完成时间</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报告按照合同要求时限完成</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合同约定时间内完成</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培训费用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举办会计业务培训聘请教师、租赁场地、餐费、宣传印刷、办公用品等</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&lt;=30万元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第三方聘请费用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聘请第三方机构进行财务会计检查和及绩效评价所产生的费用</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&lt;=10万元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专家评审费标准</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根据时间长短支付费用</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等于100%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行业标准</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资产现时价值是否准确</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待评估国有资产当前价值情况</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符合当前价值情况</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财经纪律执行情况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检验各单位财务工作是否存在风险，是否严格按照相关规定执行财经纪律。</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年度工作计划</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会计业务能力提升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通过培训，是否达到促进会计业务能力提升的目的</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年度工作计划</w:t>
            </w:r>
          </w:p>
        </w:tc>
      </w:tr>
      <w:tr>
        <w:tblPrEx>
          <w:tblCellMar>
            <w:top w:w="15" w:type="dxa"/>
            <w:left w:w="15" w:type="dxa"/>
            <w:bottom w:w="15" w:type="dxa"/>
            <w:right w:w="15" w:type="dxa"/>
          </w:tblCellMar>
        </w:tblPrEx>
        <w:trPr>
          <w:trHeight w:val="720"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培训人员满意度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培训人员满意度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90%以上</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年度工作计划</w:t>
            </w:r>
          </w:p>
        </w:tc>
      </w:tr>
      <w:tr>
        <w:tblPrEx>
          <w:tblCellMar>
            <w:top w:w="15" w:type="dxa"/>
            <w:left w:w="15" w:type="dxa"/>
            <w:bottom w:w="15" w:type="dxa"/>
            <w:right w:w="15" w:type="dxa"/>
          </w:tblCellMar>
        </w:tblPrEx>
        <w:trPr>
          <w:trHeight w:val="720" w:hRule="atLeast"/>
        </w:trPr>
        <w:tc>
          <w:tcPr>
            <w:tcW w:w="64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资产评估所属单位满意度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受益群体满意度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85%以上</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720" w:hRule="atLeast"/>
        </w:trPr>
        <w:tc>
          <w:tcPr>
            <w:tcW w:w="64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投标供应商满意度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使用单位满意度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85%以上</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Pr>
        <w:spacing w:line="580" w:lineRule="exact"/>
        <w:jc w:val="left"/>
        <w:rPr>
          <w:rFonts w:ascii="仿宋" w:hAnsi="仿宋" w:eastAsia="仿宋" w:cs="仿宋"/>
          <w:sz w:val="32"/>
          <w:szCs w:val="32"/>
        </w:rPr>
      </w:pPr>
      <w:r>
        <w:rPr>
          <w:rFonts w:hint="eastAsia" w:ascii="仿宋" w:hAnsi="仿宋" w:eastAsia="仿宋" w:cs="仿宋"/>
          <w:sz w:val="32"/>
          <w:szCs w:val="32"/>
        </w:rPr>
        <w:t>2、债券付息及服务费项目绩效目标表</w:t>
      </w:r>
    </w:p>
    <w:tbl>
      <w:tblPr>
        <w:tblStyle w:val="6"/>
        <w:tblpPr w:leftFromText="180" w:rightFromText="180" w:vertAnchor="text" w:tblpY="1"/>
        <w:tblOverlap w:val="never"/>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债券付息及服务费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5200万元</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5200万元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主要用于支付政府债券利息及服务费。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sz w:val="20"/>
                <w:szCs w:val="20"/>
              </w:rPr>
            </w:pPr>
            <w:r>
              <w:rPr>
                <w:rFonts w:hint="eastAsia" w:ascii="宋体" w:hAnsi="宋体" w:cs="宋体"/>
                <w:bCs/>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sz w:val="20"/>
                <w:szCs w:val="20"/>
              </w:rPr>
            </w:pPr>
            <w:r>
              <w:rPr>
                <w:rFonts w:hint="eastAsia" w:ascii="宋体" w:hAnsi="宋体" w:cs="宋体"/>
                <w:bCs/>
                <w:sz w:val="20"/>
                <w:szCs w:val="20"/>
              </w:rPr>
              <w:t>52%</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sz w:val="20"/>
                <w:szCs w:val="20"/>
              </w:rPr>
            </w:pPr>
            <w:r>
              <w:rPr>
                <w:rFonts w:hint="eastAsia" w:ascii="宋体" w:hAnsi="宋体" w:cs="宋体"/>
                <w:bCs/>
                <w:sz w:val="20"/>
                <w:szCs w:val="20"/>
              </w:rPr>
              <w:t>69%</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sz w:val="20"/>
                <w:szCs w:val="20"/>
              </w:rPr>
            </w:pPr>
            <w:r>
              <w:rPr>
                <w:rFonts w:hint="eastAsia" w:ascii="宋体" w:hAnsi="宋体" w:cs="宋体"/>
                <w:bCs/>
                <w:sz w:val="20"/>
                <w:szCs w:val="20"/>
              </w:rPr>
              <w:t>100%</w:t>
            </w:r>
          </w:p>
        </w:tc>
      </w:tr>
      <w:tr>
        <w:tblPrEx>
          <w:tblCellMar>
            <w:top w:w="15" w:type="dxa"/>
            <w:left w:w="15" w:type="dxa"/>
            <w:bottom w:w="15" w:type="dxa"/>
            <w:right w:w="15" w:type="dxa"/>
          </w:tblCellMar>
        </w:tblPrEx>
        <w:trPr>
          <w:trHeight w:val="63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按期还本付息，本息列入预算，加强债券违约风险监控。</w:t>
            </w:r>
          </w:p>
        </w:tc>
      </w:tr>
      <w:tr>
        <w:tblPrEx>
          <w:tblCellMar>
            <w:top w:w="15" w:type="dxa"/>
            <w:left w:w="15" w:type="dxa"/>
            <w:bottom w:w="15" w:type="dxa"/>
            <w:right w:w="15" w:type="dxa"/>
          </w:tblCellMar>
        </w:tblPrEx>
        <w:trPr>
          <w:trHeight w:val="6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地方债务控制在可控范围内，不发生系统性风险。</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734"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违约次数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违约付息次数</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0次</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上级政策</w:t>
            </w:r>
          </w:p>
        </w:tc>
      </w:tr>
      <w:tr>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付息工作完成率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付息及服务费资金是否及时、拨付到位</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上级政策</w:t>
            </w:r>
          </w:p>
        </w:tc>
      </w:tr>
      <w:tr>
        <w:tblPrEx>
          <w:tblCellMar>
            <w:top w:w="15" w:type="dxa"/>
            <w:left w:w="15" w:type="dxa"/>
            <w:bottom w:w="15" w:type="dxa"/>
            <w:right w:w="15" w:type="dxa"/>
          </w:tblCellMar>
        </w:tblPrEx>
        <w:trPr>
          <w:trHeight w:val="78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按期付息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是否按时完成付息</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上级政策</w:t>
            </w:r>
          </w:p>
        </w:tc>
      </w:tr>
      <w:tr>
        <w:tblPrEx>
          <w:tblCellMar>
            <w:top w:w="15" w:type="dxa"/>
            <w:left w:w="15" w:type="dxa"/>
            <w:bottom w:w="15" w:type="dxa"/>
            <w:right w:w="15" w:type="dxa"/>
          </w:tblCellMar>
        </w:tblPrEx>
        <w:trPr>
          <w:trHeight w:val="764" w:hRule="atLeast"/>
        </w:trPr>
        <w:tc>
          <w:tcPr>
            <w:tcW w:w="64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成本指标</w:t>
            </w:r>
          </w:p>
        </w:tc>
        <w:tc>
          <w:tcPr>
            <w:tcW w:w="1315"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预算资金使用率</w:t>
            </w:r>
          </w:p>
        </w:tc>
        <w:tc>
          <w:tcPr>
            <w:tcW w:w="3943" w:type="dxa"/>
            <w:gridSpan w:val="3"/>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支出资金占预算资金比例</w:t>
            </w:r>
          </w:p>
        </w:tc>
        <w:tc>
          <w:tcPr>
            <w:tcW w:w="9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≥95%</w:t>
            </w:r>
          </w:p>
        </w:tc>
        <w:tc>
          <w:tcPr>
            <w:tcW w:w="96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上级政策</w:t>
            </w:r>
          </w:p>
        </w:tc>
      </w:tr>
      <w:tr>
        <w:tblPrEx>
          <w:tblCellMar>
            <w:top w:w="15" w:type="dxa"/>
            <w:left w:w="15" w:type="dxa"/>
            <w:bottom w:w="15" w:type="dxa"/>
            <w:right w:w="15" w:type="dxa"/>
          </w:tblCellMar>
        </w:tblPrEx>
        <w:trPr>
          <w:trHeight w:val="1044" w:hRule="atLeast"/>
        </w:trPr>
        <w:tc>
          <w:tcPr>
            <w:tcW w:w="6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经济效益指标</w:t>
            </w:r>
          </w:p>
        </w:tc>
        <w:tc>
          <w:tcPr>
            <w:tcW w:w="131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资金使用合规性</w:t>
            </w:r>
          </w:p>
        </w:tc>
        <w:tc>
          <w:tcPr>
            <w:tcW w:w="3943"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资金使用是否符合国家经济法规和财务管理制度以及有关专项资金管理办法等。</w:t>
            </w: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100%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上级政策</w:t>
            </w:r>
          </w:p>
        </w:tc>
      </w:tr>
    </w:tbl>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3、农村综合改革专项经费区级配套资金项目</w:t>
      </w:r>
      <w:r>
        <w:rPr>
          <w:rFonts w:ascii="仿宋" w:hAnsi="仿宋" w:eastAsia="仿宋" w:cs="仿宋"/>
          <w:sz w:val="32"/>
          <w:szCs w:val="32"/>
        </w:rPr>
        <w:t>绩效</w:t>
      </w:r>
      <w:r>
        <w:rPr>
          <w:rFonts w:hint="eastAsia" w:ascii="仿宋" w:hAnsi="仿宋" w:eastAsia="仿宋" w:cs="仿宋"/>
          <w:sz w:val="32"/>
          <w:szCs w:val="32"/>
        </w:rPr>
        <w:t>目标</w:t>
      </w:r>
      <w:r>
        <w:rPr>
          <w:rFonts w:ascii="仿宋" w:hAnsi="仿宋" w:eastAsia="仿宋" w:cs="仿宋"/>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农村综合改革专项经费区级配套资金</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25</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25</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p>
        </w:tc>
      </w:tr>
      <w:tr>
        <w:tblPrEx>
          <w:tblCellMar>
            <w:top w:w="15" w:type="dxa"/>
            <w:left w:w="15" w:type="dxa"/>
            <w:bottom w:w="15" w:type="dxa"/>
            <w:right w:w="15" w:type="dxa"/>
          </w:tblCellMar>
        </w:tblPrEx>
        <w:trPr>
          <w:trHeight w:val="141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用于开展一事一议财政奖补工作所需区级配套资金及宣传、评审、验收等各项费用开支，依托项目村实际条件，在尊重农民意愿并充分调动农民积极性、整合资源、突出乡村特色的基础上，致力于推动农村经济社会发展，改善农村生产生活条件和村容村貌，有利于广大农民共享改革成果，促进农村基层民主建设。</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w:t>
            </w:r>
          </w:p>
        </w:tc>
      </w:tr>
      <w:tr>
        <w:tblPrEx>
          <w:tblCellMar>
            <w:top w:w="15" w:type="dxa"/>
            <w:left w:w="15" w:type="dxa"/>
            <w:bottom w:w="15" w:type="dxa"/>
            <w:right w:w="15" w:type="dxa"/>
          </w:tblCellMar>
        </w:tblPrEx>
        <w:trPr>
          <w:trHeight w:val="771"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绩效</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切实加强一事一议财政奖补资金管理，促进资金分配、使用、管理的科学化、精细化、规范化，提高财政资金使用效益。</w:t>
            </w:r>
          </w:p>
        </w:tc>
      </w:tr>
      <w:tr>
        <w:tblPrEx>
          <w:tblCellMar>
            <w:top w:w="15" w:type="dxa"/>
            <w:left w:w="15" w:type="dxa"/>
            <w:bottom w:w="15" w:type="dxa"/>
            <w:right w:w="15" w:type="dxa"/>
          </w:tblCellMar>
        </w:tblPrEx>
        <w:trPr>
          <w:trHeight w:val="1097" w:hRule="atLeast"/>
        </w:trPr>
        <w:tc>
          <w:tcPr>
            <w:tcW w:w="64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通过项目实施，满足村民在村内交通、照明、饮水、环卫、绿化、美化和文体娱乐等方面公益性基础设施建设中最亟需、最迫切的基本要求，改善农村生产生活条件和村容村貌，促进农村经济社会发展。</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kern w:val="0"/>
                <w:sz w:val="20"/>
                <w:szCs w:val="20"/>
              </w:rPr>
            </w:pPr>
            <w:r>
              <w:rPr>
                <w:rFonts w:hint="eastAsia" w:ascii="黑体" w:hAnsi="宋体" w:eastAsia="黑体" w:cs="黑体"/>
                <w:b/>
                <w:color w:val="000000"/>
                <w:kern w:val="0"/>
                <w:sz w:val="20"/>
                <w:szCs w:val="20"/>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r>
      <w:tr>
        <w:tblPrEx>
          <w:tblCellMar>
            <w:top w:w="15" w:type="dxa"/>
            <w:left w:w="15" w:type="dxa"/>
            <w:bottom w:w="15" w:type="dxa"/>
            <w:right w:w="15" w:type="dxa"/>
          </w:tblCellMar>
        </w:tblPrEx>
        <w:trPr>
          <w:trHeight w:val="737" w:hRule="exac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产</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出</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指</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项目安排数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年度安排项目数量</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≥5个</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项目验收合格率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项目验收合格数占完工数之比</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工作要求</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项目建设完工数占安排数之比</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≥80%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争取上级奖补数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争取上级奖补资金数额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≥50万元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737" w:hRule="exact"/>
        </w:trPr>
        <w:tc>
          <w:tcPr>
            <w:tcW w:w="648"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效果</w:t>
            </w:r>
          </w:p>
          <w:p>
            <w:pPr>
              <w:jc w:val="center"/>
              <w:rPr>
                <w:rFonts w:ascii="宋体" w:hAnsi="宋体" w:cs="宋体"/>
                <w:b/>
                <w:color w:val="000000"/>
                <w:sz w:val="20"/>
                <w:szCs w:val="20"/>
              </w:rPr>
            </w:pPr>
            <w:r>
              <w:rPr>
                <w:rFonts w:hint="eastAsia" w:ascii="宋体" w:hAnsi="宋体" w:cs="宋体"/>
                <w:b/>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受益人口数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受益村民人数</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≥0.5万人</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737" w:hRule="exact"/>
        </w:trPr>
        <w:tc>
          <w:tcPr>
            <w:tcW w:w="648" w:type="dxa"/>
            <w:tcBorders>
              <w:left w:val="single" w:color="000000" w:sz="4" w:space="0"/>
              <w:bottom w:val="single" w:color="auto" w:sz="4" w:space="0"/>
              <w:right w:val="single" w:color="000000"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满意度指标</w:t>
            </w:r>
          </w:p>
        </w:tc>
        <w:tc>
          <w:tcPr>
            <w:tcW w:w="110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村民满意度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项目村村民满意人数占总人数的比例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≥95%</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bl>
    <w:p>
      <w:pPr>
        <w:spacing w:line="580" w:lineRule="exact"/>
        <w:rPr>
          <w:rFonts w:ascii="仿宋" w:hAnsi="仿宋" w:eastAsia="仿宋" w:cs="仿宋"/>
          <w:sz w:val="32"/>
          <w:szCs w:val="32"/>
        </w:rPr>
      </w:pPr>
      <w:r>
        <w:rPr>
          <w:rFonts w:hint="eastAsia" w:ascii="仿宋" w:hAnsi="仿宋" w:eastAsia="仿宋" w:cs="仿宋"/>
          <w:sz w:val="32"/>
          <w:szCs w:val="32"/>
        </w:rPr>
        <w:t>4、工程项目评审项目绩效目标表</w:t>
      </w:r>
    </w:p>
    <w:tbl>
      <w:tblPr>
        <w:tblStyle w:val="6"/>
        <w:tblW w:w="8952" w:type="dxa"/>
        <w:tblInd w:w="0" w:type="dxa"/>
        <w:tblLayout w:type="fixed"/>
        <w:tblCellMar>
          <w:top w:w="15" w:type="dxa"/>
          <w:left w:w="15" w:type="dxa"/>
          <w:bottom w:w="15" w:type="dxa"/>
          <w:right w:w="15" w:type="dxa"/>
        </w:tblCellMar>
      </w:tblPr>
      <w:tblGrid>
        <w:gridCol w:w="1008"/>
        <w:gridCol w:w="74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编码</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
                <w:color w:val="000000"/>
                <w:sz w:val="20"/>
                <w:szCs w:val="20"/>
              </w:rPr>
              <w:t>工程造价审核</w:t>
            </w:r>
          </w:p>
        </w:tc>
      </w:tr>
      <w:tr>
        <w:tblPrEx>
          <w:tblCellMar>
            <w:top w:w="15" w:type="dxa"/>
            <w:left w:w="15" w:type="dxa"/>
            <w:bottom w:w="15" w:type="dxa"/>
            <w:right w:w="15" w:type="dxa"/>
          </w:tblCellMar>
        </w:tblPrEx>
        <w:trPr>
          <w:trHeight w:val="55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预算规模及资金用途</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sz w:val="20"/>
                <w:szCs w:val="20"/>
              </w:rPr>
            </w:pPr>
            <w:r>
              <w:rPr>
                <w:rFonts w:hint="eastAsia" w:ascii="宋体" w:hAnsi="宋体" w:cs="宋体"/>
                <w:b/>
                <w:color w:val="000000"/>
                <w:sz w:val="20"/>
                <w:szCs w:val="20"/>
              </w:rPr>
              <w:t>20</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sz w:val="20"/>
                <w:szCs w:val="20"/>
              </w:rPr>
            </w:pPr>
            <w:r>
              <w:rPr>
                <w:rFonts w:hint="eastAsia" w:ascii="宋体" w:hAnsi="宋体" w:cs="宋体"/>
                <w:b/>
                <w:color w:val="000000"/>
                <w:sz w:val="20"/>
                <w:szCs w:val="20"/>
              </w:rPr>
              <w:t>30</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w:t>
            </w:r>
          </w:p>
        </w:tc>
      </w:tr>
      <w:tr>
        <w:tblPrEx>
          <w:tblCellMar>
            <w:top w:w="15" w:type="dxa"/>
            <w:left w:w="15" w:type="dxa"/>
            <w:bottom w:w="15" w:type="dxa"/>
            <w:right w:w="15" w:type="dxa"/>
          </w:tblCellMar>
        </w:tblPrEx>
        <w:trPr>
          <w:trHeight w:val="397"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944" w:type="dxa"/>
            <w:gridSpan w:val="7"/>
            <w:tcBorders>
              <w:top w:val="single" w:color="000000" w:sz="4" w:space="0"/>
              <w:left w:val="single" w:color="000000" w:sz="4" w:space="0"/>
              <w:bottom w:val="single" w:color="000000" w:sz="4" w:space="0"/>
              <w:right w:val="single" w:color="000000" w:sz="4" w:space="0"/>
            </w:tcBorders>
            <w:vAlign w:val="center"/>
          </w:tcPr>
          <w:p>
            <w:pPr>
              <w:tabs>
                <w:tab w:val="left" w:pos="1863"/>
              </w:tabs>
              <w:jc w:val="left"/>
              <w:rPr>
                <w:rFonts w:ascii="宋体" w:hAnsi="宋体" w:cs="宋体"/>
                <w:color w:val="000000"/>
                <w:sz w:val="20"/>
                <w:szCs w:val="20"/>
              </w:rPr>
            </w:pPr>
            <w:r>
              <w:rPr>
                <w:rFonts w:hint="eastAsia" w:ascii="宋体" w:hAnsi="宋体" w:cs="宋体"/>
                <w:color w:val="000000"/>
                <w:sz w:val="20"/>
                <w:szCs w:val="20"/>
              </w:rPr>
              <w:tab/>
            </w:r>
            <w:r>
              <w:rPr>
                <w:rFonts w:hint="eastAsia" w:ascii="宋体" w:hAnsi="宋体" w:cs="宋体"/>
                <w:color w:val="000000"/>
                <w:sz w:val="20"/>
                <w:szCs w:val="20"/>
              </w:rPr>
              <w:t>财政部门委托中介机构对工程预算进行审核形成招标控制价</w:t>
            </w:r>
          </w:p>
        </w:tc>
      </w:tr>
      <w:tr>
        <w:tblPrEx>
          <w:tblCellMar>
            <w:top w:w="15" w:type="dxa"/>
            <w:left w:w="15" w:type="dxa"/>
            <w:bottom w:w="15" w:type="dxa"/>
            <w:right w:w="15" w:type="dxa"/>
          </w:tblCellMar>
        </w:tblPrEx>
        <w:trPr>
          <w:trHeight w:val="61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12月底</w:t>
            </w:r>
          </w:p>
        </w:tc>
      </w:tr>
      <w:tr>
        <w:tblPrEx>
          <w:tblCellMar>
            <w:top w:w="15" w:type="dxa"/>
            <w:left w:w="15" w:type="dxa"/>
            <w:bottom w:w="15" w:type="dxa"/>
            <w:right w:w="15" w:type="dxa"/>
          </w:tblCellMar>
        </w:tblPrEx>
        <w:trPr>
          <w:trHeight w:val="441"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52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加强基建项目资金管理</w:t>
            </w:r>
          </w:p>
        </w:tc>
      </w:tr>
      <w:tr>
        <w:tblPrEx>
          <w:tblCellMar>
            <w:top w:w="15" w:type="dxa"/>
            <w:left w:w="15" w:type="dxa"/>
            <w:bottom w:w="15" w:type="dxa"/>
            <w:right w:w="15" w:type="dxa"/>
          </w:tblCellMar>
        </w:tblPrEx>
        <w:trPr>
          <w:trHeight w:val="525"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节约财政资金</w:t>
            </w:r>
          </w:p>
        </w:tc>
      </w:tr>
      <w:tr>
        <w:tblPrEx>
          <w:tblCellMar>
            <w:top w:w="15" w:type="dxa"/>
            <w:left w:w="15" w:type="dxa"/>
            <w:bottom w:w="15" w:type="dxa"/>
            <w:right w:w="15" w:type="dxa"/>
          </w:tblCellMar>
        </w:tblPrEx>
        <w:trPr>
          <w:trHeight w:val="450"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一级指标</w:t>
            </w:r>
          </w:p>
        </w:tc>
        <w:tc>
          <w:tcPr>
            <w:tcW w:w="7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r>
      <w:tr>
        <w:tblPrEx>
          <w:tblCellMar>
            <w:top w:w="15" w:type="dxa"/>
            <w:left w:w="15" w:type="dxa"/>
            <w:bottom w:w="15" w:type="dxa"/>
            <w:right w:w="15" w:type="dxa"/>
          </w:tblCellMar>
        </w:tblPrEx>
        <w:trPr>
          <w:trHeight w:val="55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产出指标 </w:t>
            </w:r>
          </w:p>
        </w:tc>
        <w:tc>
          <w:tcPr>
            <w:tcW w:w="74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r>
              <w:rPr>
                <w:rFonts w:hint="eastAsia" w:ascii="宋体" w:hAnsi="宋体" w:cs="宋体"/>
                <w:color w:val="000000"/>
                <w:sz w:val="20"/>
                <w:szCs w:val="20"/>
              </w:rPr>
              <w:t>项目送审额</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年完成审核项目送审额</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报告合格率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出具的评审报告的合格率</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&gt;=90%</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szCs w:val="20"/>
              </w:rPr>
            </w:pPr>
            <w:r>
              <w:rPr>
                <w:rFonts w:hint="eastAsia" w:ascii="宋体" w:hAnsi="宋体" w:cs="宋体"/>
                <w:color w:val="000000"/>
                <w:sz w:val="20"/>
                <w:szCs w:val="20"/>
              </w:rPr>
              <w:t>经费拨付及时</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工程审核经费拨付及时到帐</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及时拨付</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szCs w:val="20"/>
              </w:rPr>
            </w:pPr>
            <w:r>
              <w:rPr>
                <w:rFonts w:hint="eastAsia" w:ascii="宋体" w:hAnsi="宋体" w:cs="宋体"/>
                <w:color w:val="000000"/>
                <w:sz w:val="20"/>
                <w:szCs w:val="20"/>
              </w:rPr>
              <w:t>审核造价经费</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审核工程造价经费</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&lt;=20万元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10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74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资金节约率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控制和降低预算造价</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&gt;=3%</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100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项目评审率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财政投资项目评审率</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&gt;=90%</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64" w:hRule="atLeast"/>
        </w:trPr>
        <w:tc>
          <w:tcPr>
            <w:tcW w:w="100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节约财政资金</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群众满意度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r>
              <w:rPr>
                <w:rFonts w:hint="eastAsia" w:ascii="宋体" w:hAnsi="宋体" w:cs="宋体"/>
                <w:color w:val="000000"/>
                <w:sz w:val="20"/>
                <w:szCs w:val="20"/>
              </w:rPr>
              <w:t>无投诉</w:t>
            </w:r>
          </w:p>
        </w:tc>
        <w:tc>
          <w:tcPr>
            <w:tcW w:w="9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0"/>
                <w:szCs w:val="20"/>
              </w:rPr>
              <w:t>工作经验</w:t>
            </w:r>
          </w:p>
        </w:tc>
      </w:tr>
    </w:tbl>
    <w:p>
      <w:pPr>
        <w:spacing w:line="580" w:lineRule="exact"/>
        <w:rPr>
          <w:rFonts w:ascii="仿宋" w:hAnsi="仿宋" w:eastAsia="仿宋" w:cs="仿宋"/>
          <w:sz w:val="32"/>
          <w:szCs w:val="32"/>
        </w:rPr>
      </w:pPr>
      <w:r>
        <w:rPr>
          <w:rFonts w:hint="eastAsia" w:ascii="仿宋" w:hAnsi="仿宋" w:eastAsia="仿宋" w:cs="仿宋"/>
          <w:sz w:val="32"/>
          <w:szCs w:val="32"/>
        </w:rPr>
        <w:t>5、农业保险区级配套费项目</w:t>
      </w:r>
      <w:r>
        <w:rPr>
          <w:rFonts w:ascii="仿宋" w:hAnsi="仿宋" w:eastAsia="仿宋" w:cs="仿宋"/>
          <w:sz w:val="32"/>
          <w:szCs w:val="32"/>
        </w:rPr>
        <w:t>绩效</w:t>
      </w:r>
      <w:r>
        <w:rPr>
          <w:rFonts w:hint="eastAsia" w:ascii="仿宋" w:hAnsi="仿宋" w:eastAsia="仿宋" w:cs="仿宋"/>
          <w:sz w:val="32"/>
          <w:szCs w:val="32"/>
        </w:rPr>
        <w:t>目标</w:t>
      </w:r>
      <w:r>
        <w:rPr>
          <w:rFonts w:ascii="仿宋" w:hAnsi="仿宋" w:eastAsia="仿宋" w:cs="仿宋"/>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农业保险区级配套费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30</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r>
              <w:rPr>
                <w:rFonts w:hint="eastAsia" w:ascii="宋体" w:hAnsi="宋体" w:cs="宋体"/>
                <w:bCs/>
                <w:color w:val="000000"/>
                <w:sz w:val="20"/>
                <w:szCs w:val="20"/>
              </w:rPr>
              <w:t>30</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p>
        </w:tc>
      </w:tr>
      <w:tr>
        <w:tblPrEx>
          <w:tblCellMar>
            <w:top w:w="15" w:type="dxa"/>
            <w:left w:w="15" w:type="dxa"/>
            <w:bottom w:w="15" w:type="dxa"/>
            <w:right w:w="15" w:type="dxa"/>
          </w:tblCellMar>
        </w:tblPrEx>
        <w:trPr>
          <w:trHeight w:val="141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预算数30万元。其中：财政资金30万元，其他资金0万元。主要用于落实本级应承担的补贴资金。</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12月底</w:t>
            </w:r>
          </w:p>
        </w:tc>
      </w:tr>
      <w:tr>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w:t>
            </w:r>
          </w:p>
        </w:tc>
      </w:tr>
      <w:tr>
        <w:tblPrEx>
          <w:tblCellMar>
            <w:top w:w="15" w:type="dxa"/>
            <w:left w:w="15" w:type="dxa"/>
            <w:bottom w:w="15" w:type="dxa"/>
            <w:right w:w="15" w:type="dxa"/>
          </w:tblCellMar>
        </w:tblPrEx>
        <w:trPr>
          <w:trHeight w:val="771"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绩效</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积极宣传，坚持尊重农户意愿，充分发挥政府在农业生产过程中的作用，提高农户收入。</w:t>
            </w:r>
          </w:p>
        </w:tc>
      </w:tr>
      <w:tr>
        <w:tblPrEx>
          <w:tblCellMar>
            <w:top w:w="15" w:type="dxa"/>
            <w:left w:w="15" w:type="dxa"/>
            <w:bottom w:w="15" w:type="dxa"/>
            <w:right w:w="15" w:type="dxa"/>
          </w:tblCellMar>
        </w:tblPrEx>
        <w:trPr>
          <w:trHeight w:val="545" w:hRule="atLeast"/>
        </w:trPr>
        <w:tc>
          <w:tcPr>
            <w:tcW w:w="64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财政部门认真做好保费补贴资金的筹集、拨付、管理等工作。</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kern w:val="0"/>
                <w:sz w:val="20"/>
                <w:szCs w:val="20"/>
              </w:rPr>
            </w:pPr>
            <w:r>
              <w:rPr>
                <w:rFonts w:hint="eastAsia" w:ascii="黑体" w:hAnsi="宋体" w:eastAsia="黑体" w:cs="黑体"/>
                <w:b/>
                <w:color w:val="000000"/>
                <w:kern w:val="0"/>
                <w:sz w:val="20"/>
                <w:szCs w:val="20"/>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r>
      <w:tr>
        <w:tblPrEx>
          <w:tblCellMar>
            <w:top w:w="15" w:type="dxa"/>
            <w:left w:w="15" w:type="dxa"/>
            <w:bottom w:w="15" w:type="dxa"/>
            <w:right w:w="15" w:type="dxa"/>
          </w:tblCellMar>
        </w:tblPrEx>
        <w:trPr>
          <w:trHeight w:val="737" w:hRule="exac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产</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出</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指</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公开宣传次数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向农户公开宣讲培训，发放政策宣传资料</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≥3次</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农业保险工作完成率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财政补贴是否拨付到位</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理赔及时性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保险公司受理理赔报案到实际支付理赔款时间</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种植业40天内，养殖业10天内</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737" w:hRule="exact"/>
        </w:trPr>
        <w:tc>
          <w:tcPr>
            <w:tcW w:w="64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支出资金占预算资金比例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737" w:hRule="exact"/>
        </w:trPr>
        <w:tc>
          <w:tcPr>
            <w:tcW w:w="648"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效果</w:t>
            </w:r>
          </w:p>
          <w:p>
            <w:pPr>
              <w:jc w:val="center"/>
              <w:rPr>
                <w:rFonts w:ascii="宋体" w:hAnsi="宋体" w:cs="宋体"/>
                <w:b/>
                <w:color w:val="000000"/>
                <w:sz w:val="20"/>
                <w:szCs w:val="20"/>
              </w:rPr>
            </w:pPr>
            <w:r>
              <w:rPr>
                <w:rFonts w:hint="eastAsia" w:ascii="宋体" w:hAnsi="宋体" w:cs="宋体"/>
                <w:b/>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资金使用合规性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合规项目占全部项目的比例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737" w:hRule="exact"/>
        </w:trPr>
        <w:tc>
          <w:tcPr>
            <w:tcW w:w="648" w:type="dxa"/>
            <w:tcBorders>
              <w:left w:val="single" w:color="000000" w:sz="4" w:space="0"/>
              <w:bottom w:val="single" w:color="auto" w:sz="4" w:space="0"/>
              <w:right w:val="single" w:color="000000"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满意度指标</w:t>
            </w:r>
          </w:p>
        </w:tc>
        <w:tc>
          <w:tcPr>
            <w:tcW w:w="110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农户满意度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满意农户占受调查农户比例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≥85%</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上级政策</w:t>
            </w:r>
          </w:p>
        </w:tc>
      </w:tr>
    </w:tbl>
    <w:p>
      <w:pPr>
        <w:rPr>
          <w:rFonts w:ascii="仿宋_GB2312" w:eastAsia="仿宋_GB2312"/>
          <w:sz w:val="32"/>
          <w:szCs w:val="32"/>
        </w:rPr>
      </w:pPr>
    </w:p>
    <w:p>
      <w:pPr>
        <w:spacing w:before="10" w:after="10" w:line="240" w:lineRule="auto"/>
        <w:ind w:firstLine="640"/>
        <w:jc w:val="left"/>
        <w:outlineLvl w:val="2"/>
      </w:pPr>
      <w:r>
        <w:rPr>
          <w:rFonts w:ascii="黑体" w:hAnsi="黑体" w:eastAsia="黑体" w:cs="黑体"/>
          <w:color w:val="000000"/>
          <w:sz w:val="32"/>
        </w:rPr>
        <w:t>六、政府采购预算情况</w:t>
      </w:r>
      <w:bookmarkEnd w:id="14"/>
    </w:p>
    <w:p>
      <w:pPr>
        <w:ind w:firstLine="560" w:firstLineChars="200"/>
        <w:outlineLvl w:val="0"/>
        <w:rPr>
          <w:rFonts w:hint="eastAsia" w:eastAsia="方正仿宋_GBK" w:cs="Times New Roman"/>
          <w:b w:val="0"/>
          <w:color w:val="000000"/>
          <w:sz w:val="28"/>
          <w:lang w:eastAsia="zh-CN"/>
        </w:rPr>
      </w:pPr>
      <w:bookmarkStart w:id="15" w:name="_Toc487093894"/>
      <w:r>
        <w:rPr>
          <w:rFonts w:hint="eastAsia" w:eastAsia="方正仿宋_GBK" w:cs="Times New Roman"/>
          <w:b w:val="0"/>
          <w:color w:val="000000"/>
          <w:sz w:val="28"/>
          <w:lang w:eastAsia="zh-CN"/>
        </w:rPr>
        <w:t>2021年我单位无项目列入政府采购预算。</w:t>
      </w:r>
      <w:bookmarkEnd w:id="15"/>
    </w:p>
    <w:p>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5"/>
        <w:gridCol w:w="840"/>
        <w:gridCol w:w="397"/>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val="en-US"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8316" w:type="dxa"/>
            <w:gridSpan w:val="9"/>
            <w:tcBorders>
              <w:top w:val="single" w:color="FFFFFF" w:sz="6" w:space="0"/>
              <w:left w:val="single" w:color="FFFFFF" w:sz="6" w:space="0"/>
              <w:right w:val="single" w:color="FFFFFF" w:sz="6" w:space="0"/>
            </w:tcBorders>
            <w:vAlign w:val="center"/>
          </w:tcPr>
          <w:p>
            <w:pPr>
              <w:pStyle w:val="26"/>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75" w:type="dxa"/>
            <w:gridSpan w:val="2"/>
            <w:vAlign w:val="center"/>
          </w:tcPr>
          <w:p>
            <w:pPr>
              <w:pStyle w:val="12"/>
              <w:rPr>
                <w:highlight w:val="none"/>
              </w:rPr>
            </w:pPr>
            <w:r>
              <w:rPr>
                <w:highlight w:val="none"/>
              </w:rPr>
              <w:t>政府采购项目来源</w:t>
            </w:r>
          </w:p>
        </w:tc>
        <w:tc>
          <w:tcPr>
            <w:tcW w:w="397" w:type="dxa"/>
            <w:vMerge w:val="restart"/>
            <w:vAlign w:val="center"/>
          </w:tcPr>
          <w:p>
            <w:pPr>
              <w:pStyle w:val="12"/>
              <w:rPr>
                <w:highlight w:val="none"/>
              </w:rPr>
            </w:pPr>
            <w:r>
              <w:rPr>
                <w:highlight w:val="none"/>
              </w:rPr>
              <w:t>采购物品名称</w:t>
            </w:r>
          </w:p>
        </w:tc>
        <w:tc>
          <w:tcPr>
            <w:tcW w:w="924" w:type="dxa"/>
            <w:vMerge w:val="restart"/>
            <w:vAlign w:val="center"/>
          </w:tcPr>
          <w:p>
            <w:pPr>
              <w:pStyle w:val="12"/>
              <w:rPr>
                <w:highlight w:val="none"/>
              </w:rPr>
            </w:pPr>
            <w:r>
              <w:rPr>
                <w:highlight w:val="none"/>
              </w:rPr>
              <w:t>政府采购目录序号</w:t>
            </w:r>
          </w:p>
        </w:tc>
        <w:tc>
          <w:tcPr>
            <w:tcW w:w="924" w:type="dxa"/>
            <w:vMerge w:val="restart"/>
            <w:vAlign w:val="center"/>
          </w:tcPr>
          <w:p>
            <w:pPr>
              <w:pStyle w:val="12"/>
              <w:rPr>
                <w:highlight w:val="none"/>
              </w:rPr>
            </w:pPr>
            <w:r>
              <w:rPr>
                <w:highlight w:val="none"/>
              </w:rPr>
              <w:t>计量  单位</w:t>
            </w:r>
          </w:p>
        </w:tc>
        <w:tc>
          <w:tcPr>
            <w:tcW w:w="924" w:type="dxa"/>
            <w:vMerge w:val="restart"/>
            <w:vAlign w:val="center"/>
          </w:tcPr>
          <w:p>
            <w:pPr>
              <w:pStyle w:val="12"/>
              <w:rPr>
                <w:highlight w:val="none"/>
              </w:rPr>
            </w:pPr>
            <w:r>
              <w:rPr>
                <w:highlight w:val="none"/>
              </w:rPr>
              <w:t>数量</w:t>
            </w:r>
          </w:p>
        </w:tc>
        <w:tc>
          <w:tcPr>
            <w:tcW w:w="924" w:type="dxa"/>
            <w:vMerge w:val="restart"/>
            <w:vAlign w:val="center"/>
          </w:tcPr>
          <w:p>
            <w:pPr>
              <w:pStyle w:val="12"/>
              <w:rPr>
                <w:highlight w:val="none"/>
              </w:rPr>
            </w:pPr>
            <w:r>
              <w:rPr>
                <w:highlight w:val="none"/>
              </w:rPr>
              <w:t>单价</w:t>
            </w:r>
          </w:p>
        </w:tc>
        <w:tc>
          <w:tcPr>
            <w:tcW w:w="7392" w:type="dxa"/>
            <w:gridSpan w:val="8"/>
            <w:vAlign w:val="center"/>
          </w:tcPr>
          <w:p>
            <w:pPr>
              <w:pStyle w:val="12"/>
              <w:rPr>
                <w:highlight w:val="none"/>
              </w:rPr>
            </w:pPr>
            <w:r>
              <w:rPr>
                <w:highlight w:val="none"/>
              </w:rPr>
              <w:t>政府采购金额（当年部门预算安排资金）</w:t>
            </w:r>
          </w:p>
        </w:tc>
        <w:tc>
          <w:tcPr>
            <w:tcW w:w="924" w:type="dxa"/>
            <w:vMerge w:val="restart"/>
            <w:vAlign w:val="center"/>
          </w:tcPr>
          <w:p>
            <w:pPr>
              <w:pStyle w:val="12"/>
              <w:rPr>
                <w:highlight w:val="none"/>
              </w:rPr>
            </w:pPr>
            <w:r>
              <w:rPr>
                <w:rFonts w:hint="eastAsia"/>
                <w:highlight w:val="none"/>
                <w:lang w:eastAsia="zh-CN"/>
              </w:rPr>
              <w:t>2021</w:t>
            </w:r>
            <w:r>
              <w:rPr>
                <w:highlight w:val="none"/>
              </w:rP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35" w:type="dxa"/>
            <w:vAlign w:val="center"/>
          </w:tcPr>
          <w:p>
            <w:pPr>
              <w:pStyle w:val="12"/>
              <w:rPr>
                <w:highlight w:val="none"/>
              </w:rPr>
            </w:pPr>
            <w:r>
              <w:rPr>
                <w:highlight w:val="none"/>
              </w:rPr>
              <w:t>项目名称</w:t>
            </w:r>
          </w:p>
        </w:tc>
        <w:tc>
          <w:tcPr>
            <w:tcW w:w="840" w:type="dxa"/>
            <w:vAlign w:val="center"/>
          </w:tcPr>
          <w:p>
            <w:pPr>
              <w:pStyle w:val="12"/>
              <w:rPr>
                <w:highlight w:val="none"/>
              </w:rPr>
            </w:pPr>
            <w:r>
              <w:rPr>
                <w:highlight w:val="none"/>
              </w:rPr>
              <w:t>预算    资金</w:t>
            </w:r>
          </w:p>
        </w:tc>
        <w:tc>
          <w:tcPr>
            <w:tcW w:w="397" w:type="dxa"/>
            <w:vMerge w:val="continue"/>
          </w:tcPr>
          <w:p>
            <w:pPr>
              <w:rPr>
                <w:highlight w:val="none"/>
              </w:rPr>
            </w:pPr>
          </w:p>
        </w:tc>
        <w:tc>
          <w:tcPr>
            <w:tcW w:w="924" w:type="dxa"/>
            <w:vMerge w:val="continue"/>
          </w:tcPr>
          <w:p>
            <w:pPr>
              <w:rPr>
                <w:highlight w:val="none"/>
              </w:rPr>
            </w:pPr>
          </w:p>
        </w:tc>
        <w:tc>
          <w:tcPr>
            <w:tcW w:w="924" w:type="dxa"/>
            <w:vMerge w:val="continue"/>
          </w:tcPr>
          <w:p>
            <w:pPr>
              <w:rPr>
                <w:highlight w:val="none"/>
              </w:rPr>
            </w:pPr>
          </w:p>
        </w:tc>
        <w:tc>
          <w:tcPr>
            <w:tcW w:w="924" w:type="dxa"/>
            <w:vMerge w:val="continue"/>
          </w:tcPr>
          <w:p>
            <w:pPr>
              <w:rPr>
                <w:highlight w:val="none"/>
              </w:rPr>
            </w:pPr>
          </w:p>
        </w:tc>
        <w:tc>
          <w:tcPr>
            <w:tcW w:w="924" w:type="dxa"/>
            <w:vMerge w:val="continue"/>
          </w:tcPr>
          <w:p>
            <w:pPr>
              <w:rPr>
                <w:highlight w:val="none"/>
              </w:rPr>
            </w:pPr>
          </w:p>
        </w:tc>
        <w:tc>
          <w:tcPr>
            <w:tcW w:w="924" w:type="dxa"/>
            <w:vAlign w:val="center"/>
          </w:tcPr>
          <w:p>
            <w:pPr>
              <w:pStyle w:val="12"/>
              <w:rPr>
                <w:highlight w:val="none"/>
              </w:rPr>
            </w:pPr>
            <w:r>
              <w:rPr>
                <w:highlight w:val="none"/>
              </w:rPr>
              <w:t>合计</w:t>
            </w:r>
          </w:p>
        </w:tc>
        <w:tc>
          <w:tcPr>
            <w:tcW w:w="924" w:type="dxa"/>
            <w:vAlign w:val="center"/>
          </w:tcPr>
          <w:p>
            <w:pPr>
              <w:pStyle w:val="12"/>
              <w:rPr>
                <w:highlight w:val="none"/>
              </w:rPr>
            </w:pPr>
            <w:r>
              <w:rPr>
                <w:highlight w:val="none"/>
              </w:rPr>
              <w:t>一般公共预算拨款</w:t>
            </w:r>
          </w:p>
        </w:tc>
        <w:tc>
          <w:tcPr>
            <w:tcW w:w="924" w:type="dxa"/>
            <w:vAlign w:val="center"/>
          </w:tcPr>
          <w:p>
            <w:pPr>
              <w:pStyle w:val="12"/>
              <w:rPr>
                <w:highlight w:val="none"/>
              </w:rPr>
            </w:pPr>
            <w:r>
              <w:rPr>
                <w:highlight w:val="none"/>
              </w:rPr>
              <w:t>基金预算拨款</w:t>
            </w:r>
          </w:p>
        </w:tc>
        <w:tc>
          <w:tcPr>
            <w:tcW w:w="924" w:type="dxa"/>
            <w:vAlign w:val="center"/>
          </w:tcPr>
          <w:p>
            <w:pPr>
              <w:pStyle w:val="12"/>
              <w:rPr>
                <w:highlight w:val="none"/>
              </w:rPr>
            </w:pPr>
            <w:r>
              <w:rPr>
                <w:highlight w:val="none"/>
              </w:rPr>
              <w:t>国有资本经营预算拨款</w:t>
            </w:r>
          </w:p>
        </w:tc>
        <w:tc>
          <w:tcPr>
            <w:tcW w:w="924" w:type="dxa"/>
            <w:vAlign w:val="center"/>
          </w:tcPr>
          <w:p>
            <w:pPr>
              <w:pStyle w:val="12"/>
              <w:rPr>
                <w:highlight w:val="none"/>
              </w:rPr>
            </w:pPr>
            <w:r>
              <w:rPr>
                <w:highlight w:val="none"/>
              </w:rPr>
              <w:t>财政专户核拨</w:t>
            </w:r>
          </w:p>
        </w:tc>
        <w:tc>
          <w:tcPr>
            <w:tcW w:w="924" w:type="dxa"/>
            <w:vAlign w:val="center"/>
          </w:tcPr>
          <w:p>
            <w:pPr>
              <w:pStyle w:val="12"/>
              <w:rPr>
                <w:highlight w:val="none"/>
              </w:rPr>
            </w:pPr>
            <w:r>
              <w:rPr>
                <w:highlight w:val="none"/>
              </w:rPr>
              <w:t>单位    资金</w:t>
            </w:r>
          </w:p>
        </w:tc>
        <w:tc>
          <w:tcPr>
            <w:tcW w:w="924" w:type="dxa"/>
            <w:vAlign w:val="center"/>
          </w:tcPr>
          <w:p>
            <w:pPr>
              <w:pStyle w:val="12"/>
              <w:rPr>
                <w:highlight w:val="none"/>
              </w:rPr>
            </w:pPr>
            <w:r>
              <w:rPr>
                <w:highlight w:val="none"/>
              </w:rPr>
              <w:t>财政拨    款结转</w:t>
            </w:r>
          </w:p>
        </w:tc>
        <w:tc>
          <w:tcPr>
            <w:tcW w:w="924" w:type="dxa"/>
            <w:vAlign w:val="center"/>
          </w:tcPr>
          <w:p>
            <w:pPr>
              <w:pStyle w:val="12"/>
              <w:rPr>
                <w:highlight w:val="none"/>
              </w:rPr>
            </w:pPr>
            <w:r>
              <w:rPr>
                <w:highlight w:val="none"/>
              </w:rPr>
              <w:t>非财政    拨款结    转结余</w:t>
            </w:r>
          </w:p>
        </w:tc>
        <w:tc>
          <w:tcPr>
            <w:tcW w:w="92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35" w:type="dxa"/>
            <w:vAlign w:val="center"/>
          </w:tcPr>
          <w:p>
            <w:pPr>
              <w:pStyle w:val="16"/>
            </w:pPr>
            <w:r>
              <w:t>合  计</w:t>
            </w:r>
          </w:p>
        </w:tc>
        <w:tc>
          <w:tcPr>
            <w:tcW w:w="840" w:type="dxa"/>
            <w:vAlign w:val="center"/>
          </w:tcPr>
          <w:p>
            <w:pPr>
              <w:pStyle w:val="17"/>
            </w:pPr>
          </w:p>
        </w:tc>
        <w:tc>
          <w:tcPr>
            <w:tcW w:w="397"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rPr>
                <w:rFonts w:hint="eastAsia"/>
                <w:lang w:val="en-US" w:eastAsia="zh-CN"/>
              </w:rPr>
              <w:t>0</w:t>
            </w:r>
            <w:r>
              <w:t>.00</w:t>
            </w:r>
          </w:p>
        </w:tc>
        <w:tc>
          <w:tcPr>
            <w:tcW w:w="924" w:type="dxa"/>
            <w:vAlign w:val="center"/>
          </w:tcPr>
          <w:p>
            <w:pPr>
              <w:pStyle w:val="17"/>
            </w:pPr>
            <w:r>
              <w:rPr>
                <w:rFonts w:hint="eastAsia"/>
                <w:lang w:val="en-US" w:eastAsia="zh-CN"/>
              </w:rPr>
              <w:t>0</w:t>
            </w:r>
            <w:r>
              <w:t>.00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1535" w:type="dxa"/>
            <w:vAlign w:val="center"/>
          </w:tcPr>
          <w:p>
            <w:pPr>
              <w:pStyle w:val="16"/>
            </w:pPr>
            <w:r>
              <w:t>唐山高新技术产业开发区财政局（本级）小计</w:t>
            </w:r>
          </w:p>
        </w:tc>
        <w:tc>
          <w:tcPr>
            <w:tcW w:w="840" w:type="dxa"/>
            <w:vAlign w:val="center"/>
          </w:tcPr>
          <w:p>
            <w:pPr>
              <w:pStyle w:val="17"/>
            </w:pPr>
          </w:p>
        </w:tc>
        <w:tc>
          <w:tcPr>
            <w:tcW w:w="397"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rPr>
                <w:rFonts w:hint="eastAsia"/>
                <w:lang w:val="en-US" w:eastAsia="zh-CN"/>
              </w:rPr>
              <w:t>0</w:t>
            </w:r>
            <w:r>
              <w:t>.00</w:t>
            </w:r>
          </w:p>
        </w:tc>
        <w:tc>
          <w:tcPr>
            <w:tcW w:w="924" w:type="dxa"/>
            <w:vAlign w:val="center"/>
          </w:tcPr>
          <w:p>
            <w:pPr>
              <w:pStyle w:val="17"/>
            </w:pPr>
            <w:r>
              <w:rPr>
                <w:rFonts w:hint="eastAsia"/>
                <w:lang w:val="en-US" w:eastAsia="zh-CN"/>
              </w:rPr>
              <w:t>0</w:t>
            </w:r>
            <w:r>
              <w:t>.00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6"/>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rPr>
        <w:t>唐山高新技术产业开发区</w:t>
      </w:r>
      <w:r>
        <w:rPr>
          <w:rFonts w:ascii="Times New Roman" w:hAnsi="Times New Roman" w:eastAsia="方正仿宋_GBK" w:cs="Times New Roman"/>
          <w:b w:val="0"/>
          <w:color w:val="000000"/>
          <w:sz w:val="28"/>
          <w:highlight w:val="none"/>
        </w:rPr>
        <w:t>财政局</w:t>
      </w:r>
      <w:r>
        <w:rPr>
          <w:rFonts w:hint="eastAsia" w:eastAsia="方正仿宋_GBK" w:cs="Times New Roman"/>
          <w:b w:val="0"/>
          <w:color w:val="000000"/>
          <w:sz w:val="28"/>
          <w:highlight w:val="none"/>
          <w:lang w:eastAsia="zh-CN"/>
        </w:rPr>
        <w:t>（本级）</w:t>
      </w:r>
      <w:r>
        <w:rPr>
          <w:rFonts w:ascii="Times New Roman" w:hAnsi="Times New Roman" w:eastAsia="方正仿宋_GBK" w:cs="Times New Roman"/>
          <w:b w:val="0"/>
          <w:color w:val="000000"/>
          <w:sz w:val="28"/>
          <w:highlight w:val="none"/>
        </w:rPr>
        <w:t>上年末固定资产金额为</w:t>
      </w:r>
      <w:r>
        <w:rPr>
          <w:rFonts w:hint="eastAsia" w:eastAsia="方正仿宋_GBK" w:cs="Times New Roman"/>
          <w:b w:val="0"/>
          <w:color w:val="000000"/>
          <w:sz w:val="28"/>
          <w:highlight w:val="none"/>
          <w:lang w:val="en-US" w:eastAsia="zh-CN"/>
        </w:rPr>
        <w:t>153.00431</w:t>
      </w:r>
      <w:r>
        <w:rPr>
          <w:rFonts w:ascii="Times New Roman" w:hAnsi="Times New Roman" w:eastAsia="方正仿宋_GBK" w:cs="Times New Roman"/>
          <w:b w:val="0"/>
          <w:color w:val="000000"/>
          <w:sz w:val="28"/>
          <w:highlight w:val="none"/>
        </w:rPr>
        <w:t>万元（详见下表）。</w:t>
      </w:r>
      <w:r>
        <w:rPr>
          <w:rFonts w:ascii="Times New Roman" w:hAnsi="Times New Roman" w:eastAsia="方正仿宋_GBK" w:cs="Times New Roman"/>
          <w:b w:val="0"/>
          <w:color w:val="auto"/>
          <w:sz w:val="28"/>
          <w:highlight w:val="none"/>
        </w:rPr>
        <w:t>本年度拟购置固定资产总额为</w:t>
      </w:r>
      <w:r>
        <w:rPr>
          <w:rFonts w:hint="eastAsia" w:eastAsia="方正仿宋_GBK" w:cs="Times New Roman"/>
          <w:b w:val="0"/>
          <w:color w:val="auto"/>
          <w:sz w:val="28"/>
          <w:highlight w:val="none"/>
          <w:lang w:val="en-US" w:eastAsia="zh-CN"/>
        </w:rPr>
        <w:t>15</w:t>
      </w:r>
      <w:r>
        <w:rPr>
          <w:rFonts w:ascii="Times New Roman" w:hAnsi="Times New Roman" w:eastAsia="方正仿宋_GBK" w:cs="Times New Roman"/>
          <w:b w:val="0"/>
          <w:color w:val="auto"/>
          <w:sz w:val="28"/>
          <w:highlight w:val="none"/>
        </w:rPr>
        <w:t>.00万元，已按要求列入政府采购预算，详见政府采购预算表。</w:t>
      </w:r>
    </w:p>
    <w:p>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highlight w:val="none"/>
              </w:rPr>
              <w:t>318</w:t>
            </w:r>
            <w:r>
              <w:rPr>
                <w:rFonts w:hint="eastAsia"/>
                <w:highlight w:val="none"/>
                <w:lang w:val="en-US" w:eastAsia="zh-CN"/>
              </w:rPr>
              <w:t>001</w:t>
            </w:r>
            <w:r>
              <w:rPr>
                <w:highlight w:val="none"/>
              </w:rPr>
              <w:t>唐山高新技术产业开发区财政局</w:t>
            </w:r>
            <w:r>
              <w:rPr>
                <w:rFonts w:hint="eastAsia"/>
                <w:highlight w:val="none"/>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截止时间：202</w:t>
            </w:r>
            <w:r>
              <w:rPr>
                <w:rFonts w:hint="eastAsia"/>
                <w:highlight w:val="none"/>
                <w:lang w:val="en-US" w:eastAsia="zh-CN"/>
              </w:rPr>
              <w:t>0</w:t>
            </w:r>
            <w:r>
              <w:rPr>
                <w:highlight w:val="none"/>
              </w:rP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rPr>
                <w:highlight w:val="none"/>
              </w:rPr>
            </w:pPr>
            <w:r>
              <w:rPr>
                <w:highlight w:val="none"/>
              </w:rPr>
              <w:t>项   目</w:t>
            </w:r>
          </w:p>
        </w:tc>
        <w:tc>
          <w:tcPr>
            <w:tcW w:w="4933" w:type="dxa"/>
            <w:vAlign w:val="center"/>
          </w:tcPr>
          <w:p>
            <w:pPr>
              <w:pStyle w:val="12"/>
              <w:rPr>
                <w:highlight w:val="none"/>
              </w:rPr>
            </w:pPr>
            <w:r>
              <w:rPr>
                <w:highlight w:val="none"/>
              </w:rPr>
              <w:t>数量</w:t>
            </w:r>
          </w:p>
        </w:tc>
        <w:tc>
          <w:tcPr>
            <w:tcW w:w="4933" w:type="dxa"/>
            <w:vAlign w:val="center"/>
          </w:tcPr>
          <w:p>
            <w:pPr>
              <w:pStyle w:val="12"/>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128.86583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rPr>
              <w:t>20</w:t>
            </w:r>
            <w:r>
              <w:rPr>
                <w:rFonts w:hint="eastAsia"/>
                <w:sz w:val="20"/>
                <w:szCs w:val="20"/>
                <w:lang w:val="en-US" w:eastAsia="zh-CN"/>
              </w:rPr>
              <w:t>2</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102.82021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r>
              <w:rPr>
                <w:sz w:val="20"/>
                <w:szCs w:val="20"/>
              </w:rPr>
              <w:t>1</w:t>
            </w:r>
          </w:p>
        </w:tc>
        <w:tc>
          <w:tcPr>
            <w:tcW w:w="0" w:type="auto"/>
            <w:vAlign w:val="center"/>
          </w:tcPr>
          <w:p>
            <w:pPr>
              <w:jc w:val="right"/>
              <w:rPr>
                <w:rFonts w:ascii="宋体" w:hAnsi="Times New Roman" w:eastAsia="Times New Roman" w:cs="宋体"/>
                <w:color w:val="000000"/>
                <w:sz w:val="22"/>
                <w:szCs w:val="22"/>
                <w:highlight w:val="yellow"/>
                <w:lang w:val="en-US" w:eastAsia="uk-UA" w:bidi="ar-SA"/>
              </w:rPr>
            </w:pPr>
            <w:r>
              <w:rPr>
                <w:rFonts w:hint="eastAsia" w:ascii="宋体" w:hAnsi="宋体" w:cs="宋体"/>
                <w:color w:val="000000"/>
                <w:sz w:val="22"/>
                <w:szCs w:val="22"/>
              </w:rPr>
              <w:t>　</w:t>
            </w:r>
            <w:r>
              <w:rPr>
                <w:rFonts w:ascii="宋体" w:hAnsi="宋体" w:cs="宋体"/>
                <w:color w:val="000000"/>
                <w:sz w:val="22"/>
                <w:szCs w:val="22"/>
              </w:rPr>
              <w:t>11.2346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sz w:val="20"/>
                <w:szCs w:val="20"/>
                <w:lang w:val="en-US" w:eastAsia="zh-CN"/>
              </w:rPr>
              <w:t>4</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ascii="宋体" w:hAnsi="宋体" w:cs="宋体"/>
                <w:color w:val="000000"/>
                <w:sz w:val="22"/>
                <w:szCs w:val="22"/>
              </w:rPr>
              <w:t>0.9</w:t>
            </w:r>
            <w:r>
              <w:rPr>
                <w:rFonts w:hint="eastAsia" w:ascii="宋体" w:hAnsi="宋体" w:cs="宋体"/>
                <w:color w:val="000000"/>
                <w:sz w:val="22"/>
                <w:szCs w:val="22"/>
                <w:lang w:val="en-US" w:eastAsia="zh-CN"/>
              </w:rPr>
              <w:t>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235</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25.08382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sz w:val="20"/>
                <w:szCs w:val="20"/>
              </w:rPr>
              <w:t>2</w:t>
            </w:r>
            <w:r>
              <w:rPr>
                <w:rFonts w:hint="eastAsia"/>
                <w:sz w:val="20"/>
                <w:szCs w:val="20"/>
                <w:lang w:val="en-US" w:eastAsia="zh-CN"/>
              </w:rPr>
              <w:t>09</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25.08382</w:t>
            </w:r>
            <w:bookmarkStart w:id="19" w:name="_GoBack"/>
            <w:bookmarkEnd w:id="1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sz w:val="20"/>
                <w:szCs w:val="20"/>
                <w:lang w:val="en-US" w:eastAsia="zh-CN" w:bidi="ar-SA"/>
              </w:rPr>
            </w:pPr>
            <w:r>
              <w:rPr>
                <w:rFonts w:hint="eastAsia"/>
                <w:sz w:val="20"/>
                <w:szCs w:val="20"/>
                <w:lang w:val="en-US" w:eastAsia="zh-CN"/>
              </w:rPr>
              <w:t>6</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cs="宋体"/>
                <w:color w:val="000000"/>
                <w:sz w:val="22"/>
                <w:szCs w:val="22"/>
                <w:lang w:val="en-US" w:eastAsia="zh-CN"/>
              </w:rPr>
              <w:t>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sz w:val="20"/>
                <w:szCs w:val="20"/>
                <w:lang w:val="en-US" w:eastAsia="zh-CN" w:bidi="ar-SA"/>
              </w:rPr>
            </w:pPr>
            <w:r>
              <w:rPr>
                <w:rFonts w:hint="eastAsia"/>
                <w:sz w:val="20"/>
                <w:szCs w:val="20"/>
                <w:lang w:val="en-US" w:eastAsia="zh-CN"/>
              </w:rPr>
              <w:t>6</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cs="宋体"/>
                <w:color w:val="000000"/>
                <w:sz w:val="22"/>
                <w:szCs w:val="22"/>
                <w:lang w:val="en-US" w:eastAsia="zh-CN"/>
              </w:rPr>
              <w:t>24.2</w:t>
            </w:r>
          </w:p>
        </w:tc>
      </w:tr>
    </w:tbl>
    <w:p>
      <w:pPr>
        <w:spacing w:before="0" w:after="0"/>
        <w:jc w:val="left"/>
        <w:outlineLvl w:val="9"/>
      </w:pPr>
      <w:r>
        <w:rPr>
          <w:rFonts w:ascii="Times New Roman" w:hAnsi="Times New Roman" w:eastAsia="方正仿宋_GBK" w:cs="Times New Roman"/>
          <w:color w:val="000000"/>
          <w:sz w:val="32"/>
        </w:rPr>
        <w:t xml:space="preserve"> </w:t>
      </w:r>
      <w:bookmarkStart w:id="17" w:name="_Toc_3_3_0000000017"/>
      <w:r>
        <w:rPr>
          <w:rFonts w:hint="eastAsia" w:eastAsia="方正仿宋_GBK" w:cs="Times New Roman"/>
          <w:color w:val="000000"/>
          <w:sz w:val="32"/>
          <w:lang w:val="en-US" w:eastAsia="zh-CN"/>
        </w:rPr>
        <w:t xml:space="preserve">      </w:t>
      </w:r>
      <w:r>
        <w:rPr>
          <w:rFonts w:ascii="黑体" w:hAnsi="黑体" w:eastAsia="黑体" w:cs="黑体"/>
          <w:color w:val="000000"/>
          <w:sz w:val="32"/>
        </w:rPr>
        <w:t>八、名词解释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rPr>
          <w:highlight w:val="none"/>
        </w:rPr>
      </w:pPr>
      <w:bookmarkStart w:id="18" w:name="_Toc_3_3_0000000018"/>
      <w:r>
        <w:rPr>
          <w:rFonts w:ascii="黑体" w:hAnsi="黑体" w:eastAsia="黑体" w:cs="黑体"/>
          <w:color w:val="000000"/>
          <w:sz w:val="32"/>
        </w:rPr>
        <w:t>九</w:t>
      </w:r>
      <w:r>
        <w:rPr>
          <w:rFonts w:ascii="黑体" w:hAnsi="黑体" w:eastAsia="黑体" w:cs="黑体"/>
          <w:color w:val="000000"/>
          <w:sz w:val="32"/>
          <w:highlight w:val="none"/>
        </w:rPr>
        <w:t>、其他需要说明的事项</w:t>
      </w:r>
      <w:bookmarkEnd w:id="18"/>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w:t>
      </w:r>
      <w:r>
        <w:rPr>
          <w:rFonts w:hint="eastAsia" w:eastAsia="方正仿宋_GBK" w:cs="Times New Roman"/>
          <w:b w:val="0"/>
          <w:color w:val="000000"/>
          <w:sz w:val="28"/>
          <w:highlight w:val="none"/>
          <w:lang w:eastAsia="zh-CN"/>
        </w:rPr>
        <w:t>单位</w:t>
      </w:r>
      <w:r>
        <w:rPr>
          <w:rFonts w:ascii="Times New Roman" w:hAnsi="Times New Roman" w:eastAsia="方正仿宋_GBK" w:cs="Times New Roman"/>
          <w:b w:val="0"/>
          <w:color w:val="000000"/>
          <w:sz w:val="28"/>
          <w:highlight w:val="none"/>
        </w:rPr>
        <w:t>无</w:t>
      </w:r>
      <w:r>
        <w:rPr>
          <w:rFonts w:ascii="Times New Roman" w:hAnsi="Times New Roman" w:eastAsia="方正仿宋_GBK" w:cs="Times New Roman"/>
          <w:b w:val="0"/>
          <w:color w:val="000000"/>
          <w:sz w:val="28"/>
        </w:rPr>
        <w:t>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C2E7C"/>
    <w:multiLevelType w:val="singleLevel"/>
    <w:tmpl w:val="FD1C2E7C"/>
    <w:lvl w:ilvl="0" w:tentative="0">
      <w:start w:val="6"/>
      <w:numFmt w:val="chineseCounting"/>
      <w:suff w:val="nothing"/>
      <w:lvlText w:val="（%1）"/>
      <w:lvlJc w:val="left"/>
      <w:rPr>
        <w:rFonts w:hint="eastAsia"/>
      </w:rPr>
    </w:lvl>
  </w:abstractNum>
  <w:abstractNum w:abstractNumId="1">
    <w:nsid w:val="16082677"/>
    <w:multiLevelType w:val="singleLevel"/>
    <w:tmpl w:val="1608267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TM1NzVkMzhlOGUwZmU1MTRhYWI2MGNhNjc5YTIifQ=="/>
  </w:docVars>
  <w:rsids>
    <w:rsidRoot w:val="00000000"/>
    <w:rsid w:val="00955849"/>
    <w:rsid w:val="039D7D68"/>
    <w:rsid w:val="03C9248E"/>
    <w:rsid w:val="041E4753"/>
    <w:rsid w:val="077F12A2"/>
    <w:rsid w:val="09351D15"/>
    <w:rsid w:val="0A0170EF"/>
    <w:rsid w:val="0A503C3B"/>
    <w:rsid w:val="0BA56B73"/>
    <w:rsid w:val="0F641134"/>
    <w:rsid w:val="11F07A11"/>
    <w:rsid w:val="15D53571"/>
    <w:rsid w:val="16856C16"/>
    <w:rsid w:val="186C104A"/>
    <w:rsid w:val="1CC54083"/>
    <w:rsid w:val="1DD92664"/>
    <w:rsid w:val="1E1C1BF0"/>
    <w:rsid w:val="1E621117"/>
    <w:rsid w:val="1FC24AE1"/>
    <w:rsid w:val="22362B4F"/>
    <w:rsid w:val="25D4013B"/>
    <w:rsid w:val="264D5FC7"/>
    <w:rsid w:val="28DA2FBA"/>
    <w:rsid w:val="29287B44"/>
    <w:rsid w:val="29EA6F19"/>
    <w:rsid w:val="2A0614F0"/>
    <w:rsid w:val="2CEE7A5B"/>
    <w:rsid w:val="306C7CF9"/>
    <w:rsid w:val="307812C0"/>
    <w:rsid w:val="32E43C36"/>
    <w:rsid w:val="35DE0DBB"/>
    <w:rsid w:val="36183326"/>
    <w:rsid w:val="365378DD"/>
    <w:rsid w:val="36A267DA"/>
    <w:rsid w:val="3841615E"/>
    <w:rsid w:val="389E5510"/>
    <w:rsid w:val="38E00395"/>
    <w:rsid w:val="395F1D8C"/>
    <w:rsid w:val="3B70657C"/>
    <w:rsid w:val="3D3F35D3"/>
    <w:rsid w:val="3DBB529F"/>
    <w:rsid w:val="3DF610C0"/>
    <w:rsid w:val="419D78D1"/>
    <w:rsid w:val="41B77FFB"/>
    <w:rsid w:val="44117147"/>
    <w:rsid w:val="45592612"/>
    <w:rsid w:val="45B67D69"/>
    <w:rsid w:val="467B090C"/>
    <w:rsid w:val="498E6893"/>
    <w:rsid w:val="4D791678"/>
    <w:rsid w:val="4F0A2D82"/>
    <w:rsid w:val="4F105C65"/>
    <w:rsid w:val="4F80029E"/>
    <w:rsid w:val="56517F65"/>
    <w:rsid w:val="5A464CAB"/>
    <w:rsid w:val="5DB04CF3"/>
    <w:rsid w:val="5ECF745B"/>
    <w:rsid w:val="66494531"/>
    <w:rsid w:val="686C7395"/>
    <w:rsid w:val="69843DC9"/>
    <w:rsid w:val="6C4123AD"/>
    <w:rsid w:val="6D5B1521"/>
    <w:rsid w:val="75047A5A"/>
    <w:rsid w:val="75E53A5F"/>
    <w:rsid w:val="76607614"/>
    <w:rsid w:val="766711F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15b79f2-284a-4736-87d6-c4b42faf054a}">
  <ds:schemaRefs/>
</ds:datastoreItem>
</file>

<file path=customXml/itemProps11.xml><?xml version="1.0" encoding="utf-8"?>
<ds:datastoreItem xmlns:ds="http://schemas.openxmlformats.org/officeDocument/2006/customXml" ds:itemID="{a67394e5-732d-42bb-8fe7-e34e0bc5ff46}">
  <ds:schemaRefs/>
</ds:datastoreItem>
</file>

<file path=customXml/itemProps12.xml><?xml version="1.0" encoding="utf-8"?>
<ds:datastoreItem xmlns:ds="http://schemas.openxmlformats.org/officeDocument/2006/customXml" ds:itemID="{f513f9e6-ba5e-4f62-8d7e-180469175ebc}">
  <ds:schemaRefs/>
</ds:datastoreItem>
</file>

<file path=customXml/itemProps13.xml><?xml version="1.0" encoding="utf-8"?>
<ds:datastoreItem xmlns:ds="http://schemas.openxmlformats.org/officeDocument/2006/customXml" ds:itemID="{3b1365d9-75a6-4bc7-92d3-1068da2218aa}">
  <ds:schemaRefs/>
</ds:datastoreItem>
</file>

<file path=customXml/itemProps14.xml><?xml version="1.0" encoding="utf-8"?>
<ds:datastoreItem xmlns:ds="http://schemas.openxmlformats.org/officeDocument/2006/customXml" ds:itemID="{1d26f65a-039d-4670-b425-acfd66b361a3}">
  <ds:schemaRefs/>
</ds:datastoreItem>
</file>

<file path=customXml/itemProps15.xml><?xml version="1.0" encoding="utf-8"?>
<ds:datastoreItem xmlns:ds="http://schemas.openxmlformats.org/officeDocument/2006/customXml" ds:itemID="{e6e2ccde-c44a-4e11-9f17-397e57f16ba8}">
  <ds:schemaRefs/>
</ds:datastoreItem>
</file>

<file path=customXml/itemProps16.xml><?xml version="1.0" encoding="utf-8"?>
<ds:datastoreItem xmlns:ds="http://schemas.openxmlformats.org/officeDocument/2006/customXml" ds:itemID="{27525728-1bca-4ad2-8e8a-a6e5f94a7154}">
  <ds:schemaRefs/>
</ds:datastoreItem>
</file>

<file path=customXml/itemProps17.xml><?xml version="1.0" encoding="utf-8"?>
<ds:datastoreItem xmlns:ds="http://schemas.openxmlformats.org/officeDocument/2006/customXml" ds:itemID="{a039ad3e-4f25-450a-ba30-70ae202e53b0}">
  <ds:schemaRefs/>
</ds:datastoreItem>
</file>

<file path=customXml/itemProps18.xml><?xml version="1.0" encoding="utf-8"?>
<ds:datastoreItem xmlns:ds="http://schemas.openxmlformats.org/officeDocument/2006/customXml" ds:itemID="{094834e4-eca2-4569-a8e8-ebcdb91f6e21}">
  <ds:schemaRefs/>
</ds:datastoreItem>
</file>

<file path=customXml/itemProps19.xml><?xml version="1.0" encoding="utf-8"?>
<ds:datastoreItem xmlns:ds="http://schemas.openxmlformats.org/officeDocument/2006/customXml" ds:itemID="{af8bb0fc-caa2-43d6-bb14-a2dcfe2f750c}">
  <ds:schemaRefs/>
</ds:datastoreItem>
</file>

<file path=customXml/itemProps2.xml><?xml version="1.0" encoding="utf-8"?>
<ds:datastoreItem xmlns:ds="http://schemas.openxmlformats.org/officeDocument/2006/customXml" ds:itemID="{a9c597c7-6362-4945-8171-79a03141cede}">
  <ds:schemaRefs/>
</ds:datastoreItem>
</file>

<file path=customXml/itemProps20.xml><?xml version="1.0" encoding="utf-8"?>
<ds:datastoreItem xmlns:ds="http://schemas.openxmlformats.org/officeDocument/2006/customXml" ds:itemID="{61be3922-549a-45e8-bc12-6ebbd142de6f}">
  <ds:schemaRefs/>
</ds:datastoreItem>
</file>

<file path=customXml/itemProps21.xml><?xml version="1.0" encoding="utf-8"?>
<ds:datastoreItem xmlns:ds="http://schemas.openxmlformats.org/officeDocument/2006/customXml" ds:itemID="{e7aad82e-3966-47f2-881b-fdb6c0371193}">
  <ds:schemaRefs/>
</ds:datastoreItem>
</file>

<file path=customXml/itemProps22.xml><?xml version="1.0" encoding="utf-8"?>
<ds:datastoreItem xmlns:ds="http://schemas.openxmlformats.org/officeDocument/2006/customXml" ds:itemID="{b16407f3-fe07-4d98-8bc9-446c4d1aeb8f}">
  <ds:schemaRefs/>
</ds:datastoreItem>
</file>

<file path=customXml/itemProps23.xml><?xml version="1.0" encoding="utf-8"?>
<ds:datastoreItem xmlns:ds="http://schemas.openxmlformats.org/officeDocument/2006/customXml" ds:itemID="{502638b1-1f65-4412-98a7-2c6a10d87ced}">
  <ds:schemaRefs/>
</ds:datastoreItem>
</file>

<file path=customXml/itemProps24.xml><?xml version="1.0" encoding="utf-8"?>
<ds:datastoreItem xmlns:ds="http://schemas.openxmlformats.org/officeDocument/2006/customXml" ds:itemID="{40f8e6f6-bfe0-46df-96bc-c8005af221b3}">
  <ds:schemaRefs/>
</ds:datastoreItem>
</file>

<file path=customXml/itemProps25.xml><?xml version="1.0" encoding="utf-8"?>
<ds:datastoreItem xmlns:ds="http://schemas.openxmlformats.org/officeDocument/2006/customXml" ds:itemID="{ce1bc006-f569-4dfd-acdf-98866d40fe3d}">
  <ds:schemaRefs/>
</ds:datastoreItem>
</file>

<file path=customXml/itemProps26.xml><?xml version="1.0" encoding="utf-8"?>
<ds:datastoreItem xmlns:ds="http://schemas.openxmlformats.org/officeDocument/2006/customXml" ds:itemID="{bd640b0a-584d-4326-bf93-20a84a759cca}">
  <ds:schemaRefs/>
</ds:datastoreItem>
</file>

<file path=customXml/itemProps27.xml><?xml version="1.0" encoding="utf-8"?>
<ds:datastoreItem xmlns:ds="http://schemas.openxmlformats.org/officeDocument/2006/customXml" ds:itemID="{7d15887e-681e-4952-8ac6-220b7840b7e7}">
  <ds:schemaRefs/>
</ds:datastoreItem>
</file>

<file path=customXml/itemProps28.xml><?xml version="1.0" encoding="utf-8"?>
<ds:datastoreItem xmlns:ds="http://schemas.openxmlformats.org/officeDocument/2006/customXml" ds:itemID="{8886a3ea-5905-4d9b-bffd-9529c859f7cf}">
  <ds:schemaRefs/>
</ds:datastoreItem>
</file>

<file path=customXml/itemProps29.xml><?xml version="1.0" encoding="utf-8"?>
<ds:datastoreItem xmlns:ds="http://schemas.openxmlformats.org/officeDocument/2006/customXml" ds:itemID="{7df10e06-a862-4e4a-b46e-9f432f2be86a}">
  <ds:schemaRefs/>
</ds:datastoreItem>
</file>

<file path=customXml/itemProps3.xml><?xml version="1.0" encoding="utf-8"?>
<ds:datastoreItem xmlns:ds="http://schemas.openxmlformats.org/officeDocument/2006/customXml" ds:itemID="{9f444ce4-e149-4cd5-bb6b-f87396e11e9e}">
  <ds:schemaRefs/>
</ds:datastoreItem>
</file>

<file path=customXml/itemProps30.xml><?xml version="1.0" encoding="utf-8"?>
<ds:datastoreItem xmlns:ds="http://schemas.openxmlformats.org/officeDocument/2006/customXml" ds:itemID="{c749aeda-65f2-4711-828a-c61e4dbe5910}">
  <ds:schemaRefs/>
</ds:datastoreItem>
</file>

<file path=customXml/itemProps31.xml><?xml version="1.0" encoding="utf-8"?>
<ds:datastoreItem xmlns:ds="http://schemas.openxmlformats.org/officeDocument/2006/customXml" ds:itemID="{a8cb7548-e362-40f7-836f-6afddc9028c4}">
  <ds:schemaRefs/>
</ds:datastoreItem>
</file>

<file path=customXml/itemProps32.xml><?xml version="1.0" encoding="utf-8"?>
<ds:datastoreItem xmlns:ds="http://schemas.openxmlformats.org/officeDocument/2006/customXml" ds:itemID="{3ec4ee5d-3d92-42f6-bb0b-fab04f544a8d}">
  <ds:schemaRefs/>
</ds:datastoreItem>
</file>

<file path=customXml/itemProps33.xml><?xml version="1.0" encoding="utf-8"?>
<ds:datastoreItem xmlns:ds="http://schemas.openxmlformats.org/officeDocument/2006/customXml" ds:itemID="{ab80f07b-3536-481a-9982-51f2574ce098}">
  <ds:schemaRefs/>
</ds:datastoreItem>
</file>

<file path=customXml/itemProps34.xml><?xml version="1.0" encoding="utf-8"?>
<ds:datastoreItem xmlns:ds="http://schemas.openxmlformats.org/officeDocument/2006/customXml" ds:itemID="{090f6a49-2463-474d-ab3a-c5d53d694605}">
  <ds:schemaRefs/>
</ds:datastoreItem>
</file>

<file path=customXml/itemProps35.xml><?xml version="1.0" encoding="utf-8"?>
<ds:datastoreItem xmlns:ds="http://schemas.openxmlformats.org/officeDocument/2006/customXml" ds:itemID="{915d48ed-5bcf-4501-9d03-c9d6fe846409}">
  <ds:schemaRefs/>
</ds:datastoreItem>
</file>

<file path=customXml/itemProps36.xml><?xml version="1.0" encoding="utf-8"?>
<ds:datastoreItem xmlns:ds="http://schemas.openxmlformats.org/officeDocument/2006/customXml" ds:itemID="{38e4847f-c6c0-444e-a6a5-9d1a1fc57505}">
  <ds:schemaRefs/>
</ds:datastoreItem>
</file>

<file path=customXml/itemProps37.xml><?xml version="1.0" encoding="utf-8"?>
<ds:datastoreItem xmlns:ds="http://schemas.openxmlformats.org/officeDocument/2006/customXml" ds:itemID="{a34b90f6-1677-4b84-98ae-13ce1be04daf}">
  <ds:schemaRefs/>
</ds:datastoreItem>
</file>

<file path=customXml/itemProps38.xml><?xml version="1.0" encoding="utf-8"?>
<ds:datastoreItem xmlns:ds="http://schemas.openxmlformats.org/officeDocument/2006/customXml" ds:itemID="{55773eb3-72b6-44a0-aedb-df6d3adc7eb4}">
  <ds:schemaRefs/>
</ds:datastoreItem>
</file>

<file path=customXml/itemProps39.xml><?xml version="1.0" encoding="utf-8"?>
<ds:datastoreItem xmlns:ds="http://schemas.openxmlformats.org/officeDocument/2006/customXml" ds:itemID="{aefcbc79-e9b6-4e36-a17b-e342102f45f3}">
  <ds:schemaRefs/>
</ds:datastoreItem>
</file>

<file path=customXml/itemProps4.xml><?xml version="1.0" encoding="utf-8"?>
<ds:datastoreItem xmlns:ds="http://schemas.openxmlformats.org/officeDocument/2006/customXml" ds:itemID="{2b930b94-66bf-4309-a436-050b999ff649}">
  <ds:schemaRefs/>
</ds:datastoreItem>
</file>

<file path=customXml/itemProps40.xml><?xml version="1.0" encoding="utf-8"?>
<ds:datastoreItem xmlns:ds="http://schemas.openxmlformats.org/officeDocument/2006/customXml" ds:itemID="{da96961f-14b3-419b-9d90-4cd69846b750}">
  <ds:schemaRefs/>
</ds:datastoreItem>
</file>

<file path=customXml/itemProps41.xml><?xml version="1.0" encoding="utf-8"?>
<ds:datastoreItem xmlns:ds="http://schemas.openxmlformats.org/officeDocument/2006/customXml" ds:itemID="{ddd119ad-d2d3-4c97-a937-6b712be03d71}">
  <ds:schemaRefs/>
</ds:datastoreItem>
</file>

<file path=customXml/itemProps42.xml><?xml version="1.0" encoding="utf-8"?>
<ds:datastoreItem xmlns:ds="http://schemas.openxmlformats.org/officeDocument/2006/customXml" ds:itemID="{d254633d-7a22-4afb-8b11-a5ecb837dddd}">
  <ds:schemaRefs/>
</ds:datastoreItem>
</file>

<file path=customXml/itemProps43.xml><?xml version="1.0" encoding="utf-8"?>
<ds:datastoreItem xmlns:ds="http://schemas.openxmlformats.org/officeDocument/2006/customXml" ds:itemID="{214c8beb-9b04-4fdc-bd20-3076212f76a3}">
  <ds:schemaRefs/>
</ds:datastoreItem>
</file>

<file path=customXml/itemProps44.xml><?xml version="1.0" encoding="utf-8"?>
<ds:datastoreItem xmlns:ds="http://schemas.openxmlformats.org/officeDocument/2006/customXml" ds:itemID="{31abe456-b8d2-4819-87a6-561f235ab7c1}">
  <ds:schemaRefs/>
</ds:datastoreItem>
</file>

<file path=customXml/itemProps45.xml><?xml version="1.0" encoding="utf-8"?>
<ds:datastoreItem xmlns:ds="http://schemas.openxmlformats.org/officeDocument/2006/customXml" ds:itemID="{86808b7e-2438-4e6d-9358-30eeaa9d516f}">
  <ds:schemaRefs/>
</ds:datastoreItem>
</file>

<file path=customXml/itemProps46.xml><?xml version="1.0" encoding="utf-8"?>
<ds:datastoreItem xmlns:ds="http://schemas.openxmlformats.org/officeDocument/2006/customXml" ds:itemID="{8a32f74e-1183-4cc4-bfee-ed41778b1168}">
  <ds:schemaRefs/>
</ds:datastoreItem>
</file>

<file path=customXml/itemProps47.xml><?xml version="1.0" encoding="utf-8"?>
<ds:datastoreItem xmlns:ds="http://schemas.openxmlformats.org/officeDocument/2006/customXml" ds:itemID="{6fa1cd79-9483-40ae-8629-7bd302126a1a}">
  <ds:schemaRefs/>
</ds:datastoreItem>
</file>

<file path=customXml/itemProps48.xml><?xml version="1.0" encoding="utf-8"?>
<ds:datastoreItem xmlns:ds="http://schemas.openxmlformats.org/officeDocument/2006/customXml" ds:itemID="{0ab01705-e671-421d-9cb5-13f644d60e69}">
  <ds:schemaRefs/>
</ds:datastoreItem>
</file>

<file path=customXml/itemProps49.xml><?xml version="1.0" encoding="utf-8"?>
<ds:datastoreItem xmlns:ds="http://schemas.openxmlformats.org/officeDocument/2006/customXml" ds:itemID="{3d06d1db-047a-4267-98e6-3035c55219fd}">
  <ds:schemaRefs/>
</ds:datastoreItem>
</file>

<file path=customXml/itemProps5.xml><?xml version="1.0" encoding="utf-8"?>
<ds:datastoreItem xmlns:ds="http://schemas.openxmlformats.org/officeDocument/2006/customXml" ds:itemID="{9eb2c184-8572-4583-bfac-a65e74d7c93d}">
  <ds:schemaRefs/>
</ds:datastoreItem>
</file>

<file path=customXml/itemProps50.xml><?xml version="1.0" encoding="utf-8"?>
<ds:datastoreItem xmlns:ds="http://schemas.openxmlformats.org/officeDocument/2006/customXml" ds:itemID="{17c3a045-a0b2-446b-8a6f-d78079b6eb04}">
  <ds:schemaRefs/>
</ds:datastoreItem>
</file>

<file path=customXml/itemProps51.xml><?xml version="1.0" encoding="utf-8"?>
<ds:datastoreItem xmlns:ds="http://schemas.openxmlformats.org/officeDocument/2006/customXml" ds:itemID="{6d8fc880-4499-445c-8cf6-d22e48213830}">
  <ds:schemaRefs/>
</ds:datastoreItem>
</file>

<file path=customXml/itemProps52.xml><?xml version="1.0" encoding="utf-8"?>
<ds:datastoreItem xmlns:ds="http://schemas.openxmlformats.org/officeDocument/2006/customXml" ds:itemID="{68567c34-3b0a-4b76-9837-f744da76a1b4}">
  <ds:schemaRefs/>
</ds:datastoreItem>
</file>

<file path=customXml/itemProps53.xml><?xml version="1.0" encoding="utf-8"?>
<ds:datastoreItem xmlns:ds="http://schemas.openxmlformats.org/officeDocument/2006/customXml" ds:itemID="{c1469d40-0496-4036-8965-5d4d467fd762}">
  <ds:schemaRefs/>
</ds:datastoreItem>
</file>

<file path=customXml/itemProps54.xml><?xml version="1.0" encoding="utf-8"?>
<ds:datastoreItem xmlns:ds="http://schemas.openxmlformats.org/officeDocument/2006/customXml" ds:itemID="{b8b86ecb-44a8-4fe1-8779-9ced19ba01dd}">
  <ds:schemaRefs/>
</ds:datastoreItem>
</file>

<file path=customXml/itemProps55.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656251a8-236f-458d-b9cd-a8900a267869}">
  <ds:schemaRefs/>
</ds:datastoreItem>
</file>

<file path=customXml/itemProps7.xml><?xml version="1.0" encoding="utf-8"?>
<ds:datastoreItem xmlns:ds="http://schemas.openxmlformats.org/officeDocument/2006/customXml" ds:itemID="{c730a94f-c54b-4064-837e-d8963a72ce8f}">
  <ds:schemaRefs/>
</ds:datastoreItem>
</file>

<file path=customXml/itemProps8.xml><?xml version="1.0" encoding="utf-8"?>
<ds:datastoreItem xmlns:ds="http://schemas.openxmlformats.org/officeDocument/2006/customXml" ds:itemID="{f67d8d96-38f5-452b-b9cb-1d7423278af8}">
  <ds:schemaRefs/>
</ds:datastoreItem>
</file>

<file path=customXml/itemProps9.xml><?xml version="1.0" encoding="utf-8"?>
<ds:datastoreItem xmlns:ds="http://schemas.openxmlformats.org/officeDocument/2006/customXml" ds:itemID="{59d33208-34c3-4d6d-b24c-27ec23595455}">
  <ds:schemaRefs/>
</ds:datastoreItem>
</file>

<file path=docProps/app.xml><?xml version="1.0" encoding="utf-8"?>
<Properties xmlns="http://schemas.openxmlformats.org/officeDocument/2006/extended-properties" xmlns:vt="http://schemas.openxmlformats.org/officeDocument/2006/docPropsVTypes">
  <Pages>35</Pages>
  <Words>9718</Words>
  <Characters>12825</Characters>
  <TotalTime>1</TotalTime>
  <ScaleCrop>false</ScaleCrop>
  <LinksUpToDate>false</LinksUpToDate>
  <CharactersWithSpaces>13144</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茈小鑫❤</cp:lastModifiedBy>
  <dcterms:modified xsi:type="dcterms:W3CDTF">2022-09-15T08:29:26Z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4F192669024A494AA7D97DDAC7FC49C2</vt:lpwstr>
  </property>
</Properties>
</file>