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8AA8F">
      <w:pPr>
        <w:pStyle w:val="9"/>
        <w:spacing w:line="240" w:lineRule="atLeast"/>
        <w:ind w:firstLine="4740" w:firstLineChars="1500"/>
        <w:jc w:val="both"/>
        <w:rPr>
          <w:rFonts w:hint="eastAsia" w:ascii="仿宋" w:hAnsi="仿宋" w:eastAsia="仿宋" w:cs="仿宋"/>
          <w:bCs/>
          <w:color w:val="auto"/>
          <w:kern w:val="2"/>
          <w:sz w:val="32"/>
          <w:szCs w:val="32"/>
          <w:lang w:val="en-US" w:eastAsia="zh-CN" w:bidi="ar-SA"/>
        </w:rPr>
      </w:pPr>
      <w:r>
        <w:rPr>
          <w:rFonts w:hint="eastAsia" w:ascii="仿宋" w:hAnsi="仿宋" w:eastAsia="仿宋" w:cs="仿宋"/>
          <w:bCs/>
          <w:color w:val="auto"/>
          <w:kern w:val="2"/>
          <w:sz w:val="32"/>
          <w:szCs w:val="32"/>
          <w:lang w:val="en-US" w:eastAsia="zh-CN" w:bidi="ar-SA"/>
        </w:rPr>
        <w:t>唐高行审环表〔2026〕5</w:t>
      </w:r>
      <w:r>
        <w:rPr>
          <w:rFonts w:hint="eastAsia" w:ascii="仿宋" w:hAnsi="仿宋" w:eastAsia="仿宋" w:cs="仿宋"/>
          <w:bCs/>
          <w:color w:val="auto"/>
          <w:kern w:val="2"/>
          <w:sz w:val="32"/>
          <w:szCs w:val="32"/>
          <w:lang w:val="en-US" w:eastAsia="zh-CN" w:bidi="ar-SA"/>
        </w:rPr>
        <w:t>号</w:t>
      </w:r>
    </w:p>
    <w:p w14:paraId="21F1A7DA">
      <w:pPr>
        <w:pStyle w:val="9"/>
        <w:spacing w:line="240" w:lineRule="atLeast"/>
        <w:ind w:firstLine="5372" w:firstLineChars="1700"/>
        <w:jc w:val="both"/>
        <w:rPr>
          <w:rFonts w:hint="eastAsia" w:ascii="仿宋" w:hAnsi="仿宋" w:eastAsia="仿宋" w:cs="仿宋"/>
          <w:bCs/>
          <w:color w:val="auto"/>
          <w:sz w:val="32"/>
          <w:szCs w:val="32"/>
          <w:highlight w:val="none"/>
        </w:rPr>
      </w:pPr>
    </w:p>
    <w:p w14:paraId="7811FCA7">
      <w:pPr>
        <w:pStyle w:val="22"/>
        <w:spacing w:line="560" w:lineRule="exact"/>
        <w:jc w:val="center"/>
        <w:rPr>
          <w:rFonts w:ascii="黑体" w:hAnsi="黑体" w:eastAsia="黑体" w:cs="黑体"/>
          <w:color w:val="auto"/>
          <w:w w:val="100"/>
          <w:sz w:val="44"/>
          <w:szCs w:val="44"/>
          <w:highlight w:val="none"/>
        </w:rPr>
      </w:pPr>
      <w:r>
        <w:rPr>
          <w:rFonts w:hint="eastAsia" w:ascii="黑体" w:hAnsi="黑体" w:eastAsia="黑体" w:cs="黑体"/>
          <w:color w:val="auto"/>
          <w:w w:val="100"/>
          <w:sz w:val="44"/>
          <w:szCs w:val="44"/>
          <w:highlight w:val="none"/>
        </w:rPr>
        <w:t>唐山高新技术产业开发区行政审批局</w:t>
      </w:r>
    </w:p>
    <w:p w14:paraId="2E73AE49">
      <w:pPr>
        <w:pStyle w:val="9"/>
        <w:spacing w:line="600" w:lineRule="exact"/>
        <w:jc w:val="center"/>
        <w:rPr>
          <w:rFonts w:hint="eastAsia" w:ascii="黑体" w:hAnsi="黑体" w:eastAsia="黑体" w:cs="黑体"/>
          <w:color w:val="auto"/>
          <w:w w:val="97"/>
          <w:kern w:val="0"/>
          <w:sz w:val="44"/>
          <w:szCs w:val="44"/>
          <w:highlight w:val="none"/>
        </w:rPr>
      </w:pPr>
      <w:r>
        <w:rPr>
          <w:rFonts w:hint="eastAsia" w:ascii="黑体" w:hAnsi="黑体" w:eastAsia="黑体" w:cs="黑体"/>
          <w:color w:val="auto"/>
          <w:w w:val="100"/>
          <w:sz w:val="44"/>
          <w:szCs w:val="44"/>
          <w:highlight w:val="none"/>
        </w:rPr>
        <w:t>关</w:t>
      </w:r>
      <w:r>
        <w:rPr>
          <w:rFonts w:hint="eastAsia" w:ascii="黑体" w:hAnsi="黑体" w:eastAsia="黑体" w:cs="黑体"/>
          <w:color w:val="auto"/>
          <w:w w:val="100"/>
          <w:kern w:val="0"/>
          <w:sz w:val="44"/>
          <w:szCs w:val="44"/>
          <w:highlight w:val="none"/>
          <w:lang w:val="en-US" w:eastAsia="zh-CN" w:bidi="ar-SA"/>
        </w:rPr>
        <w:t>于</w:t>
      </w:r>
      <w:r>
        <w:rPr>
          <w:rFonts w:hint="eastAsia" w:ascii="黑体" w:hAnsi="黑体" w:eastAsia="黑体" w:cs="黑体"/>
          <w:color w:val="auto"/>
          <w:w w:val="100"/>
          <w:kern w:val="0"/>
          <w:sz w:val="44"/>
          <w:szCs w:val="44"/>
          <w:lang w:val="en-US" w:eastAsia="zh-CN"/>
        </w:rPr>
        <w:t>唐山陆凯科技有限公司大型成套筛分装备数字化制造基地项目（重新报批）</w:t>
      </w:r>
      <w:r>
        <w:rPr>
          <w:rFonts w:hint="eastAsia" w:ascii="黑体" w:hAnsi="黑体" w:eastAsia="黑体" w:cs="黑体"/>
          <w:color w:val="auto"/>
          <w:w w:val="100"/>
          <w:kern w:val="0"/>
          <w:sz w:val="44"/>
          <w:szCs w:val="44"/>
          <w:highlight w:val="none"/>
        </w:rPr>
        <w:t>环境影响报告</w:t>
      </w:r>
      <w:r>
        <w:rPr>
          <w:rFonts w:hint="eastAsia" w:ascii="黑体" w:hAnsi="黑体" w:eastAsia="黑体" w:cs="黑体"/>
          <w:color w:val="auto"/>
          <w:w w:val="100"/>
          <w:kern w:val="0"/>
          <w:sz w:val="44"/>
          <w:szCs w:val="44"/>
          <w:highlight w:val="none"/>
          <w:lang w:val="en-US" w:eastAsia="zh-CN"/>
        </w:rPr>
        <w:t>表</w:t>
      </w:r>
      <w:r>
        <w:rPr>
          <w:rFonts w:hint="eastAsia" w:ascii="黑体" w:hAnsi="黑体" w:eastAsia="黑体" w:cs="黑体"/>
          <w:color w:val="auto"/>
          <w:w w:val="100"/>
          <w:kern w:val="0"/>
          <w:sz w:val="44"/>
          <w:szCs w:val="44"/>
          <w:highlight w:val="none"/>
        </w:rPr>
        <w:t>的批复</w:t>
      </w:r>
    </w:p>
    <w:p w14:paraId="0EF56646">
      <w:pPr>
        <w:jc w:val="center"/>
        <w:rPr>
          <w:rFonts w:hint="eastAsia" w:ascii="黑体" w:hAnsi="黑体" w:eastAsia="黑体" w:cs="黑体"/>
          <w:color w:val="0000FF"/>
          <w:w w:val="97"/>
          <w:kern w:val="0"/>
          <w:sz w:val="44"/>
          <w:szCs w:val="44"/>
          <w:highlight w:val="none"/>
        </w:rPr>
      </w:pPr>
    </w:p>
    <w:p w14:paraId="414BCF5C">
      <w:pPr>
        <w:keepNext w:val="0"/>
        <w:keepLines w:val="0"/>
        <w:pageBreakBefore w:val="0"/>
        <w:kinsoku/>
        <w:wordWrap/>
        <w:overflowPunct/>
        <w:topLinePunct w:val="0"/>
        <w:autoSpaceDE/>
        <w:autoSpaceDN/>
        <w:bidi w:val="0"/>
        <w:adjustRightInd/>
        <w:snapToGrid/>
        <w:spacing w:line="54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Cs/>
          <w:color w:val="auto"/>
          <w:sz w:val="32"/>
          <w:szCs w:val="32"/>
          <w:lang w:eastAsia="zh-CN"/>
        </w:rPr>
        <w:t>唐山陆凯科技有限公司</w:t>
      </w:r>
      <w:r>
        <w:rPr>
          <w:rFonts w:hint="eastAsia" w:ascii="仿宋" w:hAnsi="仿宋" w:eastAsia="仿宋" w:cs="仿宋"/>
          <w:b w:val="0"/>
          <w:bCs/>
          <w:color w:val="auto"/>
          <w:sz w:val="32"/>
          <w:szCs w:val="32"/>
          <w:highlight w:val="none"/>
          <w:lang w:val="en-US" w:eastAsia="zh-CN"/>
        </w:rPr>
        <w:t>：</w:t>
      </w:r>
    </w:p>
    <w:p w14:paraId="33E1672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lang w:eastAsia="zh-CN"/>
        </w:rPr>
      </w:pPr>
      <w:r>
        <w:rPr>
          <w:rFonts w:hint="eastAsia" w:ascii="仿宋" w:hAnsi="仿宋" w:eastAsia="仿宋" w:cs="仿宋"/>
          <w:b w:val="0"/>
          <w:bCs/>
          <w:color w:val="auto"/>
          <w:sz w:val="32"/>
          <w:szCs w:val="32"/>
          <w:highlight w:val="none"/>
          <w:lang w:val="en-US" w:eastAsia="zh-CN"/>
        </w:rPr>
        <w:t>你公司所报</w:t>
      </w:r>
      <w:r>
        <w:rPr>
          <w:rFonts w:hint="eastAsia" w:ascii="仿宋" w:hAnsi="仿宋" w:eastAsia="仿宋" w:cs="仿宋"/>
          <w:bCs/>
          <w:color w:val="auto"/>
          <w:sz w:val="32"/>
          <w:szCs w:val="32"/>
          <w:highlight w:val="none"/>
          <w:lang w:val="en-US"/>
        </w:rPr>
        <w:t>《</w:t>
      </w:r>
      <w:r>
        <w:rPr>
          <w:rFonts w:hint="eastAsia" w:ascii="仿宋" w:hAnsi="仿宋" w:eastAsia="仿宋" w:cs="仿宋"/>
          <w:bCs/>
          <w:color w:val="auto"/>
          <w:sz w:val="32"/>
          <w:szCs w:val="32"/>
          <w:lang w:val="en-US" w:eastAsia="zh-CN"/>
        </w:rPr>
        <w:t>唐山陆凯科技有限公司大型成套筛分装备数字化制造基地项目（重新报批）环境影响报告表</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以下简称《报告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lang w:val="en-US" w:eastAsia="zh-CN"/>
        </w:rPr>
        <w:t>及</w:t>
      </w:r>
      <w:r>
        <w:rPr>
          <w:rFonts w:hint="eastAsia" w:ascii="仿宋" w:hAnsi="仿宋" w:eastAsia="仿宋" w:cs="仿宋"/>
          <w:b w:val="0"/>
          <w:bCs/>
          <w:color w:val="auto"/>
          <w:sz w:val="32"/>
          <w:szCs w:val="32"/>
          <w:highlight w:val="none"/>
          <w:lang w:eastAsia="zh-CN"/>
        </w:rPr>
        <w:t>审批申请</w:t>
      </w:r>
      <w:r>
        <w:rPr>
          <w:rFonts w:hint="eastAsia" w:ascii="仿宋" w:hAnsi="仿宋" w:eastAsia="仿宋" w:cs="仿宋"/>
          <w:b w:val="0"/>
          <w:bCs/>
          <w:color w:val="auto"/>
          <w:sz w:val="32"/>
          <w:szCs w:val="32"/>
          <w:highlight w:val="none"/>
          <w:lang w:val="en-US" w:eastAsia="zh-CN"/>
        </w:rPr>
        <w:t>等</w:t>
      </w:r>
      <w:r>
        <w:rPr>
          <w:rFonts w:hint="eastAsia" w:ascii="仿宋" w:hAnsi="仿宋" w:eastAsia="仿宋" w:cs="仿宋"/>
          <w:b w:val="0"/>
          <w:bCs/>
          <w:color w:val="auto"/>
          <w:sz w:val="32"/>
          <w:szCs w:val="32"/>
          <w:highlight w:val="none"/>
          <w:lang w:eastAsia="zh-CN"/>
        </w:rPr>
        <w:t>相关材料</w:t>
      </w:r>
      <w:r>
        <w:rPr>
          <w:rFonts w:hint="eastAsia" w:ascii="仿宋" w:hAnsi="仿宋" w:eastAsia="仿宋" w:cs="仿宋"/>
          <w:b w:val="0"/>
          <w:bCs/>
          <w:color w:val="auto"/>
          <w:sz w:val="32"/>
          <w:szCs w:val="32"/>
          <w:highlight w:val="none"/>
          <w:lang w:val="en-US" w:eastAsia="zh-CN"/>
        </w:rPr>
        <w:t>我局已</w:t>
      </w:r>
      <w:r>
        <w:rPr>
          <w:rFonts w:hint="eastAsia" w:ascii="仿宋" w:hAnsi="仿宋" w:eastAsia="仿宋" w:cs="仿宋"/>
          <w:b w:val="0"/>
          <w:bCs/>
          <w:color w:val="auto"/>
          <w:sz w:val="32"/>
          <w:szCs w:val="32"/>
          <w:highlight w:val="none"/>
          <w:lang w:eastAsia="zh-CN"/>
        </w:rPr>
        <w:t>收悉。根据《报告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结论、专家评审意见，结合工程环境影响特点，经研究，现批复如下：</w:t>
      </w:r>
    </w:p>
    <w:p w14:paraId="17D48E4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Cs/>
          <w:color w:val="auto"/>
          <w:sz w:val="32"/>
          <w:szCs w:val="32"/>
          <w:highlight w:val="green"/>
          <w:lang w:eastAsia="zh-CN"/>
        </w:rPr>
      </w:pPr>
      <w:r>
        <w:rPr>
          <w:rFonts w:hint="eastAsia" w:ascii="仿宋" w:hAnsi="仿宋" w:eastAsia="仿宋" w:cs="仿宋"/>
          <w:bCs/>
          <w:color w:val="auto"/>
          <w:sz w:val="32"/>
          <w:szCs w:val="32"/>
          <w:lang w:eastAsia="zh-CN"/>
        </w:rPr>
        <w:t>项目位于唐山市高新区京唐智慧港纬三路南侧、经七路西侧，项目总投资</w:t>
      </w:r>
      <w:r>
        <w:rPr>
          <w:rFonts w:hint="eastAsia" w:ascii="仿宋" w:hAnsi="仿宋" w:eastAsia="仿宋" w:cs="仿宋"/>
          <w:bCs/>
          <w:color w:val="auto"/>
          <w:sz w:val="32"/>
          <w:szCs w:val="32"/>
          <w:lang w:val="en-US" w:eastAsia="zh-CN"/>
        </w:rPr>
        <w:t>33500</w:t>
      </w:r>
      <w:r>
        <w:rPr>
          <w:rFonts w:hint="eastAsia" w:ascii="仿宋" w:hAnsi="仿宋" w:eastAsia="仿宋" w:cs="仿宋"/>
          <w:bCs/>
          <w:color w:val="auto"/>
          <w:sz w:val="32"/>
          <w:szCs w:val="32"/>
          <w:lang w:eastAsia="zh-CN"/>
        </w:rPr>
        <w:t>万元，其中环保投资</w:t>
      </w:r>
      <w:r>
        <w:rPr>
          <w:rFonts w:hint="eastAsia" w:ascii="仿宋" w:hAnsi="仿宋" w:eastAsia="仿宋" w:cs="仿宋"/>
          <w:bCs/>
          <w:color w:val="auto"/>
          <w:sz w:val="32"/>
          <w:szCs w:val="32"/>
          <w:lang w:val="en-US" w:eastAsia="zh-CN"/>
        </w:rPr>
        <w:t>400</w:t>
      </w:r>
      <w:r>
        <w:rPr>
          <w:rFonts w:hint="eastAsia" w:ascii="仿宋" w:hAnsi="仿宋" w:eastAsia="仿宋" w:cs="仿宋"/>
          <w:bCs/>
          <w:color w:val="auto"/>
          <w:sz w:val="32"/>
          <w:szCs w:val="32"/>
          <w:lang w:eastAsia="zh-CN"/>
        </w:rPr>
        <w:t>万元。</w:t>
      </w:r>
      <w:r>
        <w:rPr>
          <w:rFonts w:hint="eastAsia" w:ascii="仿宋" w:hAnsi="仿宋" w:eastAsia="仿宋" w:cs="仿宋"/>
          <w:bCs/>
          <w:color w:val="auto"/>
          <w:sz w:val="32"/>
          <w:szCs w:val="32"/>
          <w:highlight w:val="none"/>
          <w:lang w:eastAsia="zh-CN"/>
        </w:rPr>
        <w:t>项目</w:t>
      </w:r>
      <w:r>
        <w:rPr>
          <w:rFonts w:hint="eastAsia" w:ascii="仿宋" w:hAnsi="仿宋" w:eastAsia="仿宋" w:cs="仿宋"/>
          <w:bCs/>
          <w:color w:val="auto"/>
          <w:sz w:val="32"/>
          <w:szCs w:val="32"/>
          <w:highlight w:val="none"/>
          <w:lang w:val="en-US" w:eastAsia="zh-CN"/>
        </w:rPr>
        <w:t>占地面积110.13亩，总建筑面积52513.19平方米，建设数字化工厂以及分工艺实验车间，其中数字化工厂包括下料车间、机加车间、筛网车间、组装车间、调试车间等生产车间及办公附属设施；选矿工艺实验车间包括研发车间、中试车间等。项目建成后，年产量达到1000自然台细粒分级设备；300自然台中、粗粒筛分设备；1000吨耐磨新材料制品。</w:t>
      </w:r>
    </w:p>
    <w:p w14:paraId="3262DA9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0000FF"/>
          <w:sz w:val="32"/>
          <w:szCs w:val="32"/>
          <w:highlight w:val="none"/>
        </w:rPr>
      </w:pPr>
      <w:r>
        <w:rPr>
          <w:rFonts w:hint="eastAsia" w:ascii="仿宋" w:hAnsi="仿宋" w:eastAsia="仿宋" w:cs="仿宋"/>
          <w:b w:val="0"/>
          <w:bCs/>
          <w:color w:val="auto"/>
          <w:sz w:val="32"/>
          <w:szCs w:val="32"/>
          <w:highlight w:val="none"/>
        </w:rPr>
        <w:t>根据你公司所报《报告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》以及报告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Cs/>
          <w:color w:val="auto"/>
          <w:sz w:val="32"/>
          <w:szCs w:val="32"/>
          <w:highlight w:val="none"/>
          <w:lang w:val="en-US" w:eastAsia="zh-CN"/>
        </w:rPr>
        <w:t>技术评估</w:t>
      </w:r>
      <w:r>
        <w:rPr>
          <w:rFonts w:hint="eastAsia" w:ascii="仿宋" w:hAnsi="仿宋" w:eastAsia="仿宋" w:cs="仿宋"/>
          <w:bCs/>
          <w:color w:val="auto"/>
          <w:sz w:val="32"/>
          <w:szCs w:val="32"/>
          <w:highlight w:val="none"/>
        </w:rPr>
        <w:t>意见</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从环境保护角度分析，我局原则</w:t>
      </w:r>
      <w:r>
        <w:rPr>
          <w:rFonts w:hint="eastAsia" w:ascii="仿宋" w:hAnsi="仿宋" w:eastAsia="仿宋" w:cs="仿宋"/>
          <w:b w:val="0"/>
          <w:bCs/>
          <w:color w:val="auto"/>
          <w:sz w:val="32"/>
          <w:szCs w:val="32"/>
          <w:highlight w:val="none"/>
          <w:lang w:val="en-US" w:eastAsia="zh-CN"/>
        </w:rPr>
        <w:t>上</w:t>
      </w:r>
      <w:r>
        <w:rPr>
          <w:rFonts w:hint="eastAsia" w:ascii="仿宋" w:hAnsi="仿宋" w:eastAsia="仿宋" w:cs="仿宋"/>
          <w:b w:val="0"/>
          <w:bCs/>
          <w:color w:val="auto"/>
          <w:sz w:val="32"/>
          <w:szCs w:val="32"/>
          <w:highlight w:val="none"/>
        </w:rPr>
        <w:t>同意《报告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》结论。</w:t>
      </w:r>
    </w:p>
    <w:p w14:paraId="1CDE860B">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green"/>
        </w:rPr>
      </w:pPr>
      <w:r>
        <w:rPr>
          <w:rFonts w:hint="eastAsia" w:ascii="仿宋" w:hAnsi="仿宋" w:eastAsia="仿宋" w:cs="仿宋"/>
          <w:b w:val="0"/>
          <w:bCs/>
          <w:color w:val="auto"/>
          <w:sz w:val="32"/>
          <w:szCs w:val="32"/>
          <w:highlight w:val="none"/>
          <w:lang w:eastAsia="zh-CN"/>
        </w:rPr>
        <w:t>一、</w:t>
      </w:r>
      <w:r>
        <w:rPr>
          <w:rFonts w:hint="eastAsia" w:ascii="仿宋" w:hAnsi="仿宋" w:eastAsia="仿宋" w:cs="仿宋"/>
          <w:b w:val="0"/>
          <w:bCs/>
          <w:color w:val="auto"/>
          <w:sz w:val="32"/>
          <w:szCs w:val="32"/>
          <w:highlight w:val="none"/>
        </w:rPr>
        <w:t>你公司须严格按照《报告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》所列建设项目的性质、规模、地点、生产工艺、环保措施及要求实施项目建设。</w:t>
      </w:r>
    </w:p>
    <w:p w14:paraId="5A983F8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二、项目建设和运行过程中要认真落实《报告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lang w:eastAsia="zh-CN"/>
        </w:rPr>
        <w:t>》及相关的各项污染防治措施，</w:t>
      </w:r>
      <w:r>
        <w:rPr>
          <w:rFonts w:hint="eastAsia" w:ascii="仿宋" w:hAnsi="仿宋" w:eastAsia="仿宋" w:cs="仿宋"/>
          <w:b w:val="0"/>
          <w:bCs/>
          <w:color w:val="auto"/>
          <w:sz w:val="32"/>
          <w:szCs w:val="32"/>
          <w:highlight w:val="none"/>
          <w:lang w:val="en-US" w:eastAsia="zh-CN"/>
        </w:rPr>
        <w:t>并</w:t>
      </w:r>
      <w:r>
        <w:rPr>
          <w:rFonts w:hint="eastAsia" w:ascii="仿宋" w:hAnsi="仿宋" w:eastAsia="仿宋" w:cs="仿宋"/>
          <w:b w:val="0"/>
          <w:bCs/>
          <w:color w:val="auto"/>
          <w:sz w:val="32"/>
          <w:szCs w:val="32"/>
          <w:highlight w:val="none"/>
          <w:lang w:eastAsia="zh-CN"/>
        </w:rPr>
        <w:t>重点做好以下工作：</w:t>
      </w:r>
    </w:p>
    <w:p w14:paraId="10FE416F">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（一）加强施工期管理，严格按照《报告</w:t>
      </w:r>
      <w:r>
        <w:rPr>
          <w:rFonts w:hint="eastAsia" w:ascii="仿宋" w:hAnsi="仿宋" w:eastAsia="仿宋" w:cs="仿宋"/>
          <w:b w:val="0"/>
          <w:bCs/>
          <w:color w:val="auto"/>
          <w:sz w:val="32"/>
          <w:szCs w:val="32"/>
          <w:highlight w:val="none"/>
          <w:lang w:val="en-US" w:eastAsia="zh-CN"/>
        </w:rPr>
        <w:t>表</w:t>
      </w:r>
      <w:r>
        <w:rPr>
          <w:rFonts w:hint="eastAsia" w:ascii="仿宋" w:hAnsi="仿宋" w:eastAsia="仿宋" w:cs="仿宋"/>
          <w:b w:val="0"/>
          <w:bCs/>
          <w:color w:val="auto"/>
          <w:sz w:val="32"/>
          <w:szCs w:val="32"/>
          <w:highlight w:val="none"/>
        </w:rPr>
        <w:t>》要求认真落实施工期各项污染防治措施，确保达到环保要求。</w:t>
      </w:r>
    </w:p>
    <w:p w14:paraId="7C7CFC4D">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rPr>
        <w:t>）严格落实水环境保护措施。</w:t>
      </w:r>
    </w:p>
    <w:p w14:paraId="5E6A250F">
      <w:pPr>
        <w:keepNext w:val="0"/>
        <w:keepLines w:val="0"/>
        <w:pageBreakBefore w:val="0"/>
        <w:widowControl w:val="0"/>
        <w:suppressLineNumbers w:val="0"/>
        <w:kinsoku/>
        <w:wordWrap w:val="0"/>
        <w:overflowPunct/>
        <w:topLinePunct w:val="0"/>
        <w:autoSpaceDE/>
        <w:autoSpaceDN/>
        <w:bidi w:val="0"/>
        <w:adjustRightInd/>
        <w:snapToGrid/>
        <w:spacing w:line="540" w:lineRule="exact"/>
        <w:ind w:firstLine="632" w:firstLineChars="200"/>
        <w:jc w:val="both"/>
        <w:textAlignment w:val="auto"/>
        <w:rPr>
          <w:rFonts w:hint="eastAsia" w:ascii="仿宋" w:hAnsi="仿宋" w:eastAsia="仿宋" w:cs="仿宋"/>
          <w:bCs/>
          <w:color w:val="0000FF"/>
          <w:sz w:val="32"/>
          <w:szCs w:val="32"/>
          <w:highlight w:val="none"/>
          <w:lang w:val="en-US" w:eastAsia="zh-CN"/>
        </w:rPr>
      </w:pPr>
      <w:r>
        <w:rPr>
          <w:rFonts w:hint="eastAsia" w:ascii="仿宋" w:hAnsi="仿宋" w:eastAsia="仿宋" w:cs="仿宋"/>
          <w:bCs/>
          <w:color w:val="auto"/>
          <w:sz w:val="32"/>
          <w:szCs w:val="32"/>
          <w:highlight w:val="none"/>
        </w:rPr>
        <w:t>本项目无生产废水产生，生活污水经市政管网排入京唐智慧港污水处理厂处理</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废水污染物执行《污水综合排放标准》（GB8978-1996）、《污水排入城镇下水道水质标准》（GB/T31962-2015）及京唐智慧港污水厂进水水质要求</w:t>
      </w:r>
      <w:r>
        <w:rPr>
          <w:rFonts w:hint="eastAsia" w:ascii="仿宋" w:hAnsi="仿宋" w:eastAsia="仿宋" w:cs="仿宋"/>
          <w:bCs/>
          <w:color w:val="auto"/>
          <w:sz w:val="32"/>
          <w:szCs w:val="32"/>
          <w:highlight w:val="none"/>
          <w:lang w:eastAsia="zh-CN"/>
        </w:rPr>
        <w:t>。</w:t>
      </w:r>
    </w:p>
    <w:p w14:paraId="30FD9423">
      <w:pPr>
        <w:keepNext w:val="0"/>
        <w:keepLines w:val="0"/>
        <w:pageBreakBefore w:val="0"/>
        <w:widowControl/>
        <w:suppressLineNumbers w:val="0"/>
        <w:kinsoku/>
        <w:wordWrap/>
        <w:overflowPunct/>
        <w:topLinePunct w:val="0"/>
        <w:autoSpaceDE/>
        <w:autoSpaceDN/>
        <w:bidi w:val="0"/>
        <w:adjustRightInd/>
        <w:snapToGrid/>
        <w:spacing w:line="540" w:lineRule="exact"/>
        <w:ind w:firstLine="632" w:firstLineChars="200"/>
        <w:jc w:val="left"/>
        <w:textAlignment w:val="auto"/>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rPr>
        <w:t>（</w:t>
      </w:r>
      <w:r>
        <w:rPr>
          <w:rFonts w:hint="eastAsia" w:ascii="仿宋" w:hAnsi="仿宋" w:eastAsia="仿宋" w:cs="仿宋"/>
          <w:b w:val="0"/>
          <w:bCs/>
          <w:color w:val="auto"/>
          <w:sz w:val="32"/>
          <w:szCs w:val="32"/>
          <w:highlight w:val="none"/>
          <w:lang w:eastAsia="zh-CN"/>
        </w:rPr>
        <w:t>三</w:t>
      </w:r>
      <w:r>
        <w:rPr>
          <w:rFonts w:hint="eastAsia" w:ascii="仿宋" w:hAnsi="仿宋" w:eastAsia="仿宋" w:cs="仿宋"/>
          <w:b w:val="0"/>
          <w:bCs/>
          <w:color w:val="auto"/>
          <w:sz w:val="32"/>
          <w:szCs w:val="32"/>
          <w:highlight w:val="none"/>
        </w:rPr>
        <w:t>）严格落实</w:t>
      </w:r>
      <w:r>
        <w:rPr>
          <w:rFonts w:hint="eastAsia" w:ascii="仿宋" w:hAnsi="仿宋" w:eastAsia="仿宋" w:cs="仿宋"/>
          <w:b w:val="0"/>
          <w:bCs/>
          <w:color w:val="auto"/>
          <w:sz w:val="32"/>
          <w:szCs w:val="32"/>
          <w:highlight w:val="none"/>
          <w:lang w:val="en-US" w:eastAsia="zh-CN"/>
        </w:rPr>
        <w:t>大气</w:t>
      </w:r>
      <w:r>
        <w:rPr>
          <w:rFonts w:hint="eastAsia" w:ascii="仿宋" w:hAnsi="仿宋" w:eastAsia="仿宋" w:cs="仿宋"/>
          <w:b w:val="0"/>
          <w:bCs/>
          <w:color w:val="auto"/>
          <w:sz w:val="32"/>
          <w:szCs w:val="32"/>
          <w:highlight w:val="none"/>
        </w:rPr>
        <w:t>环境保护措施。</w:t>
      </w:r>
    </w:p>
    <w:p w14:paraId="47A7B2A5">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固定工位焊接、焊接机器人废气经各自集气罩收集后引入2套布袋除尘器处理，处理后通过1根20m排气筒（DA001）排放；数字化工厂车间内抛丸废气经收集后引入1套布袋除尘器处理，处理后通过1根20m排气筒（DA002）排放；橡胶制品车间内抛丸废气经收集后引入1套布袋除尘器处理，处理后通过1根20m排气筒（DA003）排放；焊接、抛丸产生的颗粒物有组织排放参照执行《钢铁工业大气污染物超低排放标准》（DB13/2169-2018）中相关限值；</w:t>
      </w:r>
    </w:p>
    <w:p w14:paraId="75B3E052">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喷漆、晾干废气封闭间收集后经组合式干式过滤器+活性炭吸附/脱附+催化燃烧装置处理，处理后通过1根20m高排气筒（DA004）排放；喷涂废气封闭间收集后经喷淋塔+干式过滤器+活性炭吸附/脱附+催化燃烧装置处理，处理后通过1根20m高排气筒（DA005）排放；喷漆、晾干、喷涂废气产生的颗粒物、非甲烷总烃、苯、苯系物有组织排放执行《表面涂装工序大气污染物排放标准》（DB13/6187-2025）中相关限值要求。</w:t>
      </w:r>
    </w:p>
    <w:p w14:paraId="678160DD">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粘胶废气封闭间收集后经活性炭吸附/脱附+催化燃烧装置处理，处理后通过1根20m高排气筒（DA006）排放；粘胶废气产生的非甲烷总烃、苯、苯系物有组织排放执行《工业企业挥发性有机物排放控制标准》（DB13/2322-2025）中相关限值要求。</w:t>
      </w:r>
    </w:p>
    <w:p w14:paraId="0B8154AF">
      <w:pPr>
        <w:keepNext w:val="0"/>
        <w:keepLines w:val="0"/>
        <w:pageBreakBefore w:val="0"/>
        <w:widowControl w:val="0"/>
        <w:tabs>
          <w:tab w:val="left" w:pos="4425"/>
        </w:tabs>
        <w:kinsoku/>
        <w:wordWrap/>
        <w:overflowPunct/>
        <w:topLinePunct w:val="0"/>
        <w:autoSpaceDE/>
        <w:autoSpaceDN/>
        <w:bidi w:val="0"/>
        <w:adjustRightInd/>
        <w:snapToGrid/>
        <w:spacing w:line="540" w:lineRule="exact"/>
        <w:ind w:firstLine="632"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打磨胶板废气封闭间收集后引入1套布袋除尘器处理，处理后通过1根20m排气筒（DA007）排放；橡胶制品车间配料、捏炼、注射、硫化、刷胶废气封闭间收集后，配料间废气、房中房2废气中首先引入1套脉冲布袋除尘器处置，经过除尘处理之后的废气汇同房中房1、房中房3、刷胶间废气一起引入活性炭吸附/脱附#催化燃烧装置处理，处理后废气经20m排气筒（DA008）排放；橡胶制品废气产生的颗粒物有组织排放执行《橡胶制品工业污染物排放标准》（GB27632-2011）中相关限值；硫化氢、臭气浓度有组织排放执行《恶臭污染物排放标准》（GB14554-93）中相关限值；非甲烷总烃有组织排放执行《工业企业挥发性有机物排放控制标准》（DB13/2322-2025）橡胶制品制造行业相关限值；苯系物、苯有组织排放参照执行《工业企业挥发性有机物排放控制标准》（DB13/2322-2025）其他工业行业相关限值。</w:t>
      </w:r>
    </w:p>
    <w:p w14:paraId="4D8042C0">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食堂油烟经油烟净化器处理后通过预留烟道于食堂所在楼顶排放，油烟执行《餐饮业大气污染物排放标准》（DB13/ 5808—2023）中相关限值。</w:t>
      </w:r>
    </w:p>
    <w:p w14:paraId="3782EF11">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bCs/>
          <w:color w:val="auto"/>
          <w:sz w:val="32"/>
          <w:szCs w:val="32"/>
          <w:highlight w:val="green"/>
          <w:lang w:val="en-US" w:eastAsia="zh-CN"/>
        </w:rPr>
      </w:pPr>
      <w:r>
        <w:rPr>
          <w:rFonts w:hint="eastAsia" w:ascii="仿宋" w:hAnsi="仿宋" w:eastAsia="仿宋" w:cs="仿宋"/>
          <w:bCs/>
          <w:color w:val="auto"/>
          <w:sz w:val="32"/>
          <w:szCs w:val="32"/>
          <w:highlight w:val="none"/>
          <w:lang w:val="en-US" w:eastAsia="zh-CN"/>
        </w:rPr>
        <w:t>激光切割产生的颗粒物经滤筒除尘器处理后车间内无组织排放；手持等离子切割、补充焊接产生的颗粒物经移动式焊烟净化器处理后车间内无组织排放；颗粒物无组织排放执行《钢铁工业大气污染物超低排放标准》（DB13/2169-2018）中相关限值；其他未捕集的无组织废气中硫化氢、臭气浓度执行《恶臭污染物排放标准》（GB14554-93）中相关限值，苯、甲苯、二甲苯执行《工业企业挥发性有机物排放控制标准》（DB13/2322-2025）中相关限值，非甲烷总烃无组织排放执行《工业企业挥发性有机物排放控制标准》（DB13/2322-2025）和《大气污染物综合排放标准》（GB16297-1996）中相关限值。</w:t>
      </w:r>
    </w:p>
    <w:p w14:paraId="3247B75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（四）严格落实噪声污染防治措施。</w:t>
      </w:r>
    </w:p>
    <w:p w14:paraId="47B4A985">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项目选用低噪声设备，采取减振、隔声降噪等治理措施，厂界噪声执行《工业企业厂界环境噪声排放标准》（GB12348-2008）3类限值。</w:t>
      </w:r>
    </w:p>
    <w:p w14:paraId="2DF36A57">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val="en-US" w:eastAsia="zh-CN"/>
        </w:rPr>
        <w:t>（五）严格落</w:t>
      </w:r>
      <w:r>
        <w:rPr>
          <w:rFonts w:hint="eastAsia" w:ascii="仿宋" w:hAnsi="仿宋" w:eastAsia="仿宋" w:cs="仿宋"/>
          <w:b w:val="0"/>
          <w:bCs/>
          <w:color w:val="auto"/>
          <w:sz w:val="32"/>
          <w:szCs w:val="32"/>
          <w:highlight w:val="none"/>
          <w:lang w:eastAsia="zh-CN"/>
        </w:rPr>
        <w:t>实固体废物污染防治措施。</w:t>
      </w:r>
    </w:p>
    <w:p w14:paraId="6E92E1FF">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w:t>
      </w:r>
      <w:r>
        <w:rPr>
          <w:rFonts w:hint="eastAsia" w:ascii="仿宋" w:hAnsi="仿宋" w:eastAsia="仿宋" w:cs="仿宋"/>
          <w:b w:val="0"/>
          <w:bCs/>
          <w:color w:val="auto"/>
          <w:sz w:val="32"/>
          <w:szCs w:val="32"/>
          <w:highlight w:val="none"/>
          <w:lang w:val="en-US" w:eastAsia="zh-CN"/>
        </w:rPr>
        <w:t>23</w:t>
      </w:r>
      <w:r>
        <w:rPr>
          <w:rFonts w:hint="eastAsia" w:ascii="仿宋" w:hAnsi="仿宋" w:eastAsia="仿宋" w:cs="仿宋"/>
          <w:b w:val="0"/>
          <w:bCs/>
          <w:color w:val="auto"/>
          <w:sz w:val="32"/>
          <w:szCs w:val="32"/>
          <w:highlight w:val="none"/>
          <w:lang w:eastAsia="zh-CN"/>
        </w:rPr>
        <w:t>）要求。</w:t>
      </w:r>
    </w:p>
    <w:p w14:paraId="3904CAFC">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（六）加强环境风险防范，落实环境风险应急措施。</w:t>
      </w:r>
    </w:p>
    <w:p w14:paraId="70C443C3">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制定和完善突发环境事件应急预案，与当地政府应急预案做好衔接，按照规定报相关部门备案。配备必要的应急设备和物资，加大风险监测和监控力度，定期进行应急培训和演练，有效防范和应对环境风险。</w:t>
      </w:r>
    </w:p>
    <w:p w14:paraId="65F8A8AE">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三、结合该报告表的计算，该项目建成后污染物排放总量指标为：COD：0t/a、氨氮：0t/a、SO</w:t>
      </w:r>
      <w:r>
        <w:rPr>
          <w:rFonts w:hint="eastAsia" w:ascii="仿宋" w:hAnsi="仿宋" w:eastAsia="仿宋" w:cs="仿宋"/>
          <w:b w:val="0"/>
          <w:bCs/>
          <w:color w:val="auto"/>
          <w:sz w:val="32"/>
          <w:szCs w:val="32"/>
          <w:highlight w:val="none"/>
          <w:vertAlign w:val="subscript"/>
          <w:lang w:val="en-US" w:eastAsia="zh-CN"/>
        </w:rPr>
        <w:t>2</w:t>
      </w:r>
      <w:r>
        <w:rPr>
          <w:rFonts w:hint="eastAsia" w:ascii="仿宋" w:hAnsi="仿宋" w:eastAsia="仿宋" w:cs="仿宋"/>
          <w:b w:val="0"/>
          <w:bCs/>
          <w:color w:val="auto"/>
          <w:sz w:val="32"/>
          <w:szCs w:val="32"/>
          <w:highlight w:val="none"/>
          <w:lang w:val="en-US" w:eastAsia="zh-CN"/>
        </w:rPr>
        <w:t>：0t/a、NO</w:t>
      </w:r>
      <w:r>
        <w:rPr>
          <w:rFonts w:hint="eastAsia" w:ascii="仿宋" w:hAnsi="仿宋" w:eastAsia="仿宋" w:cs="仿宋"/>
          <w:b w:val="0"/>
          <w:bCs/>
          <w:color w:val="auto"/>
          <w:sz w:val="32"/>
          <w:szCs w:val="32"/>
          <w:highlight w:val="none"/>
          <w:vertAlign w:val="baseline"/>
          <w:lang w:val="en-US" w:eastAsia="zh-CN"/>
        </w:rPr>
        <w:t>x</w:t>
      </w:r>
      <w:r>
        <w:rPr>
          <w:rFonts w:hint="eastAsia" w:ascii="仿宋" w:hAnsi="仿宋" w:eastAsia="仿宋" w:cs="仿宋"/>
          <w:b w:val="0"/>
          <w:bCs/>
          <w:color w:val="auto"/>
          <w:sz w:val="32"/>
          <w:szCs w:val="32"/>
          <w:highlight w:val="none"/>
          <w:lang w:val="en-US" w:eastAsia="zh-CN"/>
        </w:rPr>
        <w:t>：0t/a。</w:t>
      </w:r>
    </w:p>
    <w:p w14:paraId="6DDF8F44">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四、严格落实各项建设项目环境管理要求</w:t>
      </w:r>
    </w:p>
    <w:p w14:paraId="5FA04C52">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（一）建立内部生态环境管理机构和制度，明确人员和生态环境保护职责。</w:t>
      </w:r>
    </w:p>
    <w:p w14:paraId="590F6B2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向我局重新报批或申请重新审核该项目的环境影响报告表。</w:t>
      </w:r>
    </w:p>
    <w:p w14:paraId="3A6186A9">
      <w:pPr>
        <w:keepNext w:val="0"/>
        <w:keepLines w:val="0"/>
        <w:pageBreakBefore w:val="0"/>
        <w:kinsoku/>
        <w:wordWrap/>
        <w:overflowPunct/>
        <w:topLinePunct w:val="0"/>
        <w:autoSpaceDE/>
        <w:autoSpaceDN/>
        <w:bidi w:val="0"/>
        <w:adjustRightInd/>
        <w:snapToGrid/>
        <w:spacing w:line="540" w:lineRule="exact"/>
        <w:ind w:left="0" w:firstLine="632"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（三）建设项目竣工后，建设单位按照有关规定要求开展自主验收或委托第三方机构编写建设项目竣工环境保护验收报告，依法向社会公开。</w:t>
      </w:r>
    </w:p>
    <w:p w14:paraId="6867D300">
      <w:pPr>
        <w:pStyle w:val="12"/>
        <w:rPr>
          <w:color w:val="0000FF"/>
          <w:highlight w:val="none"/>
          <w:lang w:val="en-US" w:eastAsia="zh-CN"/>
        </w:rPr>
      </w:pPr>
    </w:p>
    <w:p w14:paraId="2AF694C5">
      <w:pPr>
        <w:spacing w:line="540" w:lineRule="exact"/>
        <w:jc w:val="right"/>
        <w:rPr>
          <w:rFonts w:ascii="仿宋" w:hAnsi="仿宋" w:eastAsia="仿宋" w:cs="??_GB2312"/>
          <w:color w:val="auto"/>
          <w:sz w:val="32"/>
          <w:szCs w:val="32"/>
          <w:highlight w:val="none"/>
        </w:rPr>
      </w:pPr>
      <w:r>
        <w:rPr>
          <w:rFonts w:hint="eastAsia" w:ascii="仿宋" w:hAnsi="仿宋" w:eastAsia="仿宋" w:cs="宋体"/>
          <w:color w:val="auto"/>
          <w:sz w:val="32"/>
          <w:szCs w:val="32"/>
          <w:highlight w:val="none"/>
        </w:rPr>
        <w:t>唐山高新技术产业开发区行政审批局</w:t>
      </w:r>
    </w:p>
    <w:p w14:paraId="06471D32">
      <w:pPr>
        <w:spacing w:line="540" w:lineRule="exact"/>
        <w:jc w:val="center"/>
        <w:rPr>
          <w:rFonts w:hint="eastAsia" w:ascii="仿宋" w:hAnsi="仿宋" w:eastAsia="仿宋" w:cs="宋体"/>
          <w:color w:val="auto"/>
          <w:sz w:val="32"/>
          <w:szCs w:val="32"/>
          <w:highlight w:val="none"/>
        </w:rPr>
      </w:pPr>
      <w:r>
        <w:rPr>
          <w:rFonts w:hint="eastAsia" w:ascii="仿宋" w:hAnsi="仿宋" w:eastAsia="仿宋" w:cs="宋体"/>
          <w:color w:val="auto"/>
          <w:sz w:val="32"/>
          <w:szCs w:val="32"/>
          <w:highlight w:val="none"/>
          <w:lang w:val="en-US" w:eastAsia="zh-CN"/>
        </w:rPr>
        <w:t xml:space="preserve">                       </w:t>
      </w:r>
      <w:r>
        <w:rPr>
          <w:rFonts w:hint="eastAsia" w:ascii="仿宋" w:hAnsi="仿宋" w:eastAsia="仿宋" w:cs="宋体"/>
          <w:color w:val="auto"/>
          <w:sz w:val="32"/>
          <w:szCs w:val="32"/>
          <w:highlight w:val="none"/>
        </w:rPr>
        <w:t>202</w:t>
      </w:r>
      <w:r>
        <w:rPr>
          <w:rFonts w:hint="eastAsia" w:ascii="仿宋" w:hAnsi="仿宋" w:eastAsia="仿宋" w:cs="宋体"/>
          <w:color w:val="auto"/>
          <w:sz w:val="32"/>
          <w:szCs w:val="32"/>
          <w:highlight w:val="none"/>
          <w:lang w:val="en-US" w:eastAsia="zh-CN"/>
        </w:rPr>
        <w:t>6</w:t>
      </w:r>
      <w:r>
        <w:rPr>
          <w:rFonts w:hint="eastAsia" w:ascii="仿宋" w:hAnsi="仿宋" w:eastAsia="仿宋" w:cs="宋体"/>
          <w:color w:val="auto"/>
          <w:sz w:val="32"/>
          <w:szCs w:val="32"/>
          <w:highlight w:val="none"/>
        </w:rPr>
        <w:t>年</w:t>
      </w:r>
      <w:r>
        <w:rPr>
          <w:rFonts w:hint="eastAsia" w:ascii="仿宋" w:hAnsi="仿宋" w:eastAsia="仿宋" w:cs="宋体"/>
          <w:color w:val="auto"/>
          <w:sz w:val="32"/>
          <w:szCs w:val="32"/>
          <w:highlight w:val="none"/>
          <w:lang w:val="en-US" w:eastAsia="zh-CN"/>
        </w:rPr>
        <w:t>3</w:t>
      </w:r>
      <w:r>
        <w:rPr>
          <w:rFonts w:hint="eastAsia" w:ascii="仿宋" w:hAnsi="仿宋" w:eastAsia="仿宋" w:cs="宋体"/>
          <w:color w:val="auto"/>
          <w:sz w:val="32"/>
          <w:szCs w:val="32"/>
          <w:highlight w:val="none"/>
        </w:rPr>
        <w:t>月</w:t>
      </w:r>
      <w:r>
        <w:rPr>
          <w:rFonts w:hint="eastAsia" w:ascii="仿宋" w:hAnsi="仿宋" w:eastAsia="仿宋" w:cs="宋体"/>
          <w:color w:val="auto"/>
          <w:sz w:val="32"/>
          <w:szCs w:val="32"/>
          <w:highlight w:val="none"/>
          <w:lang w:val="en-US" w:eastAsia="zh-CN"/>
        </w:rPr>
        <w:t>16</w:t>
      </w:r>
      <w:bookmarkStart w:id="0" w:name="_GoBack"/>
      <w:bookmarkEnd w:id="0"/>
      <w:r>
        <w:rPr>
          <w:rFonts w:hint="eastAsia" w:ascii="仿宋" w:hAnsi="仿宋" w:eastAsia="仿宋" w:cs="宋体"/>
          <w:color w:val="auto"/>
          <w:sz w:val="32"/>
          <w:szCs w:val="32"/>
          <w:highlight w:val="none"/>
        </w:rPr>
        <w:t>日</w:t>
      </w:r>
    </w:p>
    <w:sectPr>
      <w:headerReference r:id="rId4" w:type="first"/>
      <w:headerReference r:id="rId3" w:type="default"/>
      <w:footerReference r:id="rId5" w:type="default"/>
      <w:footerReference r:id="rId6" w:type="even"/>
      <w:pgSz w:w="11906" w:h="16838"/>
      <w:pgMar w:top="1871" w:right="1474" w:bottom="1701" w:left="1474"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0F5D6">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6693997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12F9">
    <w:pPr>
      <w:pStyle w:val="10"/>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p w14:paraId="374D1C3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630CA">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80AF9">
    <w:pPr>
      <w:pStyle w:val="11"/>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2"/>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docVars>
    <w:docVar w:name="commondata" w:val="eyJoZGlkIjoiNWM1ZTQxMzYzZjY0OTUxZjljNDA5YzU2NjE0YmMxY2UifQ=="/>
  </w:docVars>
  <w:rsids>
    <w:rsidRoot w:val="00000000"/>
    <w:rsid w:val="0A2B6BDC"/>
    <w:rsid w:val="25DD5BBD"/>
    <w:rsid w:val="2B904582"/>
    <w:rsid w:val="42C00457"/>
    <w:rsid w:val="43273578"/>
    <w:rsid w:val="4BEF450D"/>
    <w:rsid w:val="4D60021A"/>
    <w:rsid w:val="656406C0"/>
    <w:rsid w:val="69E64AC4"/>
    <w:rsid w:val="6BAC7955"/>
    <w:rsid w:val="6D6E6C99"/>
    <w:rsid w:val="75CF01A8"/>
    <w:rsid w:val="77DA2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0"/>
    <w:pPr>
      <w:keepNext/>
      <w:keepLines/>
      <w:spacing w:before="120" w:after="120" w:line="480" w:lineRule="exact"/>
      <w:outlineLvl w:val="1"/>
    </w:pPr>
    <w:rPr>
      <w:b/>
      <w:bCs/>
      <w:sz w:val="30"/>
      <w:szCs w:val="32"/>
    </w:rPr>
  </w:style>
  <w:style w:type="paragraph" w:styleId="7">
    <w:name w:val="heading 3"/>
    <w:basedOn w:val="1"/>
    <w:next w:val="1"/>
    <w:link w:val="18"/>
    <w:qFormat/>
    <w:uiPriority w:val="0"/>
    <w:pPr>
      <w:keepNext/>
      <w:keepLines/>
      <w:spacing w:before="260" w:after="260" w:line="415" w:lineRule="auto"/>
      <w:outlineLvl w:val="2"/>
    </w:pPr>
    <w:rPr>
      <w:b/>
      <w:bCs/>
      <w:sz w:val="32"/>
      <w:szCs w:val="32"/>
    </w:rPr>
  </w:style>
  <w:style w:type="paragraph" w:styleId="3">
    <w:name w:val="heading 4"/>
    <w:basedOn w:val="4"/>
    <w:next w:val="2"/>
    <w:link w:val="19"/>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szCs w:val="20"/>
    </w:rPr>
  </w:style>
  <w:style w:type="paragraph" w:styleId="4">
    <w:name w:val="toc 4"/>
    <w:basedOn w:val="1"/>
    <w:next w:val="1"/>
    <w:qFormat/>
    <w:uiPriority w:val="0"/>
    <w:pPr>
      <w:ind w:left="600" w:leftChars="600"/>
    </w:pPr>
    <w:rPr>
      <w:szCs w:val="20"/>
    </w:rPr>
  </w:style>
  <w:style w:type="paragraph" w:styleId="8">
    <w:name w:val="Block Text"/>
    <w:basedOn w:val="1"/>
    <w:next w:val="1"/>
    <w:qFormat/>
    <w:uiPriority w:val="0"/>
    <w:pPr>
      <w:ind w:left="700" w:leftChars="700" w:right="700" w:rightChars="7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5">
    <w:name w:val="page number"/>
    <w:qFormat/>
    <w:uiPriority w:val="0"/>
    <w:rPr>
      <w:rFonts w:cs="Times New Roman"/>
    </w:rPr>
  </w:style>
  <w:style w:type="character" w:customStyle="1" w:styleId="16">
    <w:name w:val="heading 1 Char"/>
    <w:basedOn w:val="14"/>
    <w:link w:val="5"/>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4"/>
    <w:link w:val="6"/>
    <w:qFormat/>
    <w:uiPriority w:val="0"/>
    <w:rPr>
      <w:rFonts w:ascii="Times New Roman" w:hAnsi="Times New Roman" w:eastAsia="宋体" w:cs="Times New Roman"/>
      <w:b/>
      <w:bCs/>
      <w:kern w:val="2"/>
      <w:sz w:val="30"/>
      <w:szCs w:val="32"/>
      <w:lang w:val="en-US" w:eastAsia="zh-CN" w:bidi="ar-SA"/>
    </w:rPr>
  </w:style>
  <w:style w:type="character" w:customStyle="1" w:styleId="18">
    <w:name w:val="heading 3 Char"/>
    <w:basedOn w:val="14"/>
    <w:link w:val="7"/>
    <w:qFormat/>
    <w:uiPriority w:val="0"/>
    <w:rPr>
      <w:rFonts w:ascii="Times New Roman" w:hAnsi="Times New Roman" w:eastAsia="宋体" w:cs="Times New Roman"/>
      <w:b/>
      <w:bCs/>
      <w:kern w:val="2"/>
      <w:sz w:val="32"/>
      <w:szCs w:val="32"/>
      <w:lang w:val="en-US" w:eastAsia="zh-CN" w:bidi="ar-SA"/>
    </w:rPr>
  </w:style>
  <w:style w:type="character" w:customStyle="1" w:styleId="19">
    <w:name w:val="heading 4 Char"/>
    <w:link w:val="3"/>
    <w:qFormat/>
    <w:uiPriority w:val="0"/>
    <w:rPr>
      <w:rFonts w:ascii="Arial" w:hAnsi="Arial" w:eastAsia="黑体"/>
      <w:b/>
      <w:sz w:val="28"/>
    </w:rPr>
  </w:style>
  <w:style w:type="paragraph" w:customStyle="1" w:styleId="20">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
    <w:name w:val="列出段落1"/>
    <w:basedOn w:val="1"/>
    <w:qFormat/>
    <w:uiPriority w:val="0"/>
    <w:pPr>
      <w:ind w:firstLine="200" w:firstLineChars="200"/>
    </w:pPr>
  </w:style>
  <w:style w:type="paragraph" w:customStyle="1" w:styleId="22">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datastoreItem>
</file>

<file path=docProps/app.xml><?xml version="1.0" encoding="utf-8"?>
<Properties xmlns="http://schemas.openxmlformats.org/officeDocument/2006/extended-properties" xmlns:vt="http://schemas.openxmlformats.org/officeDocument/2006/docPropsVTypes">
  <Template>Normal.eit</Template>
  <Pages>5</Pages>
  <Words>2469</Words>
  <Characters>2766</Characters>
  <Lines>0</Lines>
  <Paragraphs>33</Paragraphs>
  <TotalTime>1</TotalTime>
  <ScaleCrop>false</ScaleCrop>
  <LinksUpToDate>false</LinksUpToDate>
  <CharactersWithSpaces>2790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WPS_1686796837</cp:lastModifiedBy>
  <cp:lastPrinted>2025-04-07T01:05:00Z</cp:lastPrinted>
  <dcterms:modified xsi:type="dcterms:W3CDTF">2026-03-13T01:17:41Z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2BD8FDC6A5244F599BE6074CE0C0799F_13</vt:lpwstr>
  </property>
  <property fmtid="{D5CDD505-2E9C-101B-9397-08002B2CF9AE}" pid="4" name="KSOTemplateDocerSaveRecord">
    <vt:lpwstr>eyJoZGlkIjoiZTQ1OTU0ZTE5Njg0MmMzMDZhMWRhZTk2MzFlN2NkYjEiLCJ1c2VySWQiOiIxNTA1NDU3MjA3In0=</vt:lpwstr>
  </property>
</Properties>
</file>