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_GB2312" w:cs="Times New Roman"/>
          <w:color w:val="auto"/>
          <w:sz w:val="36"/>
          <w:szCs w:val="36"/>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_GB2312" w:cs="Times New Roman"/>
          <w:color w:val="auto"/>
          <w:sz w:val="36"/>
          <w:szCs w:val="36"/>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_GB2312" w:cs="Times New Roman"/>
          <w:color w:val="auto"/>
          <w:sz w:val="36"/>
          <w:szCs w:val="36"/>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_GB2312" w:cs="Times New Roman"/>
          <w:color w:val="auto"/>
          <w:sz w:val="36"/>
          <w:szCs w:val="36"/>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_GB2312" w:cs="Times New Roman"/>
          <w:color w:val="auto"/>
          <w:sz w:val="36"/>
          <w:szCs w:val="36"/>
          <w:highlight w:val="none"/>
        </w:rPr>
      </w:pPr>
    </w:p>
    <w:p>
      <w:pPr>
        <w:pageBreakBefore w:val="0"/>
        <w:kinsoku/>
        <w:wordWrap/>
        <w:overflowPunct/>
        <w:bidi w:val="0"/>
        <w:adjustRightInd w:val="0"/>
        <w:snapToGrid w:val="0"/>
        <w:spacing w:beforeAutospacing="0" w:afterAutospacing="0"/>
        <w:ind w:left="0" w:leftChars="0" w:right="0" w:rightChars="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pPr>
        <w:pageBreakBefore w:val="0"/>
        <w:kinsoku/>
        <w:wordWrap/>
        <w:overflowPunct/>
        <w:bidi w:val="0"/>
        <w:adjustRightInd w:val="0"/>
        <w:snapToGrid w:val="0"/>
        <w:spacing w:beforeAutospacing="0" w:afterAutospacing="0" w:line="288" w:lineRule="auto"/>
        <w:ind w:left="0" w:leftChars="0" w:right="0" w:rightChars="0"/>
        <w:jc w:val="center"/>
        <w:outlineLvl w:val="0"/>
        <w:rPr>
          <w:rFonts w:hint="default" w:ascii="Times New Roman" w:hAnsi="Times New Roman" w:eastAsia="华文仿宋" w:cs="Times New Roman"/>
          <w:color w:val="auto"/>
          <w:kern w:val="44"/>
          <w:sz w:val="44"/>
          <w:szCs w:val="44"/>
          <w:highlight w:val="none"/>
        </w:rPr>
      </w:pP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仿宋" w:cs="Times New Roman"/>
          <w:color w:val="auto"/>
          <w:sz w:val="52"/>
          <w:szCs w:val="52"/>
          <w:highlight w:val="none"/>
        </w:rPr>
      </w:pPr>
    </w:p>
    <w:p>
      <w:pPr>
        <w:pageBreakBefore w:val="0"/>
        <w:kinsoku/>
        <w:wordWrap/>
        <w:overflowPunct/>
        <w:bidi w:val="0"/>
        <w:adjustRightInd w:val="0"/>
        <w:snapToGrid w:val="0"/>
        <w:spacing w:beforeAutospacing="0" w:afterAutospacing="0"/>
        <w:ind w:left="0" w:leftChars="0" w:right="0" w:rightChars="0" w:firstLine="1040"/>
        <w:rPr>
          <w:rFonts w:hint="default" w:ascii="Times New Roman" w:hAnsi="Times New Roman" w:eastAsia="仿宋" w:cs="Times New Roman"/>
          <w:color w:val="auto"/>
          <w:sz w:val="44"/>
          <w:szCs w:val="44"/>
          <w:highlight w:val="none"/>
        </w:rPr>
      </w:pPr>
    </w:p>
    <w:p>
      <w:pPr>
        <w:pageBreakBefore w:val="0"/>
        <w:kinsoku/>
        <w:wordWrap/>
        <w:overflowPunct/>
        <w:bidi w:val="0"/>
        <w:adjustRightInd w:val="0"/>
        <w:snapToGrid w:val="0"/>
        <w:spacing w:beforeAutospacing="0" w:afterAutospacing="0"/>
        <w:ind w:left="0" w:leftChars="0" w:right="0" w:rightChars="0" w:firstLine="1040"/>
        <w:rPr>
          <w:rFonts w:hint="default" w:ascii="Times New Roman" w:hAnsi="Times New Roman" w:eastAsia="仿宋" w:cs="Times New Roman"/>
          <w:color w:val="auto"/>
          <w:sz w:val="44"/>
          <w:szCs w:val="44"/>
          <w:highlight w:val="none"/>
        </w:rPr>
      </w:pPr>
    </w:p>
    <w:p>
      <w:pPr>
        <w:pageBreakBefore w:val="0"/>
        <w:kinsoku/>
        <w:wordWrap/>
        <w:overflowPunct/>
        <w:bidi w:val="0"/>
        <w:adjustRightInd w:val="0"/>
        <w:snapToGrid w:val="0"/>
        <w:spacing w:beforeAutospacing="0" w:afterAutospacing="0"/>
        <w:ind w:left="0" w:leftChars="0" w:right="0" w:rightChars="0" w:firstLine="1040"/>
        <w:rPr>
          <w:rFonts w:hint="default" w:ascii="Times New Roman" w:hAnsi="Times New Roman" w:eastAsia="仿宋" w:cs="Times New Roman"/>
          <w:color w:val="auto"/>
          <w:sz w:val="44"/>
          <w:szCs w:val="44"/>
          <w:highlight w:val="none"/>
        </w:rPr>
      </w:pPr>
    </w:p>
    <w:p>
      <w:pPr>
        <w:pStyle w:val="20"/>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仿宋" w:cs="Times New Roman"/>
          <w:color w:val="auto"/>
          <w:sz w:val="44"/>
          <w:szCs w:val="44"/>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firstLine="1040"/>
        <w:rPr>
          <w:rFonts w:hint="default" w:ascii="Times New Roman" w:hAnsi="Times New Roman" w:eastAsia="仿宋" w:cs="Times New Roman"/>
          <w:color w:val="auto"/>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1800" w:leftChars="0" w:right="0" w:rightChars="0" w:hanging="1800" w:hangingChars="500"/>
        <w:jc w:val="both"/>
        <w:textAlignment w:val="auto"/>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项目名称：</w:t>
      </w:r>
      <w:r>
        <w:rPr>
          <w:rFonts w:hint="default" w:ascii="Times New Roman" w:hAnsi="Times New Roman" w:eastAsia="仿宋_GB2312" w:cs="Times New Roman"/>
          <w:color w:val="auto"/>
          <w:sz w:val="36"/>
          <w:szCs w:val="36"/>
          <w:highlight w:val="none"/>
          <w:u w:val="single"/>
          <w:lang w:val="en-US" w:eastAsia="zh-CN"/>
        </w:rPr>
        <w:t>唐山陆凯科技有限公司</w:t>
      </w:r>
      <w:r>
        <w:rPr>
          <w:rFonts w:hint="default" w:ascii="Times New Roman" w:hAnsi="Times New Roman" w:eastAsia="仿宋_GB2312" w:cs="Times New Roman"/>
          <w:color w:val="auto"/>
          <w:sz w:val="36"/>
          <w:szCs w:val="36"/>
          <w:highlight w:val="none"/>
          <w:u w:val="single"/>
          <w:lang w:eastAsia="zh-CN"/>
        </w:rPr>
        <w:t>大型成套筛分装备数字化制造基地项目</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360" w:firstLineChars="100"/>
        <w:textAlignment w:val="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建设单位（盖章）：</w:t>
      </w:r>
      <w:r>
        <w:rPr>
          <w:rFonts w:hint="default" w:ascii="Times New Roman" w:hAnsi="Times New Roman" w:eastAsia="仿宋_GB2312" w:cs="Times New Roman"/>
          <w:color w:val="auto"/>
          <w:sz w:val="36"/>
          <w:szCs w:val="36"/>
          <w:highlight w:val="none"/>
          <w:u w:val="single"/>
          <w:lang w:val="en-US" w:eastAsia="zh-CN"/>
        </w:rPr>
        <w:t>唐山陆凯科技有限公司</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360" w:firstLineChars="100"/>
        <w:textAlignment w:val="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20</w:t>
      </w:r>
      <w:r>
        <w:rPr>
          <w:rFonts w:hint="default" w:ascii="Times New Roman" w:hAnsi="Times New Roman" w:eastAsia="仿宋_GB2312" w:cs="Times New Roman"/>
          <w:color w:val="auto"/>
          <w:sz w:val="36"/>
          <w:szCs w:val="36"/>
          <w:highlight w:val="none"/>
          <w:u w:val="single"/>
          <w:lang w:val="en-US" w:eastAsia="zh-CN"/>
        </w:rPr>
        <w:t>2</w:t>
      </w:r>
      <w:r>
        <w:rPr>
          <w:rFonts w:hint="eastAsia" w:eastAsia="仿宋_GB2312" w:cs="Times New Roman"/>
          <w:color w:val="auto"/>
          <w:sz w:val="36"/>
          <w:szCs w:val="36"/>
          <w:highlight w:val="none"/>
          <w:u w:val="single"/>
          <w:lang w:val="en-US" w:eastAsia="zh-CN"/>
        </w:rPr>
        <w:t>3</w:t>
      </w:r>
      <w:r>
        <w:rPr>
          <w:rFonts w:hint="default" w:ascii="Times New Roman" w:hAnsi="Times New Roman" w:eastAsia="仿宋_GB2312" w:cs="Times New Roman"/>
          <w:color w:val="auto"/>
          <w:sz w:val="36"/>
          <w:szCs w:val="36"/>
          <w:highlight w:val="none"/>
          <w:u w:val="single"/>
        </w:rPr>
        <w:t>年</w:t>
      </w:r>
      <w:r>
        <w:rPr>
          <w:rFonts w:hint="eastAsia" w:eastAsia="仿宋_GB2312" w:cs="Times New Roman"/>
          <w:color w:val="auto"/>
          <w:sz w:val="36"/>
          <w:szCs w:val="36"/>
          <w:highlight w:val="none"/>
          <w:u w:val="single"/>
          <w:lang w:val="en-US" w:eastAsia="zh-CN"/>
        </w:rPr>
        <w:t>3</w:t>
      </w:r>
      <w:r>
        <w:rPr>
          <w:rFonts w:hint="default" w:ascii="Times New Roman" w:hAnsi="Times New Roman" w:eastAsia="仿宋_GB2312" w:cs="Times New Roman"/>
          <w:color w:val="auto"/>
          <w:sz w:val="36"/>
          <w:szCs w:val="36"/>
          <w:highlight w:val="none"/>
          <w:u w:val="single"/>
        </w:rPr>
        <w:t xml:space="preserve">月  </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p>
    <w:p>
      <w:pPr>
        <w:pageBreakBefore w:val="0"/>
        <w:kinsoku/>
        <w:wordWrap/>
        <w:overflowPunct/>
        <w:bidi w:val="0"/>
        <w:adjustRightInd w:val="0"/>
        <w:snapToGrid w:val="0"/>
        <w:spacing w:beforeAutospacing="0" w:afterAutospacing="0" w:line="288" w:lineRule="auto"/>
        <w:ind w:left="0" w:leftChars="0" w:right="0" w:rightChars="0" w:firstLine="1040"/>
        <w:rPr>
          <w:rFonts w:hint="default" w:ascii="Times New Roman" w:hAnsi="Times New Roman" w:eastAsia="仿宋_GB2312" w:cs="Times New Roman"/>
          <w:color w:val="auto"/>
          <w:sz w:val="36"/>
          <w:szCs w:val="36"/>
          <w:highlight w:val="none"/>
          <w:u w:val="single"/>
        </w:rPr>
      </w:pPr>
      <w:bookmarkStart w:id="0" w:name="_Hlk57884087"/>
    </w:p>
    <w:p>
      <w:pPr>
        <w:pageBreakBefore w:val="0"/>
        <w:kinsoku/>
        <w:wordWrap/>
        <w:overflowPunct/>
        <w:bidi w:val="0"/>
        <w:adjustRightInd w:val="0"/>
        <w:snapToGrid w:val="0"/>
        <w:spacing w:beforeAutospacing="0" w:afterAutospacing="0" w:line="288" w:lineRule="auto"/>
        <w:ind w:left="0" w:leftChars="0" w:right="0" w:rightChars="0" w:firstLine="1040"/>
        <w:rPr>
          <w:rFonts w:hint="default" w:ascii="Times New Roman" w:hAnsi="Times New Roman" w:eastAsia="仿宋_GB2312" w:cs="Times New Roman"/>
          <w:color w:val="auto"/>
          <w:sz w:val="36"/>
          <w:szCs w:val="36"/>
          <w:highlight w:val="none"/>
        </w:rPr>
      </w:pPr>
    </w:p>
    <w:bookmarkEnd w:id="0"/>
    <w:p>
      <w:pPr>
        <w:pageBreakBefore w:val="0"/>
        <w:kinsoku/>
        <w:wordWrap/>
        <w:overflowPunct/>
        <w:bidi w:val="0"/>
        <w:adjustRightInd w:val="0"/>
        <w:snapToGrid w:val="0"/>
        <w:spacing w:beforeAutospacing="0" w:afterAutospacing="0" w:line="288" w:lineRule="auto"/>
        <w:ind w:left="0" w:leftChars="0" w:right="0" w:rightChars="0"/>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pPr>
        <w:pageBreakBefore w:val="0"/>
        <w:kinsoku/>
        <w:wordWrap/>
        <w:overflowPunct/>
        <w:bidi w:val="0"/>
        <w:adjustRightInd w:val="0"/>
        <w:snapToGrid w:val="0"/>
        <w:spacing w:beforeAutospacing="0" w:afterAutospacing="0" w:line="288" w:lineRule="auto"/>
        <w:ind w:left="0" w:leftChars="0" w:right="0" w:rightChars="0" w:firstLine="1040"/>
        <w:rPr>
          <w:rFonts w:hint="default" w:ascii="Times New Roman" w:hAnsi="Times New Roman" w:eastAsia="仿宋_GB2312" w:cs="Times New Roman"/>
          <w:color w:val="auto"/>
          <w:sz w:val="36"/>
          <w:szCs w:val="36"/>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31"/>
        <w:pageBreakBefore w:val="0"/>
        <w:kinsoku/>
        <w:wordWrap/>
        <w:overflowPunct/>
        <w:bidi w:val="0"/>
        <w:adjustRightInd w:val="0"/>
        <w:snapToGrid w:val="0"/>
        <w:spacing w:before="0" w:beforeAutospacing="0" w:after="0" w:afterAutospacing="0"/>
        <w:ind w:left="0" w:leftChars="0" w:right="0" w:rightChars="0"/>
        <w:jc w:val="center"/>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0"/>
          <w:szCs w:val="30"/>
          <w:highlight w:val="none"/>
        </w:rPr>
        <w:t>一、建设项目基本情况</w:t>
      </w:r>
    </w:p>
    <w:tbl>
      <w:tblPr>
        <w:tblStyle w:val="35"/>
        <w:tblW w:w="495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94"/>
        <w:gridCol w:w="2422"/>
        <w:gridCol w:w="2200"/>
        <w:gridCol w:w="297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建设项目名称</w:t>
            </w:r>
          </w:p>
        </w:tc>
        <w:tc>
          <w:tcPr>
            <w:tcW w:w="4296" w:type="pct"/>
            <w:gridSpan w:val="3"/>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lang w:val="en-US" w:eastAsia="zh-CN"/>
              </w:rPr>
              <w:t>唐山陆凯科技有限公司大型成套筛分装备数字化制造基地项目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项目代码</w:t>
            </w:r>
          </w:p>
        </w:tc>
        <w:tc>
          <w:tcPr>
            <w:tcW w:w="4296" w:type="pct"/>
            <w:gridSpan w:val="3"/>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default" w:ascii="Times New Roman" w:hAnsi="Times New Roman" w:cs="Times New Roman"/>
                <w:color w:val="auto"/>
                <w:szCs w:val="21"/>
                <w:highlight w:val="none"/>
                <w:lang w:val="en-US" w:eastAsia="zh-CN"/>
              </w:rPr>
              <w:t>202</w:t>
            </w:r>
            <w:r>
              <w:rPr>
                <w:rFonts w:hint="default" w:ascii="Times New Roman" w:hAnsi="Times New Roman" w:eastAsia="宋体" w:cs="Times New Roman"/>
                <w:color w:val="auto"/>
                <w:szCs w:val="21"/>
                <w:highlight w:val="none"/>
                <w:lang w:val="en-US" w:eastAsia="zh-CN"/>
              </w:rPr>
              <w:t>-1302</w:t>
            </w:r>
            <w:r>
              <w:rPr>
                <w:rFonts w:hint="default" w:ascii="Times New Roman" w:hAnsi="Times New Roman" w:cs="Times New Roman"/>
                <w:color w:val="auto"/>
                <w:szCs w:val="21"/>
                <w:highlight w:val="none"/>
                <w:lang w:val="en-US" w:eastAsia="zh-CN"/>
              </w:rPr>
              <w:t>73</w:t>
            </w:r>
            <w:r>
              <w:rPr>
                <w:rFonts w:hint="default" w:ascii="Times New Roman" w:hAnsi="Times New Roman" w:eastAsia="宋体" w:cs="Times New Roman"/>
                <w:color w:val="auto"/>
                <w:szCs w:val="21"/>
                <w:highlight w:val="none"/>
                <w:lang w:val="en-US" w:eastAsia="zh-CN"/>
              </w:rPr>
              <w:t>-89-01-</w:t>
            </w:r>
            <w:r>
              <w:rPr>
                <w:rFonts w:hint="default" w:ascii="Times New Roman" w:hAnsi="Times New Roman" w:cs="Times New Roman"/>
                <w:color w:val="auto"/>
                <w:szCs w:val="21"/>
                <w:highlight w:val="none"/>
                <w:lang w:val="en-US" w:eastAsia="zh-CN"/>
              </w:rPr>
              <w:t>675763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建设单位联系人</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rPr>
            </w:pPr>
            <w:r>
              <w:rPr>
                <w:rFonts w:hint="default" w:ascii="Times New Roman" w:hAnsi="Times New Roman" w:cs="Times New Roman"/>
                <w:color w:val="auto"/>
                <w:szCs w:val="21"/>
                <w:highlight w:val="none"/>
                <w:lang w:val="en-US" w:eastAsia="zh-CN"/>
              </w:rPr>
              <w:t>胡彪</w:t>
            </w:r>
          </w:p>
        </w:tc>
        <w:tc>
          <w:tcPr>
            <w:tcW w:w="1244"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联系方式</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lang w:val="en-US" w:eastAsia="zh-CN"/>
              </w:rPr>
              <w:t>18730180626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建设地点</w:t>
            </w:r>
          </w:p>
        </w:tc>
        <w:tc>
          <w:tcPr>
            <w:tcW w:w="4296" w:type="pct"/>
            <w:gridSpan w:val="3"/>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i w:val="0"/>
                <w:iCs w:val="0"/>
                <w:color w:val="auto"/>
                <w:szCs w:val="21"/>
                <w:highlight w:val="none"/>
                <w:lang w:val="en-US" w:eastAsia="zh-CN"/>
              </w:rPr>
              <w:t>河北省唐山市高新区京唐智慧港纬三路南侧，经七路西侧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地理坐标</w:t>
            </w:r>
          </w:p>
        </w:tc>
        <w:tc>
          <w:tcPr>
            <w:tcW w:w="4296" w:type="pct"/>
            <w:gridSpan w:val="3"/>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11</w:t>
            </w:r>
            <w:r>
              <w:rPr>
                <w:rFonts w:hint="default" w:ascii="Times New Roman" w:hAnsi="Times New Roman" w:cs="Times New Roman"/>
                <w:color w:val="auto"/>
                <w:szCs w:val="21"/>
                <w:highlight w:val="none"/>
                <w:lang w:val="en-US" w:eastAsia="zh-CN"/>
              </w:rPr>
              <w:t>8.009000</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u w:val="none"/>
                <w:lang w:val="en-US" w:eastAsia="zh-CN"/>
              </w:rPr>
              <w:t>39.</w:t>
            </w:r>
            <w:r>
              <w:rPr>
                <w:rFonts w:hint="default" w:ascii="Times New Roman" w:hAnsi="Times New Roman" w:cs="Times New Roman"/>
                <w:color w:val="auto"/>
                <w:szCs w:val="21"/>
                <w:highlight w:val="none"/>
                <w:u w:val="none"/>
                <w:lang w:val="en-US" w:eastAsia="zh-CN"/>
              </w:rPr>
              <w:t>707538</w:t>
            </w:r>
            <w:r>
              <w:rPr>
                <w:rFonts w:hint="default" w:ascii="Times New Roman" w:hAnsi="Times New Roman" w:eastAsia="宋体" w:cs="Times New Roman"/>
                <w:color w:val="auto"/>
                <w:szCs w:val="21"/>
                <w:highlight w:val="none"/>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国民经济</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行业类别</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w:t>
            </w:r>
            <w:r>
              <w:rPr>
                <w:rFonts w:hint="default" w:ascii="Times New Roman" w:hAnsi="Times New Roman" w:cs="Times New Roman"/>
                <w:color w:val="auto"/>
                <w:szCs w:val="21"/>
                <w:highlight w:val="none"/>
                <w:lang w:val="en-US" w:eastAsia="zh-CN"/>
              </w:rPr>
              <w:t>3511</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cs="Times New Roman"/>
                <w:color w:val="auto"/>
                <w:szCs w:val="21"/>
                <w:highlight w:val="none"/>
                <w:lang w:val="en-US" w:eastAsia="zh-CN"/>
              </w:rPr>
              <w:t>矿山机械制造</w:t>
            </w:r>
          </w:p>
        </w:tc>
        <w:tc>
          <w:tcPr>
            <w:tcW w:w="1244"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bookmarkStart w:id="1" w:name="_Hlk49843745"/>
            <w:r>
              <w:rPr>
                <w:rFonts w:hint="default" w:ascii="Times New Roman" w:hAnsi="Times New Roman" w:eastAsia="宋体" w:cs="Times New Roman"/>
                <w:color w:val="auto"/>
                <w:szCs w:val="21"/>
                <w:highlight w:val="none"/>
              </w:rPr>
              <w:t>建设项目</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行业类别</w:t>
            </w:r>
            <w:bookmarkEnd w:id="1"/>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rPr>
            </w:pPr>
            <w:r>
              <w:rPr>
                <w:rFonts w:hint="default" w:ascii="Times New Roman" w:hAnsi="Times New Roman" w:cs="Times New Roman"/>
                <w:color w:val="auto"/>
                <w:szCs w:val="21"/>
                <w:highlight w:val="none"/>
                <w:lang w:val="en-US" w:eastAsia="zh-CN"/>
              </w:rPr>
              <w:t>三十二、专用设备制造业35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建设性质</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52"/>
            </w:r>
            <w:r>
              <w:rPr>
                <w:rFonts w:hint="default" w:ascii="Times New Roman" w:hAnsi="Times New Roman" w:eastAsia="宋体" w:cs="Times New Roman"/>
                <w:color w:val="auto"/>
                <w:szCs w:val="21"/>
                <w:highlight w:val="none"/>
              </w:rPr>
              <w:t>新建（迁建）</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改建</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扩建</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技术改造</w:t>
            </w:r>
          </w:p>
        </w:tc>
        <w:tc>
          <w:tcPr>
            <w:tcW w:w="1244"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建设项目</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申报情形</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52"/>
            </w:r>
            <w:r>
              <w:rPr>
                <w:rFonts w:hint="default" w:ascii="Times New Roman" w:hAnsi="Times New Roman" w:eastAsia="宋体" w:cs="Times New Roman"/>
                <w:color w:val="auto"/>
                <w:szCs w:val="21"/>
                <w:highlight w:val="none"/>
              </w:rPr>
              <w:t xml:space="preserve">首次申报项目             </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□不予批准后再次申报项目</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 xml:space="preserve">超五年重新审核项目     </w:t>
            </w:r>
          </w:p>
          <w:p>
            <w:pPr>
              <w:pageBreakBefore w:val="0"/>
              <w:kinsoku/>
              <w:wordWrap/>
              <w:overflowPunct/>
              <w:bidi w:val="0"/>
              <w:adjustRightInd w:val="0"/>
              <w:snapToGrid w:val="0"/>
              <w:spacing w:beforeAutospacing="0" w:afterAutospacing="0"/>
              <w:ind w:left="0" w:leftChars="0" w:right="0" w:rightChar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项目审批（核准/</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备案）部门（选填）</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唐山高新技术产业开发区行政审批局</w:t>
            </w:r>
          </w:p>
        </w:tc>
        <w:tc>
          <w:tcPr>
            <w:tcW w:w="1244"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项目审批（核准/</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备案）文号（选填）</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总投资（万元）</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33500</w:t>
            </w:r>
          </w:p>
        </w:tc>
        <w:tc>
          <w:tcPr>
            <w:tcW w:w="1244"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环保投资（万元）</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r>
              <w:rPr>
                <w:rFonts w:hint="default" w:ascii="Times New Roman" w:hAnsi="Times New Roman" w:eastAsia="宋体" w:cs="Times New Roman"/>
                <w:color w:val="auto"/>
                <w:szCs w:val="21"/>
                <w:highlight w:val="none"/>
                <w:lang w:val="en-US" w:eastAsia="zh-CN"/>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环保投资占比（%）</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1.19</w:t>
            </w:r>
          </w:p>
        </w:tc>
        <w:tc>
          <w:tcPr>
            <w:tcW w:w="1244"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施工工期</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3"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是否开工建设</w:t>
            </w:r>
          </w:p>
        </w:tc>
        <w:tc>
          <w:tcPr>
            <w:tcW w:w="1370" w:type="pct"/>
            <w:noWrap w:val="0"/>
            <w:vAlign w:val="center"/>
          </w:tcPr>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52"/>
            </w:r>
            <w:r>
              <w:rPr>
                <w:rFonts w:hint="default" w:ascii="Times New Roman" w:hAnsi="Times New Roman" w:eastAsia="宋体" w:cs="Times New Roman"/>
                <w:color w:val="auto"/>
                <w:szCs w:val="21"/>
                <w:highlight w:val="none"/>
              </w:rPr>
              <w:t>否</w:t>
            </w: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sym w:font="Wingdings 2" w:char="00A3"/>
            </w:r>
            <w:r>
              <w:rPr>
                <w:rFonts w:hint="default" w:ascii="Times New Roman" w:hAnsi="Times New Roman" w:eastAsia="宋体" w:cs="Times New Roman"/>
                <w:color w:val="auto"/>
                <w:szCs w:val="21"/>
                <w:highlight w:val="none"/>
              </w:rPr>
              <w:t>是：</w:t>
            </w:r>
            <w:r>
              <w:rPr>
                <w:rFonts w:hint="default" w:ascii="Times New Roman" w:hAnsi="Times New Roman" w:eastAsia="宋体" w:cs="Times New Roman"/>
                <w:color w:val="auto"/>
                <w:szCs w:val="21"/>
                <w:highlight w:val="none"/>
                <w:u w:val="single"/>
              </w:rPr>
              <w:t xml:space="preserve">             </w:t>
            </w:r>
          </w:p>
        </w:tc>
        <w:tc>
          <w:tcPr>
            <w:tcW w:w="1244" w:type="pct"/>
            <w:noWrap w:val="0"/>
            <w:tcMar>
              <w:top w:w="16" w:type="dxa"/>
              <w:left w:w="16" w:type="dxa"/>
              <w:right w:w="16"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pacing w:val="-6"/>
                <w:szCs w:val="21"/>
                <w:highlight w:val="none"/>
              </w:rPr>
            </w:pPr>
            <w:r>
              <w:rPr>
                <w:rFonts w:hint="default" w:ascii="Times New Roman" w:hAnsi="Times New Roman" w:eastAsia="宋体" w:cs="Times New Roman"/>
                <w:color w:val="auto"/>
                <w:spacing w:val="-6"/>
                <w:szCs w:val="21"/>
                <w:highlight w:val="none"/>
              </w:rPr>
              <w:t>用地（用海）</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pacing w:val="-6"/>
                <w:szCs w:val="21"/>
                <w:highlight w:val="none"/>
              </w:rPr>
              <w:t>面积（m</w:t>
            </w:r>
            <w:r>
              <w:rPr>
                <w:rFonts w:hint="default" w:ascii="Times New Roman" w:hAnsi="Times New Roman" w:eastAsia="宋体" w:cs="Times New Roman"/>
                <w:color w:val="auto"/>
                <w:spacing w:val="-6"/>
                <w:szCs w:val="21"/>
                <w:highlight w:val="none"/>
                <w:vertAlign w:val="superscript"/>
              </w:rPr>
              <w:t>2</w:t>
            </w:r>
            <w:r>
              <w:rPr>
                <w:rFonts w:hint="default" w:ascii="Times New Roman" w:hAnsi="Times New Roman" w:eastAsia="宋体" w:cs="Times New Roman"/>
                <w:color w:val="auto"/>
                <w:spacing w:val="-6"/>
                <w:szCs w:val="21"/>
                <w:highlight w:val="none"/>
              </w:rPr>
              <w:t>）</w:t>
            </w:r>
          </w:p>
        </w:tc>
        <w:tc>
          <w:tcPr>
            <w:tcW w:w="1681" w:type="pc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73419.62</w:t>
            </w:r>
            <w:r>
              <w:rPr>
                <w:rFonts w:hint="eastAsia" w:cs="Times New Roman"/>
                <w:color w:val="auto"/>
                <w:szCs w:val="21"/>
                <w:highlight w:val="none"/>
                <w:lang w:val="en-US" w:eastAsia="zh-CN"/>
              </w:rPr>
              <w:t>（110.13亩）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03" w:type="pct"/>
            <w:noWrap w:val="0"/>
            <w:vAlign w:val="center"/>
          </w:tcPr>
          <w:p>
            <w:pPr>
              <w:pageBreakBefore w:val="0"/>
              <w:kinsoku/>
              <w:wordWrap/>
              <w:overflowPunct/>
              <w:autoSpaceDE w:val="0"/>
              <w:autoSpaceDN w:val="0"/>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专项评价设置情况</w:t>
            </w:r>
          </w:p>
        </w:tc>
        <w:tc>
          <w:tcPr>
            <w:tcW w:w="4296" w:type="pct"/>
            <w:gridSpan w:val="3"/>
            <w:noWrap w:val="0"/>
            <w:vAlign w:val="center"/>
          </w:tcPr>
          <w:p>
            <w:pPr>
              <w:pageBreakBefore w:val="0"/>
              <w:kinsoku/>
              <w:wordWrap/>
              <w:overflowPunct/>
              <w:autoSpaceDE w:val="0"/>
              <w:autoSpaceDN w:val="0"/>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03"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color w:val="auto"/>
                <w:kern w:val="0"/>
                <w:sz w:val="21"/>
                <w:szCs w:val="21"/>
                <w:highlight w:val="green"/>
              </w:rPr>
            </w:pPr>
            <w:r>
              <w:rPr>
                <w:rFonts w:hint="default" w:ascii="Times New Roman" w:hAnsi="Times New Roman" w:eastAsia="宋体" w:cs="Times New Roman"/>
                <w:color w:val="auto"/>
                <w:sz w:val="21"/>
                <w:szCs w:val="21"/>
                <w:highlight w:val="none"/>
              </w:rPr>
              <w:t>规划情况</w:t>
            </w:r>
          </w:p>
        </w:tc>
        <w:tc>
          <w:tcPr>
            <w:tcW w:w="4296" w:type="pct"/>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color w:val="auto"/>
                <w:sz w:val="21"/>
                <w:szCs w:val="21"/>
                <w:highlight w:val="green"/>
                <w:lang w:eastAsia="zh-CN"/>
              </w:rPr>
            </w:pPr>
            <w:r>
              <w:rPr>
                <w:rFonts w:hint="default" w:ascii="Times New Roman" w:hAnsi="Times New Roman" w:eastAsia="宋体" w:cs="Times New Roman"/>
                <w:b w:val="0"/>
                <w:bCs w:val="0"/>
                <w:i w:val="0"/>
                <w:iCs w:val="0"/>
                <w:snapToGrid w:val="0"/>
                <w:color w:val="auto"/>
                <w:sz w:val="21"/>
                <w:szCs w:val="21"/>
              </w:rPr>
              <w:t>唐山空港城开发区位于唐山市中心城区西北方向，距唐山市区约</w:t>
            </w:r>
            <w:r>
              <w:rPr>
                <w:rFonts w:hint="default" w:ascii="Times New Roman" w:hAnsi="Times New Roman" w:eastAsia="TimesNewRomanPSMT" w:cs="Times New Roman"/>
                <w:b w:val="0"/>
                <w:bCs w:val="0"/>
                <w:i w:val="0"/>
                <w:iCs w:val="0"/>
                <w:snapToGrid w:val="0"/>
                <w:color w:val="auto"/>
                <w:sz w:val="21"/>
                <w:szCs w:val="21"/>
              </w:rPr>
              <w:t>8</w:t>
            </w:r>
            <w:r>
              <w:rPr>
                <w:rFonts w:hint="default" w:ascii="Times New Roman" w:hAnsi="Times New Roman" w:eastAsia="宋体" w:cs="Times New Roman"/>
                <w:b w:val="0"/>
                <w:bCs w:val="0"/>
                <w:i w:val="0"/>
                <w:iCs w:val="0"/>
                <w:snapToGrid w:val="0"/>
                <w:color w:val="auto"/>
                <w:sz w:val="21"/>
                <w:szCs w:val="21"/>
              </w:rPr>
              <w:t>公里，距高新区（行政区划）约</w:t>
            </w:r>
            <w:r>
              <w:rPr>
                <w:rFonts w:hint="default" w:ascii="Times New Roman" w:hAnsi="Times New Roman" w:eastAsia="TimesNewRomanPSMT" w:cs="Times New Roman"/>
                <w:b w:val="0"/>
                <w:bCs w:val="0"/>
                <w:i w:val="0"/>
                <w:iCs w:val="0"/>
                <w:snapToGrid w:val="0"/>
                <w:color w:val="auto"/>
                <w:sz w:val="21"/>
                <w:szCs w:val="21"/>
              </w:rPr>
              <w:t>10</w:t>
            </w:r>
            <w:r>
              <w:rPr>
                <w:rFonts w:hint="default" w:ascii="Times New Roman" w:hAnsi="Times New Roman" w:eastAsia="宋体" w:cs="Times New Roman"/>
                <w:b w:val="0"/>
                <w:bCs w:val="0"/>
                <w:i w:val="0"/>
                <w:iCs w:val="0"/>
                <w:snapToGrid w:val="0"/>
                <w:color w:val="auto"/>
                <w:sz w:val="21"/>
                <w:szCs w:val="21"/>
              </w:rPr>
              <w:t>公里，距丰润城区</w:t>
            </w:r>
            <w:r>
              <w:rPr>
                <w:rFonts w:hint="default" w:ascii="Times New Roman" w:hAnsi="Times New Roman" w:eastAsia="TimesNewRomanPSMT" w:cs="Times New Roman"/>
                <w:b w:val="0"/>
                <w:bCs w:val="0"/>
                <w:i w:val="0"/>
                <w:iCs w:val="0"/>
                <w:snapToGrid w:val="0"/>
                <w:color w:val="auto"/>
                <w:sz w:val="21"/>
                <w:szCs w:val="21"/>
              </w:rPr>
              <w:t>20</w:t>
            </w:r>
            <w:r>
              <w:rPr>
                <w:rFonts w:hint="default" w:ascii="Times New Roman" w:hAnsi="Times New Roman" w:eastAsia="宋体" w:cs="Times New Roman"/>
                <w:b w:val="0"/>
                <w:bCs w:val="0"/>
                <w:i w:val="0"/>
                <w:iCs w:val="0"/>
                <w:snapToGrid w:val="0"/>
                <w:color w:val="auto"/>
                <w:sz w:val="21"/>
                <w:szCs w:val="21"/>
              </w:rPr>
              <w:t>公里，距北京中心城区</w:t>
            </w:r>
            <w:r>
              <w:rPr>
                <w:rFonts w:hint="default" w:ascii="Times New Roman" w:hAnsi="Times New Roman" w:eastAsia="TimesNewRomanPSMT" w:cs="Times New Roman"/>
                <w:b w:val="0"/>
                <w:bCs w:val="0"/>
                <w:i w:val="0"/>
                <w:iCs w:val="0"/>
                <w:snapToGrid w:val="0"/>
                <w:color w:val="auto"/>
                <w:sz w:val="21"/>
                <w:szCs w:val="21"/>
              </w:rPr>
              <w:t>180</w:t>
            </w:r>
            <w:r>
              <w:rPr>
                <w:rFonts w:hint="default" w:ascii="Times New Roman" w:hAnsi="Times New Roman" w:eastAsia="宋体" w:cs="Times New Roman"/>
                <w:b w:val="0"/>
                <w:bCs w:val="0"/>
                <w:i w:val="0"/>
                <w:iCs w:val="0"/>
                <w:snapToGrid w:val="0"/>
                <w:color w:val="auto"/>
                <w:sz w:val="21"/>
                <w:szCs w:val="21"/>
              </w:rPr>
              <w:t>公里。为适应环渤海地区新的发展形势和唐山城市长远发展需要，发挥空港城空中通道的优势，优化资源配置，协调城乡建设，实现社会、经济、人口、资源、环境的可持续发展，原唐山空港城开发区管理委员会组织编制了《唐山空港城开发区总体规划（</w:t>
            </w:r>
            <w:r>
              <w:rPr>
                <w:rFonts w:hint="default" w:ascii="Times New Roman" w:hAnsi="Times New Roman" w:eastAsia="TimesNewRomanPSMT" w:cs="Times New Roman"/>
                <w:b w:val="0"/>
                <w:bCs w:val="0"/>
                <w:i w:val="0"/>
                <w:iCs w:val="0"/>
                <w:snapToGrid w:val="0"/>
                <w:color w:val="auto"/>
                <w:sz w:val="21"/>
                <w:szCs w:val="21"/>
              </w:rPr>
              <w:t>2011-2020</w:t>
            </w:r>
            <w:r>
              <w:rPr>
                <w:rFonts w:hint="default" w:ascii="Times New Roman" w:hAnsi="Times New Roman" w:eastAsia="宋体" w:cs="Times New Roman"/>
                <w:b w:val="0"/>
                <w:bCs w:val="0"/>
                <w:i w:val="0"/>
                <w:iCs w:val="0"/>
                <w:snapToGrid w:val="0"/>
                <w:color w:val="auto"/>
                <w:sz w:val="21"/>
                <w:szCs w:val="21"/>
              </w:rPr>
              <w:t>）》。为进一步落实该规划，规范空港开发区的规划建设管理，合理利用该区土地资源，管委会组织编制《唐山空港城开发区控制性详细规划》。</w:t>
            </w:r>
            <w:r>
              <w:rPr>
                <w:rFonts w:hint="default" w:ascii="Times New Roman" w:hAnsi="Times New Roman" w:eastAsia="TimesNewRomanPSMT" w:cs="Times New Roman"/>
                <w:b w:val="0"/>
                <w:bCs w:val="0"/>
                <w:i w:val="0"/>
                <w:iCs w:val="0"/>
                <w:snapToGrid w:val="0"/>
                <w:color w:val="auto"/>
                <w:sz w:val="21"/>
                <w:szCs w:val="21"/>
              </w:rPr>
              <w:t>2016</w:t>
            </w:r>
            <w:r>
              <w:rPr>
                <w:rFonts w:hint="default" w:ascii="Times New Roman" w:hAnsi="Times New Roman" w:eastAsia="宋体" w:cs="Times New Roman"/>
                <w:b w:val="0"/>
                <w:bCs w:val="0"/>
                <w:i w:val="0"/>
                <w:iCs w:val="0"/>
                <w:snapToGrid w:val="0"/>
                <w:color w:val="auto"/>
                <w:sz w:val="21"/>
                <w:szCs w:val="21"/>
              </w:rPr>
              <w:t>年</w:t>
            </w:r>
            <w:r>
              <w:rPr>
                <w:rFonts w:hint="default" w:ascii="Times New Roman" w:hAnsi="Times New Roman" w:eastAsia="TimesNewRomanPSMT" w:cs="Times New Roman"/>
                <w:b w:val="0"/>
                <w:bCs w:val="0"/>
                <w:i w:val="0"/>
                <w:iCs w:val="0"/>
                <w:snapToGrid w:val="0"/>
                <w:color w:val="auto"/>
                <w:sz w:val="21"/>
                <w:szCs w:val="21"/>
              </w:rPr>
              <w:t>6</w:t>
            </w:r>
            <w:r>
              <w:rPr>
                <w:rFonts w:hint="default" w:ascii="Times New Roman" w:hAnsi="Times New Roman" w:eastAsia="宋体" w:cs="Times New Roman"/>
                <w:b w:val="0"/>
                <w:bCs w:val="0"/>
                <w:i w:val="0"/>
                <w:iCs w:val="0"/>
                <w:snapToGrid w:val="0"/>
                <w:color w:val="auto"/>
                <w:sz w:val="21"/>
                <w:szCs w:val="21"/>
              </w:rPr>
              <w:t>月</w:t>
            </w:r>
            <w:r>
              <w:rPr>
                <w:rFonts w:hint="default" w:ascii="Times New Roman" w:hAnsi="Times New Roman" w:eastAsia="宋体" w:cs="Times New Roman"/>
                <w:b w:val="0"/>
                <w:bCs w:val="0"/>
                <w:i w:val="0"/>
                <w:iCs w:val="0"/>
                <w:snapToGrid w:val="0"/>
                <w:color w:val="auto"/>
                <w:sz w:val="21"/>
                <w:szCs w:val="21"/>
                <w:lang w:eastAsia="zh-CN"/>
              </w:rPr>
              <w:t>，</w:t>
            </w:r>
            <w:r>
              <w:rPr>
                <w:rFonts w:hint="default" w:ascii="Times New Roman" w:hAnsi="Times New Roman" w:eastAsia="宋体" w:cs="Times New Roman"/>
                <w:b w:val="0"/>
                <w:bCs w:val="0"/>
                <w:i w:val="0"/>
                <w:iCs w:val="0"/>
                <w:snapToGrid w:val="0"/>
                <w:color w:val="auto"/>
                <w:sz w:val="21"/>
                <w:szCs w:val="21"/>
              </w:rPr>
              <w:t>唐山空港城开发区被确立为省级经济开发区，名称定为唐山空港城临空经济开发区。随着新一轮唐山市总体规划对园区提出更高的建设要求，为适应唐山高新区新的发展形势和未来发展需要，优化土地资源配置，加速城市化建设，实现社会、经济、人口、环境的可持续发展，</w:t>
            </w:r>
            <w:r>
              <w:rPr>
                <w:rFonts w:hint="default" w:ascii="Times New Roman" w:hAnsi="Times New Roman" w:eastAsia="TimesNewRomanPSMT" w:cs="Times New Roman"/>
                <w:b w:val="0"/>
                <w:bCs w:val="0"/>
                <w:i w:val="0"/>
                <w:iCs w:val="0"/>
                <w:snapToGrid w:val="0"/>
                <w:color w:val="auto"/>
                <w:sz w:val="21"/>
                <w:szCs w:val="21"/>
              </w:rPr>
              <w:t>2017</w:t>
            </w:r>
            <w:r>
              <w:rPr>
                <w:rFonts w:hint="default" w:ascii="Times New Roman" w:hAnsi="Times New Roman" w:eastAsia="宋体" w:cs="Times New Roman"/>
                <w:b w:val="0"/>
                <w:bCs w:val="0"/>
                <w:i w:val="0"/>
                <w:iCs w:val="0"/>
                <w:snapToGrid w:val="0"/>
                <w:color w:val="auto"/>
                <w:sz w:val="21"/>
                <w:szCs w:val="21"/>
              </w:rPr>
              <w:t>年</w:t>
            </w:r>
            <w:r>
              <w:rPr>
                <w:rFonts w:hint="default" w:ascii="Times New Roman" w:hAnsi="Times New Roman" w:eastAsia="TimesNewRomanPSMT" w:cs="Times New Roman"/>
                <w:b w:val="0"/>
                <w:bCs w:val="0"/>
                <w:i w:val="0"/>
                <w:iCs w:val="0"/>
                <w:snapToGrid w:val="0"/>
                <w:color w:val="auto"/>
                <w:sz w:val="21"/>
                <w:szCs w:val="21"/>
              </w:rPr>
              <w:t>4</w:t>
            </w:r>
            <w:r>
              <w:rPr>
                <w:rFonts w:hint="default" w:ascii="Times New Roman" w:hAnsi="Times New Roman" w:eastAsia="宋体" w:cs="Times New Roman"/>
                <w:b w:val="0"/>
                <w:bCs w:val="0"/>
                <w:i w:val="0"/>
                <w:iCs w:val="0"/>
                <w:snapToGrid w:val="0"/>
                <w:color w:val="auto"/>
                <w:sz w:val="21"/>
                <w:szCs w:val="21"/>
              </w:rPr>
              <w:t>月，唐山高新区管委会撤销河北唐山空港城临空经济开发区管理机构，将其并入唐山高新技术产业开发区管委会，并将空港城临空经济开发区更名为唐山高新区京唐智慧港（以下简称京唐智慧港）。</w:t>
            </w:r>
            <w:r>
              <w:rPr>
                <w:rFonts w:hint="default" w:ascii="Times New Roman" w:hAnsi="Times New Roman" w:eastAsia="TimesNewRomanPSMT" w:cs="Times New Roman"/>
                <w:b w:val="0"/>
                <w:bCs w:val="0"/>
                <w:i w:val="0"/>
                <w:iCs w:val="0"/>
                <w:snapToGrid w:val="0"/>
                <w:color w:val="auto"/>
                <w:sz w:val="21"/>
                <w:szCs w:val="21"/>
              </w:rPr>
              <w:t>2019</w:t>
            </w:r>
            <w:r>
              <w:rPr>
                <w:rFonts w:hint="default" w:ascii="Times New Roman" w:hAnsi="Times New Roman" w:eastAsia="宋体" w:cs="Times New Roman"/>
                <w:b w:val="0"/>
                <w:bCs w:val="0"/>
                <w:i w:val="0"/>
                <w:iCs w:val="0"/>
                <w:snapToGrid w:val="0"/>
                <w:color w:val="auto"/>
                <w:sz w:val="21"/>
                <w:szCs w:val="21"/>
              </w:rPr>
              <w:t>年</w:t>
            </w:r>
            <w:r>
              <w:rPr>
                <w:rFonts w:hint="default" w:ascii="Times New Roman" w:hAnsi="Times New Roman" w:eastAsia="TimesNewRomanPSMT" w:cs="Times New Roman"/>
                <w:b w:val="0"/>
                <w:bCs w:val="0"/>
                <w:i w:val="0"/>
                <w:iCs w:val="0"/>
                <w:snapToGrid w:val="0"/>
                <w:color w:val="auto"/>
                <w:sz w:val="21"/>
                <w:szCs w:val="21"/>
              </w:rPr>
              <w:t>12</w:t>
            </w:r>
            <w:r>
              <w:rPr>
                <w:rFonts w:hint="default" w:ascii="Times New Roman" w:hAnsi="Times New Roman" w:eastAsia="宋体" w:cs="Times New Roman"/>
                <w:b w:val="0"/>
                <w:bCs w:val="0"/>
                <w:i w:val="0"/>
                <w:iCs w:val="0"/>
                <w:snapToGrid w:val="0"/>
                <w:color w:val="auto"/>
                <w:sz w:val="21"/>
                <w:szCs w:val="21"/>
              </w:rPr>
              <w:t>月，京唐智慧港规划建设服务中心组织编制了《唐山高新区京唐智慧港总体规划（</w:t>
            </w:r>
            <w:r>
              <w:rPr>
                <w:rFonts w:hint="default" w:ascii="Times New Roman" w:hAnsi="Times New Roman" w:eastAsia="TimesNewRomanPSMT" w:cs="Times New Roman"/>
                <w:b w:val="0"/>
                <w:bCs w:val="0"/>
                <w:i w:val="0"/>
                <w:iCs w:val="0"/>
                <w:snapToGrid w:val="0"/>
                <w:color w:val="auto"/>
                <w:sz w:val="21"/>
                <w:szCs w:val="21"/>
              </w:rPr>
              <w:t>2020-2035</w:t>
            </w:r>
            <w:r>
              <w:rPr>
                <w:rFonts w:hint="default" w:ascii="Times New Roman" w:hAnsi="Times New Roman" w:eastAsia="宋体" w:cs="Times New Roman"/>
                <w:b w:val="0"/>
                <w:bCs w:val="0"/>
                <w:i w:val="0"/>
                <w:iCs w:val="0"/>
                <w:snapToGrid w:val="0"/>
                <w:color w:val="auto"/>
                <w:sz w:val="21"/>
                <w:szCs w:val="21"/>
              </w:rPr>
              <w:t>年）》文本。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03"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rPr>
            </w:pPr>
            <w:r>
              <w:rPr>
                <w:rFonts w:hint="default" w:ascii="Times New Roman" w:hAnsi="Times New Roman" w:eastAsia="宋体" w:cs="Times New Roman"/>
                <w:b w:val="0"/>
                <w:bCs w:val="0"/>
                <w:i w:val="0"/>
                <w:iCs w:val="0"/>
                <w:snapToGrid w:val="0"/>
                <w:color w:val="auto"/>
                <w:sz w:val="21"/>
                <w:szCs w:val="21"/>
              </w:rPr>
              <w:t>规划环境影响</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rPr>
            </w:pPr>
            <w:r>
              <w:rPr>
                <w:rFonts w:hint="default" w:ascii="Times New Roman" w:hAnsi="Times New Roman" w:eastAsia="宋体" w:cs="Times New Roman"/>
                <w:b w:val="0"/>
                <w:bCs w:val="0"/>
                <w:i w:val="0"/>
                <w:iCs w:val="0"/>
                <w:snapToGrid w:val="0"/>
                <w:color w:val="auto"/>
                <w:sz w:val="21"/>
                <w:szCs w:val="21"/>
              </w:rPr>
              <w:t>评价情况</w:t>
            </w:r>
          </w:p>
        </w:tc>
        <w:tc>
          <w:tcPr>
            <w:tcW w:w="4296" w:type="pct"/>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lang w:eastAsia="zh-CN"/>
              </w:rPr>
            </w:pPr>
            <w:r>
              <w:rPr>
                <w:rFonts w:hint="default" w:ascii="Times New Roman" w:hAnsi="Times New Roman" w:eastAsia="宋体" w:cs="Times New Roman"/>
                <w:b w:val="0"/>
                <w:bCs w:val="0"/>
                <w:i w:val="0"/>
                <w:iCs w:val="0"/>
                <w:snapToGrid w:val="0"/>
                <w:color w:val="auto"/>
                <w:sz w:val="21"/>
                <w:szCs w:val="21"/>
                <w:lang w:eastAsia="zh-CN"/>
              </w:rPr>
              <w:t>规划环境影响评价文件名称：《唐山高新区京唐智慧港总体规划（2020-2035）环境影响报告书》</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lang w:val="en-US" w:eastAsia="zh-CN"/>
              </w:rPr>
            </w:pPr>
            <w:r>
              <w:rPr>
                <w:rFonts w:hint="default" w:ascii="Times New Roman" w:hAnsi="Times New Roman" w:eastAsia="宋体" w:cs="Times New Roman"/>
                <w:b w:val="0"/>
                <w:bCs w:val="0"/>
                <w:i w:val="0"/>
                <w:iCs w:val="0"/>
                <w:snapToGrid w:val="0"/>
                <w:color w:val="auto"/>
                <w:sz w:val="21"/>
                <w:szCs w:val="21"/>
                <w:lang w:eastAsia="zh-CN"/>
              </w:rPr>
              <w:t>审查机关：</w:t>
            </w:r>
            <w:r>
              <w:rPr>
                <w:rFonts w:hint="default" w:ascii="Times New Roman" w:hAnsi="Times New Roman" w:eastAsia="宋体" w:cs="Times New Roman"/>
                <w:b w:val="0"/>
                <w:bCs w:val="0"/>
                <w:i w:val="0"/>
                <w:iCs w:val="0"/>
                <w:snapToGrid w:val="0"/>
                <w:color w:val="auto"/>
                <w:sz w:val="21"/>
                <w:szCs w:val="21"/>
                <w:lang w:val="en-US" w:eastAsia="zh-CN"/>
              </w:rPr>
              <w:t>唐山市生态环境局</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lang w:val="en-US" w:eastAsia="zh-CN"/>
              </w:rPr>
            </w:pPr>
            <w:r>
              <w:rPr>
                <w:rFonts w:hint="default" w:ascii="Times New Roman" w:hAnsi="Times New Roman" w:eastAsia="宋体" w:cs="Times New Roman"/>
                <w:b w:val="0"/>
                <w:bCs w:val="0"/>
                <w:i w:val="0"/>
                <w:iCs w:val="0"/>
                <w:snapToGrid w:val="0"/>
                <w:color w:val="auto"/>
                <w:sz w:val="21"/>
                <w:szCs w:val="21"/>
                <w:lang w:eastAsia="zh-CN"/>
              </w:rPr>
              <w:t>审查文件名称</w:t>
            </w:r>
            <w:r>
              <w:rPr>
                <w:rFonts w:hint="default" w:ascii="Times New Roman" w:hAnsi="Times New Roman" w:eastAsia="宋体" w:cs="Times New Roman"/>
                <w:b w:val="0"/>
                <w:bCs w:val="0"/>
                <w:i w:val="0"/>
                <w:iCs w:val="0"/>
                <w:snapToGrid w:val="0"/>
                <w:color w:val="auto"/>
                <w:sz w:val="21"/>
                <w:szCs w:val="21"/>
                <w:lang w:val="en-US" w:eastAsia="zh-CN"/>
              </w:rPr>
              <w:t>：唐山市生态环境局关于转送唐山高新区京唐智慧港总体规划（2020-2035）环境影响报告书审查意见的函</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textAlignment w:val="auto"/>
              <w:rPr>
                <w:rFonts w:hint="default" w:ascii="Times New Roman" w:hAnsi="Times New Roman" w:eastAsia="宋体" w:cs="Times New Roman"/>
                <w:b w:val="0"/>
                <w:bCs w:val="0"/>
                <w:i w:val="0"/>
                <w:iCs w:val="0"/>
                <w:snapToGrid w:val="0"/>
                <w:color w:val="auto"/>
                <w:sz w:val="21"/>
                <w:szCs w:val="21"/>
                <w:lang w:eastAsia="zh-CN"/>
              </w:rPr>
            </w:pPr>
            <w:r>
              <w:rPr>
                <w:rFonts w:hint="default" w:ascii="Times New Roman" w:hAnsi="Times New Roman" w:eastAsia="宋体" w:cs="Times New Roman"/>
                <w:b w:val="0"/>
                <w:bCs w:val="0"/>
                <w:i w:val="0"/>
                <w:iCs w:val="0"/>
                <w:snapToGrid w:val="0"/>
                <w:color w:val="auto"/>
                <w:sz w:val="21"/>
                <w:szCs w:val="21"/>
                <w:lang w:eastAsia="zh-CN"/>
              </w:rPr>
              <w:t>文号：</w:t>
            </w:r>
            <w:r>
              <w:rPr>
                <w:rFonts w:hint="default" w:ascii="Times New Roman" w:hAnsi="Times New Roman" w:eastAsia="宋体" w:cs="Times New Roman"/>
                <w:b w:val="0"/>
                <w:bCs w:val="0"/>
                <w:i w:val="0"/>
                <w:iCs w:val="0"/>
                <w:snapToGrid w:val="0"/>
                <w:color w:val="auto"/>
                <w:sz w:val="21"/>
                <w:szCs w:val="21"/>
                <w:lang w:val="en-US" w:eastAsia="zh-CN"/>
              </w:rPr>
              <w:t>唐环评函[2020]42号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03" w:type="pct"/>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规划及规划环境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影响评价符合性分析</w:t>
            </w:r>
          </w:p>
        </w:tc>
        <w:tc>
          <w:tcPr>
            <w:tcW w:w="4296" w:type="pct"/>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一、</w:t>
            </w:r>
            <w:r>
              <w:rPr>
                <w:rFonts w:hint="default" w:ascii="Times New Roman" w:hAnsi="Times New Roman" w:eastAsia="宋体" w:cs="Times New Roman"/>
                <w:b/>
                <w:bCs/>
                <w:color w:val="auto"/>
                <w:kern w:val="0"/>
                <w:sz w:val="21"/>
                <w:szCs w:val="21"/>
                <w:highlight w:val="none"/>
              </w:rPr>
              <w:t>与园区规划符合性分析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唐山高新区京唐智慧港是在唐山空港城起步区基础上进行扩区，重新调整规划，由原来5.27平方公里扩大为15平方公里。</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规划范围：北起滨河道，南至规划纬八路，西起规划经一路，东至规划经二十一路，总面积1500公顷（共15km</w:t>
            </w:r>
            <w:r>
              <w:rPr>
                <w:rFonts w:hint="default" w:ascii="Times New Roman" w:hAnsi="Times New Roman" w:eastAsia="宋体" w:cs="Times New Roman"/>
                <w:color w:val="auto"/>
                <w:kern w:val="0"/>
                <w:sz w:val="21"/>
                <w:szCs w:val="21"/>
                <w:highlight w:val="none"/>
                <w:vertAlign w:val="superscript"/>
              </w:rPr>
              <w:t>2</w:t>
            </w:r>
            <w:r>
              <w:rPr>
                <w:rFonts w:hint="default" w:ascii="Times New Roman" w:hAnsi="Times New Roman" w:eastAsia="宋体" w:cs="Times New Roman"/>
                <w:color w:val="auto"/>
                <w:kern w:val="0"/>
                <w:sz w:val="21"/>
                <w:szCs w:val="21"/>
                <w:highlight w:val="none"/>
              </w:rPr>
              <w:t>），其中高新技术产业用地315公顷，现代物流业用地74公顷，公共服务设施用地302公顷，现代服务业用地167公顷，现代化新型社区用地642公顷。</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发展定位：发展定位是高新技术产业集聚区、转型升级示范区、中心城区重要增长点。</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功能区主要为高新技术产业、现代物流业、现代服务业、现代新型社区，其中高新技术产业规划行业主要为机器人产业、高端装备制造业、新材料产业、节能环保产业、新一代信息技术产业、新能源汽车产业、新能源产业、数字创意产业、生物技术研究与应用产业等；现代物流业规划行业主要为供应链物流、仓储物流、数字化物流、保税物流、物流加工等；现代服务业规划行业主要为生产装备检修服务，科技中介、知识产权和标准化服务，金融服务，创新创业孵化服务，教育、养老、医疗等社会服务型产业；现代化新型社区主要以居住、公服配套为主要功能。</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规划目标：坚持环保优先、科技为本的思想，基于集中先进、规范管理的工业体系，使产业园入驻企业排污控制在合理的范围内，实现产业园的可持续发展、高质量发展，打造环保、绿色、高端的特色产业园，成为唐山市经济高质量发展的新的增长点。通过优化产业布局，培育产业集群，错位产业融合发展，形成“要素集聚、链条延伸、特色鲜明、充满活力”的经济发展新区，成为推动唐山经济腾飞的产业引擎，促进区域合作的切入点，成为冀东地区的高新技术产业中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近期至2025年，京唐智慧港初步形成规模，重点建设完成基础备套设施，初步形成高新技术产业集聚区，工业产值达到88.02亿元。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远期至2035年，进一步加大招商引资，推动符合产业定位的项目加快集聚，形成高质量、高发展、高效益的高新技术产业集聚区。形成相关基础设施配套完备、区域环境优美、人才、高新技术汇聚、唐山中心城区重要增长点，周边经济带动作用显著，工业产值达到183.04亿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唐山高新区京唐智慧港发展定位情况见下表</w:t>
            </w:r>
            <w:r>
              <w:rPr>
                <w:rFonts w:hint="default" w:ascii="Times New Roman" w:hAnsi="Times New Roman" w:eastAsia="宋体" w:cs="Times New Roman"/>
                <w:color w:val="auto"/>
                <w:kern w:val="0"/>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cs="Times New Roman"/>
                <w:b/>
                <w:bCs/>
                <w:color w:val="auto"/>
                <w:kern w:val="0"/>
                <w:sz w:val="21"/>
                <w:szCs w:val="21"/>
                <w:highlight w:val="none"/>
                <w:lang w:val="en-US" w:eastAsia="zh-CN"/>
              </w:rPr>
              <w:t>1-1</w:t>
            </w:r>
            <w:r>
              <w:rPr>
                <w:rFonts w:hint="default" w:ascii="Times New Roman" w:hAnsi="Times New Roman" w:eastAsia="宋体" w:cs="Times New Roman"/>
                <w:b/>
                <w:bCs/>
                <w:color w:val="auto"/>
                <w:kern w:val="0"/>
                <w:sz w:val="21"/>
                <w:szCs w:val="21"/>
                <w:highlight w:val="none"/>
              </w:rPr>
              <w:t xml:space="preserve"> 京唐智慧港发展定位情况表</w:t>
            </w:r>
          </w:p>
          <w:tbl>
            <w:tblPr>
              <w:tblStyle w:val="3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51"/>
              <w:gridCol w:w="3194"/>
              <w:gridCol w:w="802"/>
              <w:gridCol w:w="1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rPr>
                    <w:t>功能分区</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rPr>
                    <w:t>规划行业</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面积</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eastAsia="zh-CN"/>
                    </w:rPr>
                    <w:t>（</w:t>
                  </w:r>
                  <w:r>
                    <w:rPr>
                      <w:rFonts w:hint="default" w:ascii="Times New Roman" w:hAnsi="Times New Roman" w:eastAsia="宋体" w:cs="Times New Roman"/>
                      <w:color w:val="auto"/>
                      <w:kern w:val="0"/>
                      <w:sz w:val="18"/>
                      <w:szCs w:val="18"/>
                      <w:highlight w:val="none"/>
                    </w:rPr>
                    <w:t>hm</w:t>
                  </w:r>
                  <w:r>
                    <w:rPr>
                      <w:rFonts w:hint="default" w:ascii="Times New Roman" w:hAnsi="Times New Roman" w:eastAsia="宋体" w:cs="Times New Roman"/>
                      <w:color w:val="auto"/>
                      <w:kern w:val="0"/>
                      <w:sz w:val="18"/>
                      <w:szCs w:val="18"/>
                      <w:highlight w:val="none"/>
                      <w:vertAlign w:val="superscript"/>
                    </w:rPr>
                    <w:t>2</w:t>
                  </w:r>
                  <w:r>
                    <w:rPr>
                      <w:rFonts w:hint="default" w:ascii="Times New Roman" w:hAnsi="Times New Roman" w:eastAsia="宋体" w:cs="Times New Roman"/>
                      <w:color w:val="auto"/>
                      <w:kern w:val="0"/>
                      <w:sz w:val="18"/>
                      <w:szCs w:val="18"/>
                      <w:highlight w:val="none"/>
                      <w:lang w:eastAsia="zh-CN"/>
                    </w:rPr>
                    <w:t>）</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rPr>
                    <w:t>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高新技术产业</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机器人产业、高端装备制造业、新材料产业、节能环保产业、新一代信息技术产业、新能源汽车产业、新能源产业、数字创意产业、生物技术研究与应用产业等</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315</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分布于产业园南部区域的北部、中西部和东南部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现代物流业</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供应链物流、仓储物流、数字化物流、保税物流、物流加工等</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74</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分布于产业园南部区域的西部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现代服务业</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生产装备检修服务，科技中介、知识产权和标准化服务，金融服务，创新创业孵化服务，教育、养老、医疗等社会服务型产业</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167</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分布于产业园南部区域的中部和东北部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现代化新型社</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区</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以居住、公服配套为主要功能</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642</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分布于产业园南部区域的南部和东部，以及产业园北部区域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公共设施</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包括绿地、机场、高铁站、道路、供水、排水等</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302</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总规划面积</w:t>
                  </w:r>
                </w:p>
              </w:tc>
              <w:tc>
                <w:tcPr>
                  <w:tcW w:w="2166"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w:t>
                  </w:r>
                </w:p>
              </w:tc>
              <w:tc>
                <w:tcPr>
                  <w:tcW w:w="54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1500</w:t>
                  </w:r>
                </w:p>
              </w:tc>
              <w:tc>
                <w:tcPr>
                  <w:tcW w:w="130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本项目</w:t>
            </w:r>
            <w:r>
              <w:rPr>
                <w:rFonts w:hint="default" w:ascii="Times New Roman" w:hAnsi="Times New Roman" w:eastAsia="宋体" w:cs="Times New Roman"/>
                <w:color w:val="auto"/>
                <w:kern w:val="0"/>
                <w:sz w:val="21"/>
                <w:szCs w:val="21"/>
                <w:highlight w:val="none"/>
                <w:lang w:val="en-US" w:eastAsia="zh-CN"/>
              </w:rPr>
              <w:t>位于</w:t>
            </w:r>
            <w:r>
              <w:rPr>
                <w:rFonts w:hint="default" w:ascii="Times New Roman" w:hAnsi="Times New Roman" w:eastAsia="宋体" w:cs="Times New Roman"/>
                <w:color w:val="auto"/>
                <w:kern w:val="0"/>
                <w:sz w:val="21"/>
                <w:szCs w:val="21"/>
                <w:highlight w:val="none"/>
              </w:rPr>
              <w:t>唐山高新区京唐智慧港高新技术产业</w:t>
            </w:r>
            <w:r>
              <w:rPr>
                <w:rFonts w:hint="default" w:ascii="Times New Roman" w:hAnsi="Times New Roman" w:eastAsia="宋体" w:cs="Times New Roman"/>
                <w:color w:val="auto"/>
                <w:kern w:val="0"/>
                <w:sz w:val="21"/>
                <w:szCs w:val="21"/>
                <w:highlight w:val="none"/>
                <w:lang w:val="en-US" w:eastAsia="zh-CN"/>
              </w:rPr>
              <w:t>区。</w:t>
            </w:r>
            <w:r>
              <w:rPr>
                <w:rFonts w:hint="default" w:ascii="Times New Roman" w:hAnsi="Times New Roman" w:eastAsia="宋体" w:cs="Times New Roman"/>
                <w:color w:val="auto"/>
                <w:kern w:val="0"/>
                <w:sz w:val="21"/>
                <w:szCs w:val="21"/>
                <w:highlight w:val="none"/>
              </w:rPr>
              <w:t>根据《唐山高新区京唐智慧港总体规划（2020-2035</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环境影响报告书》，高新技术产业主要发展机器人产业、高端装备制造业、新材料产业、节能环保产业、新一代信息技术产业、新能源汽车产业、新能源产业、数字创意产业、生物技术研究与应用产业等。</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本项目属于专用设备制造业，</w:t>
            </w:r>
            <w:r>
              <w:rPr>
                <w:rFonts w:hint="default" w:ascii="Times New Roman" w:hAnsi="Times New Roman" w:eastAsia="宋体" w:cs="Times New Roman"/>
                <w:color w:val="auto"/>
                <w:kern w:val="0"/>
                <w:sz w:val="21"/>
                <w:szCs w:val="21"/>
                <w:highlight w:val="none"/>
              </w:rPr>
              <w:t>符合唐山高新区京唐智慧港高新技术产业规划要求，符合园区发展定位要求，符合园区规划要求。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right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二</w:t>
            </w:r>
            <w:r>
              <w:rPr>
                <w:rFonts w:hint="default" w:ascii="Times New Roman" w:hAnsi="Times New Roman" w:eastAsia="宋体" w:cs="Times New Roman"/>
                <w:b/>
                <w:bCs/>
                <w:color w:val="auto"/>
                <w:kern w:val="0"/>
                <w:sz w:val="21"/>
                <w:szCs w:val="21"/>
                <w:highlight w:val="none"/>
              </w:rPr>
              <w:t>、与园区分区划定符合性分析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根据空港城开发区总体规划要求，将开发区划定四区，分为禁建区、限建区、适建区和已建区。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禁建区：作为保障城市生态安全的重要地带及生态建设的首选地，原则上禁止任何建设，严格遵守国家、省、市有关法律、法规和规章。</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限建区：原则上保护优先、限制开发，执行严格的限制建设条件，应科学确定开发模式、项目性质和规模及强度，制订相应的生态补偿措施，并依据限制型要素的不同严格遵守国家、省、市及相关的法律、法规和规章。</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适建区：是城市发展优先选择的地区，但仍需根据环境与资源禀赋条件，合理确定开发模式、规模和强度。明确划定规划建设用地范围，加强城市规划和城镇规划的执行力度，各级城镇的规划建设必须严格控制在城镇建设区范围之内，严格控制用地规模，高效集约利用土地，根据资源条件和环境容量，科学合理地确定开发模式和开发强度。</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已建区：对空港城开发区内至2011年已经建成的区域，实施有机更新，逐步完善配套系统。</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green"/>
              </w:rPr>
            </w:pPr>
            <w:r>
              <w:rPr>
                <w:rFonts w:hint="default" w:ascii="Times New Roman" w:hAnsi="Times New Roman" w:eastAsia="宋体" w:cs="Times New Roman"/>
                <w:color w:val="auto"/>
                <w:kern w:val="0"/>
                <w:sz w:val="21"/>
                <w:szCs w:val="21"/>
                <w:highlight w:val="none"/>
              </w:rPr>
              <w:t>规划区禁建区为机场用地和绿化用地，占地面积约655亩，分别位于机场南侧和规划区的东北侧。限建区位于规划区东北侧，占地面积约370亩。</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本项目未在禁建区、限建区范围内，项目建设符合园区总体规划要求</w:t>
            </w:r>
            <w:r>
              <w:rPr>
                <w:rFonts w:hint="default" w:ascii="Times New Roman" w:hAnsi="Times New Roman" w:eastAsia="宋体" w:cs="Times New Roman"/>
                <w:color w:val="auto"/>
                <w:kern w:val="0"/>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right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三、与</w:t>
            </w:r>
            <w:r>
              <w:rPr>
                <w:rFonts w:hint="default" w:ascii="Times New Roman" w:hAnsi="Times New Roman" w:eastAsia="宋体" w:cs="Times New Roman"/>
                <w:b/>
                <w:bCs/>
                <w:color w:val="auto"/>
                <w:kern w:val="0"/>
                <w:sz w:val="21"/>
                <w:szCs w:val="21"/>
                <w:highlight w:val="none"/>
              </w:rPr>
              <w:t>规划环境影响评价结论</w:t>
            </w:r>
            <w:r>
              <w:rPr>
                <w:rFonts w:hint="default" w:ascii="Times New Roman" w:hAnsi="Times New Roman" w:eastAsia="宋体" w:cs="Times New Roman"/>
                <w:b/>
                <w:bCs/>
                <w:color w:val="auto"/>
                <w:kern w:val="0"/>
                <w:sz w:val="21"/>
                <w:szCs w:val="21"/>
                <w:highlight w:val="none"/>
                <w:lang w:val="en-US" w:eastAsia="zh-CN"/>
              </w:rPr>
              <w:t>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规划环境影响评价结论</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综上所述，在落实本规划环评提出的规划优化调整建议和环境影响减缓措施后，京唐智慧港规划与上层规划、相关环境保护规划以及其他规划基本协调，京唐智慧港发展目标、空间布局、产业定位等不存在重大环境影响。根据本规划环评报告提出的优化调整建议对规划相关内容进行调整、并严格落实本评价提出的优化调整建议、各项环境影响减缓措施后，该规划在环境保护方面是可行的。</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本项目符合</w:t>
            </w:r>
            <w:r>
              <w:rPr>
                <w:rFonts w:hint="default" w:ascii="Times New Roman" w:hAnsi="Times New Roman" w:eastAsia="宋体" w:cs="Times New Roman"/>
                <w:color w:val="auto"/>
                <w:kern w:val="0"/>
                <w:sz w:val="21"/>
                <w:szCs w:val="21"/>
                <w:highlight w:val="none"/>
              </w:rPr>
              <w:t>京唐智慧港规划</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上层规划、相关环境保护规划以及其他规划</w:t>
            </w:r>
            <w:r>
              <w:rPr>
                <w:rFonts w:hint="default" w:ascii="Times New Roman" w:hAnsi="Times New Roman" w:eastAsia="宋体" w:cs="Times New Roman"/>
                <w:color w:val="auto"/>
                <w:kern w:val="0"/>
                <w:sz w:val="21"/>
                <w:szCs w:val="21"/>
                <w:highlight w:val="none"/>
                <w:lang w:val="en-US" w:eastAsia="zh-CN"/>
              </w:rPr>
              <w:t>要求，严格执行各项环境标准，采取相应的环境保护措施，本项目在环境保护方面可行</w:t>
            </w:r>
            <w:r>
              <w:rPr>
                <w:rFonts w:hint="default" w:ascii="Times New Roman" w:hAnsi="Times New Roman" w:eastAsia="宋体" w:cs="Times New Roman"/>
                <w:color w:val="auto"/>
                <w:kern w:val="0"/>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rightChars="0"/>
              <w:jc w:val="both"/>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四、本项目与园区审查意见的函符合性分析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唐山市生态环境局2020年6月10日出具了《关于转送唐山高新区京唐智慧港总体规划（2020-2035）环境影响报告书审查意见的函》 (唐环评函[2020]42号)。</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 xml:space="preserve">2  </w:t>
            </w:r>
            <w:r>
              <w:rPr>
                <w:rFonts w:hint="default" w:ascii="Times New Roman" w:hAnsi="Times New Roman" w:eastAsia="宋体" w:cs="Times New Roman"/>
                <w:b/>
                <w:bCs/>
                <w:color w:val="auto"/>
                <w:kern w:val="0"/>
                <w:sz w:val="21"/>
                <w:szCs w:val="21"/>
                <w:highlight w:val="none"/>
                <w:lang w:val="en-US" w:eastAsia="zh-CN"/>
              </w:rPr>
              <w:t>项目</w:t>
            </w:r>
            <w:r>
              <w:rPr>
                <w:rFonts w:hint="default" w:ascii="Times New Roman" w:hAnsi="Times New Roman" w:eastAsia="宋体" w:cs="Times New Roman"/>
                <w:b/>
                <w:bCs/>
                <w:color w:val="auto"/>
                <w:kern w:val="0"/>
                <w:sz w:val="21"/>
                <w:szCs w:val="21"/>
                <w:highlight w:val="none"/>
                <w:lang w:eastAsia="zh-CN"/>
              </w:rPr>
              <w:t>与</w:t>
            </w:r>
            <w:r>
              <w:rPr>
                <w:rFonts w:hint="default" w:ascii="Times New Roman" w:hAnsi="Times New Roman" w:eastAsia="宋体" w:cs="Times New Roman"/>
                <w:b/>
                <w:bCs/>
                <w:color w:val="auto"/>
                <w:kern w:val="0"/>
                <w:sz w:val="21"/>
                <w:szCs w:val="21"/>
                <w:highlight w:val="none"/>
              </w:rPr>
              <w:t>园区审查意见符合性分析一览表</w:t>
            </w:r>
          </w:p>
          <w:tbl>
            <w:tblPr>
              <w:tblStyle w:val="35"/>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
              <w:gridCol w:w="4521"/>
              <w:gridCol w:w="1700"/>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9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477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园区审查意见</w:t>
                  </w:r>
                </w:p>
              </w:tc>
              <w:tc>
                <w:tcPr>
                  <w:tcW w:w="1778"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本项目</w:t>
                  </w:r>
                </w:p>
              </w:tc>
              <w:tc>
                <w:tcPr>
                  <w:tcW w:w="702"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77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强化循环经济和低碳经济理念，贯彻清洁生产、达标排放、总量控制原则，坚持工业区建设与环境建设同步规划、同步实施、同步发展，确保产业发展方向与循环经济产业链延伸相协调。结合当地区域经济、社会和资源环境状况，以推进生态质量改善及推动产业转型升级为目标，在环境保护与发展中贯彻保护优先的要求。</w:t>
                  </w:r>
                </w:p>
              </w:tc>
              <w:tc>
                <w:tcPr>
                  <w:tcW w:w="1778" w:type="dxa"/>
                  <w:vMerge w:val="restart"/>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eastAsia="宋体" w:cs="Times New Roman"/>
                      <w:caps w:val="0"/>
                      <w:smallCaps w:val="0"/>
                      <w:color w:val="auto"/>
                      <w:spacing w:val="0"/>
                      <w:kern w:val="0"/>
                      <w:position w:val="0"/>
                      <w:sz w:val="18"/>
                      <w:szCs w:val="18"/>
                    </w:rPr>
                    <w:t>本项目不属于《产业结构调整指导目录</w:t>
                  </w:r>
                  <w:r>
                    <w:rPr>
                      <w:rFonts w:hint="default" w:ascii="Times New Roman" w:hAnsi="Times New Roman" w:eastAsia="宋体" w:cs="Times New Roman"/>
                      <w:caps w:val="0"/>
                      <w:smallCaps w:val="0"/>
                      <w:color w:val="auto"/>
                      <w:spacing w:val="0"/>
                      <w:kern w:val="0"/>
                      <w:position w:val="0"/>
                      <w:sz w:val="18"/>
                      <w:szCs w:val="18"/>
                      <w:lang w:eastAsia="zh-CN"/>
                    </w:rPr>
                    <w:t>（2019年本）</w:t>
                  </w:r>
                  <w:r>
                    <w:rPr>
                      <w:rFonts w:hint="default" w:ascii="Times New Roman" w:hAnsi="Times New Roman" w:eastAsia="宋体" w:cs="Times New Roman"/>
                      <w:caps w:val="0"/>
                      <w:smallCaps w:val="0"/>
                      <w:color w:val="auto"/>
                      <w:spacing w:val="0"/>
                      <w:kern w:val="0"/>
                      <w:position w:val="0"/>
                      <w:sz w:val="18"/>
                      <w:szCs w:val="18"/>
                    </w:rPr>
                    <w:t>》中的限制类和淘汰类项目，同时不属于《河北省新增限制和淘汰类产业目录</w:t>
                  </w:r>
                  <w:r>
                    <w:rPr>
                      <w:rFonts w:hint="default" w:ascii="Times New Roman" w:hAnsi="Times New Roman" w:eastAsia="宋体" w:cs="Times New Roman"/>
                      <w:caps w:val="0"/>
                      <w:smallCaps w:val="0"/>
                      <w:color w:val="auto"/>
                      <w:spacing w:val="0"/>
                      <w:kern w:val="0"/>
                      <w:position w:val="0"/>
                      <w:sz w:val="18"/>
                      <w:szCs w:val="18"/>
                      <w:lang w:eastAsia="zh-CN"/>
                    </w:rPr>
                    <w:t>（</w:t>
                  </w:r>
                  <w:r>
                    <w:rPr>
                      <w:rFonts w:hint="default" w:ascii="Times New Roman" w:hAnsi="Times New Roman" w:eastAsia="宋体" w:cs="Times New Roman"/>
                      <w:caps w:val="0"/>
                      <w:smallCaps w:val="0"/>
                      <w:color w:val="auto"/>
                      <w:spacing w:val="0"/>
                      <w:kern w:val="0"/>
                      <w:position w:val="0"/>
                      <w:sz w:val="18"/>
                      <w:szCs w:val="18"/>
                    </w:rPr>
                    <w:t>2015年本</w:t>
                  </w:r>
                  <w:r>
                    <w:rPr>
                      <w:rFonts w:hint="default" w:ascii="Times New Roman" w:hAnsi="Times New Roman" w:eastAsia="宋体" w:cs="Times New Roman"/>
                      <w:caps w:val="0"/>
                      <w:smallCaps w:val="0"/>
                      <w:color w:val="auto"/>
                      <w:spacing w:val="0"/>
                      <w:kern w:val="0"/>
                      <w:position w:val="0"/>
                      <w:sz w:val="18"/>
                      <w:szCs w:val="18"/>
                      <w:lang w:eastAsia="zh-CN"/>
                    </w:rPr>
                    <w:t>）</w:t>
                  </w:r>
                  <w:r>
                    <w:rPr>
                      <w:rFonts w:hint="default" w:ascii="Times New Roman" w:hAnsi="Times New Roman" w:eastAsia="宋体" w:cs="Times New Roman"/>
                      <w:caps w:val="0"/>
                      <w:smallCaps w:val="0"/>
                      <w:color w:val="auto"/>
                      <w:spacing w:val="0"/>
                      <w:kern w:val="0"/>
                      <w:position w:val="0"/>
                      <w:sz w:val="18"/>
                      <w:szCs w:val="18"/>
                    </w:rPr>
                    <w:t>》中</w:t>
                  </w:r>
                  <w:r>
                    <w:rPr>
                      <w:rFonts w:hint="default" w:ascii="Times New Roman" w:hAnsi="Times New Roman" w:eastAsia="宋体" w:cs="Times New Roman"/>
                      <w:caps w:val="0"/>
                      <w:smallCaps w:val="0"/>
                      <w:color w:val="auto"/>
                      <w:spacing w:val="0"/>
                      <w:kern w:val="0"/>
                      <w:position w:val="0"/>
                      <w:sz w:val="18"/>
                      <w:szCs w:val="18"/>
                      <w:lang w:val="en-US" w:eastAsia="zh-CN"/>
                    </w:rPr>
                    <w:t>限制类和</w:t>
                  </w:r>
                  <w:r>
                    <w:rPr>
                      <w:rFonts w:hint="default" w:ascii="Times New Roman" w:hAnsi="Times New Roman" w:eastAsia="宋体" w:cs="Times New Roman"/>
                      <w:caps w:val="0"/>
                      <w:smallCaps w:val="0"/>
                      <w:color w:val="auto"/>
                      <w:spacing w:val="0"/>
                      <w:kern w:val="0"/>
                      <w:position w:val="0"/>
                      <w:sz w:val="18"/>
                      <w:szCs w:val="18"/>
                    </w:rPr>
                    <w:t>淘汰类，项目符合规划环评中空间管控和生态环境准入清单的要求</w:t>
                  </w:r>
                  <w:r>
                    <w:rPr>
                      <w:rFonts w:hint="default" w:ascii="Times New Roman" w:hAnsi="Times New Roman" w:eastAsia="宋体" w:cs="Times New Roman"/>
                      <w:caps w:val="0"/>
                      <w:smallCaps w:val="0"/>
                      <w:color w:val="auto"/>
                      <w:spacing w:val="0"/>
                      <w:kern w:val="0"/>
                      <w:position w:val="0"/>
                      <w:sz w:val="18"/>
                      <w:szCs w:val="18"/>
                      <w:lang w:eastAsia="zh-CN"/>
                    </w:rPr>
                    <w:t>；</w:t>
                  </w:r>
                  <w:r>
                    <w:rPr>
                      <w:rFonts w:hint="default" w:ascii="Times New Roman" w:hAnsi="Times New Roman" w:eastAsia="宋体" w:cs="Times New Roman"/>
                      <w:caps w:val="0"/>
                      <w:smallCaps w:val="0"/>
                      <w:color w:val="auto"/>
                      <w:spacing w:val="0"/>
                      <w:kern w:val="0"/>
                      <w:position w:val="0"/>
                      <w:sz w:val="18"/>
                      <w:szCs w:val="18"/>
                      <w:lang w:val="en-US" w:eastAsia="zh-CN"/>
                    </w:rPr>
                    <w:t>本项目</w:t>
                  </w:r>
                  <w:r>
                    <w:rPr>
                      <w:rFonts w:hint="default" w:ascii="Times New Roman" w:hAnsi="Times New Roman" w:eastAsia="宋体" w:cs="Times New Roman"/>
                      <w:caps w:val="0"/>
                      <w:smallCaps w:val="0"/>
                      <w:color w:val="auto"/>
                      <w:spacing w:val="0"/>
                      <w:kern w:val="0"/>
                      <w:position w:val="0"/>
                      <w:sz w:val="18"/>
                      <w:szCs w:val="18"/>
                    </w:rPr>
                    <w:t>与敏感点保持足够的防护距离</w:t>
                  </w:r>
                  <w:r>
                    <w:rPr>
                      <w:rFonts w:hint="default" w:ascii="Times New Roman" w:hAnsi="Times New Roman" w:eastAsia="宋体" w:cs="Times New Roman"/>
                      <w:caps w:val="0"/>
                      <w:smallCaps w:val="0"/>
                      <w:color w:val="auto"/>
                      <w:spacing w:val="0"/>
                      <w:kern w:val="0"/>
                      <w:position w:val="0"/>
                      <w:sz w:val="18"/>
                      <w:szCs w:val="18"/>
                      <w:lang w:eastAsia="zh-CN"/>
                    </w:rPr>
                    <w:t>；</w:t>
                  </w:r>
                  <w:r>
                    <w:rPr>
                      <w:rFonts w:hint="default" w:ascii="Times New Roman" w:hAnsi="Times New Roman" w:eastAsia="宋体" w:cs="Times New Roman"/>
                      <w:caps w:val="0"/>
                      <w:smallCaps w:val="0"/>
                      <w:color w:val="auto"/>
                      <w:spacing w:val="0"/>
                      <w:kern w:val="0"/>
                      <w:position w:val="0"/>
                      <w:sz w:val="18"/>
                      <w:szCs w:val="18"/>
                    </w:rPr>
                    <w:t>本评价已对项目工程分析、环保措施可行性等内容进行了详细说明与论证。</w:t>
                  </w:r>
                  <w:r>
                    <w:rPr>
                      <w:rFonts w:hint="default" w:ascii="Times New Roman" w:hAnsi="Times New Roman" w:eastAsia="宋体" w:cs="Times New Roman"/>
                      <w:caps w:val="0"/>
                      <w:smallCaps w:val="0"/>
                      <w:color w:val="auto"/>
                      <w:spacing w:val="0"/>
                      <w:kern w:val="0"/>
                      <w:position w:val="0"/>
                      <w:sz w:val="18"/>
                      <w:szCs w:val="18"/>
                      <w:lang w:val="en-US" w:eastAsia="zh-CN"/>
                    </w:rPr>
                    <w:t>因此，本项目符合园区</w:t>
                  </w:r>
                  <w:r>
                    <w:rPr>
                      <w:rFonts w:hint="default" w:ascii="Times New Roman" w:hAnsi="Times New Roman" w:eastAsia="宋体" w:cs="Times New Roman"/>
                      <w:caps w:val="0"/>
                      <w:smallCaps w:val="0"/>
                      <w:color w:val="auto"/>
                      <w:spacing w:val="0"/>
                      <w:kern w:val="0"/>
                      <w:position w:val="0"/>
                      <w:sz w:val="18"/>
                      <w:szCs w:val="18"/>
                    </w:rPr>
                    <w:t>审查意见</w:t>
                  </w:r>
                  <w:r>
                    <w:rPr>
                      <w:rFonts w:hint="default" w:ascii="Times New Roman" w:hAnsi="Times New Roman" w:eastAsia="宋体" w:cs="Times New Roman"/>
                      <w:caps w:val="0"/>
                      <w:smallCaps w:val="0"/>
                      <w:color w:val="auto"/>
                      <w:spacing w:val="0"/>
                      <w:kern w:val="0"/>
                      <w:position w:val="0"/>
                      <w:sz w:val="18"/>
                      <w:szCs w:val="18"/>
                      <w:lang w:val="en-US" w:eastAsia="zh-CN"/>
                    </w:rPr>
                    <w:t>的要求。</w:t>
                  </w:r>
                </w:p>
              </w:tc>
              <w:tc>
                <w:tcPr>
                  <w:tcW w:w="702"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477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加强环境准入，推动产业转型升级和绿色发展。入区企业应符合《产业结构调整指导目录（2019年本）》、《河北省新增限制和淘汰类产业目录（2015年本）》等文件规定要求，严格落实环评报告中空间管控和生态环境准入清单的要求。</w:t>
                  </w:r>
                </w:p>
              </w:tc>
              <w:tc>
                <w:tcPr>
                  <w:tcW w:w="1778" w:type="dxa"/>
                  <w:vMerge w:val="continue"/>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18"/>
                      <w:szCs w:val="18"/>
                      <w:lang w:eastAsia="zh-CN"/>
                    </w:rPr>
                  </w:pPr>
                </w:p>
              </w:tc>
              <w:tc>
                <w:tcPr>
                  <w:tcW w:w="702"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477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加强空间管制，优化生产空间。控制工业区边界外居民点向开发区方向发展，确保工业区内企业与敏感点保持足够的防护距离，减少突发事件可能对居民区产生的影响。工业区内建设禁止占用行洪河道、防护绿地等。</w:t>
                  </w:r>
                </w:p>
              </w:tc>
              <w:tc>
                <w:tcPr>
                  <w:tcW w:w="1778" w:type="dxa"/>
                  <w:vMerge w:val="continue"/>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p>
              </w:tc>
              <w:tc>
                <w:tcPr>
                  <w:tcW w:w="702"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4779"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强规划环评与项目环评联动，切实发挥规划和项目环评预防环境污染和生态破坏的作用。建设项目环评文件应落实规划环评提出的各项要求，区域环境概况、选址符合性分析、环境管理和环境质量监测内容可适当简化；重点开展工程分析、环保措施的可行性论证、并关注工业区基础设施保障能力，强化环境监测和环境保护相关措施的落实。</w:t>
                  </w:r>
                </w:p>
              </w:tc>
              <w:tc>
                <w:tcPr>
                  <w:tcW w:w="1778" w:type="dxa"/>
                  <w:vMerge w:val="continue"/>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p>
              </w:tc>
              <w:tc>
                <w:tcPr>
                  <w:tcW w:w="702"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80" w:lineRule="exact"/>
              <w:ind w:right="0" w:rightChars="0"/>
              <w:jc w:val="both"/>
              <w:textAlignment w:val="auto"/>
              <w:rPr>
                <w:rFonts w:hint="default"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pct"/>
            <w:noWrap w:val="0"/>
            <w:vAlign w:val="center"/>
          </w:tcPr>
          <w:p>
            <w:pPr>
              <w:pageBreakBefore w:val="0"/>
              <w:kinsoku/>
              <w:wordWrap/>
              <w:overflowPunct/>
              <w:autoSpaceDE w:val="0"/>
              <w:autoSpaceDN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color w:val="auto"/>
                <w:kern w:val="0"/>
                <w:szCs w:val="21"/>
                <w:highlight w:val="green"/>
              </w:rPr>
            </w:pPr>
            <w:r>
              <w:rPr>
                <w:rFonts w:hint="default" w:ascii="Times New Roman" w:hAnsi="Times New Roman" w:eastAsia="宋体" w:cs="Times New Roman"/>
                <w:color w:val="auto"/>
                <w:kern w:val="0"/>
                <w:szCs w:val="21"/>
                <w:highlight w:val="none"/>
              </w:rPr>
              <w:t>其他符合性分析</w:t>
            </w:r>
          </w:p>
        </w:tc>
        <w:tc>
          <w:tcPr>
            <w:tcW w:w="4296" w:type="pct"/>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rightChars="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rPr>
              <w:t>一</w:t>
            </w:r>
            <w:r>
              <w:rPr>
                <w:rFonts w:hint="default" w:ascii="Times New Roman" w:hAnsi="Times New Roman" w:eastAsia="宋体" w:cs="Times New Roman"/>
                <w:b/>
                <w:bCs/>
                <w:color w:val="auto"/>
                <w:kern w:val="0"/>
                <w:sz w:val="21"/>
                <w:szCs w:val="21"/>
                <w:highlight w:val="none"/>
                <w:lang w:val="en-US" w:eastAsia="zh-CN"/>
              </w:rPr>
              <w:t>、“三线一单”符合性分析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根据环保部发布的《关于以改善环境质量为核心加强环境影响评价管理的通知》（以下简称《通知》），《通知》要求切实加强环境影响评价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①生态保护红线</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1）河北省生态保护红线</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根据河北省人民政府关于发布《河北省生态保护红线》的通知（冀政字[2018]23号）及河北省生态保护红线分布图，京唐智慧港范围内不涉及生态保护红线，本项目所在位置不属于生态保护红线范围内</w:t>
            </w:r>
            <w:r>
              <w:rPr>
                <w:rFonts w:hint="default" w:ascii="Times New Roman" w:hAnsi="Times New Roman" w:cs="Times New Roman"/>
                <w:color w:val="auto"/>
                <w:kern w:val="0"/>
                <w:szCs w:val="21"/>
                <w:highlight w:val="none"/>
              </w:rPr>
              <w:t>。因此项目建设符合生态红线要求。</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2）京唐智慧港生态空间</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根据《关于规划环境影响评价加强空间管制、总量管控和环境准入的指导意见（试行）》（环办环评〔2016〕14 号），</w:t>
            </w:r>
            <w:r>
              <w:rPr>
                <w:rFonts w:hint="default" w:ascii="Times New Roman" w:hAnsi="Times New Roman" w:cs="Times New Roman"/>
                <w:color w:val="auto"/>
                <w:kern w:val="0"/>
                <w:szCs w:val="21"/>
                <w:highlight w:val="none"/>
              </w:rPr>
              <w:t>《唐山高新区京唐智慧港总体规划（2020-2035</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环境影响报告书》</w:t>
            </w:r>
            <w:r>
              <w:rPr>
                <w:rFonts w:hint="default" w:ascii="Times New Roman" w:hAnsi="Times New Roman" w:cs="Times New Roman"/>
                <w:color w:val="auto"/>
                <w:kern w:val="0"/>
                <w:szCs w:val="21"/>
                <w:highlight w:val="none"/>
                <w:lang w:val="en-US" w:eastAsia="zh-CN"/>
              </w:rPr>
              <w:t>中结合区域特征，从维护生态系统完整性的角度，识别并确定京唐智慧港内需要严格保护的生态空间，京唐智慧港内无重点生态功能区、生态敏感区、生态脆弱区、生物多样性保护优先区和自然保护区等法定禁止开发区域，京唐智慧港生态空间主要包括京唐智慧港内部的绿地广场等，总面积为1.27km</w:t>
            </w:r>
            <w:r>
              <w:rPr>
                <w:rFonts w:hint="default" w:ascii="Times New Roman" w:hAnsi="Times New Roman" w:cs="Times New Roman"/>
                <w:color w:val="auto"/>
                <w:kern w:val="0"/>
                <w:szCs w:val="21"/>
                <w:highlight w:val="none"/>
                <w:vertAlign w:val="superscript"/>
                <w:lang w:val="en-US" w:eastAsia="zh-CN"/>
              </w:rPr>
              <w:t>2</w:t>
            </w:r>
            <w:r>
              <w:rPr>
                <w:rFonts w:hint="default" w:ascii="Times New Roman" w:hAnsi="Times New Roman" w:cs="Times New Roman"/>
                <w:color w:val="auto"/>
                <w:kern w:val="0"/>
                <w:szCs w:val="21"/>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②环境质量底线</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val="en-US" w:eastAsia="zh-CN"/>
              </w:rPr>
              <w:t>根据</w:t>
            </w:r>
            <w:r>
              <w:rPr>
                <w:rFonts w:hint="default" w:ascii="Times New Roman" w:hAnsi="Times New Roman" w:cs="Times New Roman"/>
                <w:color w:val="auto"/>
                <w:kern w:val="0"/>
                <w:szCs w:val="21"/>
                <w:highlight w:val="none"/>
                <w:lang w:eastAsia="zh-CN"/>
              </w:rPr>
              <w:t>《唐山高新区京唐智慧港总体规划（2020-2035）环境影响报告书》</w:t>
            </w:r>
            <w:r>
              <w:rPr>
                <w:rFonts w:hint="default" w:ascii="Times New Roman" w:hAnsi="Times New Roman" w:cs="Times New Roman"/>
                <w:color w:val="auto"/>
                <w:kern w:val="0"/>
                <w:szCs w:val="21"/>
                <w:highlight w:val="none"/>
                <w:lang w:val="en-US" w:eastAsia="zh-CN"/>
              </w:rPr>
              <w:t>要求，确定</w:t>
            </w:r>
            <w:r>
              <w:rPr>
                <w:rFonts w:hint="default" w:ascii="Times New Roman" w:hAnsi="Times New Roman" w:cs="Times New Roman"/>
                <w:color w:val="auto"/>
                <w:kern w:val="0"/>
                <w:szCs w:val="21"/>
                <w:highlight w:val="none"/>
                <w:lang w:eastAsia="zh-CN"/>
              </w:rPr>
              <w:t>本项目的环境质量底线为：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环境空气：《环境空气质量标准》（GB3095-2012）中的二级标准及修改单要求。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水环境：《地下水质量标准》（GB/T14848-2017）Ⅲ类标准。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声环境：项目所在区域声环境执行《声环境质量标准》（GB3096-2008）3类区。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生活污水均经污水管网进入园区污水处理厂处理，废气、噪声经治理后对环境污染较小，固废可做到无害化处置。采取本环评提出的相关防治措施后，本项目排放的污染物不会对区域环境质量底线造成冲击。</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③资源利用上线</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根据</w:t>
            </w:r>
            <w:r>
              <w:rPr>
                <w:rFonts w:hint="default" w:ascii="Times New Roman" w:hAnsi="Times New Roman" w:cs="Times New Roman"/>
                <w:color w:val="auto"/>
                <w:kern w:val="0"/>
                <w:szCs w:val="21"/>
                <w:highlight w:val="none"/>
              </w:rPr>
              <w:t>《唐山高新区京唐智慧港总体规划（2020-2035</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环境影响报告书》</w:t>
            </w:r>
            <w:r>
              <w:rPr>
                <w:rFonts w:hint="default" w:ascii="Times New Roman" w:hAnsi="Times New Roman" w:cs="Times New Roman"/>
                <w:color w:val="auto"/>
                <w:kern w:val="0"/>
                <w:szCs w:val="21"/>
                <w:highlight w:val="none"/>
                <w:lang w:val="en-US" w:eastAsia="zh-CN"/>
              </w:rPr>
              <w:t>要求，加强</w:t>
            </w:r>
            <w:r>
              <w:rPr>
                <w:rFonts w:hint="default" w:ascii="Times New Roman" w:hAnsi="Times New Roman" w:cs="Times New Roman"/>
                <w:color w:val="auto"/>
                <w:kern w:val="0"/>
                <w:szCs w:val="21"/>
                <w:highlight w:val="none"/>
              </w:rPr>
              <w:t>企业及项目的资源能源节约，同时新引入的企业在资源能源消耗方面应达到清洁生产国内先进水平以上。</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建设过程中所利用的资源主要为水和电，均为清洁能源，项目建成运行后通过内部管理、设备选择、原辅材料的选用管理、污染治理等多方面采取合理可行的防治措施，以“节能、降耗、减污”为目标，有效的控制污染。</w:t>
            </w:r>
            <w:r>
              <w:rPr>
                <w:rFonts w:hint="default" w:ascii="Times New Roman" w:hAnsi="Times New Roman" w:cs="Times New Roman"/>
                <w:color w:val="auto"/>
                <w:kern w:val="0"/>
                <w:szCs w:val="21"/>
                <w:highlight w:val="none"/>
                <w:lang w:val="en-US" w:eastAsia="zh-CN"/>
              </w:rPr>
              <w:t>采取上述措施，企业</w:t>
            </w:r>
            <w:r>
              <w:rPr>
                <w:rFonts w:hint="default" w:ascii="Times New Roman" w:hAnsi="Times New Roman" w:cs="Times New Roman"/>
                <w:color w:val="auto"/>
                <w:kern w:val="0"/>
                <w:szCs w:val="21"/>
                <w:highlight w:val="none"/>
              </w:rPr>
              <w:t>在资源能源消耗方面</w:t>
            </w:r>
            <w:r>
              <w:rPr>
                <w:rFonts w:hint="default" w:ascii="Times New Roman" w:hAnsi="Times New Roman" w:cs="Times New Roman"/>
                <w:color w:val="auto"/>
                <w:kern w:val="0"/>
                <w:szCs w:val="21"/>
                <w:highlight w:val="none"/>
                <w:lang w:val="en-US" w:eastAsia="zh-CN"/>
              </w:rPr>
              <w:t>能够达到</w:t>
            </w:r>
            <w:r>
              <w:rPr>
                <w:rFonts w:hint="default" w:ascii="Times New Roman" w:hAnsi="Times New Roman" w:cs="Times New Roman"/>
                <w:color w:val="auto"/>
                <w:kern w:val="0"/>
                <w:szCs w:val="21"/>
                <w:highlight w:val="none"/>
              </w:rPr>
              <w:t>清洁生产国内先进水平以上</w:t>
            </w:r>
            <w:r>
              <w:rPr>
                <w:rFonts w:hint="default" w:ascii="Times New Roman" w:hAnsi="Times New Roman" w:cs="Times New Roman"/>
                <w:color w:val="auto"/>
                <w:kern w:val="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因此，项目资源利用满足要求。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④环境准入负面清单</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Ⅰ、</w:t>
            </w:r>
            <w:r>
              <w:rPr>
                <w:rFonts w:hint="default" w:ascii="Times New Roman" w:hAnsi="Times New Roman" w:cs="Times New Roman"/>
                <w:color w:val="auto"/>
                <w:kern w:val="0"/>
                <w:szCs w:val="21"/>
                <w:highlight w:val="none"/>
              </w:rPr>
              <w:t>环境准入要求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①规划导向。京唐智慧港所有新上项目必须符合《唐山市“十三五”总体规划》、《唐山市国民经济和社会发展第十三个五年规划纲要》、以及市县城市总体规划、土地利用总体规划、环境保护规划和园区产业定位要求，不得新上不符合规划布局和产业定位的项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本项目符合规划导向要求，符合园区</w:t>
            </w:r>
            <w:r>
              <w:rPr>
                <w:rFonts w:hint="default" w:ascii="Times New Roman" w:hAnsi="Times New Roman" w:cs="Times New Roman"/>
                <w:color w:val="auto"/>
                <w:kern w:val="0"/>
                <w:szCs w:val="21"/>
                <w:highlight w:val="none"/>
              </w:rPr>
              <w:t>规划布局和产业定位</w:t>
            </w:r>
            <w:r>
              <w:rPr>
                <w:rFonts w:hint="default" w:ascii="Times New Roman" w:hAnsi="Times New Roman" w:cs="Times New Roman"/>
                <w:color w:val="auto"/>
                <w:kern w:val="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②用地导向。坚持集约节约用地原则，提高投入产出的强度，科学配置土地资源，提高土地集约节约利用水平。对列入国家、省、市规划但未达到投资规模和强度的项目、战略性新兴产业项目、传统主导产业补链项目，实行“一事一议”。对禁止发展的产业项目，一律不得供地。</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本项目用地符合用地导向要求。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③工艺和装备导向。提倡采用连续化生产工艺和定量化控制技术，提高产品收率，减少污染物产生量。</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入园区企业须按“清污分流、雨污分流、分类处理、循环用水”的原则优化设置排水系统，提高工业用水重复利用率，满足水重复利用率75%以上的要求。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积极寻找使用低毒、低臭、低挥发性的物料代替高毒、恶臭、高挥发性原辅材料，车间必须采用可靠的废气集中收集与处理系统。</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本项目采用先进自动化</w:t>
            </w:r>
            <w:r>
              <w:rPr>
                <w:rFonts w:hint="default" w:ascii="Times New Roman" w:hAnsi="Times New Roman" w:cs="Times New Roman"/>
                <w:color w:val="auto"/>
                <w:kern w:val="0"/>
                <w:szCs w:val="21"/>
                <w:highlight w:val="none"/>
              </w:rPr>
              <w:t>生产工艺</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提高产品收率</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lang w:val="en-US" w:eastAsia="zh-CN"/>
              </w:rPr>
              <w:t>减少污染物产生量；本项目无生产用水。本项目所有产污节点均采用可靠的废气收集措施并引入相应的废气处理系统</w:t>
            </w:r>
            <w:r>
              <w:rPr>
                <w:rFonts w:hint="default" w:ascii="Times New Roman" w:hAnsi="Times New Roman" w:cs="Times New Roman"/>
                <w:color w:val="auto"/>
                <w:kern w:val="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④环保导向。严格执行行业环境准入标准以及环境影响评价制度、“三同时”制度、排污总量控制制度、排污许可证制度。凡未进行环评或环评未经审批的建设项目，一律不得开工建设。严格执行国家及省有关固定资产投资项目节能评估和审查办法，产业项目采用的技术、装备必须符合有关节能标准，主要产品单耗或综合能耗水平须达到行业先进水平。产业项目清洁生产水平须达到国内清洁生产领先水平，引进国外工艺设备的，必须达到国际清洁生产先进水平。严格实施污染物排放总量控制，将二氧化硫、氮氧化物、烟粉尘和挥发性有机物排放是否符合总量控制要求作为建设项目环境影响评价审批的前置条件。</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企业</w:t>
            </w:r>
            <w:r>
              <w:rPr>
                <w:rFonts w:hint="default" w:ascii="Times New Roman" w:hAnsi="Times New Roman" w:cs="Times New Roman"/>
                <w:color w:val="auto"/>
                <w:kern w:val="0"/>
                <w:szCs w:val="21"/>
                <w:highlight w:val="none"/>
              </w:rPr>
              <w:t>严格执行行业环境准入标准以及环境影响评价制度、“三同时”制度、排污总量控制制度、排污许可证制度。</w:t>
            </w:r>
            <w:r>
              <w:rPr>
                <w:rFonts w:hint="default" w:ascii="Times New Roman" w:hAnsi="Times New Roman" w:cs="Times New Roman"/>
                <w:color w:val="auto"/>
                <w:kern w:val="0"/>
                <w:szCs w:val="21"/>
                <w:highlight w:val="none"/>
                <w:lang w:val="en-US" w:eastAsia="zh-CN"/>
              </w:rPr>
              <w:t>企业</w:t>
            </w:r>
            <w:r>
              <w:rPr>
                <w:rFonts w:hint="default" w:ascii="Times New Roman" w:hAnsi="Times New Roman" w:cs="Times New Roman"/>
                <w:color w:val="auto"/>
                <w:kern w:val="0"/>
                <w:szCs w:val="21"/>
                <w:highlight w:val="none"/>
              </w:rPr>
              <w:t>采用的技术、装备符合有关节能标准，主要产品单耗或综合能耗水平须达到行业先进水平。项目清洁生产水平达到国内清洁生产领先水平</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lang w:val="en-US" w:eastAsia="zh-CN"/>
              </w:rPr>
              <w:t>本项目</w:t>
            </w:r>
            <w:r>
              <w:rPr>
                <w:rFonts w:hint="default" w:ascii="Times New Roman" w:hAnsi="Times New Roman" w:cs="Times New Roman"/>
                <w:color w:val="auto"/>
                <w:kern w:val="0"/>
                <w:szCs w:val="21"/>
                <w:highlight w:val="none"/>
              </w:rPr>
              <w:t>严格实施污染物排放总量控制</w:t>
            </w:r>
            <w:r>
              <w:rPr>
                <w:rFonts w:hint="default" w:ascii="Times New Roman" w:hAnsi="Times New Roman" w:cs="Times New Roman"/>
                <w:color w:val="auto"/>
                <w:kern w:val="0"/>
                <w:szCs w:val="21"/>
                <w:highlight w:val="none"/>
                <w:lang w:val="en-US" w:eastAsia="zh-CN"/>
              </w:rPr>
              <w:t>要求</w:t>
            </w:r>
            <w:r>
              <w:rPr>
                <w:rFonts w:hint="default" w:ascii="Times New Roman" w:hAnsi="Times New Roman" w:cs="Times New Roman"/>
                <w:color w:val="auto"/>
                <w:kern w:val="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Ⅱ、</w:t>
            </w:r>
            <w:r>
              <w:rPr>
                <w:rFonts w:hint="default" w:ascii="Times New Roman" w:hAnsi="Times New Roman" w:cs="Times New Roman"/>
                <w:color w:val="auto"/>
                <w:kern w:val="0"/>
                <w:szCs w:val="21"/>
                <w:highlight w:val="none"/>
              </w:rPr>
              <w:t>产业发展负面清单</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规划区域应提高空间准入、产业准入和环境准入门槛，完善区域负面清单管理模式，严控新增污染物排放。规划区域全面推行制造行业绿色改造升级，促进产业绿色低碳发展，引进符合工业园生态产业链要求（生产型、消费型）的企业，引进属于新型材料新型产品的企业。本次制定的产业发展负面清单是按照国家、河北省和唐山市现行的产业政策法规制定，后续发展过程中，可按照国家、河北省和唐山市最新的产业政策法规动态更新。《唐山高新区京唐智慧港总体规划（2020-2035</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环境影响报告书》制定京唐智慧港的生态环境准入清单。</w:t>
            </w:r>
            <w:r>
              <w:rPr>
                <w:rFonts w:hint="default" w:ascii="Times New Roman" w:hAnsi="Times New Roman" w:cs="Times New Roman"/>
                <w:color w:val="auto"/>
                <w:kern w:val="0"/>
                <w:szCs w:val="21"/>
                <w:highlight w:val="none"/>
                <w:lang w:val="en-US" w:eastAsia="zh-CN"/>
              </w:rPr>
              <w:t>本项目与</w:t>
            </w:r>
            <w:r>
              <w:rPr>
                <w:rFonts w:hint="default" w:ascii="Times New Roman" w:hAnsi="Times New Roman" w:cs="Times New Roman"/>
                <w:color w:val="auto"/>
                <w:kern w:val="0"/>
                <w:szCs w:val="21"/>
                <w:highlight w:val="none"/>
              </w:rPr>
              <w:t>生态环境准入清单</w:t>
            </w:r>
            <w:r>
              <w:rPr>
                <w:rFonts w:hint="default" w:ascii="Times New Roman" w:hAnsi="Times New Roman" w:cs="Times New Roman"/>
                <w:color w:val="auto"/>
                <w:kern w:val="0"/>
                <w:szCs w:val="21"/>
                <w:highlight w:val="none"/>
                <w:lang w:val="en-US" w:eastAsia="zh-CN"/>
              </w:rPr>
              <w:t>对比分析如下：</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1-3</w:t>
            </w:r>
            <w:r>
              <w:rPr>
                <w:rFonts w:hint="default" w:ascii="Times New Roman" w:hAnsi="Times New Roman" w:eastAsia="宋体" w:cs="Times New Roman"/>
                <w:b/>
                <w:bCs/>
                <w:color w:val="auto"/>
                <w:kern w:val="0"/>
                <w:sz w:val="21"/>
                <w:szCs w:val="21"/>
                <w:highlight w:val="none"/>
              </w:rPr>
              <w:t xml:space="preserve">  京唐智慧港产业准入负面清单</w:t>
            </w:r>
          </w:p>
          <w:tbl>
            <w:tblPr>
              <w:tblStyle w:val="35"/>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77"/>
              <w:gridCol w:w="721"/>
              <w:gridCol w:w="3773"/>
              <w:gridCol w:w="1713"/>
              <w:gridCol w:w="5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类别</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准入要求</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本项目</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是否符合准入要求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污染物排放</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入驻企业污染物排放满足相关污染物排放标准限值要求；区域环境质量达到规划目标</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本项目污染物排放满足相关污染物排放标准限值要求</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eastAsia"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产业定位</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机器人产业、高端装备制造业、新材料产业、节能环保产业、新一代信息技术产业、新能源汽车产业、新能源产业、数字创意产业、生物技术研究与应用产业、现代物流业、现代服务业及现代化新型社区</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本项目属于</w:t>
                  </w:r>
                  <w:r>
                    <w:rPr>
                      <w:rFonts w:hint="default" w:ascii="Times New Roman" w:hAnsi="Times New Roman" w:cs="Times New Roman"/>
                      <w:color w:val="auto"/>
                      <w:sz w:val="18"/>
                      <w:szCs w:val="18"/>
                      <w:highlight w:val="none"/>
                      <w:lang w:val="en-US" w:eastAsia="zh-CN"/>
                    </w:rPr>
                    <w:t>装备制造产业</w:t>
                  </w:r>
                  <w:r>
                    <w:rPr>
                      <w:rFonts w:hint="default" w:ascii="Times New Roman" w:hAnsi="Times New Roman" w:cs="Times New Roman"/>
                      <w:color w:val="auto"/>
                      <w:sz w:val="18"/>
                      <w:szCs w:val="18"/>
                      <w:highlight w:val="none"/>
                    </w:rPr>
                    <w:t>，符合产业定位</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highlight w:val="none"/>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禁止引入类项目</w:t>
                  </w:r>
                </w:p>
              </w:tc>
              <w:tc>
                <w:tcPr>
                  <w:tcW w:w="48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高新技术产业</w:t>
                  </w: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禁止引入《产业结构调整指导目录（2019年本）》、《外商投资准入特别管理措施(负面清单)(2019年版)》、《产业转移指导目录（2018年本）》、《河北省新增限制和淘汰类产业目录（2015年版）》、《部分工业行业淘汰落后生产工艺装备和产品指导目录（2010 年本）》（工产业[2010]第122号）、《市场准入负面清单（2019年本）》等国家、河北省明令禁止引入的产业；</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2、禁止引入不符合相关行业准入要求的产业或工艺。</w:t>
                  </w:r>
                </w:p>
              </w:tc>
              <w:tc>
                <w:tcPr>
                  <w:tcW w:w="116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本项目不属于禁止引入类项目</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lang w:val="en-US" w:eastAsia="zh-CN"/>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4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3、高端装备制造产业禁止引入涉及氰化物镀锌、六价铬钝化、电镀锡铅合金等电镀工艺，以及涉及铅、镉、汞等重污染的电镀工序的项目；</w:t>
                  </w:r>
                </w:p>
              </w:tc>
              <w:tc>
                <w:tcPr>
                  <w:tcW w:w="11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4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4、化工新材料禁止引入涉及化学转化工序的企业；</w:t>
                  </w:r>
                </w:p>
              </w:tc>
              <w:tc>
                <w:tcPr>
                  <w:tcW w:w="11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4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5、新能源产业中禁止引入电池原材料的生产项目；</w:t>
                  </w:r>
                </w:p>
              </w:tc>
              <w:tc>
                <w:tcPr>
                  <w:tcW w:w="11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4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6、生物技术研究与应用产业中禁止引入生物化工项目；</w:t>
                  </w:r>
                </w:p>
              </w:tc>
              <w:tc>
                <w:tcPr>
                  <w:tcW w:w="11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4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现代物流业</w:t>
                  </w:r>
                </w:p>
              </w:tc>
              <w:tc>
                <w:tcPr>
                  <w:tcW w:w="255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1、禁止危险化学品储运企业入园</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本项目不涉及</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其它：禁止引入唐山市“三线一单”禁止引入类项目</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不属于禁止引入类项目</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限制引入类项目</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1、限制发展产生一类污染物（含汞砷等重金属）的项目；</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2、限制发展与主导产业相配套，但主体工艺属于高污染、高能耗、高水耗、对环境影响较大的建设项目；</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3、限制建设排放致癌、致畸、致突变物质及列入《有毒有害大气污染物名录（2018年）》中污染物的项目。</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不属于限制引入类项目</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空间管制要求</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1、遵循“优地优用、成片集聚”的原则，同质性高的产业布局在同一片区，相容性高的产业相邻布局，实行远近结合、统一规划；</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2、产业园严禁占用绿地等生态用地，保障产业区生产和生活的安全；道路两侧预留一定宽度的绿化带。</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3、机场、高铁周边建设符合防护距离要求；机场周边建筑高度符合规范要求，不影响机场运营及安全。</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满足空间管制要求</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环境风险防控</w:t>
                  </w:r>
                </w:p>
              </w:tc>
              <w:tc>
                <w:tcPr>
                  <w:tcW w:w="30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重点管控列入《“高污染、高环境风险”产品目录（2017 年）》项目；产业区及各企业编制污染防治应急预案并在相关环保部门备案。</w:t>
                  </w:r>
                </w:p>
              </w:tc>
              <w:tc>
                <w:tcPr>
                  <w:tcW w:w="1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项目建成后，企业应</w:t>
                  </w:r>
                  <w:r>
                    <w:rPr>
                      <w:rFonts w:hint="default" w:ascii="Times New Roman" w:hAnsi="Times New Roman" w:eastAsia="宋体" w:cs="Times New Roman"/>
                      <w:color w:val="auto"/>
                      <w:sz w:val="18"/>
                      <w:szCs w:val="18"/>
                    </w:rPr>
                    <w:t>编制污染防治应急预案并在相关环保部门备案</w:t>
                  </w:r>
                </w:p>
              </w:tc>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left"/>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b/>
                <w:bCs/>
                <w:color w:val="auto"/>
                <w:kern w:val="0"/>
                <w:szCs w:val="21"/>
                <w:highlight w:val="none"/>
                <w:lang w:val="en-US" w:eastAsia="zh-CN"/>
              </w:rPr>
              <w:t>二、与唐山市人民政府《关于实施“三线一单”生态环境分区管控的意见》唐政字[2021]48号符合性分析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szCs w:val="24"/>
                <w:highlight w:val="none"/>
              </w:rPr>
              <w:t>根据唐山市人民政府关于实施“三线一单”生态环境分区管控的意见(唐政字(2021)48号)，</w:t>
            </w:r>
            <w:r>
              <w:rPr>
                <w:rFonts w:hint="default" w:ascii="Times New Roman" w:hAnsi="Times New Roman" w:cs="Times New Roman"/>
                <w:color w:val="auto"/>
                <w:szCs w:val="24"/>
                <w:highlight w:val="none"/>
                <w:lang w:val="en-US" w:eastAsia="zh-CN"/>
              </w:rPr>
              <w:t>本项目</w:t>
            </w:r>
            <w:r>
              <w:rPr>
                <w:rFonts w:hint="default" w:ascii="Times New Roman" w:hAnsi="Times New Roman" w:eastAsia="宋体" w:cs="Times New Roman"/>
                <w:color w:val="auto"/>
                <w:szCs w:val="24"/>
                <w:highlight w:val="none"/>
              </w:rPr>
              <w:t>选址位于重点管控单元，要求：</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aps w:val="0"/>
                <w:smallCaps w:val="0"/>
                <w:color w:val="auto"/>
                <w:w w:val="100"/>
                <w:sz w:val="21"/>
                <w:szCs w:val="21"/>
                <w:highlight w:val="none"/>
                <w:lang w:val="en-US" w:eastAsia="zh-CN"/>
              </w:rPr>
            </w:pPr>
            <w:r>
              <w:rPr>
                <w:rFonts w:hint="default" w:ascii="Times New Roman" w:hAnsi="Times New Roman" w:eastAsia="宋体" w:cs="Times New Roman"/>
                <w:b/>
                <w:bCs/>
                <w:caps w:val="0"/>
                <w:smallCaps w:val="0"/>
                <w:color w:val="auto"/>
                <w:w w:val="100"/>
                <w:sz w:val="21"/>
                <w:szCs w:val="21"/>
                <w:highlight w:val="none"/>
                <w:lang w:val="en-US" w:eastAsia="zh-CN"/>
              </w:rPr>
              <w:t>表1-</w:t>
            </w:r>
            <w:r>
              <w:rPr>
                <w:rFonts w:hint="default" w:ascii="Times New Roman" w:hAnsi="Times New Roman" w:cs="Times New Roman"/>
                <w:b/>
                <w:bCs/>
                <w:caps w:val="0"/>
                <w:smallCaps w:val="0"/>
                <w:color w:val="auto"/>
                <w:w w:val="100"/>
                <w:sz w:val="21"/>
                <w:szCs w:val="21"/>
                <w:highlight w:val="none"/>
                <w:lang w:val="en-US" w:eastAsia="zh-CN"/>
              </w:rPr>
              <w:t>4</w:t>
            </w:r>
            <w:r>
              <w:rPr>
                <w:rFonts w:hint="default" w:ascii="Times New Roman" w:hAnsi="Times New Roman" w:eastAsia="宋体" w:cs="Times New Roman"/>
                <w:b/>
                <w:bCs/>
                <w:caps w:val="0"/>
                <w:smallCaps w:val="0"/>
                <w:color w:val="auto"/>
                <w:w w:val="100"/>
                <w:sz w:val="21"/>
                <w:szCs w:val="21"/>
                <w:highlight w:val="none"/>
                <w:lang w:val="en-US" w:eastAsia="zh-CN"/>
              </w:rPr>
              <w:t xml:space="preserve">    管控要求符合性分析</w:t>
            </w:r>
          </w:p>
          <w:tbl>
            <w:tblPr>
              <w:tblStyle w:val="35"/>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446"/>
              <w:gridCol w:w="632"/>
              <w:gridCol w:w="2534"/>
              <w:gridCol w:w="1558"/>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jc w:val="center"/>
              </w:trPr>
              <w:tc>
                <w:tcPr>
                  <w:tcW w:w="10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三线一单</w:t>
                  </w:r>
                </w:p>
              </w:tc>
              <w:tc>
                <w:tcPr>
                  <w:tcW w:w="7897" w:type="dxa"/>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z w:val="18"/>
                      <w:szCs w:val="18"/>
                      <w:highlight w:val="none"/>
                      <w:lang w:val="en-US" w:eastAsia="zh-CN"/>
                    </w:rPr>
                    <w:t>《唐山市人民政府关于实施“三线一单”生态环境分区管控的意见》（唐政字[2021] 48号）要求</w:t>
                  </w:r>
                </w:p>
              </w:tc>
              <w:tc>
                <w:tcPr>
                  <w:tcW w:w="296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本项目建设情况</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blHeader/>
                <w:jc w:val="center"/>
              </w:trPr>
              <w:tc>
                <w:tcPr>
                  <w:tcW w:w="1012"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生态环境准入</w:t>
                  </w:r>
                </w:p>
              </w:tc>
              <w:tc>
                <w:tcPr>
                  <w:tcW w:w="2235"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总体管控要求</w:t>
                  </w:r>
                </w:p>
              </w:tc>
              <w:tc>
                <w:tcPr>
                  <w:tcW w:w="566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突出唐山市发展与生态环境保护战略要求，强化生态系统保护和环境污染治理，加强生态空间分区管控。严格燕山一太行山生态涵养区和海岸海域生态防护区等生态保护；统筹水生态、水环境、水资源系统化管控，有序推进重点河流和重要河口环境整治；加大产业结构、能源结构和交通运输结构调整力度，加强挥发性有机物与氮氧化物协同控制；实施农用地分类管理和污染地块分用途管理，加强土壤、地下水污染风险管控；强化岸线开发管控，加强岸线生态修复。</w:t>
                  </w:r>
                </w:p>
              </w:tc>
              <w:tc>
                <w:tcPr>
                  <w:tcW w:w="296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本项目位于高新区京唐智慧港纬三路南侧，经七路西侧，属于重点管控单元中工业园区(工业集聚区)重点管控单元，本项目为新建项目，项目已在审批局备案，项目实施污染物总量控制，建成后落实了排污许可制度，强化了资源利用效率，不开采地下水。</w:t>
                  </w:r>
                </w:p>
              </w:tc>
              <w:tc>
                <w:tcPr>
                  <w:tcW w:w="90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blHeader/>
                <w:jc w:val="center"/>
              </w:trPr>
              <w:tc>
                <w:tcPr>
                  <w:tcW w:w="101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2235"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分类管控要求</w:t>
                  </w:r>
                </w:p>
              </w:tc>
              <w:tc>
                <w:tcPr>
                  <w:tcW w:w="566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工业园区(工业集聚区)重点管控单元。严格项目准入，优化产业布局；完善园区设施建设，推动设施提标改造；实施污染物总量控制，落实排污许可证制度；强化资源利用效率和地下水开采管控。</w:t>
                  </w:r>
                </w:p>
              </w:tc>
              <w:tc>
                <w:tcPr>
                  <w:tcW w:w="296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kern w:val="2"/>
                      <w:sz w:val="18"/>
                      <w:szCs w:val="18"/>
                      <w:highlight w:val="none"/>
                      <w:lang w:val="en-US" w:eastAsia="zh-CN" w:bidi="ar-SA"/>
                    </w:rPr>
                  </w:pPr>
                </w:p>
              </w:tc>
              <w:tc>
                <w:tcPr>
                  <w:tcW w:w="90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1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生态保护红线</w:t>
                  </w:r>
                </w:p>
              </w:tc>
              <w:tc>
                <w:tcPr>
                  <w:tcW w:w="7897" w:type="dxa"/>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z w:val="18"/>
                      <w:szCs w:val="18"/>
                      <w:highlight w:val="none"/>
                    </w:rPr>
                    <w:t>生态保护</w:t>
                  </w:r>
                  <w:r>
                    <w:rPr>
                      <w:rFonts w:hint="default" w:ascii="Times New Roman" w:hAnsi="Times New Roman" w:cs="Times New Roman"/>
                      <w:color w:val="auto"/>
                      <w:sz w:val="18"/>
                      <w:szCs w:val="18"/>
                      <w:highlight w:val="none"/>
                      <w:lang w:val="en-US" w:eastAsia="zh-CN"/>
                    </w:rPr>
                    <w:t>红线区、自然保护区、风景名胜区、森林公园、湿地公园、地质公园、水产种质资源保护区、自然文化遗产、湿地空间、饮用水地表水源保护区、饮用水地下水源保护区空间布局约束，制定了上述区域的禁止类管控要求、限制类管控要求和允许可管控要求</w:t>
                  </w:r>
                </w:p>
              </w:tc>
              <w:tc>
                <w:tcPr>
                  <w:tcW w:w="296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本项目不在上述区域</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012"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陆域环境管控单元生态环境准入清单</w:t>
                  </w:r>
                </w:p>
              </w:tc>
              <w:tc>
                <w:tcPr>
                  <w:tcW w:w="1189" w:type="dxa"/>
                  <w:vMerge w:val="restart"/>
                  <w:tcBorders>
                    <w:tl2br w:val="nil"/>
                    <w:tr2bl w:val="nil"/>
                  </w:tcBorders>
                  <w:noWrap w:val="0"/>
                  <w:vAlign w:val="center"/>
                </w:tcPr>
                <w:p>
                  <w:pPr>
                    <w:pStyle w:val="34"/>
                    <w:keepNext w:val="0"/>
                    <w:keepLines w:val="0"/>
                    <w:pageBreakBefore w:val="0"/>
                    <w:widowControl w:val="0"/>
                    <w:kinsoku/>
                    <w:wordWrap/>
                    <w:overflowPunct/>
                    <w:topLinePunct w:val="0"/>
                    <w:autoSpaceDE/>
                    <w:autoSpaceDN/>
                    <w:bidi w:val="0"/>
                    <w:adjustRightInd w:val="0"/>
                    <w:snapToGrid w:val="0"/>
                    <w:spacing w:after="0" w:line="280" w:lineRule="exact"/>
                    <w:ind w:left="0" w:leftChars="0" w:right="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重点管控单元</w:t>
                  </w:r>
                  <w:r>
                    <w:rPr>
                      <w:rFonts w:hint="eastAsia" w:cs="Times New Roman"/>
                      <w:color w:val="auto"/>
                      <w:sz w:val="18"/>
                      <w:szCs w:val="18"/>
                      <w:highlight w:val="none"/>
                      <w:lang w:val="en-US" w:eastAsia="zh-CN"/>
                    </w:rPr>
                    <w:t>-</w:t>
                  </w:r>
                  <w:r>
                    <w:rPr>
                      <w:rFonts w:hint="default" w:ascii="Times New Roman" w:hAnsi="Times New Roman" w:eastAsia="宋体" w:cs="Times New Roman"/>
                      <w:color w:val="auto"/>
                      <w:kern w:val="2"/>
                      <w:sz w:val="18"/>
                      <w:szCs w:val="18"/>
                      <w:highlight w:val="none"/>
                      <w:lang w:val="en-US" w:eastAsia="zh-CN" w:bidi="ar-SA"/>
                    </w:rPr>
                    <w:t>京唐智慧港（空港城）</w:t>
                  </w:r>
                  <w:r>
                    <w:rPr>
                      <w:rFonts w:hint="eastAsia" w:cs="Times New Roman"/>
                      <w:color w:val="auto"/>
                      <w:kern w:val="2"/>
                      <w:sz w:val="18"/>
                      <w:szCs w:val="18"/>
                      <w:highlight w:val="none"/>
                      <w:lang w:val="en-US" w:eastAsia="zh-CN" w:bidi="ar-SA"/>
                    </w:rPr>
                    <w:t>ZH13027320002</w:t>
                  </w:r>
                </w:p>
              </w:tc>
              <w:tc>
                <w:tcPr>
                  <w:tcW w:w="104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空间布局约束</w:t>
                  </w:r>
                </w:p>
              </w:tc>
              <w:tc>
                <w:tcPr>
                  <w:tcW w:w="5662"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农用地性质未调整前禁止建设项目布局</w:t>
                  </w:r>
                </w:p>
              </w:tc>
              <w:tc>
                <w:tcPr>
                  <w:tcW w:w="296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本项目所占地块土地性质为工业用地</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101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1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04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污染物排放管控</w:t>
                  </w:r>
                </w:p>
              </w:tc>
              <w:tc>
                <w:tcPr>
                  <w:tcW w:w="5662" w:type="dxa"/>
                  <w:tcBorders>
                    <w:tl2br w:val="nil"/>
                    <w:tr2bl w:val="nil"/>
                  </w:tcBorders>
                  <w:noWrap w:val="0"/>
                  <w:vAlign w:val="center"/>
                </w:tcPr>
                <w:p>
                  <w:pPr>
                    <w:keepNext w:val="0"/>
                    <w:keepLines w:val="0"/>
                    <w:pageBreakBefore w:val="0"/>
                    <w:widowControl/>
                    <w:numPr>
                      <w:ilvl w:val="0"/>
                      <w:numId w:val="5"/>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加强重污染天气应急联动，完善应急减排措施，严格执行大气环境质量管控制度。</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2、全面加强城镇污水管网建设，提升污水收集能力。推进城镇排水系统雨污分流建设，新建城区建设排水管网一律实行雨污分流；加快旧城区污水管网改造，实现雨污分流。</w:t>
                  </w:r>
                </w:p>
              </w:tc>
              <w:tc>
                <w:tcPr>
                  <w:tcW w:w="2968"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企业加强重污染天气应急联动，完善应急减排措施，严格执行大气环境质量管控制度。</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01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1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04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环境风险防控</w:t>
                  </w:r>
                </w:p>
              </w:tc>
              <w:tc>
                <w:tcPr>
                  <w:tcW w:w="5662" w:type="dxa"/>
                  <w:tcBorders>
                    <w:tl2br w:val="nil"/>
                    <w:tr2bl w:val="nil"/>
                  </w:tcBorders>
                  <w:noWrap w:val="0"/>
                  <w:vAlign w:val="center"/>
                </w:tcPr>
                <w:p>
                  <w:pPr>
                    <w:keepNext w:val="0"/>
                    <w:keepLines w:val="0"/>
                    <w:pageBreakBefore w:val="0"/>
                    <w:widowControl/>
                    <w:numPr>
                      <w:ilvl w:val="0"/>
                      <w:numId w:val="6"/>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用途变更为住宅、公共管理与公共服务用地的农用地，变更前应当按照规定开展土壤污染状况调查。</w:t>
                  </w:r>
                </w:p>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2、开发区及入区企业需组织编制《环境风险应急预案》，成立应急组织机构，定期开展应急演练，提高区域环境风险防范能力。</w:t>
                  </w:r>
                </w:p>
              </w:tc>
              <w:tc>
                <w:tcPr>
                  <w:tcW w:w="2968"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right="0" w:rightChars="0" w:firstLine="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企业组织编制《环境风险应急预案》，成立应急组织机构，定期开展应急演练，提高区域环境风险防范能力</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01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1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p>
              </w:tc>
              <w:tc>
                <w:tcPr>
                  <w:tcW w:w="104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资源利用效率要求</w:t>
                  </w:r>
                </w:p>
              </w:tc>
              <w:tc>
                <w:tcPr>
                  <w:tcW w:w="5662"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left="0" w:leftChars="0" w:right="0" w:rightChars="0" w:firstLine="0"/>
                    <w:jc w:val="both"/>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提高水资源重复利用率，加强再生水的回用。污水经深度处理后满足相关再生水回用的标准，回用于工业用水、绿地浇洒、道路喷洒等。</w:t>
                  </w:r>
                </w:p>
              </w:tc>
              <w:tc>
                <w:tcPr>
                  <w:tcW w:w="296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本项目生产过程不用水，生活废水经园区污水处理厂处理后，回用于工业用水等</w:t>
                  </w:r>
                </w:p>
              </w:tc>
              <w:tc>
                <w:tcPr>
                  <w:tcW w:w="90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80" w:lineRule="exact"/>
                    <w:ind w:left="0" w:leftChars="0" w:right="0" w:rightChars="0" w:firstLine="0" w:firstLineChars="0"/>
                    <w:jc w:val="center"/>
                    <w:textAlignment w:val="center"/>
                    <w:outlineLvl w:val="9"/>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sz w:val="21"/>
                <w:szCs w:val="21"/>
                <w:highlight w:val="none"/>
                <w:lang w:val="en-US" w:eastAsia="zh-CN"/>
              </w:rPr>
              <w:t>唐山市环境管控单元分布图详见图1-1。</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color w:val="auto"/>
                <w:kern w:val="0"/>
                <w:szCs w:val="21"/>
                <w:highlight w:val="green"/>
                <w:lang w:val="en-US" w:eastAsia="zh-CN"/>
              </w:rPr>
            </w:pPr>
            <w:r>
              <w:rPr>
                <w:rFonts w:hint="default" w:ascii="Times New Roman" w:hAnsi="Times New Roman" w:eastAsia="宋体" w:cs="Times New Roman"/>
                <w:color w:val="auto"/>
                <w:kern w:val="0"/>
                <w:szCs w:val="21"/>
                <w:highlight w:val="none"/>
                <w:lang w:val="en-US" w:eastAsia="zh-CN"/>
              </w:rPr>
              <w:object>
                <v:shape id="_x0000_i1025" o:spt="75" type="#_x0000_t75" style="height:235.15pt;width:333.6pt;" o:ole="t" filled="f" o:preferrelative="t" stroked="f" coordsize="21600,21600">
                  <v:path/>
                  <v:fill on="f" focussize="0,0"/>
                  <v:stroke on="f"/>
                  <v:imagedata r:id="rId9" o:title=""/>
                  <o:lock v:ext="edit" aspectratio="f"/>
                  <w10:wrap type="none"/>
                  <w10:anchorlock/>
                </v:shape>
                <o:OLEObject Type="Embed" ProgID="Visio.Drawing.11" ShapeID="_x0000_i1025" DrawAspect="Content" ObjectID="_1468075725" r:id="rId8">
                  <o:LockedField>false</o:LockedField>
                </o:OLEObject>
              </w:objec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b/>
                <w:bCs/>
                <w:color w:val="auto"/>
                <w:highlight w:val="none"/>
                <w:lang w:eastAsia="zh-CN"/>
              </w:rPr>
              <w:t>图</w:t>
            </w:r>
            <w:r>
              <w:rPr>
                <w:rFonts w:hint="default" w:ascii="Times New Roman" w:hAnsi="Times New Roman" w:cs="Times New Roman"/>
                <w:b/>
                <w:bCs/>
                <w:color w:val="auto"/>
                <w:highlight w:val="none"/>
                <w:lang w:val="en-US" w:eastAsia="zh-CN"/>
              </w:rPr>
              <w:t>1-1  唐山市环境管控单元分布图</w:t>
            </w:r>
          </w:p>
          <w:p>
            <w:pPr>
              <w:pStyle w:val="56"/>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综上分析，项目符合唐山市“三线一单”管控要求</w:t>
            </w:r>
            <w:r>
              <w:rPr>
                <w:rFonts w:hint="default" w:ascii="Times New Roman" w:hAnsi="Times New Roman" w:eastAsia="宋体" w:cs="Times New Roman"/>
                <w:color w:val="auto"/>
                <w:kern w:val="0"/>
                <w:sz w:val="21"/>
                <w:szCs w:val="21"/>
                <w:highlight w:val="none"/>
                <w:lang w:val="zh-CN" w:eastAsia="zh-CN"/>
              </w:rPr>
              <w:t>。</w:t>
            </w:r>
          </w:p>
          <w:p>
            <w:pPr>
              <w:pStyle w:val="56"/>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2、用地及规划符合性分析</w:t>
            </w:r>
          </w:p>
          <w:p>
            <w:pPr>
              <w:pStyle w:val="56"/>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本项目位于</w:t>
            </w:r>
            <w:r>
              <w:rPr>
                <w:rFonts w:hint="default" w:ascii="Times New Roman" w:hAnsi="Times New Roman" w:cs="Times New Roman"/>
                <w:color w:val="auto"/>
                <w:kern w:val="0"/>
                <w:sz w:val="21"/>
                <w:szCs w:val="21"/>
                <w:highlight w:val="none"/>
                <w:lang w:val="en-US" w:eastAsia="zh-CN"/>
              </w:rPr>
              <w:t>河北省唐山市高新区京唐智慧港纬三路南侧，经七路西侧</w:t>
            </w:r>
            <w:r>
              <w:rPr>
                <w:rFonts w:hint="default" w:ascii="Times New Roman" w:hAnsi="Times New Roman" w:eastAsia="宋体" w:cs="Times New Roman"/>
                <w:color w:val="auto"/>
                <w:kern w:val="0"/>
                <w:sz w:val="21"/>
                <w:szCs w:val="21"/>
                <w:highlight w:val="none"/>
                <w:lang w:val="en-US" w:eastAsia="zh-CN"/>
              </w:rPr>
              <w:t>，距离项目最近的敏感点为项目</w:t>
            </w:r>
            <w:r>
              <w:rPr>
                <w:rFonts w:hint="default" w:ascii="Times New Roman" w:hAnsi="Times New Roman" w:cs="Times New Roman"/>
                <w:color w:val="auto"/>
                <w:kern w:val="0"/>
                <w:sz w:val="21"/>
                <w:szCs w:val="21"/>
                <w:highlight w:val="none"/>
                <w:lang w:val="en-US" w:eastAsia="zh-CN"/>
              </w:rPr>
              <w:t>西北</w:t>
            </w:r>
            <w:r>
              <w:rPr>
                <w:rFonts w:hint="default" w:ascii="Times New Roman" w:hAnsi="Times New Roman" w:eastAsia="宋体" w:cs="Times New Roman"/>
                <w:color w:val="auto"/>
                <w:kern w:val="0"/>
                <w:sz w:val="21"/>
                <w:szCs w:val="21"/>
                <w:highlight w:val="none"/>
                <w:lang w:val="en-US" w:eastAsia="zh-CN"/>
              </w:rPr>
              <w:t>侧</w:t>
            </w:r>
            <w:r>
              <w:rPr>
                <w:rFonts w:hint="default" w:ascii="Times New Roman" w:hAnsi="Times New Roman" w:cs="Times New Roman"/>
                <w:color w:val="auto"/>
                <w:kern w:val="0"/>
                <w:sz w:val="21"/>
                <w:szCs w:val="21"/>
                <w:highlight w:val="none"/>
                <w:lang w:val="en-US" w:eastAsia="zh-CN"/>
              </w:rPr>
              <w:t>550</w:t>
            </w:r>
            <w:r>
              <w:rPr>
                <w:rFonts w:hint="default" w:ascii="Times New Roman" w:hAnsi="Times New Roman" w:eastAsia="宋体" w:cs="Times New Roman"/>
                <w:color w:val="auto"/>
                <w:kern w:val="0"/>
                <w:sz w:val="21"/>
                <w:szCs w:val="21"/>
                <w:highlight w:val="none"/>
                <w:lang w:val="en-US" w:eastAsia="zh-CN"/>
              </w:rPr>
              <w:t>m处的</w:t>
            </w:r>
            <w:r>
              <w:rPr>
                <w:rFonts w:hint="default" w:ascii="Times New Roman" w:hAnsi="Times New Roman" w:cs="Times New Roman"/>
                <w:color w:val="auto"/>
                <w:kern w:val="0"/>
                <w:sz w:val="21"/>
                <w:szCs w:val="21"/>
                <w:highlight w:val="none"/>
                <w:lang w:val="en-US" w:eastAsia="zh-CN"/>
              </w:rPr>
              <w:t>黄花港</w:t>
            </w:r>
            <w:r>
              <w:rPr>
                <w:rFonts w:hint="default" w:ascii="Times New Roman" w:hAnsi="Times New Roman" w:eastAsia="宋体" w:cs="Times New Roman"/>
                <w:color w:val="auto"/>
                <w:kern w:val="0"/>
                <w:sz w:val="21"/>
                <w:szCs w:val="21"/>
                <w:highlight w:val="none"/>
                <w:lang w:val="en-US" w:eastAsia="zh-CN"/>
              </w:rPr>
              <w:t>村。项目所在区域不属于生活饮用水水源保护区、风景名胜区，项目建设区域内不涉及重要生态功能区、生态敏感和脆弱区、禁止开发区三大类生态保护红线区域，本项目位于园区内的三类工业用地。符合园区规划用地布局。</w:t>
            </w:r>
          </w:p>
          <w:p>
            <w:pPr>
              <w:pStyle w:val="56"/>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3、相关政策符合性</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aps w:val="0"/>
                <w:smallCaps w:val="0"/>
                <w:color w:val="auto"/>
                <w:w w:val="100"/>
                <w:sz w:val="21"/>
                <w:szCs w:val="21"/>
                <w:highlight w:val="none"/>
                <w:lang w:val="en-US" w:eastAsia="zh-CN"/>
              </w:rPr>
            </w:pPr>
            <w:r>
              <w:rPr>
                <w:rFonts w:hint="default" w:ascii="Times New Roman" w:hAnsi="Times New Roman" w:eastAsia="宋体" w:cs="Times New Roman"/>
                <w:b/>
                <w:bCs/>
                <w:caps w:val="0"/>
                <w:smallCaps w:val="0"/>
                <w:color w:val="auto"/>
                <w:w w:val="100"/>
                <w:sz w:val="21"/>
                <w:szCs w:val="21"/>
                <w:highlight w:val="none"/>
                <w:lang w:val="en-US" w:eastAsia="zh-CN"/>
              </w:rPr>
              <w:t>表1-5    相关政策符合性分析一览表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76"/>
              <w:gridCol w:w="1633"/>
              <w:gridCol w:w="2204"/>
              <w:gridCol w:w="1888"/>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jc w:val="center"/>
              </w:trPr>
              <w:tc>
                <w:tcPr>
                  <w:tcW w:w="18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2603" w:type="pct"/>
                  <w:gridSpan w:val="2"/>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产业政策</w:t>
                  </w:r>
                </w:p>
              </w:tc>
              <w:tc>
                <w:tcPr>
                  <w:tcW w:w="1281"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w:t>
                  </w:r>
                </w:p>
              </w:tc>
              <w:tc>
                <w:tcPr>
                  <w:tcW w:w="92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8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w:t>
                  </w:r>
                </w:p>
              </w:tc>
              <w:tc>
                <w:tcPr>
                  <w:tcW w:w="1108"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《产业结构调整指导目录(201</w:t>
                  </w:r>
                  <w:r>
                    <w:rPr>
                      <w:rFonts w:hint="default" w:ascii="Times New Roman" w:hAnsi="Times New Roman" w:eastAsia="宋体" w:cs="Times New Roman"/>
                      <w:color w:val="auto"/>
                      <w:sz w:val="18"/>
                      <w:szCs w:val="18"/>
                      <w:highlight w:val="none"/>
                      <w:lang w:val="en-US" w:eastAsia="zh-CN"/>
                    </w:rPr>
                    <w:t>9</w:t>
                  </w:r>
                  <w:r>
                    <w:rPr>
                      <w:rFonts w:hint="default" w:ascii="Times New Roman" w:hAnsi="Times New Roman" w:eastAsia="宋体" w:cs="Times New Roman"/>
                      <w:color w:val="auto"/>
                      <w:sz w:val="18"/>
                      <w:szCs w:val="18"/>
                      <w:highlight w:val="none"/>
                    </w:rPr>
                    <w:t>年本)》(修正)</w:t>
                  </w:r>
                </w:p>
              </w:tc>
              <w:tc>
                <w:tcPr>
                  <w:tcW w:w="1494"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该文件中列举了鼓励类项目、限制类项目、淘汰类项目</w:t>
                  </w:r>
                </w:p>
              </w:tc>
              <w:tc>
                <w:tcPr>
                  <w:tcW w:w="1281"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不在列表之内，为允许类项目</w:t>
                  </w:r>
                </w:p>
              </w:tc>
              <w:tc>
                <w:tcPr>
                  <w:tcW w:w="92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属于允许类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1108"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《河北省新增限制和淘汰类产业目录(2015年版)》</w:t>
                  </w:r>
                </w:p>
              </w:tc>
              <w:tc>
                <w:tcPr>
                  <w:tcW w:w="1494"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该文件中列举了限制类项目、淘汰类项目</w:t>
                  </w:r>
                </w:p>
              </w:tc>
              <w:tc>
                <w:tcPr>
                  <w:tcW w:w="1281"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不在列表之内，为允许类项目</w:t>
                  </w:r>
                </w:p>
              </w:tc>
              <w:tc>
                <w:tcPr>
                  <w:tcW w:w="927" w:type="pct"/>
                  <w:shd w:val="clear" w:color="auto" w:fill="auto"/>
                  <w:noWrap w:val="0"/>
                  <w:tcMar>
                    <w:left w:w="0" w:type="dxa"/>
                    <w:right w:w="0" w:type="dxa"/>
                  </w:tcMar>
                  <w:vAlign w:val="center"/>
                </w:tcPr>
                <w:p>
                  <w:pPr>
                    <w:pageBreakBefore w:val="0"/>
                    <w:kinsoku/>
                    <w:wordWrap/>
                    <w:overflowPunct/>
                    <w:bidi w:val="0"/>
                    <w:adjustRightInd w:val="0"/>
                    <w:snapToGrid w:val="0"/>
                    <w:spacing w:beforeAutospacing="0" w:afterAutospacing="0" w:line="28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bl>
          <w:p>
            <w:pPr>
              <w:pStyle w:val="56"/>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zh-CN" w:eastAsia="zh-CN"/>
              </w:rPr>
              <w:t>因此，本项目建设符合国家产业政策要求。</w:t>
            </w:r>
          </w:p>
          <w:p>
            <w:pPr>
              <w:pStyle w:val="29"/>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表1-</w:t>
            </w:r>
            <w:r>
              <w:rPr>
                <w:rFonts w:hint="default" w:ascii="Times New Roman" w:hAnsi="Times New Roman" w:cs="Times New Roman"/>
                <w:b/>
                <w:color w:val="auto"/>
                <w:sz w:val="21"/>
                <w:szCs w:val="21"/>
                <w:highlight w:val="none"/>
                <w:lang w:val="en-US" w:eastAsia="zh-CN"/>
              </w:rPr>
              <w:t>6</w:t>
            </w:r>
            <w:r>
              <w:rPr>
                <w:rFonts w:hint="default" w:ascii="Times New Roman" w:hAnsi="Times New Roman" w:eastAsia="宋体" w:cs="Times New Roman"/>
                <w:b/>
                <w:color w:val="auto"/>
                <w:sz w:val="21"/>
                <w:szCs w:val="21"/>
                <w:highlight w:val="none"/>
                <w:lang w:val="en-US" w:eastAsia="zh-CN"/>
              </w:rPr>
              <w:t xml:space="preserve">    项目与</w:t>
            </w:r>
            <w:r>
              <w:rPr>
                <w:rFonts w:hint="default" w:ascii="Times New Roman" w:hAnsi="Times New Roman" w:eastAsia="宋体" w:cs="Times New Roman"/>
                <w:b/>
                <w:color w:val="auto"/>
                <w:sz w:val="21"/>
                <w:szCs w:val="21"/>
                <w:highlight w:val="none"/>
              </w:rPr>
              <w:t>VOC污染防治相关政策符合性分析</w:t>
            </w:r>
          </w:p>
          <w:tbl>
            <w:tblPr>
              <w:tblStyle w:val="3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2"/>
              <w:gridCol w:w="3611"/>
              <w:gridCol w:w="1836"/>
              <w:gridCol w:w="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政策文件</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文件相关要求</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项目情况</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符合性分析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restar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《“十三五”挥发性有机物污染防治工作方案》</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新建涉VOCs排放的工业企业要入园区</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项目位于</w:t>
                  </w:r>
                  <w:r>
                    <w:rPr>
                      <w:rFonts w:hint="default" w:ascii="Times New Roman" w:hAnsi="Times New Roman" w:cs="Times New Roman"/>
                      <w:i w:val="0"/>
                      <w:iCs w:val="0"/>
                      <w:color w:val="auto"/>
                      <w:sz w:val="18"/>
                      <w:szCs w:val="18"/>
                      <w:highlight w:val="none"/>
                      <w:lang w:val="en-US" w:eastAsia="zh-CN"/>
                    </w:rPr>
                    <w:t>河北省唐山市高新区京唐智慧港纬三路南侧，经七路西侧</w:t>
                  </w:r>
                  <w:r>
                    <w:rPr>
                      <w:rFonts w:hint="default" w:ascii="Times New Roman" w:hAnsi="Times New Roman" w:eastAsia="宋体" w:cs="Times New Roman"/>
                      <w:color w:val="auto"/>
                      <w:kern w:val="2"/>
                      <w:sz w:val="18"/>
                      <w:szCs w:val="18"/>
                      <w:highlight w:val="none"/>
                      <w:lang w:val="en-US" w:eastAsia="zh-CN"/>
                    </w:rPr>
                    <w:t>，园区已通过规划环评</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加强废气收集与处理，有机废气收集效率不低于80%</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项目有机废气收集效率90%</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restart"/>
                  <w:tcBorders>
                    <w:top w:val="single" w:color="auto" w:sz="4" w:space="0"/>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《重点行业挥发性有机物治理方案》</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推进建设适宜高效的治污设施</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项目采用“</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过滤棉+活性炭吸附/脱附+催化燃烧”装置处理措施对废气进行处理，根据预测结果，可实现达标排放</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r>
                    <w:rPr>
                      <w:rFonts w:hint="default" w:ascii="Times New Roman" w:hAnsi="Times New Roman" w:eastAsia="宋体" w:cs="Times New Roman"/>
                      <w:color w:val="auto"/>
                      <w:kern w:val="2"/>
                      <w:sz w:val="18"/>
                      <w:szCs w:val="18"/>
                      <w:highlight w:val="none"/>
                      <w:lang w:val="en-US" w:eastAsia="zh-CN"/>
                    </w:rPr>
                    <w:t>化工行业VOCs综合治理。加强制药、农药、涂料、油墨、胶粘剂、橡胶和塑料制品等行业VOCs治理力度。重点提高涉VOCs排放主要工序密闭化水平，加强无组织排放收集，加大含VOCs物料储存和装卸治理力度</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本项目</w:t>
                  </w:r>
                  <w:r>
                    <w:rPr>
                      <w:rFonts w:hint="default" w:ascii="Times New Roman" w:hAnsi="Times New Roman" w:cs="Times New Roman"/>
                      <w:color w:val="auto"/>
                      <w:kern w:val="2"/>
                      <w:sz w:val="18"/>
                      <w:szCs w:val="18"/>
                      <w:highlight w:val="none"/>
                      <w:lang w:val="en-US" w:eastAsia="zh-CN"/>
                    </w:rPr>
                    <w:t>喷漆、喷涂等工艺在密闭间内进行</w:t>
                  </w:r>
                  <w:r>
                    <w:rPr>
                      <w:rFonts w:hint="default" w:ascii="Times New Roman" w:hAnsi="Times New Roman" w:eastAsia="宋体" w:cs="Times New Roman"/>
                      <w:color w:val="auto"/>
                      <w:kern w:val="2"/>
                      <w:sz w:val="18"/>
                      <w:szCs w:val="18"/>
                      <w:highlight w:val="none"/>
                      <w:lang w:val="en-US" w:eastAsia="zh-CN"/>
                    </w:rPr>
                    <w:t>，废气经“</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过滤棉+活性炭吸附/脱附+催化燃烧装置”处理后经15m高排气筒排放，减少无组织排放</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2019年“十项重点工作”工作方案唐办发（2019）3号</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bidi="ar-SA"/>
                    </w:rPr>
                  </w:pPr>
                  <w:r>
                    <w:rPr>
                      <w:rFonts w:hint="default" w:ascii="Times New Roman" w:hAnsi="Times New Roman" w:eastAsia="宋体" w:cs="Times New Roman"/>
                      <w:color w:val="auto"/>
                      <w:kern w:val="2"/>
                      <w:sz w:val="18"/>
                      <w:szCs w:val="18"/>
                      <w:highlight w:val="none"/>
                      <w:shd w:val="clear" w:color="auto" w:fill="FFFFFF"/>
                      <w:lang w:val="en-US" w:eastAsia="zh-CN"/>
                    </w:rPr>
                    <w:t>喷漆、流平和烘干等工艺操作必须在密闭空间或设备中进行，产生的VOCs废气集中收集并导入治理设施，禁止使用等离子、活性炭吸附、光催化氧化等单级治理技术处理VOCs废气，必须使用双级或多级质量技术处理措施。</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rPr>
                    <w:t>喷漆、晾干等工艺在密闭操作间内进行，</w:t>
                  </w:r>
                  <w:r>
                    <w:rPr>
                      <w:rFonts w:hint="default" w:ascii="Times New Roman" w:hAnsi="Times New Roman" w:eastAsia="宋体" w:cs="Times New Roman"/>
                      <w:color w:val="auto"/>
                      <w:kern w:val="2"/>
                      <w:sz w:val="18"/>
                      <w:szCs w:val="18"/>
                      <w:highlight w:val="none"/>
                      <w:lang w:val="en-US" w:eastAsia="zh-CN"/>
                    </w:rPr>
                    <w:t>项目采用“</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过滤棉+活性炭吸附/脱附+催化燃烧”装置处理措施对废气进行处理，根据预测结果，可实现达标排放</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关于进一步做好涉VOCs行业环保监督管理的通知（唐气领办&lt;2019&gt;16号）</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重点推进使用紧凑式涂装工艺，推广采用辊涂、静电喷涂、高压无气喷涂、空气辅助无气喷涂、热喷涂等涂装技术，鼓励企业采用自动化、智能化喷涂设备替代人工喷涂，减少使用空气喷涂技术。推进建设适宜高效的治污设施。喷涂废气应设置高效漆雾处理装置。喷涂、晾（风）干废气宜采用吸附浓缩+燃烧处理方式，小风量的可采用一次性活性炭吸附等工艺。</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由于本项目产品为机械设备，喷涂面不规则，因此均采用人工喷涂，采用</w:t>
                  </w:r>
                  <w:r>
                    <w:rPr>
                      <w:rFonts w:hint="eastAsia" w:cs="Times New Roman"/>
                      <w:color w:val="auto"/>
                      <w:kern w:val="2"/>
                      <w:sz w:val="18"/>
                      <w:szCs w:val="18"/>
                      <w:highlight w:val="none"/>
                      <w:lang w:val="en-US" w:eastAsia="zh-CN"/>
                    </w:rPr>
                    <w:t>干湿组装方式</w:t>
                  </w:r>
                  <w:r>
                    <w:rPr>
                      <w:rFonts w:hint="default" w:ascii="Times New Roman" w:hAnsi="Times New Roman" w:cs="Times New Roman"/>
                      <w:color w:val="auto"/>
                      <w:kern w:val="2"/>
                      <w:sz w:val="18"/>
                      <w:szCs w:val="18"/>
                      <w:highlight w:val="none"/>
                      <w:lang w:val="en-US" w:eastAsia="zh-CN"/>
                    </w:rPr>
                    <w:t>处理漆雾。有机废气采用</w:t>
                  </w:r>
                  <w:r>
                    <w:rPr>
                      <w:rFonts w:hint="default" w:ascii="Times New Roman" w:hAnsi="Times New Roman" w:eastAsia="宋体" w:cs="Times New Roman"/>
                      <w:color w:val="auto"/>
                      <w:kern w:val="2"/>
                      <w:sz w:val="18"/>
                      <w:szCs w:val="18"/>
                      <w:highlight w:val="none"/>
                      <w:lang w:val="en-US" w:eastAsia="zh-CN"/>
                    </w:rPr>
                    <w:t>“</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过滤棉+活性炭吸附/脱附+催化燃烧装置”处理后经15m高排气筒排放</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restart"/>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《唐山市2021年挥发性有机物综合治理工作方案》</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VOCs原料存储于密闭的容器、包装袋、储罐、储库、料仓中；盛装VOCs原料的容器或包装袋存放于室内；盛装VOCs物料的容器或包装袋在非取用状态时应加盖、封口，保持密闭。</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本项目原料</w:t>
                  </w:r>
                  <w:r>
                    <w:rPr>
                      <w:rFonts w:hint="default" w:ascii="Times New Roman" w:hAnsi="Times New Roman" w:cs="Times New Roman"/>
                      <w:color w:val="auto"/>
                      <w:kern w:val="2"/>
                      <w:sz w:val="18"/>
                      <w:szCs w:val="18"/>
                      <w:highlight w:val="none"/>
                      <w:lang w:val="en-US" w:eastAsia="zh-CN"/>
                    </w:rPr>
                    <w:t>密封桶装</w:t>
                  </w:r>
                  <w:r>
                    <w:rPr>
                      <w:rFonts w:hint="default" w:ascii="Times New Roman" w:hAnsi="Times New Roman" w:eastAsia="宋体" w:cs="Times New Roman"/>
                      <w:color w:val="auto"/>
                      <w:kern w:val="2"/>
                      <w:sz w:val="18"/>
                      <w:szCs w:val="18"/>
                      <w:highlight w:val="none"/>
                      <w:lang w:val="en-US" w:eastAsia="zh-CN"/>
                    </w:rPr>
                    <w:t>储存在生产车间内的原料区</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bidi="ar-SA"/>
                    </w:rPr>
                  </w:pPr>
                  <w:r>
                    <w:rPr>
                      <w:rFonts w:hint="default" w:ascii="Times New Roman" w:hAnsi="Times New Roman" w:eastAsia="宋体" w:cs="Times New Roman"/>
                      <w:color w:val="auto"/>
                      <w:kern w:val="2"/>
                      <w:sz w:val="18"/>
                      <w:szCs w:val="18"/>
                      <w:highlight w:val="none"/>
                      <w:shd w:val="clear" w:color="auto" w:fill="FFFFFF"/>
                      <w:lang w:val="en-US" w:eastAsia="zh-CN"/>
                    </w:rPr>
                    <w:t>遵循源头替代-无组织排放管控-有组织排放末端治理-涉VOCs企业监管的污染防治技术路线，在全市范围内严格控制VOCs 排放。</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项目原料使用原包料、车间封闭，采用采用“</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过滤棉+活性炭吸附/脱附+催化燃烧”装置处理措施对废气进行处理后达标排放。符合当前技术要求。</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restart"/>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cs="Times New Roman"/>
                      <w:color w:val="auto"/>
                      <w:kern w:val="2"/>
                      <w:sz w:val="18"/>
                      <w:szCs w:val="18"/>
                      <w:highlight w:val="none"/>
                      <w:shd w:val="clear" w:color="auto" w:fill="FFFFFF"/>
                      <w:lang w:val="en-US" w:eastAsia="zh-CN"/>
                    </w:rPr>
                    <w:t>《</w:t>
                  </w:r>
                  <w:r>
                    <w:rPr>
                      <w:rFonts w:hint="default" w:ascii="Times New Roman" w:hAnsi="Times New Roman" w:eastAsia="宋体" w:cs="Times New Roman"/>
                      <w:color w:val="auto"/>
                      <w:kern w:val="2"/>
                      <w:sz w:val="18"/>
                      <w:szCs w:val="18"/>
                      <w:highlight w:val="none"/>
                      <w:shd w:val="clear" w:color="auto" w:fill="FFFFFF"/>
                      <w:lang w:val="en-US" w:eastAsia="zh-CN"/>
                    </w:rPr>
                    <w:t>唐山市生态环境局关于开展涉挥发性有机物企业提标改造的通知</w:t>
                  </w:r>
                  <w:r>
                    <w:rPr>
                      <w:rFonts w:hint="default" w:ascii="Times New Roman" w:hAnsi="Times New Roman" w:cs="Times New Roman"/>
                      <w:color w:val="auto"/>
                      <w:kern w:val="2"/>
                      <w:sz w:val="18"/>
                      <w:szCs w:val="18"/>
                      <w:highlight w:val="none"/>
                      <w:shd w:val="clear" w:color="auto" w:fill="FFFFFF"/>
                      <w:lang w:val="en-US" w:eastAsia="zh-CN"/>
                    </w:rPr>
                    <w:t>》（唐环气〔2022〕1号）</w:t>
                  </w:r>
                  <w:r>
                    <w:rPr>
                      <w:rFonts w:hint="eastAsia" w:cs="Times New Roman"/>
                      <w:color w:val="auto"/>
                      <w:kern w:val="2"/>
                      <w:sz w:val="18"/>
                      <w:szCs w:val="18"/>
                      <w:highlight w:val="none"/>
                      <w:shd w:val="clear" w:color="auto" w:fill="FFFFFF"/>
                      <w:lang w:val="en-US" w:eastAsia="zh-CN"/>
                    </w:rPr>
                    <w:t>（表面涂装、橡胶行业）</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二、加强源头控制</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1、提倡使用低VOCs或无VOCs的环保型原辅料。木质家具低VOCs涂料技术主要是使用水性涂料和UV固化涂料；金属家具多用电泳涂料、水性涂料和粉末涂料；胶粘剂则以水性或热熔型为主。工业涂装推荐使用粉末、水性、高固体分、辐射固化等低VOCs含量涂料，以及低VOCs含量、低反应活性的稀释剂、清洗剂、固化剂、胶粘剂、密封胶等，替代溶剂型涂料类材料。</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改进涂装工艺，以高效涂装工艺代替低效工艺。木质家具可采用往复式喷涂箱、机械手、静电喷涂等高效涂装技术；板式家具采用粉末静电喷涂、自动喷涂、辊涂等；辐射固化涂料采用辊涂、淋涂等；金属家具根据自身特性宜采用粉末静电喷涂技术。工业涂装采用静电喷涂、自动喷涂、高压无气喷涂或高流低压（HVLP）喷枪等高效涂装装备，替代手动空气喷涂技术。推广紧凑式涂装工艺，减少喷涂、烘干次数。</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项目所用喷涂原料均符合</w:t>
                  </w:r>
                  <w:r>
                    <w:rPr>
                      <w:rFonts w:hint="default" w:ascii="Times New Roman" w:hAnsi="Times New Roman"/>
                      <w:color w:val="auto"/>
                      <w:spacing w:val="2"/>
                      <w:sz w:val="18"/>
                      <w:szCs w:val="18"/>
                      <w:highlight w:val="none"/>
                    </w:rPr>
                    <w:t>《低挥发性有机化合物含</w:t>
                  </w:r>
                  <w:r>
                    <w:rPr>
                      <w:rFonts w:hint="default" w:ascii="Times New Roman" w:hAnsi="Times New Roman"/>
                      <w:color w:val="auto"/>
                      <w:spacing w:val="-12"/>
                      <w:sz w:val="18"/>
                      <w:szCs w:val="18"/>
                      <w:highlight w:val="none"/>
                    </w:rPr>
                    <w:t>量涂料产品技术要求》（GB/T</w:t>
                  </w:r>
                  <w:r>
                    <w:rPr>
                      <w:rFonts w:hint="default" w:ascii="Times New Roman" w:hAnsi="Times New Roman"/>
                      <w:color w:val="auto"/>
                      <w:spacing w:val="-1"/>
                      <w:sz w:val="18"/>
                      <w:szCs w:val="18"/>
                      <w:highlight w:val="none"/>
                    </w:rPr>
                    <w:t>38597-2020）规定的溶剂型涂料产品</w:t>
                  </w:r>
                  <w:r>
                    <w:rPr>
                      <w:rFonts w:hint="default" w:ascii="Times New Roman" w:hAnsi="Times New Roman" w:cs="Times New Roman"/>
                      <w:color w:val="auto"/>
                      <w:kern w:val="2"/>
                      <w:sz w:val="18"/>
                      <w:szCs w:val="18"/>
                      <w:highlight w:val="none"/>
                      <w:lang w:val="en-US" w:eastAsia="zh-CN"/>
                    </w:rPr>
                    <w:t>；项目采用高效涂装工艺，采用</w:t>
                  </w:r>
                  <w:r>
                    <w:rPr>
                      <w:rFonts w:hint="eastAsia" w:cs="Times New Roman"/>
                      <w:color w:val="auto"/>
                      <w:kern w:val="2"/>
                      <w:sz w:val="18"/>
                      <w:szCs w:val="18"/>
                      <w:highlight w:val="none"/>
                      <w:lang w:val="en-US" w:eastAsia="zh-CN"/>
                    </w:rPr>
                    <w:t>高压无气涂装装备</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三、加强过程控制</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家具制造和工业涂装VOCs排放主要在调漆、涂装、喷胶和干燥等工段，从车间功能来看，集中在喷漆房（包括底漆、面漆、清漆）、调漆房、干燥房、喷胶房（主要针对软体家具）。为减少无组织排放，应最大限度的控制VOCs排放量，要严格做好有机废气收集工作。</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1、含VOCs物料储存和输送管控要求。①盛装含VOCs的涂料、稀释剂、清洗剂等原辅材料应密闭存储于密闭的容器、包装袋、储罐中，并置于具有防渗设施的室内或专用场地，确保VOCs原辅料贮存过程中容器加盖、封口、无破损和泄漏。②容器在使用过程中随用随开，用后及时密闭，在非取用状态时应加盖、封口，减少挥发；③废涂料桶和废溶剂存放于密闭的危废仓库中；④原辅材料采用密闭管道或密闭容器等输送。⑤以上要求写入车间操作规程，建立管理制度，明确专人负责落实到位。</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涉VOCs物料调配管控及治理改造要求。①涂料和胶粘剂等调配要采用密闭设备或在密闭空间内操作，废气必须有效收集排至VOCs废气收集处理系统；②无法密闭的，要采取局部气体收集，排至VOCs废气处理系统。③原辅料调配、转运与回收涂料、稀释剂、清洗剂等原辅料原则上实行集中调配，转运宜采用集中供料系统，无集中供料系统时原辅料应采用密闭容器封存，涂装作业结束应将剩余的所有涂料及含VOCs的辅料送回调配间或储存间密闭存储。④以上要求写入车间操作规程，建立管理制度，明确专人负责落实到位。</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3、生产工艺过程密闭及废气收集提升改造要求。①施胶、调配、喷涂、流平和干燥工序要在密闭空间内操作，密闭操作空间安装废气收集系统送VOCs治理设施处理，密闭操作空间实现负压操作，并设置负压标识（如飘带）。②无法在密闭空间操作的，对产生VOCs排放的生产工艺和装置必须设立局部或整体废气收集系统和净化处理装置。如采取车间环境负压改造、安装吸风罩等高效集气装置，吸风罩设计应符合《排风罩的分类及技术条件》（GB/T16758-2008）。③工业涂装生产线采用整体密闭的，密闭区域内换风次数原则上不少于20次／h，车间采用整体密闭的（如烘干、晾干车间、流平车间等），车间换风次数原则上不少于8次／h。废气收集系统收集的废气送VOCs治理设施处理。④喷漆房循环水泵间和刮渣间应密闭，安装废气收集设施，喷漆房控制风速（在操作人员呼吸带高度上与主气流垂直的端面平均风速）及相关安全技术要求应满足《涂装作业安全规程 喷漆室安全技术规定》（GB14444-2006）要求。⑤喷涂工序应设置高效漆雾预处理设施，保证处理后的废气满足后续治理设施要求；⑥VOCs废气收集系统应先于生产设施启动，后于对应设施关闭，VOCs废气收集处理系统发生故障或检修时，对应的生产工艺设备应停止运行，待检修完毕后同步投入使用。⑦废气收集系统材质应防腐防锈，定期维护，存在泄漏时需及时修复。⑧加强清洗操作管理。合理控制有机清洗剂的用量，少量多次清洗；集中清洗应在密闭装置或空间内进行，产生的VOCs废气应收集治理；废清洗剂应密闭回收；清洗完成后，沾染有机清洗剂的废抹布等应放入密闭容器。⑨挥发性有机污染物各点源、各环节无组织排放得到高效控制，确保车间内（VOCs收集区域外）无明显异味，厂区内无异味。以上要求写入车间操作规程，建立管理制度，明确专人负责落实到位。</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项目喷漆房、晾干房、喷涂间等均采用密闭操作间；原料盛装</w:t>
                  </w:r>
                  <w:r>
                    <w:rPr>
                      <w:rFonts w:hint="default" w:ascii="Times New Roman" w:hAnsi="Times New Roman" w:cs="Times New Roman"/>
                      <w:color w:val="auto"/>
                      <w:sz w:val="18"/>
                      <w:szCs w:val="18"/>
                      <w:lang w:val="en-US" w:eastAsia="zh-CN"/>
                    </w:rPr>
                    <w:t>于</w:t>
                  </w:r>
                  <w:r>
                    <w:rPr>
                      <w:rFonts w:hint="default" w:ascii="Times New Roman" w:hAnsi="Times New Roman" w:cs="Times New Roman"/>
                      <w:color w:val="auto"/>
                      <w:kern w:val="2"/>
                      <w:sz w:val="18"/>
                      <w:szCs w:val="18"/>
                      <w:highlight w:val="none"/>
                      <w:lang w:val="en-US" w:eastAsia="zh-CN"/>
                    </w:rPr>
                    <w:t>密闭桶内，在车间内原料区储存，废油漆桶存放于危废暂存间内；喷漆、晾干等废气均引入相应的</w:t>
                  </w:r>
                  <w:r>
                    <w:rPr>
                      <w:rFonts w:hint="default" w:ascii="Times New Roman" w:hAnsi="Times New Roman" w:eastAsia="宋体" w:cs="Times New Roman"/>
                      <w:color w:val="auto"/>
                      <w:kern w:val="2"/>
                      <w:sz w:val="18"/>
                      <w:szCs w:val="18"/>
                      <w:highlight w:val="none"/>
                      <w:lang w:val="en-US" w:eastAsia="zh-CN"/>
                    </w:rPr>
                    <w:t>“</w:t>
                  </w:r>
                  <w:r>
                    <w:rPr>
                      <w:rFonts w:hint="eastAsia"/>
                      <w:color w:val="auto"/>
                      <w:sz w:val="18"/>
                      <w:szCs w:val="18"/>
                      <w:lang w:val="en-US" w:eastAsia="zh-CN"/>
                    </w:rPr>
                    <w:t>喷淋塔+</w:t>
                  </w:r>
                  <w:r>
                    <w:rPr>
                      <w:rFonts w:hint="default" w:ascii="Times New Roman" w:hAnsi="Times New Roman" w:eastAsia="宋体" w:cs="Times New Roman"/>
                      <w:color w:val="auto"/>
                      <w:kern w:val="2"/>
                      <w:sz w:val="18"/>
                      <w:szCs w:val="18"/>
                      <w:highlight w:val="none"/>
                      <w:lang w:val="en-US" w:eastAsia="zh-CN"/>
                    </w:rPr>
                    <w:t>过滤棉+活性炭吸附/脱附+催化燃烧装置”处理后</w:t>
                  </w:r>
                  <w:r>
                    <w:rPr>
                      <w:rFonts w:hint="default" w:ascii="Times New Roman" w:hAnsi="Times New Roman" w:cs="Times New Roman"/>
                      <w:color w:val="auto"/>
                      <w:kern w:val="2"/>
                      <w:sz w:val="18"/>
                      <w:szCs w:val="18"/>
                      <w:highlight w:val="none"/>
                      <w:lang w:val="en-US" w:eastAsia="zh-CN"/>
                    </w:rPr>
                    <w:t>排放；</w:t>
                  </w:r>
                  <w:r>
                    <w:rPr>
                      <w:rFonts w:hint="default" w:ascii="Times New Roman" w:hAnsi="Times New Roman" w:eastAsia="宋体" w:cs="Times New Roman"/>
                      <w:color w:val="auto"/>
                      <w:kern w:val="2"/>
                      <w:sz w:val="18"/>
                      <w:szCs w:val="18"/>
                      <w:highlight w:val="none"/>
                      <w:shd w:val="clear" w:color="auto" w:fill="FFFFFF"/>
                      <w:lang w:val="en-US" w:eastAsia="zh-CN"/>
                    </w:rPr>
                    <w:t>涂装作业结束</w:t>
                  </w:r>
                  <w:r>
                    <w:rPr>
                      <w:rFonts w:hint="default" w:ascii="Times New Roman" w:hAnsi="Times New Roman" w:cs="Times New Roman"/>
                      <w:color w:val="auto"/>
                      <w:kern w:val="2"/>
                      <w:sz w:val="18"/>
                      <w:szCs w:val="18"/>
                      <w:highlight w:val="none"/>
                      <w:shd w:val="clear" w:color="auto" w:fill="FFFFFF"/>
                      <w:lang w:val="en-US" w:eastAsia="zh-CN"/>
                    </w:rPr>
                    <w:t>后</w:t>
                  </w:r>
                  <w:r>
                    <w:rPr>
                      <w:rFonts w:hint="default" w:ascii="Times New Roman" w:hAnsi="Times New Roman" w:eastAsia="宋体" w:cs="Times New Roman"/>
                      <w:color w:val="auto"/>
                      <w:kern w:val="2"/>
                      <w:sz w:val="18"/>
                      <w:szCs w:val="18"/>
                      <w:highlight w:val="none"/>
                      <w:shd w:val="clear" w:color="auto" w:fill="FFFFFF"/>
                      <w:lang w:val="en-US" w:eastAsia="zh-CN"/>
                    </w:rPr>
                    <w:t>将剩余的所有涂料及含VOCs的辅料送回调配间或储存间密闭存储</w:t>
                  </w:r>
                  <w:r>
                    <w:rPr>
                      <w:rFonts w:hint="default" w:ascii="Times New Roman" w:hAnsi="Times New Roman" w:cs="Times New Roman"/>
                      <w:color w:val="auto"/>
                      <w:kern w:val="2"/>
                      <w:sz w:val="18"/>
                      <w:szCs w:val="18"/>
                      <w:highlight w:val="none"/>
                      <w:shd w:val="clear" w:color="auto" w:fill="FFFFFF"/>
                      <w:lang w:val="en-US" w:eastAsia="zh-CN"/>
                    </w:rPr>
                    <w:t>；喷漆间、喷涂室内换风次数</w:t>
                  </w:r>
                  <w:r>
                    <w:rPr>
                      <w:rFonts w:hint="eastAsia" w:cs="Times New Roman"/>
                      <w:color w:val="auto"/>
                      <w:kern w:val="2"/>
                      <w:sz w:val="18"/>
                      <w:szCs w:val="18"/>
                      <w:highlight w:val="none"/>
                      <w:shd w:val="clear" w:color="auto" w:fill="FFFFFF"/>
                      <w:lang w:val="en-US" w:eastAsia="zh-CN"/>
                    </w:rPr>
                    <w:t>取4</w:t>
                  </w:r>
                  <w:r>
                    <w:rPr>
                      <w:rFonts w:hint="default" w:ascii="Times New Roman" w:hAnsi="Times New Roman" w:eastAsia="宋体" w:cs="Times New Roman"/>
                      <w:color w:val="auto"/>
                      <w:kern w:val="2"/>
                      <w:sz w:val="18"/>
                      <w:szCs w:val="18"/>
                      <w:highlight w:val="none"/>
                      <w:shd w:val="clear" w:color="auto" w:fill="FFFFFF"/>
                      <w:lang w:val="en-US" w:eastAsia="zh-CN"/>
                    </w:rPr>
                    <w:t>0次／h</w:t>
                  </w:r>
                  <w:r>
                    <w:rPr>
                      <w:rFonts w:hint="default" w:ascii="Times New Roman" w:hAnsi="Times New Roman" w:cs="Times New Roman"/>
                      <w:color w:val="auto"/>
                      <w:kern w:val="2"/>
                      <w:sz w:val="18"/>
                      <w:szCs w:val="18"/>
                      <w:highlight w:val="none"/>
                      <w:shd w:val="clear" w:color="auto" w:fill="FFFFFF"/>
                      <w:lang w:val="en-US" w:eastAsia="zh-CN"/>
                    </w:rPr>
                    <w:t>，晾干间内无人操作换分次数为</w:t>
                  </w:r>
                  <w:r>
                    <w:rPr>
                      <w:rFonts w:hint="eastAsia" w:cs="Times New Roman"/>
                      <w:color w:val="auto"/>
                      <w:kern w:val="2"/>
                      <w:sz w:val="18"/>
                      <w:szCs w:val="18"/>
                      <w:highlight w:val="none"/>
                      <w:shd w:val="clear" w:color="auto" w:fill="FFFFFF"/>
                      <w:lang w:val="en-US" w:eastAsia="zh-CN"/>
                    </w:rPr>
                    <w:t>20</w:t>
                  </w:r>
                  <w:r>
                    <w:rPr>
                      <w:rFonts w:hint="default" w:ascii="Times New Roman" w:hAnsi="Times New Roman" w:cs="Times New Roman"/>
                      <w:color w:val="auto"/>
                      <w:kern w:val="2"/>
                      <w:sz w:val="18"/>
                      <w:szCs w:val="18"/>
                      <w:highlight w:val="none"/>
                      <w:shd w:val="clear" w:color="auto" w:fill="FFFFFF"/>
                      <w:lang w:val="en-US" w:eastAsia="zh-CN"/>
                    </w:rPr>
                    <w:t>次/h；</w:t>
                  </w:r>
                  <w:r>
                    <w:rPr>
                      <w:rFonts w:hint="default" w:ascii="Times New Roman" w:hAnsi="Times New Roman" w:cs="Times New Roman"/>
                      <w:color w:val="auto"/>
                      <w:kern w:val="2"/>
                      <w:sz w:val="18"/>
                      <w:szCs w:val="18"/>
                      <w:highlight w:val="none"/>
                      <w:lang w:val="en-US" w:eastAsia="zh-CN"/>
                    </w:rPr>
                    <w:t>采用</w:t>
                  </w:r>
                  <w:r>
                    <w:rPr>
                      <w:rFonts w:hint="eastAsia" w:cs="Times New Roman"/>
                      <w:color w:val="auto"/>
                      <w:kern w:val="2"/>
                      <w:sz w:val="18"/>
                      <w:szCs w:val="18"/>
                      <w:highlight w:val="none"/>
                      <w:lang w:val="en-US" w:eastAsia="zh-CN"/>
                    </w:rPr>
                    <w:t>干湿组合方式</w:t>
                  </w:r>
                  <w:r>
                    <w:rPr>
                      <w:rFonts w:hint="default" w:ascii="Times New Roman" w:hAnsi="Times New Roman" w:cs="Times New Roman"/>
                      <w:color w:val="auto"/>
                      <w:kern w:val="2"/>
                      <w:sz w:val="18"/>
                      <w:szCs w:val="18"/>
                      <w:highlight w:val="none"/>
                      <w:lang w:val="en-US" w:eastAsia="zh-CN"/>
                    </w:rPr>
                    <w:t>处理漆雾；有机废气处理装置先于喷涂装置启动，由专人定期维护，</w:t>
                  </w:r>
                  <w:r>
                    <w:rPr>
                      <w:rFonts w:hint="default" w:ascii="Times New Roman" w:hAnsi="Times New Roman" w:eastAsia="宋体" w:cs="Times New Roman"/>
                      <w:color w:val="auto"/>
                      <w:kern w:val="2"/>
                      <w:sz w:val="18"/>
                      <w:szCs w:val="18"/>
                      <w:highlight w:val="none"/>
                      <w:shd w:val="clear" w:color="auto" w:fill="FFFFFF"/>
                      <w:lang w:val="en-US" w:eastAsia="zh-CN"/>
                    </w:rPr>
                    <w:t>建立管理制度，明确专人负责落实到位</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四、加强末端治理、监测及治理设施运行管理1、废气预处理要求：喷涂过程中会产生含漆雾的有机废气，若不经过预处理，所含树脂将固化成黏性固体颗粒物，影响末端治理设施的治理效率和寿命。喷漆室的漆雾应采取干湿组合高效漆雾预处理措施，去除效率应大于85%以上，颗粒物排出量&lt;1mg/m3，目测见不到排风管的排气色（即排风管出口风帽不被所喷涂料着色）。涂装废气进入后续VOCs处理设施前，应将有机物浓度控制在其爆炸极限下限的25%以下。</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末端治理技术要求：①家具制造开料、砂光等工序设置中央除尘系统，机加工、打磨工序设置中央除尘系统或采用袋式除尘、滤筒除尘等工艺。②采用蓄热燃烧、催化燃烧等高效VOCs废气处理工艺，取消UV紫外光分解或低温等离子等低效治理工艺。③烘干废气宜采用燃烧技术单独处理，具备条件的可采用回收式热力燃烧设施。调漆和清洗废气可与喷涂、流平、烘干废气一并处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3、废气治理设施风量匹配改造技术要求。采取车间环境负压改造、安装的高效集气装置，吸风罩设计应符合《排风罩的分类及技术条件》（GB/T16758-2008）。设计风速满足以下要求：①采用半密闭罩或通风橱方式收集的，污染物产生点（面）处，往吸入口方向的控制风速不小于最低基准值（喷漆不小于0.9m/s，其余不小于0.6m/s）；②采用热态上吸风罩收集的，污染物产生点（面）处，往吸入口方向的控制风速不小于1.0m/s（热态指污染源散发气体温度≥60℃）；③采用冷态上吸风罩收集的，污染物产生点（面）处，往吸入口方向的控制风速不小于0.8m/s（冷态指污染源散发气体温度＜60℃）；④采用侧吸风罩方式收集的，污染物产生点（面）处，往吸入口方向的控制风速不小于1.2m/s，且吸风罩离污染源远端距离不大于0.6m。⑤工业涂装生产线采用整体密闭的，密闭区域内换风次数原则上不少于20次／h，车间采用整体密闭的（如烘干、晾干车间、流平车间等），车间换风次数原则上不少于8次／h。</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4、废气处理设施处理能力要求。对因实施上述封闭改造，增加废气收集风量的，可在现有废气治理设施基础上，根据废气量的增加，进行科学设计，可并联增设新的VOCs废气处理设施，确保满足《工业企业挥发性有机物排放控制标准》（DB13/ 2322—2016）控制要求，非甲烷总烃60mg/m3，最低去除效率70%；苯1mg/m3；甲苯与二甲苯合计20mg/m3。严禁废气治理设施以“小马拉大车”等敷衍应付。</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5、监测要求。企业按照环境监测管理规定和技术规范要求，设计、建设、维护永久性采样口、采样测试平台和排污口标志，有机废气排放口符合安装连续自动监测设备条件的，必须安装连续自动监测设备（FID），实现与市监控系统联网。</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6、加强VOCs污染控制及治理设施运行记录管理，应符合《工业企业挥发性有机污染物排放控制标准》（DB13/2322-2016）附录A有关要求，并明确专人负责。</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7、治理管控效果。无组织 VOCs排放满足河北省《工业企业挥发性有机物排放控制标准》（DB13/2322-2016）排放限值要求。厂界：非甲烷总烃2 mg/m3，苯0.1mg/m3，甲苯0.6mg/m3，二甲苯0.2mg/m3；厂区内：生产车间门或窗口、或生产设备外1m,距离地面1.5 m以上位置大气污染物浓度限值，非甲烷总烃4.0mg/m3,苯0.4mg/m3</w:t>
                  </w:r>
                  <w:r>
                    <w:rPr>
                      <w:rFonts w:hint="default" w:ascii="Times New Roman" w:hAnsi="Times New Roman" w:cs="Times New Roman"/>
                      <w:color w:val="auto"/>
                      <w:kern w:val="2"/>
                      <w:sz w:val="18"/>
                      <w:szCs w:val="18"/>
                      <w:highlight w:val="none"/>
                      <w:shd w:val="clear" w:color="auto" w:fill="FFFFFF"/>
                      <w:lang w:val="en-US" w:eastAsia="zh-CN"/>
                    </w:rPr>
                    <w:t>，</w:t>
                  </w:r>
                  <w:r>
                    <w:rPr>
                      <w:rFonts w:hint="default" w:ascii="Times New Roman" w:hAnsi="Times New Roman" w:eastAsia="宋体" w:cs="Times New Roman"/>
                      <w:color w:val="auto"/>
                      <w:kern w:val="2"/>
                      <w:sz w:val="18"/>
                      <w:szCs w:val="18"/>
                      <w:highlight w:val="none"/>
                      <w:shd w:val="clear" w:color="auto" w:fill="FFFFFF"/>
                      <w:lang w:val="en-US" w:eastAsia="zh-CN"/>
                    </w:rPr>
                    <w:t>甲苯1.0mg/m3，二甲苯1.2mg/m3。</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采用</w:t>
                  </w:r>
                  <w:r>
                    <w:rPr>
                      <w:rFonts w:hint="eastAsia" w:cs="Times New Roman"/>
                      <w:color w:val="auto"/>
                      <w:kern w:val="2"/>
                      <w:sz w:val="18"/>
                      <w:szCs w:val="18"/>
                      <w:highlight w:val="none"/>
                      <w:lang w:val="en-US" w:eastAsia="zh-CN"/>
                    </w:rPr>
                    <w:t>干湿组装方式</w:t>
                  </w:r>
                  <w:r>
                    <w:rPr>
                      <w:rFonts w:hint="default" w:ascii="Times New Roman" w:hAnsi="Times New Roman" w:cs="Times New Roman"/>
                      <w:color w:val="auto"/>
                      <w:kern w:val="2"/>
                      <w:sz w:val="18"/>
                      <w:szCs w:val="18"/>
                      <w:highlight w:val="none"/>
                      <w:lang w:val="en-US" w:eastAsia="zh-CN"/>
                    </w:rPr>
                    <w:t>处理漆雾；项目切割下料、打磨等工序均设置相应除尘设备；采用催化燃烧装置处理有机废气；项目采用自然晾干，不设烘干间；按照相应技术规范设置集气罩等，控制风速</w:t>
                  </w:r>
                  <w:r>
                    <w:rPr>
                      <w:rFonts w:hint="default" w:ascii="Times New Roman" w:hAnsi="Times New Roman" w:eastAsia="宋体" w:cs="Times New Roman"/>
                      <w:color w:val="auto"/>
                      <w:kern w:val="2"/>
                      <w:sz w:val="18"/>
                      <w:szCs w:val="18"/>
                      <w:highlight w:val="none"/>
                      <w:shd w:val="clear" w:color="auto" w:fill="FFFFFF"/>
                      <w:lang w:val="en-US" w:eastAsia="zh-CN"/>
                    </w:rPr>
                    <w:t>1.2m/s</w:t>
                  </w:r>
                  <w:r>
                    <w:rPr>
                      <w:rFonts w:hint="default" w:ascii="Times New Roman" w:hAnsi="Times New Roman" w:cs="Times New Roman"/>
                      <w:color w:val="auto"/>
                      <w:kern w:val="2"/>
                      <w:sz w:val="18"/>
                      <w:szCs w:val="18"/>
                      <w:highlight w:val="none"/>
                      <w:shd w:val="clear" w:color="auto" w:fill="FFFFFF"/>
                      <w:lang w:val="en-US" w:eastAsia="zh-CN"/>
                    </w:rPr>
                    <w:t>，；喷漆间、喷涂室内换风次数</w:t>
                  </w:r>
                  <w:r>
                    <w:rPr>
                      <w:rFonts w:hint="eastAsia" w:cs="Times New Roman"/>
                      <w:color w:val="auto"/>
                      <w:kern w:val="2"/>
                      <w:sz w:val="18"/>
                      <w:szCs w:val="18"/>
                      <w:highlight w:val="none"/>
                      <w:shd w:val="clear" w:color="auto" w:fill="FFFFFF"/>
                      <w:lang w:val="en-US" w:eastAsia="zh-CN"/>
                    </w:rPr>
                    <w:t>取4</w:t>
                  </w:r>
                  <w:r>
                    <w:rPr>
                      <w:rFonts w:hint="default" w:ascii="Times New Roman" w:hAnsi="Times New Roman" w:eastAsia="宋体" w:cs="Times New Roman"/>
                      <w:color w:val="auto"/>
                      <w:kern w:val="2"/>
                      <w:sz w:val="18"/>
                      <w:szCs w:val="18"/>
                      <w:highlight w:val="none"/>
                      <w:shd w:val="clear" w:color="auto" w:fill="FFFFFF"/>
                      <w:lang w:val="en-US" w:eastAsia="zh-CN"/>
                    </w:rPr>
                    <w:t>0次／h</w:t>
                  </w:r>
                  <w:r>
                    <w:rPr>
                      <w:rFonts w:hint="default" w:ascii="Times New Roman" w:hAnsi="Times New Roman" w:cs="Times New Roman"/>
                      <w:color w:val="auto"/>
                      <w:kern w:val="2"/>
                      <w:sz w:val="18"/>
                      <w:szCs w:val="18"/>
                      <w:highlight w:val="none"/>
                      <w:shd w:val="clear" w:color="auto" w:fill="FFFFFF"/>
                      <w:lang w:val="en-US" w:eastAsia="zh-CN"/>
                    </w:rPr>
                    <w:t>，晾干间内无人操作换分次数为</w:t>
                  </w:r>
                  <w:r>
                    <w:rPr>
                      <w:rFonts w:hint="eastAsia" w:cs="Times New Roman"/>
                      <w:color w:val="auto"/>
                      <w:kern w:val="2"/>
                      <w:sz w:val="18"/>
                      <w:szCs w:val="18"/>
                      <w:highlight w:val="none"/>
                      <w:shd w:val="clear" w:color="auto" w:fill="FFFFFF"/>
                      <w:lang w:val="en-US" w:eastAsia="zh-CN"/>
                    </w:rPr>
                    <w:t>20</w:t>
                  </w:r>
                  <w:r>
                    <w:rPr>
                      <w:rFonts w:hint="default" w:ascii="Times New Roman" w:hAnsi="Times New Roman" w:cs="Times New Roman"/>
                      <w:color w:val="auto"/>
                      <w:kern w:val="2"/>
                      <w:sz w:val="18"/>
                      <w:szCs w:val="18"/>
                      <w:highlight w:val="none"/>
                      <w:shd w:val="clear" w:color="auto" w:fill="FFFFFF"/>
                      <w:lang w:val="en-US" w:eastAsia="zh-CN"/>
                    </w:rPr>
                    <w:t>次/h；按照要求设置监测平台，加强有机废气治理措施的运行维护与管理，确保排气筒污染物及厂界污染物达标排放</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default" w:ascii="Times New Roman" w:hAnsi="Times New Roman"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加强源头控制</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1、原辅料替代。</w:t>
                  </w:r>
                  <w:r>
                    <w:rPr>
                      <w:rFonts w:hint="eastAsia" w:cs="Times New Roman"/>
                      <w:color w:val="auto"/>
                      <w:kern w:val="2"/>
                      <w:sz w:val="18"/>
                      <w:szCs w:val="18"/>
                      <w:highlight w:val="none"/>
                      <w:shd w:val="clear" w:color="auto" w:fill="FFFFFF"/>
                      <w:lang w:val="en-US" w:eastAsia="zh-CN"/>
                    </w:rPr>
                    <w:t>……</w:t>
                  </w:r>
                  <w:r>
                    <w:rPr>
                      <w:rFonts w:hint="default" w:ascii="Times New Roman" w:hAnsi="Times New Roman" w:eastAsia="宋体" w:cs="Times New Roman"/>
                      <w:color w:val="auto"/>
                      <w:kern w:val="2"/>
                      <w:sz w:val="18"/>
                      <w:szCs w:val="18"/>
                      <w:highlight w:val="none"/>
                      <w:shd w:val="clear" w:color="auto" w:fill="FFFFFF"/>
                      <w:lang w:val="en-US" w:eastAsia="zh-CN"/>
                    </w:rPr>
                    <w:t>橡胶制品应使用低或无VOCs的清洁生产工艺和具有环境标志产品的原辅材料，生胶应符合GB8081的规定，胶粘剂VOCs无组织排放量不超过溶剂使用量的25%。</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橡胶制品行业：①选用自动化程度高、密闭性强、废气产生量较小的生产工艺和装备。②通过优化炼胶配方，调整各工序操作温度，降低VOCs排放。如炼胶采用固体小料自动称量技术（适用于交联剂等固体小料）和液体小料自动称量技术（适用于软化增塑剂等液体小料）。③胶片冷却采用水冷技术等。</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项目使用符合国家标准的天然橡胶等原辅材料，涂胶位于密闭操作间内，减少无组织有机废气排放，固体小料称量采用固定工位，胶片采用自然冷却</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加强过程控制</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1、加强原辅料储存VOCs排放控制。①VOCs原料存储于密闭的“容器、包装袋、储罐、储存库、料仓中”。②盛装VOCs原料的容器或包装袋存放于室内。③盛装VOCs物料的容器或包装袋在非取用状态时应加盖、封口，保持密闭。④橡胶制品行业储料库（半成品库）在日常保持严密封闭状态基础上，要设置废气收集系统，收集的废气送VOCs治理设施处理。封闭料库废气设计处理风量按储料库换风次数原则上不少于2次／h。</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加强原辅料输运过程VOCs排放控制。①颗粒状、粉状VOCs物料应采用气力输送设备、管状带式输送机、螺旋输送机等密闭输送，或采用密闭的包装袋、容器或罐车进行物料转移。②无法密闭投加的，必须在密闭空间内操作，或进行局部气体全部收集措施，收集废气排至除尘设施、VOCs废气收集处理系统高效处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4、加强橡胶制品行业生产</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工艺过程VOCs排放控制①炼胶工序采用密炼机混炼，废气必须确保全密闭收集；②密炼机投料口、挤出、压延、硫化工序采用集气罩收集的，集气罩口控制风速应不低于0.8米/秒，废气排至废气收集处理系统。③ 炼胶车间和硫化车间封闭，设置废气收集系统，收集的废气送VOCs（臭味）治理设施处理。封闭车间废气设计处理风量按车间库换风次数原则上不少于2次／h。④无法封闭的采用局部气体收集措施，确保废气全部有效收集并排至VOCs收集处理系统，确保车间内无明显异味。</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5、日用及医用橡胶制品制造使用的液体料采用密闭管道投加，粉体料手工投加，配料罐密闭；浸渍工序、氯洗工序、硫化工序在封闭空间（仅轨道进出口敞开）内操作，收集后的废气排至废气收集处理系统高效处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6、废吸附剂应采用密闭的包装袋或容器储存、转运，并建立储存、处置台账。</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7、以上管理要求写入车间操作规程，建立管理制度，明确专人负责落实到位。</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项目设置专用橡胶制品半成品库，保持密闭并设置废气收集系统，</w:t>
                  </w:r>
                  <w:r>
                    <w:rPr>
                      <w:rFonts w:hint="default" w:ascii="Times New Roman" w:hAnsi="Times New Roman" w:eastAsia="宋体" w:cs="Times New Roman"/>
                      <w:color w:val="auto"/>
                      <w:kern w:val="2"/>
                      <w:sz w:val="18"/>
                      <w:szCs w:val="18"/>
                      <w:highlight w:val="none"/>
                      <w:shd w:val="clear" w:color="auto" w:fill="FFFFFF"/>
                      <w:lang w:val="en-US" w:eastAsia="zh-CN"/>
                    </w:rPr>
                    <w:t>封闭料库换风次数</w:t>
                  </w:r>
                  <w:r>
                    <w:rPr>
                      <w:rFonts w:hint="eastAsia" w:ascii="Times New Roman" w:hAnsi="Times New Roman" w:cs="Times New Roman"/>
                      <w:color w:val="auto"/>
                      <w:kern w:val="2"/>
                      <w:sz w:val="18"/>
                      <w:szCs w:val="18"/>
                      <w:highlight w:val="none"/>
                      <w:shd w:val="clear" w:color="auto" w:fill="FFFFFF"/>
                      <w:lang w:val="en-US" w:eastAsia="zh-CN"/>
                    </w:rPr>
                    <w:t>按</w:t>
                  </w:r>
                  <w:r>
                    <w:rPr>
                      <w:rFonts w:hint="default" w:ascii="Times New Roman" w:hAnsi="Times New Roman" w:eastAsia="宋体" w:cs="Times New Roman"/>
                      <w:color w:val="auto"/>
                      <w:kern w:val="2"/>
                      <w:sz w:val="18"/>
                      <w:szCs w:val="18"/>
                      <w:highlight w:val="none"/>
                      <w:shd w:val="clear" w:color="auto" w:fill="FFFFFF"/>
                      <w:lang w:val="en-US" w:eastAsia="zh-CN"/>
                    </w:rPr>
                    <w:t>2次／h</w:t>
                  </w:r>
                  <w:r>
                    <w:rPr>
                      <w:rFonts w:hint="eastAsia" w:ascii="Times New Roman" w:hAnsi="Times New Roman" w:cs="Times New Roman"/>
                      <w:color w:val="auto"/>
                      <w:kern w:val="2"/>
                      <w:sz w:val="18"/>
                      <w:szCs w:val="18"/>
                      <w:highlight w:val="none"/>
                      <w:shd w:val="clear" w:color="auto" w:fill="FFFFFF"/>
                      <w:lang w:val="en-US" w:eastAsia="zh-CN"/>
                    </w:rPr>
                    <w:t>设计；</w:t>
                  </w:r>
                  <w:r>
                    <w:rPr>
                      <w:rFonts w:hint="eastAsia" w:cs="Times New Roman"/>
                      <w:color w:val="auto"/>
                      <w:kern w:val="2"/>
                      <w:sz w:val="18"/>
                      <w:szCs w:val="18"/>
                      <w:highlight w:val="none"/>
                      <w:lang w:val="en-US" w:eastAsia="zh-CN"/>
                    </w:rPr>
                    <w:t>固体粉料称量废气采用集气罩收集后引入脉冲布袋除尘器处理；</w:t>
                  </w:r>
                  <w:r>
                    <w:rPr>
                      <w:rFonts w:hint="default" w:ascii="Times New Roman" w:hAnsi="Times New Roman" w:eastAsia="宋体" w:cs="Times New Roman"/>
                      <w:color w:val="auto"/>
                      <w:kern w:val="2"/>
                      <w:sz w:val="18"/>
                      <w:szCs w:val="18"/>
                      <w:highlight w:val="none"/>
                      <w:shd w:val="clear" w:color="auto" w:fill="FFFFFF"/>
                      <w:lang w:val="en-US" w:eastAsia="zh-CN"/>
                    </w:rPr>
                    <w:t>采用密炼机混炼</w:t>
                  </w:r>
                  <w:r>
                    <w:rPr>
                      <w:rFonts w:hint="eastAsia" w:ascii="Times New Roman" w:hAnsi="Times New Roman" w:cs="Times New Roman"/>
                      <w:color w:val="auto"/>
                      <w:kern w:val="2"/>
                      <w:sz w:val="18"/>
                      <w:szCs w:val="18"/>
                      <w:highlight w:val="none"/>
                      <w:shd w:val="clear" w:color="auto" w:fill="FFFFFF"/>
                      <w:lang w:val="en-US" w:eastAsia="zh-CN"/>
                    </w:rPr>
                    <w:t>、硫化机等，集气罩</w:t>
                  </w:r>
                  <w:r>
                    <w:rPr>
                      <w:rFonts w:hint="default" w:ascii="Times New Roman" w:hAnsi="Times New Roman" w:eastAsia="宋体" w:cs="Times New Roman"/>
                      <w:color w:val="auto"/>
                      <w:kern w:val="2"/>
                      <w:sz w:val="18"/>
                      <w:szCs w:val="18"/>
                      <w:highlight w:val="none"/>
                      <w:shd w:val="clear" w:color="auto" w:fill="FFFFFF"/>
                      <w:lang w:val="en-US" w:eastAsia="zh-CN"/>
                    </w:rPr>
                    <w:t>口控制风速应不低于0.8米/秒</w:t>
                  </w:r>
                  <w:r>
                    <w:rPr>
                      <w:rFonts w:hint="eastAsia" w:ascii="Times New Roman" w:hAnsi="Times New Roman" w:cs="Times New Roman"/>
                      <w:color w:val="auto"/>
                      <w:kern w:val="2"/>
                      <w:sz w:val="18"/>
                      <w:szCs w:val="18"/>
                      <w:highlight w:val="none"/>
                      <w:shd w:val="clear" w:color="auto" w:fill="FFFFFF"/>
                      <w:lang w:val="en-US" w:eastAsia="zh-CN"/>
                    </w:rPr>
                    <w:t>，收集有机废气采用催化燃烧装置处理；废活性炭等属于危险废物，严格按照危废相关要求储存</w:t>
                  </w:r>
                  <w:r>
                    <w:rPr>
                      <w:rFonts w:hint="default" w:ascii="Times New Roman" w:hAnsi="Times New Roman" w:eastAsia="宋体" w:cs="Times New Roman"/>
                      <w:color w:val="auto"/>
                      <w:kern w:val="2"/>
                      <w:sz w:val="18"/>
                      <w:szCs w:val="18"/>
                      <w:highlight w:val="none"/>
                      <w:shd w:val="clear" w:color="auto" w:fill="FFFFFF"/>
                      <w:lang w:val="en-US" w:eastAsia="zh-CN"/>
                    </w:rPr>
                    <w:t>、转运，并建立储存、处置台账</w:t>
                  </w:r>
                  <w:r>
                    <w:rPr>
                      <w:rFonts w:hint="eastAsia" w:ascii="Times New Roman" w:hAnsi="Times New Roman" w:cs="Times New Roman"/>
                      <w:color w:val="auto"/>
                      <w:kern w:val="2"/>
                      <w:sz w:val="18"/>
                      <w:szCs w:val="18"/>
                      <w:highlight w:val="none"/>
                      <w:shd w:val="clear" w:color="auto" w:fill="FFFFFF"/>
                      <w:lang w:val="en-US" w:eastAsia="zh-CN"/>
                    </w:rPr>
                    <w:t>；</w:t>
                  </w:r>
                  <w:r>
                    <w:rPr>
                      <w:rFonts w:hint="default" w:ascii="Times New Roman" w:hAnsi="Times New Roman" w:eastAsia="宋体" w:cs="Times New Roman"/>
                      <w:color w:val="auto"/>
                      <w:kern w:val="2"/>
                      <w:sz w:val="18"/>
                      <w:szCs w:val="18"/>
                      <w:highlight w:val="none"/>
                      <w:shd w:val="clear" w:color="auto" w:fill="FFFFFF"/>
                      <w:lang w:val="en-US" w:eastAsia="zh-CN"/>
                    </w:rPr>
                    <w:t>以上管理要求写入车间操作规程，建立管理制度，明确专人负责落实到位</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四、加强末端治理、监测及治理设施运行管理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1、加强炼胶废气预处理。炼胶过程使用炭黑、碳酸钙、硫磺等原辅材料，导致炼胶废气中存在大量粉尘，如果不对其进行预处理将影响废气治理设施的处理效果。宜采用袋式除尘、滤筒/滤芯除尘治理预处理工艺。</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2、科学选择适宜废气处理技术。</w:t>
                  </w:r>
                  <w:r>
                    <w:rPr>
                      <w:rFonts w:hint="eastAsia" w:cs="Times New Roman"/>
                      <w:color w:val="auto"/>
                      <w:kern w:val="2"/>
                      <w:sz w:val="18"/>
                      <w:szCs w:val="18"/>
                      <w:highlight w:val="none"/>
                      <w:shd w:val="clear" w:color="auto" w:fill="FFFFFF"/>
                      <w:lang w:val="en-US" w:eastAsia="zh-CN"/>
                    </w:rPr>
                    <w:t>……</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②炼胶、硫化工序和日用及医用橡胶制品制造配料、浸渍工序产生的VOCs废气可采用喷淋、吸附、热力燃烧、催化燃烧、等离子体、低温等离子体、UV光催化/光氧化、生物法组合技术；胶浆制备、刷胶浆工序产生的废气经收集后宜采用吸附法、燃烧法工艺处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加强橡胶制品行业废水处理站臭气处理。污水站调节、水解酸化、缺氧等工序废气必须采取有效措施收集并经喷淋、吸附、低温等离子体、UV光氧化/光催化、生物法等组合技术治理。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4、确保废气处理设施处理能力。对因实施封闭改造，增加废气收集点和收集风量的，可在现有废气治理设施基础上，根据废气量的增加，进行科学设计，可并联增设新的VOCs废气处理设施，确保满足《工业企业挥发性有机物排放控制标准》（DB13/2322—2016）控制要求。严禁废气治理设施以“小马拉大车”等敷衍应付。</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5、治理设施应与其对应的生产工艺设备同步运转。治理设施应有详细的设计方案、工艺参数等。因治理设施故障造成非正常排放，应停止运转对应的生产工艺设备，待检修完毕后共同投入使用。</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6、监测要求。企业按照环境监测管理规定和技术规范要求，设计、建设、维护永久性采样口、采样测试平台和排污口标志。VOCs排放速率（包括等效排气筒等效排放速率）大于2.5kg/h或排气量大于40000m3/h的重点工业固定排放源，安装VOCs在线监测设施（FID）并联网，推进VOCs在线监测设施安装联网情况纳入排污许可管理。</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7、治理管控效果。无组织VOCs排放满足河北省《工业企业挥发性有机物排放控制标准》（DB13/2322-2016）排放限值要求。厂界：非甲烷总烃2 mg/m3，苯0.1mg/m3，甲苯0.6mg/m3，二甲苯0.2mg/m3。</w:t>
                  </w:r>
                </w:p>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8、加强VOCs污染控制及治理设施运行记录管理。应符合《工业企业挥发性有机污染物排放控制标准》（DB13/2322-2016）附录A有关要求，并明确专人负责。</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固体粉料投料废气采用脉冲布袋除尘器处理；炼胶、硫化废气采用催化燃烧装置处理；本项目无生产废水产生；项目经过治理后，</w:t>
                  </w:r>
                  <w:r>
                    <w:rPr>
                      <w:rFonts w:hint="default" w:ascii="Times New Roman" w:hAnsi="Times New Roman" w:eastAsia="宋体" w:cs="Times New Roman"/>
                      <w:color w:val="auto"/>
                      <w:kern w:val="2"/>
                      <w:sz w:val="18"/>
                      <w:szCs w:val="18"/>
                      <w:highlight w:val="none"/>
                      <w:shd w:val="clear" w:color="auto" w:fill="FFFFFF"/>
                      <w:lang w:val="en-US" w:eastAsia="zh-CN"/>
                    </w:rPr>
                    <w:t>无组织VOCs排放满足河北省《工业企业挥发性有机物排放控制标准》（DB13/2322-2016）排放限值要求</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68" w:type="pct"/>
                  <w:vMerge w:val="restart"/>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关于印发《唐山市2023年第一季度大气污染综合治理工作方案》的通知</w:t>
                  </w:r>
                  <w:r>
                    <w:rPr>
                      <w:rFonts w:hint="eastAsia" w:cs="Times New Roman"/>
                      <w:color w:val="auto"/>
                      <w:kern w:val="2"/>
                      <w:sz w:val="18"/>
                      <w:szCs w:val="18"/>
                      <w:highlight w:val="none"/>
                      <w:shd w:val="clear" w:color="auto" w:fill="FFFFFF"/>
                      <w:lang w:val="en-US" w:eastAsia="zh-CN"/>
                    </w:rPr>
                    <w:t>（唐气领办〔2023〕1 号）</w:t>
                  </w: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2. 全面加强源头替代。重点涉VOCs企业实施低 VOCs 含量原辅材料替代，其中木制家具制造、汽车零部件、工程机械使用比例达到80%；钢结构、船舶制造使用比例达到50%；房屋建筑和市政工程全部使用低VOCs含量涂料和胶黏剂。</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项目所用喷涂原料均符合</w:t>
                  </w:r>
                  <w:r>
                    <w:rPr>
                      <w:rFonts w:hint="default" w:ascii="Times New Roman" w:hAnsi="Times New Roman"/>
                      <w:color w:val="auto"/>
                      <w:spacing w:val="2"/>
                      <w:sz w:val="18"/>
                      <w:szCs w:val="18"/>
                      <w:highlight w:val="none"/>
                    </w:rPr>
                    <w:t>《低挥发性有机化合物含</w:t>
                  </w:r>
                  <w:r>
                    <w:rPr>
                      <w:rFonts w:hint="default" w:ascii="Times New Roman" w:hAnsi="Times New Roman"/>
                      <w:color w:val="auto"/>
                      <w:spacing w:val="-12"/>
                      <w:sz w:val="18"/>
                      <w:szCs w:val="18"/>
                      <w:highlight w:val="none"/>
                    </w:rPr>
                    <w:t>量涂料产品技术要求》（GB/T</w:t>
                  </w:r>
                  <w:r>
                    <w:rPr>
                      <w:rFonts w:hint="default" w:ascii="Times New Roman" w:hAnsi="Times New Roman"/>
                      <w:color w:val="auto"/>
                      <w:spacing w:val="-1"/>
                      <w:sz w:val="18"/>
                      <w:szCs w:val="18"/>
                      <w:highlight w:val="none"/>
                    </w:rPr>
                    <w:t>38597-2020）规定的溶剂型涂料产品</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768" w:type="pct"/>
                  <w:vMerge w:val="continue"/>
                  <w:tcBorders>
                    <w:left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green"/>
                      <w:shd w:val="clear" w:color="auto" w:fill="FFFFFF"/>
                      <w:lang w:val="en-US" w:eastAsia="zh-CN"/>
                    </w:rPr>
                  </w:pPr>
                </w:p>
              </w:tc>
              <w:tc>
                <w:tcPr>
                  <w:tcW w:w="2451"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eastAsia="宋体" w:cs="Times New Roman"/>
                      <w:color w:val="auto"/>
                      <w:kern w:val="2"/>
                      <w:sz w:val="18"/>
                      <w:szCs w:val="18"/>
                      <w:highlight w:val="none"/>
                      <w:shd w:val="clear" w:color="auto" w:fill="FFFFFF"/>
                      <w:lang w:val="en-US" w:eastAsia="zh-CN"/>
                    </w:rPr>
                  </w:pPr>
                  <w:r>
                    <w:rPr>
                      <w:rFonts w:hint="default" w:ascii="Times New Roman" w:hAnsi="Times New Roman" w:eastAsia="宋体" w:cs="Times New Roman"/>
                      <w:color w:val="auto"/>
                      <w:kern w:val="2"/>
                      <w:sz w:val="18"/>
                      <w:szCs w:val="18"/>
                      <w:highlight w:val="none"/>
                      <w:shd w:val="clear" w:color="auto" w:fill="FFFFFF"/>
                      <w:lang w:val="en-US" w:eastAsia="zh-CN"/>
                    </w:rPr>
                    <w:t>4.建设适宜高效的治污设施。排查辖区内是否存在使用低效治理设施的企业，对使用单一低温等离子、光催化、光氧化以及非水溶性 VOCs 废气采用单一喷淋吸收等低效治理设施的，依据废气排放浓度、组分、风量以及生产工况等，选择适宜高效治理技术，实施提标改造。</w:t>
                  </w:r>
                </w:p>
              </w:tc>
              <w:tc>
                <w:tcPr>
                  <w:tcW w:w="1246"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olor w:val="auto"/>
                      <w:sz w:val="18"/>
                      <w:szCs w:val="18"/>
                      <w:lang w:bidi="zh-TW"/>
                    </w:rPr>
                    <w:t>本项目有机废气采用</w:t>
                  </w:r>
                  <w:r>
                    <w:rPr>
                      <w:rFonts w:hint="eastAsia" w:ascii="Times New Roman" w:hAnsi="Times New Roman"/>
                      <w:color w:val="auto"/>
                      <w:sz w:val="18"/>
                      <w:szCs w:val="18"/>
                    </w:rPr>
                    <w:t>“</w:t>
                  </w:r>
                  <w:r>
                    <w:rPr>
                      <w:rFonts w:hint="eastAsia"/>
                      <w:color w:val="auto"/>
                      <w:sz w:val="18"/>
                      <w:szCs w:val="18"/>
                      <w:lang w:val="en-US" w:eastAsia="zh-CN"/>
                    </w:rPr>
                    <w:t>喷淋塔+过滤棉</w:t>
                  </w:r>
                  <w:r>
                    <w:rPr>
                      <w:rFonts w:hint="eastAsia"/>
                      <w:color w:val="auto"/>
                      <w:sz w:val="18"/>
                      <w:szCs w:val="18"/>
                    </w:rPr>
                    <w:t>+活性炭吸附/脱附浓缩</w:t>
                  </w:r>
                  <w:r>
                    <w:rPr>
                      <w:color w:val="auto"/>
                      <w:sz w:val="18"/>
                      <w:szCs w:val="18"/>
                    </w:rPr>
                    <w:t>+催化燃烧设备</w:t>
                  </w:r>
                  <w:r>
                    <w:rPr>
                      <w:rFonts w:hint="eastAsia" w:ascii="Times New Roman" w:hAnsi="Times New Roman"/>
                      <w:color w:val="auto"/>
                      <w:sz w:val="18"/>
                      <w:szCs w:val="18"/>
                    </w:rPr>
                    <w:t>”</w:t>
                  </w:r>
                  <w:r>
                    <w:rPr>
                      <w:rFonts w:hint="eastAsia"/>
                      <w:color w:val="auto"/>
                      <w:sz w:val="18"/>
                      <w:szCs w:val="18"/>
                      <w:lang w:bidi="zh-TW"/>
                    </w:rPr>
                    <w:t>的处理工艺进行处理</w:t>
                  </w:r>
                </w:p>
              </w:tc>
              <w:tc>
                <w:tcPr>
                  <w:tcW w:w="534" w:type="pct"/>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80" w:lineRule="exact"/>
                    <w:ind w:left="0" w:leftChars="0" w:right="0" w:rightChars="0"/>
                    <w:textAlignment w:val="baseline"/>
                    <w:rPr>
                      <w:rFonts w:hint="default" w:ascii="Times New Roman" w:hAnsi="Times New Roman" w:cs="Times New Roman"/>
                      <w:color w:val="auto"/>
                      <w:kern w:val="2"/>
                      <w:sz w:val="18"/>
                      <w:szCs w:val="18"/>
                      <w:highlight w:val="none"/>
                      <w:lang w:val="en-US" w:eastAsia="zh-CN"/>
                    </w:rPr>
                  </w:pPr>
                  <w:r>
                    <w:rPr>
                      <w:rFonts w:hint="eastAsia" w:cs="Times New Roman"/>
                      <w:color w:val="auto"/>
                      <w:kern w:val="2"/>
                      <w:sz w:val="18"/>
                      <w:szCs w:val="18"/>
                      <w:highlight w:val="none"/>
                      <w:lang w:val="en-US" w:eastAsia="zh-CN"/>
                    </w:rPr>
                    <w:t>符合</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snapToGrid w:val="0"/>
                <w:color w:val="auto"/>
                <w:kern w:val="0"/>
                <w:sz w:val="21"/>
                <w:szCs w:val="21"/>
                <w:highlight w:val="green"/>
              </w:rPr>
            </w:pPr>
            <w:r>
              <w:rPr>
                <w:rFonts w:hint="eastAsia" w:ascii="Times New Roman" w:hAnsi="Times New Roman"/>
                <w:snapToGrid w:val="0"/>
                <w:color w:val="auto"/>
                <w:kern w:val="0"/>
                <w:sz w:val="21"/>
                <w:szCs w:val="21"/>
                <w:highlight w:val="none"/>
                <w:lang w:val="en-US" w:eastAsia="zh-CN"/>
              </w:rPr>
              <w:t>根据《河北省2021年大气污染综合治理工作方案》，新上涉气建设项目绩效评级达到B及以上水平。</w:t>
            </w:r>
            <w:r>
              <w:rPr>
                <w:rFonts w:ascii="Times New Roman" w:hAnsi="Times New Roman"/>
                <w:snapToGrid w:val="0"/>
                <w:color w:val="auto"/>
                <w:kern w:val="0"/>
                <w:sz w:val="21"/>
                <w:szCs w:val="21"/>
                <w:highlight w:val="none"/>
              </w:rPr>
              <w:t>本项目对照《重污染天气重点行业应急减排措施制定技术指南》（2021年修订版）中“三十九 工业涂装”绩效分级指标</w:t>
            </w:r>
            <w:r>
              <w:rPr>
                <w:rFonts w:hint="eastAsia" w:ascii="Times New Roman" w:hAnsi="Times New Roman"/>
                <w:snapToGrid w:val="0"/>
                <w:color w:val="auto"/>
                <w:kern w:val="0"/>
                <w:sz w:val="21"/>
                <w:szCs w:val="21"/>
                <w:highlight w:val="none"/>
                <w:lang w:val="en-US" w:eastAsia="zh-CN"/>
              </w:rPr>
              <w:t>B级</w:t>
            </w:r>
            <w:r>
              <w:rPr>
                <w:rFonts w:ascii="Times New Roman" w:hAnsi="Times New Roman"/>
                <w:snapToGrid w:val="0"/>
                <w:color w:val="auto"/>
                <w:kern w:val="0"/>
                <w:sz w:val="21"/>
                <w:szCs w:val="21"/>
                <w:highlight w:val="none"/>
              </w:rPr>
              <w:t>情况如下。</w:t>
            </w:r>
          </w:p>
          <w:p>
            <w:pPr>
              <w:pStyle w:val="29"/>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表</w:t>
            </w:r>
            <w:r>
              <w:rPr>
                <w:rFonts w:hint="eastAsia" w:eastAsia="宋体" w:cs="Times New Roman"/>
                <w:b/>
                <w:color w:val="auto"/>
                <w:sz w:val="21"/>
                <w:szCs w:val="21"/>
                <w:highlight w:val="none"/>
                <w:lang w:val="en-US" w:eastAsia="zh-CN"/>
              </w:rPr>
              <w:t>1-7</w:t>
            </w:r>
            <w:r>
              <w:rPr>
                <w:rFonts w:hint="default" w:ascii="Times New Roman" w:hAnsi="Times New Roman" w:eastAsia="宋体" w:cs="Times New Roman"/>
                <w:b/>
                <w:color w:val="auto"/>
                <w:sz w:val="21"/>
                <w:szCs w:val="21"/>
                <w:highlight w:val="none"/>
                <w:lang w:val="en-US" w:eastAsia="zh-CN"/>
              </w:rPr>
              <w:t xml:space="preserve">   工业涂装绩效分级指标</w:t>
            </w:r>
          </w:p>
          <w:tbl>
            <w:tblPr>
              <w:tblStyle w:val="35"/>
              <w:tblW w:w="4997" w:type="pct"/>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3"/>
              <w:gridCol w:w="3987"/>
              <w:gridCol w:w="2100"/>
              <w:gridCol w:w="7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差异化指标</w:t>
                  </w: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4"/>
                      <w:sz w:val="18"/>
                      <w:szCs w:val="18"/>
                      <w:highlight w:val="none"/>
                    </w:rPr>
                    <w:t>B</w:t>
                  </w:r>
                  <w:r>
                    <w:rPr>
                      <w:rFonts w:hint="default" w:ascii="Times New Roman" w:hAnsi="Times New Roman"/>
                      <w:color w:val="auto"/>
                      <w:spacing w:val="10"/>
                      <w:w w:val="101"/>
                      <w:sz w:val="18"/>
                      <w:szCs w:val="18"/>
                      <w:highlight w:val="none"/>
                    </w:rPr>
                    <w:t xml:space="preserve"> </w:t>
                  </w:r>
                  <w:r>
                    <w:rPr>
                      <w:rFonts w:hint="default" w:ascii="Times New Roman" w:hAnsi="Times New Roman"/>
                      <w:color w:val="auto"/>
                      <w:spacing w:val="-4"/>
                      <w:sz w:val="18"/>
                      <w:szCs w:val="18"/>
                      <w:highlight w:val="none"/>
                    </w:rPr>
                    <w:t>级企业</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4"/>
                      <w:sz w:val="18"/>
                      <w:szCs w:val="18"/>
                      <w:highlight w:val="none"/>
                    </w:rPr>
                  </w:pPr>
                  <w:r>
                    <w:rPr>
                      <w:rFonts w:hint="default" w:ascii="Times New Roman" w:hAnsi="Times New Roman"/>
                      <w:color w:val="auto"/>
                      <w:spacing w:val="-4"/>
                      <w:sz w:val="18"/>
                      <w:szCs w:val="18"/>
                      <w:highlight w:val="none"/>
                    </w:rPr>
                    <w:t>企业情况</w:t>
                  </w:r>
                </w:p>
              </w:tc>
              <w:tc>
                <w:tcPr>
                  <w:tcW w:w="520" w:type="pct"/>
                  <w:tcBorders>
                    <w:tl2br w:val="nil"/>
                    <w:tr2bl w:val="nil"/>
                  </w:tcBorders>
                  <w:noWrap w:val="0"/>
                  <w:vAlign w:val="center"/>
                </w:tcPr>
                <w:p>
                  <w:pPr>
                    <w:adjustRightInd w:val="0"/>
                    <w:snapToGrid w:val="0"/>
                    <w:jc w:val="center"/>
                    <w:rPr>
                      <w:rFonts w:hint="default" w:ascii="Times New Roman" w:hAnsi="Times New Roman" w:eastAsia="宋体"/>
                      <w:color w:val="auto"/>
                      <w:spacing w:val="-4"/>
                      <w:sz w:val="18"/>
                      <w:szCs w:val="18"/>
                      <w:highlight w:val="none"/>
                      <w:lang w:val="en-US" w:eastAsia="zh-CN"/>
                    </w:rPr>
                  </w:pPr>
                  <w:r>
                    <w:rPr>
                      <w:rFonts w:hint="eastAsia" w:ascii="Times New Roman" w:hAnsi="Times New Roman"/>
                      <w:color w:val="auto"/>
                      <w:spacing w:val="-4"/>
                      <w:sz w:val="18"/>
                      <w:szCs w:val="18"/>
                      <w:highlight w:val="none"/>
                      <w:lang w:val="en-US" w:eastAsia="zh-CN"/>
                    </w:rPr>
                    <w:t>符合情况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restar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4"/>
                      <w:sz w:val="18"/>
                      <w:szCs w:val="18"/>
                      <w:highlight w:val="none"/>
                    </w:rPr>
                    <w:t>原辅材料</w:t>
                  </w:r>
                </w:p>
              </w:tc>
              <w:tc>
                <w:tcPr>
                  <w:tcW w:w="2705" w:type="pct"/>
                  <w:tcBorders>
                    <w:tl2br w:val="nil"/>
                    <w:tr2bl w:val="nil"/>
                  </w:tcBorders>
                  <w:noWrap w:val="0"/>
                  <w:vAlign w:val="center"/>
                </w:tcPr>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1"/>
                      <w:sz w:val="18"/>
                      <w:szCs w:val="18"/>
                      <w:highlight w:val="none"/>
                    </w:rPr>
                    <w:t>1、使用符合《船舶涂料中有害物质限</w:t>
                  </w:r>
                  <w:r>
                    <w:rPr>
                      <w:rFonts w:hint="default" w:ascii="Times New Roman" w:hAnsi="Times New Roman"/>
                      <w:color w:val="auto"/>
                      <w:spacing w:val="-5"/>
                      <w:sz w:val="18"/>
                      <w:szCs w:val="18"/>
                      <w:highlight w:val="none"/>
                    </w:rPr>
                    <w:t>量》（</w:t>
                  </w:r>
                  <w:r>
                    <w:rPr>
                      <w:rFonts w:hint="default" w:ascii="Times New Roman" w:hAnsi="Times New Roman"/>
                      <w:color w:val="auto"/>
                      <w:spacing w:val="-58"/>
                      <w:sz w:val="18"/>
                      <w:szCs w:val="18"/>
                      <w:highlight w:val="none"/>
                    </w:rPr>
                    <w:t xml:space="preserve"> </w:t>
                  </w:r>
                  <w:r>
                    <w:rPr>
                      <w:rFonts w:hint="default" w:ascii="Times New Roman" w:hAnsi="Times New Roman"/>
                      <w:color w:val="auto"/>
                      <w:spacing w:val="-5"/>
                      <w:sz w:val="18"/>
                      <w:szCs w:val="18"/>
                      <w:highlight w:val="none"/>
                    </w:rPr>
                    <w:t>GB</w:t>
                  </w:r>
                  <w:r>
                    <w:rPr>
                      <w:rFonts w:hint="default" w:ascii="Times New Roman" w:hAnsi="Times New Roman"/>
                      <w:color w:val="auto"/>
                      <w:spacing w:val="16"/>
                      <w:w w:val="101"/>
                      <w:sz w:val="18"/>
                      <w:szCs w:val="18"/>
                      <w:highlight w:val="none"/>
                    </w:rPr>
                    <w:t xml:space="preserve"> </w:t>
                  </w:r>
                  <w:r>
                    <w:rPr>
                      <w:rFonts w:hint="default" w:ascii="Times New Roman" w:hAnsi="Times New Roman"/>
                      <w:color w:val="auto"/>
                      <w:spacing w:val="-5"/>
                      <w:sz w:val="18"/>
                      <w:szCs w:val="18"/>
                      <w:highlight w:val="none"/>
                    </w:rPr>
                    <w:t>38469-2019）、</w:t>
                  </w:r>
                  <w:r>
                    <w:rPr>
                      <w:rFonts w:hint="default" w:ascii="Times New Roman" w:hAnsi="Times New Roman"/>
                      <w:color w:val="auto"/>
                      <w:spacing w:val="-99"/>
                      <w:sz w:val="18"/>
                      <w:szCs w:val="18"/>
                      <w:highlight w:val="none"/>
                    </w:rPr>
                    <w:t xml:space="preserve"> </w:t>
                  </w:r>
                  <w:r>
                    <w:rPr>
                      <w:rFonts w:hint="default" w:ascii="Times New Roman" w:hAnsi="Times New Roman"/>
                      <w:color w:val="auto"/>
                      <w:spacing w:val="-5"/>
                      <w:sz w:val="18"/>
                      <w:szCs w:val="18"/>
                      <w:highlight w:val="none"/>
                    </w:rPr>
                    <w:t>《木器涂料</w:t>
                  </w:r>
                  <w:r>
                    <w:rPr>
                      <w:rFonts w:hint="default" w:ascii="Times New Roman" w:hAnsi="Times New Roman"/>
                      <w:color w:val="auto"/>
                      <w:spacing w:val="-7"/>
                      <w:sz w:val="18"/>
                      <w:szCs w:val="18"/>
                      <w:highlight w:val="none"/>
                    </w:rPr>
                    <w:t>中有害物质限量》（GB18581-2020）、</w:t>
                  </w:r>
                  <w:r>
                    <w:rPr>
                      <w:rFonts w:hint="default" w:ascii="Times New Roman" w:hAnsi="Times New Roman"/>
                      <w:color w:val="auto"/>
                      <w:spacing w:val="-14"/>
                      <w:sz w:val="18"/>
                      <w:szCs w:val="18"/>
                      <w:highlight w:val="none"/>
                    </w:rPr>
                    <w:t>《车辆涂料中有害物质限量》</w:t>
                  </w:r>
                  <w:r>
                    <w:rPr>
                      <w:rFonts w:hint="default" w:ascii="Times New Roman" w:hAnsi="Times New Roman"/>
                      <w:color w:val="auto"/>
                      <w:spacing w:val="-4"/>
                      <w:sz w:val="18"/>
                      <w:szCs w:val="18"/>
                      <w:highlight w:val="none"/>
                    </w:rPr>
                    <w:t>（GB24409-2020）、《工业防护涂料中</w:t>
                  </w:r>
                  <w:r>
                    <w:rPr>
                      <w:rFonts w:hint="default" w:ascii="Times New Roman" w:hAnsi="Times New Roman"/>
                      <w:color w:val="auto"/>
                      <w:spacing w:val="-6"/>
                      <w:sz w:val="18"/>
                      <w:szCs w:val="18"/>
                      <w:highlight w:val="none"/>
                    </w:rPr>
                    <w:t>有害物质限量》（GB30981-2020）等标</w:t>
                  </w:r>
                  <w:r>
                    <w:rPr>
                      <w:rFonts w:hint="default" w:ascii="Times New Roman" w:hAnsi="Times New Roman"/>
                      <w:color w:val="auto"/>
                      <w:spacing w:val="-3"/>
                      <w:sz w:val="18"/>
                      <w:szCs w:val="18"/>
                      <w:highlight w:val="none"/>
                    </w:rPr>
                    <w:t>准规定的水性、无溶剂、辐射固化涂料</w:t>
                  </w:r>
                  <w:r>
                    <w:rPr>
                      <w:rFonts w:hint="default" w:ascii="Times New Roman" w:hAnsi="Times New Roman"/>
                      <w:color w:val="auto"/>
                      <w:spacing w:val="-4"/>
                      <w:sz w:val="18"/>
                      <w:szCs w:val="18"/>
                      <w:highlight w:val="none"/>
                    </w:rPr>
                    <w:t>产品；</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2、使用符合《低挥发性有机化合物含</w:t>
                  </w:r>
                  <w:r>
                    <w:rPr>
                      <w:rFonts w:hint="default" w:ascii="Times New Roman" w:hAnsi="Times New Roman"/>
                      <w:color w:val="auto"/>
                      <w:spacing w:val="-12"/>
                      <w:sz w:val="18"/>
                      <w:szCs w:val="18"/>
                      <w:highlight w:val="none"/>
                    </w:rPr>
                    <w:t>量涂料产品技术要求》（GB/T</w:t>
                  </w:r>
                  <w:r>
                    <w:rPr>
                      <w:rFonts w:hint="default" w:ascii="Times New Roman" w:hAnsi="Times New Roman"/>
                      <w:color w:val="auto"/>
                      <w:spacing w:val="-1"/>
                      <w:sz w:val="18"/>
                      <w:szCs w:val="18"/>
                      <w:highlight w:val="none"/>
                    </w:rPr>
                    <w:t>38597-2020）规定的溶剂型涂料产品</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2"/>
                      <w:sz w:val="18"/>
                      <w:szCs w:val="18"/>
                      <w:highlight w:val="none"/>
                    </w:rPr>
                  </w:pPr>
                  <w:r>
                    <w:rPr>
                      <w:rFonts w:hint="default" w:ascii="Times New Roman" w:hAnsi="Times New Roman"/>
                      <w:color w:val="auto"/>
                      <w:spacing w:val="2"/>
                      <w:sz w:val="18"/>
                      <w:szCs w:val="18"/>
                      <w:highlight w:val="none"/>
                    </w:rPr>
                    <w:t>本项目使用低挥发性有机化合物含量的涂料，含量</w:t>
                  </w:r>
                  <w:r>
                    <w:rPr>
                      <w:rFonts w:hint="eastAsia"/>
                      <w:color w:val="auto"/>
                      <w:spacing w:val="2"/>
                      <w:sz w:val="18"/>
                      <w:szCs w:val="18"/>
                      <w:highlight w:val="none"/>
                      <w:lang w:val="en-US" w:eastAsia="zh-CN"/>
                    </w:rPr>
                    <w:t>均小于</w:t>
                  </w:r>
                  <w:r>
                    <w:rPr>
                      <w:rFonts w:hint="eastAsia" w:ascii="Times New Roman" w:hAnsi="Times New Roman"/>
                      <w:color w:val="auto"/>
                      <w:sz w:val="18"/>
                      <w:szCs w:val="18"/>
                      <w:highlight w:val="none"/>
                      <w:lang w:val="en-US" w:eastAsia="zh-CN"/>
                    </w:rPr>
                    <w:t>4</w:t>
                  </w:r>
                  <w:r>
                    <w:rPr>
                      <w:rFonts w:hint="eastAsia"/>
                      <w:color w:val="auto"/>
                      <w:sz w:val="18"/>
                      <w:szCs w:val="18"/>
                      <w:highlight w:val="none"/>
                      <w:lang w:val="en-US" w:eastAsia="zh-CN"/>
                    </w:rPr>
                    <w:t>20</w:t>
                  </w:r>
                  <w:r>
                    <w:rPr>
                      <w:rFonts w:hint="default" w:ascii="Times New Roman" w:hAnsi="Times New Roman"/>
                      <w:color w:val="auto"/>
                      <w:sz w:val="18"/>
                      <w:szCs w:val="18"/>
                      <w:highlight w:val="none"/>
                    </w:rPr>
                    <w:t>g/L</w:t>
                  </w:r>
                  <w:r>
                    <w:rPr>
                      <w:rFonts w:hint="default" w:ascii="Times New Roman" w:hAnsi="Times New Roman"/>
                      <w:color w:val="auto"/>
                      <w:spacing w:val="2"/>
                      <w:sz w:val="18"/>
                      <w:szCs w:val="18"/>
                      <w:highlight w:val="none"/>
                    </w:rPr>
                    <w:t>，</w:t>
                  </w:r>
                  <w:r>
                    <w:rPr>
                      <w:rFonts w:ascii="Times New Roman" w:hAnsi="Times New Roman"/>
                      <w:color w:val="auto"/>
                      <w:spacing w:val="2"/>
                      <w:sz w:val="18"/>
                      <w:szCs w:val="18"/>
                      <w:highlight w:val="none"/>
                    </w:rPr>
                    <w:t>属于低挥发性有机化合物含量涂料，</w:t>
                  </w:r>
                  <w:r>
                    <w:rPr>
                      <w:rFonts w:hint="default" w:ascii="Times New Roman" w:hAnsi="Times New Roman"/>
                      <w:color w:val="auto"/>
                      <w:spacing w:val="2"/>
                      <w:sz w:val="18"/>
                      <w:szCs w:val="18"/>
                      <w:highlight w:val="none"/>
                    </w:rPr>
                    <w:t>满足B级</w:t>
                  </w:r>
                  <w:r>
                    <w:rPr>
                      <w:rFonts w:ascii="Times New Roman" w:hAnsi="Times New Roman"/>
                      <w:color w:val="auto"/>
                      <w:spacing w:val="2"/>
                      <w:sz w:val="18"/>
                      <w:szCs w:val="18"/>
                      <w:highlight w:val="none"/>
                    </w:rPr>
                    <w:t>要求</w:t>
                  </w:r>
                  <w:r>
                    <w:rPr>
                      <w:rFonts w:hint="default" w:ascii="Times New Roman" w:hAnsi="Times New Roman"/>
                      <w:color w:val="auto"/>
                      <w:spacing w:val="2"/>
                      <w:sz w:val="18"/>
                      <w:szCs w:val="18"/>
                      <w:highlight w:val="none"/>
                    </w:rPr>
                    <w:t>要求</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2"/>
                      <w:sz w:val="18"/>
                      <w:szCs w:val="18"/>
                      <w:highlight w:val="none"/>
                      <w:lang w:val="en-US" w:eastAsia="zh-CN"/>
                    </w:rPr>
                  </w:pPr>
                  <w:r>
                    <w:rPr>
                      <w:rFonts w:hint="eastAsia" w:ascii="Times New Roman" w:hAnsi="Times New Roman"/>
                      <w:color w:val="auto"/>
                      <w:spacing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continue"/>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green"/>
                    </w:rPr>
                  </w:pP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kern w:val="2"/>
                      <w:sz w:val="18"/>
                      <w:szCs w:val="18"/>
                      <w:highlight w:val="none"/>
                      <w:lang w:val="en-US" w:eastAsia="zh-CN" w:bidi="ar-SA"/>
                    </w:rPr>
                  </w:pPr>
                  <w:r>
                    <w:rPr>
                      <w:rFonts w:hint="default" w:ascii="Times New Roman" w:hAnsi="Times New Roman"/>
                      <w:color w:val="auto"/>
                      <w:spacing w:val="-4"/>
                      <w:sz w:val="18"/>
                      <w:szCs w:val="18"/>
                      <w:highlight w:val="none"/>
                    </w:rPr>
                    <w:t>备注：对于申报A、B级的企业，若某一工序使用的涂料无低VOCs含量涂料产品替代方案，其VOCs含量应满足《船舶涂料中有害物质限量》</w:t>
                  </w:r>
                  <w:r>
                    <w:rPr>
                      <w:rFonts w:hint="default" w:ascii="Times New Roman" w:hAnsi="Times New Roman"/>
                      <w:color w:val="auto"/>
                      <w:spacing w:val="-3"/>
                      <w:sz w:val="18"/>
                      <w:szCs w:val="18"/>
                      <w:highlight w:val="none"/>
                    </w:rPr>
                    <w:t>（GB38469-2019）、《木器涂料中有害物质限量》（GB18581-2020）、《车辆涂料中有害物质限量》（GB24409-2020）、《工业防护涂料中有</w:t>
                  </w:r>
                  <w:r>
                    <w:rPr>
                      <w:rFonts w:hint="default" w:ascii="Times New Roman" w:hAnsi="Times New Roman"/>
                      <w:color w:val="auto"/>
                      <w:sz w:val="18"/>
                      <w:szCs w:val="18"/>
                      <w:highlight w:val="none"/>
                    </w:rPr>
                    <w:t xml:space="preserve"> </w:t>
                  </w:r>
                  <w:r>
                    <w:rPr>
                      <w:rFonts w:hint="default" w:ascii="Times New Roman" w:hAnsi="Times New Roman"/>
                      <w:color w:val="auto"/>
                      <w:spacing w:val="-5"/>
                      <w:sz w:val="18"/>
                      <w:szCs w:val="18"/>
                      <w:highlight w:val="none"/>
                    </w:rPr>
                    <w:t>害物质限量》（GB30981-2020）等标准的要求</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4"/>
                      <w:sz w:val="18"/>
                      <w:szCs w:val="18"/>
                      <w:highlight w:val="none"/>
                    </w:rPr>
                  </w:pPr>
                  <w:r>
                    <w:rPr>
                      <w:rFonts w:hint="default" w:ascii="Times New Roman" w:hAnsi="Times New Roman"/>
                      <w:color w:val="auto"/>
                      <w:spacing w:val="-4"/>
                      <w:sz w:val="18"/>
                      <w:szCs w:val="18"/>
                      <w:highlight w:val="none"/>
                    </w:rPr>
                    <w:t>/</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4"/>
                      <w:sz w:val="18"/>
                      <w:szCs w:val="18"/>
                      <w:highlight w:val="none"/>
                      <w:lang w:val="en-US" w:eastAsia="zh-CN"/>
                    </w:rPr>
                  </w:pPr>
                  <w:r>
                    <w:rPr>
                      <w:rFonts w:hint="eastAsia" w:ascii="Times New Roman" w:hAnsi="Times New Roman"/>
                      <w:color w:val="auto"/>
                      <w:spacing w:val="-4"/>
                      <w:sz w:val="18"/>
                      <w:szCs w:val="18"/>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无组织排放</w:t>
                  </w:r>
                </w:p>
              </w:tc>
              <w:tc>
                <w:tcPr>
                  <w:tcW w:w="2705" w:type="pct"/>
                  <w:tcBorders>
                    <w:tl2br w:val="nil"/>
                    <w:tr2bl w:val="nil"/>
                  </w:tcBorders>
                  <w:noWrap w:val="0"/>
                  <w:vAlign w:val="center"/>
                </w:tcPr>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4"/>
                      <w:sz w:val="18"/>
                      <w:szCs w:val="18"/>
                      <w:highlight w:val="none"/>
                    </w:rPr>
                    <w:t>1、满足《挥发性有机物无组织排放控制标准》（GB</w:t>
                  </w:r>
                  <w:r>
                    <w:rPr>
                      <w:rFonts w:hint="default" w:ascii="Times New Roman" w:hAnsi="Times New Roman"/>
                      <w:color w:val="auto"/>
                      <w:spacing w:val="9"/>
                      <w:w w:val="101"/>
                      <w:sz w:val="18"/>
                      <w:szCs w:val="18"/>
                      <w:highlight w:val="none"/>
                    </w:rPr>
                    <w:t xml:space="preserve"> </w:t>
                  </w:r>
                  <w:r>
                    <w:rPr>
                      <w:rFonts w:hint="default" w:ascii="Times New Roman" w:hAnsi="Times New Roman"/>
                      <w:color w:val="auto"/>
                      <w:spacing w:val="-4"/>
                      <w:sz w:val="18"/>
                      <w:szCs w:val="18"/>
                      <w:highlight w:val="none"/>
                    </w:rPr>
                    <w:t>37822-2019）特别控制要求；</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1"/>
                      <w:sz w:val="18"/>
                      <w:szCs w:val="18"/>
                      <w:highlight w:val="none"/>
                    </w:rPr>
                    <w:t>2、VOCs物料存储于密闭容器或包装袋中，盛装VOCs物料的容器或包装袋存放于密闭负压的储库、料仓内；</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3、除大型工件特殊作业（例如，船舶制造行业的分段总组、船台、船坞、造船码头等涂装工序）外，调漆、喷漆、流平、烘干、清洗等工序在密闭设备或密闭负压空间内操作；</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4、密闭回收废清洗剂；</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6"/>
                      <w:sz w:val="18"/>
                      <w:szCs w:val="18"/>
                      <w:highlight w:val="none"/>
                    </w:rPr>
                    <w:t>5、建设干式喷漆房；使用湿式喷漆房时，循环水泵间和刮渣间应密闭，安装废气</w:t>
                  </w:r>
                  <w:r>
                    <w:rPr>
                      <w:rFonts w:hint="default" w:ascii="Times New Roman" w:hAnsi="Times New Roman"/>
                      <w:color w:val="auto"/>
                      <w:spacing w:val="-4"/>
                      <w:sz w:val="18"/>
                      <w:szCs w:val="18"/>
                      <w:highlight w:val="none"/>
                    </w:rPr>
                    <w:t>收集设施；</w:t>
                  </w:r>
                </w:p>
                <w:p>
                  <w:pPr>
                    <w:adjustRightInd w:val="0"/>
                    <w:snapToGrid w:val="0"/>
                    <w:jc w:val="left"/>
                    <w:rPr>
                      <w:rFonts w:hint="default" w:ascii="Times New Roman" w:hAnsi="Times New Roman"/>
                      <w:color w:val="auto"/>
                      <w:kern w:val="2"/>
                      <w:sz w:val="18"/>
                      <w:szCs w:val="18"/>
                      <w:highlight w:val="none"/>
                      <w:lang w:val="en-US" w:eastAsia="zh-CN" w:bidi="ar-SA"/>
                    </w:rPr>
                  </w:pPr>
                  <w:r>
                    <w:rPr>
                      <w:rFonts w:hint="default" w:ascii="Times New Roman" w:hAnsi="Times New Roman"/>
                      <w:color w:val="auto"/>
                      <w:spacing w:val="-1"/>
                      <w:sz w:val="18"/>
                      <w:szCs w:val="18"/>
                      <w:highlight w:val="none"/>
                    </w:rPr>
                    <w:t>6、采用静电喷涂、</w:t>
                  </w:r>
                  <w:r>
                    <w:rPr>
                      <w:rFonts w:hint="default" w:ascii="Times New Roman" w:hAnsi="Times New Roman"/>
                      <w:color w:val="auto"/>
                      <w:spacing w:val="-59"/>
                      <w:sz w:val="18"/>
                      <w:szCs w:val="18"/>
                      <w:highlight w:val="none"/>
                    </w:rPr>
                    <w:t xml:space="preserve"> </w:t>
                  </w:r>
                  <w:r>
                    <w:rPr>
                      <w:rFonts w:hint="default" w:ascii="Times New Roman" w:hAnsi="Times New Roman"/>
                      <w:color w:val="auto"/>
                      <w:spacing w:val="-1"/>
                      <w:sz w:val="18"/>
                      <w:szCs w:val="18"/>
                      <w:highlight w:val="none"/>
                    </w:rPr>
                    <w:t>自动喷涂、高压无气喷涂或高流低压（HVLP）喷枪等高效涂装技术，不可使用手动空气喷涂技术</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1"/>
                      <w:sz w:val="18"/>
                      <w:szCs w:val="18"/>
                      <w:highlight w:val="none"/>
                    </w:rPr>
                  </w:pPr>
                  <w:r>
                    <w:rPr>
                      <w:rFonts w:hint="default" w:ascii="Times New Roman" w:hAnsi="Times New Roman"/>
                      <w:color w:val="auto"/>
                      <w:spacing w:val="-4"/>
                      <w:sz w:val="18"/>
                      <w:szCs w:val="18"/>
                      <w:highlight w:val="none"/>
                    </w:rPr>
                    <w:t>满足《挥发性有机物无组织排放控制标准》（GB</w:t>
                  </w:r>
                  <w:r>
                    <w:rPr>
                      <w:rFonts w:hint="default" w:ascii="Times New Roman" w:hAnsi="Times New Roman"/>
                      <w:color w:val="auto"/>
                      <w:spacing w:val="9"/>
                      <w:w w:val="101"/>
                      <w:sz w:val="18"/>
                      <w:szCs w:val="18"/>
                      <w:highlight w:val="none"/>
                    </w:rPr>
                    <w:t xml:space="preserve"> </w:t>
                  </w:r>
                  <w:r>
                    <w:rPr>
                      <w:rFonts w:hint="default" w:ascii="Times New Roman" w:hAnsi="Times New Roman"/>
                      <w:color w:val="auto"/>
                      <w:spacing w:val="-4"/>
                      <w:sz w:val="18"/>
                      <w:szCs w:val="18"/>
                      <w:highlight w:val="none"/>
                    </w:rPr>
                    <w:t>37822-2019）特别控制要求；油漆为桶装</w:t>
                  </w:r>
                  <w:r>
                    <w:rPr>
                      <w:rFonts w:hint="eastAsia"/>
                      <w:color w:val="auto"/>
                      <w:spacing w:val="-4"/>
                      <w:sz w:val="18"/>
                      <w:szCs w:val="18"/>
                      <w:highlight w:val="none"/>
                      <w:lang w:eastAsia="zh-CN"/>
                    </w:rPr>
                    <w:t>，</w:t>
                  </w:r>
                  <w:r>
                    <w:rPr>
                      <w:rFonts w:ascii="Times New Roman" w:hAnsi="Times New Roman"/>
                      <w:color w:val="auto"/>
                      <w:spacing w:val="-4"/>
                      <w:sz w:val="18"/>
                      <w:szCs w:val="18"/>
                      <w:highlight w:val="none"/>
                    </w:rPr>
                    <w:t>置</w:t>
                  </w:r>
                  <w:r>
                    <w:rPr>
                      <w:rFonts w:hint="default" w:ascii="Times New Roman" w:hAnsi="Times New Roman"/>
                      <w:color w:val="auto"/>
                      <w:spacing w:val="-4"/>
                      <w:sz w:val="18"/>
                      <w:szCs w:val="18"/>
                      <w:highlight w:val="none"/>
                    </w:rPr>
                    <w:t>于油漆库内，本项目调漆</w:t>
                  </w:r>
                  <w:r>
                    <w:rPr>
                      <w:rFonts w:hint="eastAsia" w:ascii="Times New Roman" w:hAnsi="Times New Roman"/>
                      <w:color w:val="auto"/>
                      <w:spacing w:val="-4"/>
                      <w:sz w:val="18"/>
                      <w:szCs w:val="18"/>
                      <w:highlight w:val="none"/>
                      <w:lang w:eastAsia="zh-CN"/>
                    </w:rPr>
                    <w:t>、</w:t>
                  </w:r>
                  <w:r>
                    <w:rPr>
                      <w:rFonts w:hint="default" w:ascii="Times New Roman" w:hAnsi="Times New Roman"/>
                      <w:color w:val="auto"/>
                      <w:spacing w:val="-4"/>
                      <w:sz w:val="18"/>
                      <w:szCs w:val="18"/>
                      <w:highlight w:val="none"/>
                    </w:rPr>
                    <w:t>喷漆、晾干在</w:t>
                  </w:r>
                  <w:r>
                    <w:rPr>
                      <w:rFonts w:hint="eastAsia" w:ascii="Times New Roman" w:hAnsi="Times New Roman"/>
                      <w:color w:val="auto"/>
                      <w:spacing w:val="-4"/>
                      <w:sz w:val="18"/>
                      <w:szCs w:val="18"/>
                      <w:highlight w:val="none"/>
                      <w:lang w:val="en-US" w:eastAsia="zh-CN"/>
                    </w:rPr>
                    <w:t>喷漆房内</w:t>
                  </w:r>
                  <w:r>
                    <w:rPr>
                      <w:rFonts w:hint="default" w:ascii="Times New Roman" w:hAnsi="Times New Roman"/>
                      <w:color w:val="auto"/>
                      <w:spacing w:val="-4"/>
                      <w:sz w:val="18"/>
                      <w:szCs w:val="18"/>
                      <w:highlight w:val="none"/>
                    </w:rPr>
                    <w:t>进行，喷漆方式为干式喷漆，喷涂方式为高压无气喷涂方式</w:t>
                  </w:r>
                  <w:r>
                    <w:rPr>
                      <w:rFonts w:ascii="Times New Roman" w:hAnsi="Times New Roman"/>
                      <w:color w:val="auto"/>
                      <w:spacing w:val="-4"/>
                      <w:sz w:val="18"/>
                      <w:szCs w:val="18"/>
                      <w:highlight w:val="none"/>
                    </w:rPr>
                    <w:t>，不涉及废清洗剂，</w:t>
                  </w:r>
                  <w:r>
                    <w:rPr>
                      <w:rFonts w:hint="default" w:ascii="Times New Roman" w:hAnsi="Times New Roman"/>
                      <w:color w:val="auto"/>
                      <w:spacing w:val="-4"/>
                      <w:sz w:val="18"/>
                      <w:szCs w:val="18"/>
                      <w:highlight w:val="none"/>
                    </w:rPr>
                    <w:t>满足要求</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4"/>
                      <w:sz w:val="18"/>
                      <w:szCs w:val="18"/>
                      <w:highlight w:val="none"/>
                      <w:lang w:val="en-US" w:eastAsia="zh-CN"/>
                    </w:rPr>
                  </w:pPr>
                  <w:r>
                    <w:rPr>
                      <w:rFonts w:hint="eastAsia" w:ascii="Times New Roman" w:hAnsi="Times New Roman"/>
                      <w:color w:val="auto"/>
                      <w:spacing w:val="-4"/>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restar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4"/>
                      <w:sz w:val="18"/>
                      <w:szCs w:val="18"/>
                      <w:highlight w:val="none"/>
                    </w:rPr>
                    <w:t>VOCs治污</w:t>
                  </w:r>
                  <w:r>
                    <w:rPr>
                      <w:rFonts w:hint="default" w:ascii="Times New Roman" w:hAnsi="Times New Roman"/>
                      <w:color w:val="auto"/>
                      <w:spacing w:val="-7"/>
                      <w:sz w:val="18"/>
                      <w:szCs w:val="18"/>
                      <w:highlight w:val="none"/>
                    </w:rPr>
                    <w:t>设施</w:t>
                  </w:r>
                </w:p>
              </w:tc>
              <w:tc>
                <w:tcPr>
                  <w:tcW w:w="2705" w:type="pct"/>
                  <w:tcBorders>
                    <w:tl2br w:val="nil"/>
                    <w:tr2bl w:val="nil"/>
                  </w:tcBorders>
                  <w:noWrap w:val="0"/>
                  <w:vAlign w:val="center"/>
                </w:tcPr>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1"/>
                      <w:sz w:val="18"/>
                      <w:szCs w:val="18"/>
                      <w:highlight w:val="none"/>
                    </w:rPr>
                    <w:t>1、喷涂废气设置干式的石灰石、纸盒</w:t>
                  </w:r>
                  <w:r>
                    <w:rPr>
                      <w:rFonts w:hint="default" w:ascii="Times New Roman" w:hAnsi="Times New Roman"/>
                      <w:color w:val="auto"/>
                      <w:spacing w:val="-4"/>
                      <w:sz w:val="18"/>
                      <w:szCs w:val="18"/>
                      <w:highlight w:val="none"/>
                    </w:rPr>
                    <w:t>或湿式的文丘里等高效漆雾处理装置；</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2、使用溶剂型涂料时，调漆、喷漆、流平、烘干、清洗等工序含VOCs废气</w:t>
                  </w:r>
                  <w:r>
                    <w:rPr>
                      <w:rFonts w:hint="default" w:ascii="Times New Roman" w:hAnsi="Times New Roman"/>
                      <w:color w:val="auto"/>
                      <w:spacing w:val="-6"/>
                      <w:sz w:val="18"/>
                      <w:szCs w:val="18"/>
                      <w:highlight w:val="none"/>
                    </w:rPr>
                    <w:t>采用吸附浓缩+燃烧、燃烧等治理技术，</w:t>
                  </w:r>
                  <w:r>
                    <w:rPr>
                      <w:rFonts w:hint="default" w:ascii="Times New Roman" w:hAnsi="Times New Roman"/>
                      <w:color w:val="auto"/>
                      <w:spacing w:val="-1"/>
                      <w:sz w:val="18"/>
                      <w:szCs w:val="18"/>
                      <w:highlight w:val="none"/>
                    </w:rPr>
                    <w:t>处理效率≥85%；</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3、使用水性涂料（含水性UV）时，当</w:t>
                  </w:r>
                  <w:r>
                    <w:rPr>
                      <w:rFonts w:hint="default" w:ascii="Times New Roman" w:hAnsi="Times New Roman"/>
                      <w:color w:val="auto"/>
                      <w:spacing w:val="10"/>
                      <w:sz w:val="18"/>
                      <w:szCs w:val="18"/>
                      <w:highlight w:val="none"/>
                    </w:rPr>
                    <w:t>车间或生产设施排气中NMHC初始排</w:t>
                  </w:r>
                  <w:r>
                    <w:rPr>
                      <w:rFonts w:hint="default" w:ascii="Times New Roman" w:hAnsi="Times New Roman"/>
                      <w:color w:val="auto"/>
                      <w:spacing w:val="-1"/>
                      <w:sz w:val="18"/>
                      <w:szCs w:val="18"/>
                      <w:highlight w:val="none"/>
                    </w:rPr>
                    <w:t>放速率≥2kg/h时，建设末端治污设施</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3"/>
                      <w:sz w:val="18"/>
                      <w:szCs w:val="18"/>
                      <w:highlight w:val="none"/>
                    </w:rPr>
                  </w:pPr>
                  <w:r>
                    <w:rPr>
                      <w:rFonts w:hint="eastAsia"/>
                      <w:color w:val="auto"/>
                      <w:sz w:val="18"/>
                      <w:szCs w:val="18"/>
                      <w:highlight w:val="none"/>
                      <w:lang w:val="en-US" w:eastAsia="zh-CN"/>
                    </w:rPr>
                    <w:t>喷漆房</w:t>
                  </w:r>
                  <w:r>
                    <w:rPr>
                      <w:rFonts w:ascii="Times New Roman" w:hAnsi="Times New Roman" w:eastAsia="宋体" w:cs="Times New Roman"/>
                      <w:color w:val="auto"/>
                      <w:kern w:val="2"/>
                      <w:sz w:val="18"/>
                      <w:szCs w:val="18"/>
                      <w:highlight w:val="none"/>
                      <w:lang w:val="en-US" w:eastAsia="zh-CN" w:bidi="ar-SA"/>
                    </w:rPr>
                    <w:t>的漆雾</w:t>
                  </w:r>
                  <w:r>
                    <w:rPr>
                      <w:rFonts w:hint="eastAsia" w:ascii="Times New Roman" w:hAnsi="Times New Roman" w:eastAsia="宋体" w:cs="Times New Roman"/>
                      <w:color w:val="auto"/>
                      <w:kern w:val="2"/>
                      <w:sz w:val="18"/>
                      <w:szCs w:val="18"/>
                      <w:highlight w:val="none"/>
                      <w:lang w:val="en-US" w:eastAsia="zh-CN" w:bidi="ar-SA"/>
                    </w:rPr>
                    <w:t>采取干湿组合高效</w:t>
                  </w:r>
                  <w:r>
                    <w:rPr>
                      <w:rFonts w:ascii="Times New Roman" w:hAnsi="Times New Roman" w:eastAsia="宋体" w:cs="Times New Roman"/>
                      <w:color w:val="auto"/>
                      <w:kern w:val="2"/>
                      <w:sz w:val="18"/>
                      <w:szCs w:val="18"/>
                      <w:highlight w:val="none"/>
                      <w:lang w:val="en-US" w:eastAsia="zh-CN" w:bidi="ar-SA"/>
                    </w:rPr>
                    <w:t>漆雾预处理</w:t>
                  </w:r>
                  <w:r>
                    <w:rPr>
                      <w:rFonts w:hint="eastAsia" w:ascii="Times New Roman" w:hAnsi="Times New Roman" w:eastAsia="宋体" w:cs="Times New Roman"/>
                      <w:color w:val="auto"/>
                      <w:kern w:val="2"/>
                      <w:sz w:val="18"/>
                      <w:szCs w:val="18"/>
                      <w:highlight w:val="none"/>
                      <w:lang w:val="en-US" w:eastAsia="zh-CN" w:bidi="ar-SA"/>
                    </w:rPr>
                    <w:t>措施，</w:t>
                  </w:r>
                  <w:r>
                    <w:rPr>
                      <w:rFonts w:hint="default" w:ascii="Times New Roman" w:hAnsi="Times New Roman"/>
                      <w:color w:val="auto"/>
                      <w:sz w:val="18"/>
                      <w:szCs w:val="18"/>
                      <w:highlight w:val="none"/>
                    </w:rPr>
                    <w:t>废气经过</w:t>
                  </w:r>
                  <w:r>
                    <w:rPr>
                      <w:rFonts w:hint="eastAsia" w:ascii="Times New Roman" w:hAnsi="Times New Roman"/>
                      <w:color w:val="auto"/>
                      <w:sz w:val="18"/>
                      <w:szCs w:val="18"/>
                      <w:highlight w:val="none"/>
                    </w:rPr>
                    <w:t>“</w:t>
                  </w:r>
                  <w:r>
                    <w:rPr>
                      <w:rFonts w:hint="eastAsia"/>
                      <w:color w:val="auto"/>
                      <w:sz w:val="18"/>
                      <w:szCs w:val="18"/>
                      <w:highlight w:val="none"/>
                      <w:lang w:val="en-US" w:eastAsia="zh-CN"/>
                    </w:rPr>
                    <w:t>喷淋塔+过滤棉</w:t>
                  </w:r>
                  <w:r>
                    <w:rPr>
                      <w:rFonts w:hint="eastAsia"/>
                      <w:color w:val="auto"/>
                      <w:sz w:val="18"/>
                      <w:szCs w:val="18"/>
                      <w:highlight w:val="none"/>
                    </w:rPr>
                    <w:t>+活性炭吸附/脱附浓缩</w:t>
                  </w:r>
                  <w:r>
                    <w:rPr>
                      <w:color w:val="auto"/>
                      <w:sz w:val="18"/>
                      <w:szCs w:val="18"/>
                      <w:highlight w:val="none"/>
                    </w:rPr>
                    <w:t>+催化燃烧设备</w:t>
                  </w:r>
                  <w:r>
                    <w:rPr>
                      <w:rFonts w:hint="eastAsia" w:ascii="Times New Roman" w:hAnsi="Times New Roman"/>
                      <w:color w:val="auto"/>
                      <w:sz w:val="18"/>
                      <w:szCs w:val="18"/>
                      <w:highlight w:val="none"/>
                    </w:rPr>
                    <w:t>”</w:t>
                  </w:r>
                  <w:r>
                    <w:rPr>
                      <w:rFonts w:hint="default" w:ascii="Times New Roman" w:hAnsi="Times New Roman"/>
                      <w:color w:val="auto"/>
                      <w:sz w:val="18"/>
                      <w:szCs w:val="18"/>
                      <w:highlight w:val="none"/>
                    </w:rPr>
                    <w:t>处理设施处理后达标排放，</w:t>
                  </w:r>
                  <w:r>
                    <w:rPr>
                      <w:rFonts w:ascii="Times New Roman" w:hAnsi="Times New Roman"/>
                      <w:color w:val="auto"/>
                      <w:sz w:val="18"/>
                      <w:szCs w:val="18"/>
                      <w:highlight w:val="none"/>
                    </w:rPr>
                    <w:t>“活性炭吸附</w:t>
                  </w:r>
                  <w:r>
                    <w:rPr>
                      <w:rFonts w:hint="eastAsia" w:ascii="Times New Roman" w:hAnsi="Times New Roman"/>
                      <w:color w:val="auto"/>
                      <w:sz w:val="18"/>
                      <w:szCs w:val="18"/>
                      <w:highlight w:val="none"/>
                      <w:lang w:val="en-US" w:eastAsia="zh-CN"/>
                    </w:rPr>
                    <w:t>/</w:t>
                  </w:r>
                  <w:r>
                    <w:rPr>
                      <w:rFonts w:ascii="Times New Roman" w:hAnsi="Times New Roman"/>
                      <w:color w:val="auto"/>
                      <w:sz w:val="18"/>
                      <w:szCs w:val="18"/>
                      <w:highlight w:val="none"/>
                    </w:rPr>
                    <w:t>脱附</w:t>
                  </w:r>
                  <w:r>
                    <w:rPr>
                      <w:rFonts w:hint="eastAsia" w:ascii="Times New Roman" w:hAnsi="Times New Roman"/>
                      <w:color w:val="auto"/>
                      <w:sz w:val="18"/>
                      <w:szCs w:val="18"/>
                      <w:highlight w:val="none"/>
                      <w:lang w:val="en-US" w:eastAsia="zh-CN"/>
                    </w:rPr>
                    <w:t>浓缩</w:t>
                  </w:r>
                  <w:r>
                    <w:rPr>
                      <w:rFonts w:ascii="Times New Roman" w:hAnsi="Times New Roman"/>
                      <w:color w:val="auto"/>
                      <w:sz w:val="18"/>
                      <w:szCs w:val="18"/>
                      <w:highlight w:val="none"/>
                    </w:rPr>
                    <w:t>+催化燃烧”对有机物处理效率大于85%</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continue"/>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pacing w:val="-5"/>
                      <w:sz w:val="18"/>
                      <w:szCs w:val="18"/>
                      <w:highlight w:val="none"/>
                    </w:rPr>
                  </w:pPr>
                  <w:r>
                    <w:rPr>
                      <w:rFonts w:hint="default" w:ascii="Times New Roman" w:hAnsi="Times New Roman"/>
                      <w:color w:val="auto"/>
                      <w:spacing w:val="-5"/>
                      <w:sz w:val="18"/>
                      <w:szCs w:val="18"/>
                      <w:highlight w:val="none"/>
                    </w:rPr>
                    <w:t>备注：采用粉末涂料或VOCs含量≤60g/L的无溶剂涂料时，排放浓度稳定达标且排放速率、排放绩效等满足相关规定的，相应生产工序可不要求</w:t>
                  </w:r>
                  <w:r>
                    <w:rPr>
                      <w:rFonts w:hint="default" w:ascii="Times New Roman" w:hAnsi="Times New Roman"/>
                      <w:color w:val="auto"/>
                      <w:spacing w:val="-2"/>
                      <w:sz w:val="18"/>
                      <w:szCs w:val="18"/>
                      <w:highlight w:val="none"/>
                    </w:rPr>
                    <w:t>建设末端治理设施</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5"/>
                      <w:sz w:val="18"/>
                      <w:szCs w:val="18"/>
                      <w:highlight w:val="none"/>
                    </w:rPr>
                  </w:pPr>
                  <w:r>
                    <w:rPr>
                      <w:rFonts w:hint="default" w:ascii="Times New Roman" w:hAnsi="Times New Roman"/>
                      <w:color w:val="auto"/>
                      <w:spacing w:val="-5"/>
                      <w:sz w:val="18"/>
                      <w:szCs w:val="18"/>
                      <w:highlight w:val="none"/>
                    </w:rPr>
                    <w:t>/</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5"/>
                      <w:sz w:val="18"/>
                      <w:szCs w:val="18"/>
                      <w:highlight w:val="none"/>
                      <w:lang w:val="en-US" w:eastAsia="zh-CN"/>
                    </w:rPr>
                  </w:pPr>
                  <w:r>
                    <w:rPr>
                      <w:rFonts w:hint="eastAsia" w:ascii="Times New Roman" w:hAnsi="Times New Roman"/>
                      <w:color w:val="auto"/>
                      <w:spacing w:val="-5"/>
                      <w:sz w:val="18"/>
                      <w:szCs w:val="18"/>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restar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排放限值</w:t>
                  </w: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1"/>
                      <w:sz w:val="18"/>
                      <w:szCs w:val="18"/>
                      <w:highlight w:val="none"/>
                    </w:rPr>
                    <w:t>1、在连续一年的监测数据中，车间或</w:t>
                  </w:r>
                  <w:r>
                    <w:rPr>
                      <w:rFonts w:hint="default" w:ascii="Times New Roman" w:hAnsi="Times New Roman"/>
                      <w:color w:val="auto"/>
                      <w:sz w:val="18"/>
                      <w:szCs w:val="18"/>
                      <w:highlight w:val="none"/>
                    </w:rPr>
                    <w:t>生产设施排气筒排放的NMHC为30-40</w:t>
                  </w:r>
                  <w:r>
                    <w:rPr>
                      <w:rFonts w:hint="default" w:ascii="Times New Roman" w:hAnsi="Times New Roman"/>
                      <w:color w:val="auto"/>
                      <w:spacing w:val="-3"/>
                      <w:sz w:val="18"/>
                      <w:szCs w:val="18"/>
                      <w:highlight w:val="none"/>
                    </w:rPr>
                    <w:t>mg/m</w:t>
                  </w:r>
                  <w:r>
                    <w:rPr>
                      <w:rFonts w:ascii="Times New Roman" w:hAnsi="Times New Roman"/>
                      <w:color w:val="auto"/>
                      <w:spacing w:val="-3"/>
                      <w:sz w:val="18"/>
                      <w:szCs w:val="18"/>
                      <w:highlight w:val="none"/>
                      <w:vertAlign w:val="superscript"/>
                    </w:rPr>
                    <w:t>3</w:t>
                  </w:r>
                  <w:r>
                    <w:rPr>
                      <w:rFonts w:hint="default" w:ascii="Times New Roman" w:hAnsi="Times New Roman"/>
                      <w:color w:val="auto"/>
                      <w:spacing w:val="-3"/>
                      <w:sz w:val="18"/>
                      <w:szCs w:val="18"/>
                      <w:highlight w:val="none"/>
                    </w:rPr>
                    <w:t>、TVO为50-60mg/m</w:t>
                  </w:r>
                  <w:r>
                    <w:rPr>
                      <w:rFonts w:ascii="Times New Roman" w:hAnsi="Times New Roman"/>
                      <w:color w:val="auto"/>
                      <w:spacing w:val="-3"/>
                      <w:sz w:val="18"/>
                      <w:szCs w:val="18"/>
                      <w:highlight w:val="none"/>
                      <w:vertAlign w:val="superscript"/>
                    </w:rPr>
                    <w:t>3</w:t>
                  </w:r>
                  <w:r>
                    <w:rPr>
                      <w:rFonts w:hint="default" w:ascii="Times New Roman" w:hAnsi="Times New Roman"/>
                      <w:color w:val="auto"/>
                      <w:spacing w:val="-3"/>
                      <w:sz w:val="18"/>
                      <w:szCs w:val="18"/>
                      <w:highlight w:val="none"/>
                    </w:rPr>
                    <w:t>；</w:t>
                  </w:r>
                </w:p>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4"/>
                      <w:sz w:val="18"/>
                      <w:szCs w:val="18"/>
                      <w:highlight w:val="none"/>
                    </w:rPr>
                    <w:t>2、厂区内无组织排放监控点NMHC的</w:t>
                  </w:r>
                  <w:r>
                    <w:rPr>
                      <w:rFonts w:hint="default" w:ascii="Times New Roman" w:hAnsi="Times New Roman"/>
                      <w:color w:val="auto"/>
                      <w:spacing w:val="-1"/>
                      <w:sz w:val="18"/>
                      <w:szCs w:val="18"/>
                      <w:highlight w:val="none"/>
                    </w:rPr>
                    <w:t>小时平均浓度值不超过6mg/m</w:t>
                  </w:r>
                  <w:r>
                    <w:rPr>
                      <w:rFonts w:ascii="Times New Roman" w:hAnsi="Times New Roman"/>
                      <w:color w:val="auto"/>
                      <w:spacing w:val="-3"/>
                      <w:sz w:val="18"/>
                      <w:szCs w:val="18"/>
                      <w:highlight w:val="none"/>
                      <w:vertAlign w:val="superscript"/>
                    </w:rPr>
                    <w:t>3</w:t>
                  </w:r>
                  <w:r>
                    <w:rPr>
                      <w:rFonts w:hint="default" w:ascii="Times New Roman" w:hAnsi="Times New Roman"/>
                      <w:color w:val="auto"/>
                      <w:spacing w:val="-1"/>
                      <w:sz w:val="18"/>
                      <w:szCs w:val="18"/>
                      <w:highlight w:val="none"/>
                    </w:rPr>
                    <w:t>、任意</w:t>
                  </w:r>
                  <w:r>
                    <w:rPr>
                      <w:rFonts w:hint="default" w:ascii="Times New Roman" w:hAnsi="Times New Roman"/>
                      <w:color w:val="auto"/>
                      <w:spacing w:val="-2"/>
                      <w:sz w:val="18"/>
                      <w:szCs w:val="18"/>
                      <w:highlight w:val="none"/>
                    </w:rPr>
                    <w:t>一次浓度值不超过20mg/m</w:t>
                  </w:r>
                  <w:r>
                    <w:rPr>
                      <w:rFonts w:ascii="Times New Roman" w:hAnsi="Times New Roman"/>
                      <w:color w:val="auto"/>
                      <w:spacing w:val="-3"/>
                      <w:sz w:val="18"/>
                      <w:szCs w:val="18"/>
                      <w:highlight w:val="none"/>
                      <w:vertAlign w:val="superscript"/>
                    </w:rPr>
                    <w:t>3</w:t>
                  </w:r>
                  <w:r>
                    <w:rPr>
                      <w:rFonts w:hint="default" w:ascii="Times New Roman" w:hAnsi="Times New Roman"/>
                      <w:color w:val="auto"/>
                      <w:spacing w:val="-2"/>
                      <w:sz w:val="18"/>
                      <w:szCs w:val="18"/>
                      <w:highlight w:val="none"/>
                    </w:rPr>
                    <w:t>；</w:t>
                  </w:r>
                </w:p>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3、其他各项污染物稳定达到现行排放</w:t>
                  </w:r>
                  <w:r>
                    <w:rPr>
                      <w:rFonts w:hint="default" w:ascii="Times New Roman" w:hAnsi="Times New Roman"/>
                      <w:color w:val="auto"/>
                      <w:spacing w:val="-1"/>
                      <w:sz w:val="18"/>
                      <w:szCs w:val="18"/>
                      <w:highlight w:val="none"/>
                    </w:rPr>
                    <w:t>控制要求，并从严地方要求</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2"/>
                      <w:sz w:val="18"/>
                      <w:szCs w:val="18"/>
                      <w:highlight w:val="none"/>
                    </w:rPr>
                  </w:pPr>
                  <w:r>
                    <w:rPr>
                      <w:rFonts w:hint="default" w:ascii="Times New Roman" w:hAnsi="Times New Roman"/>
                      <w:color w:val="auto"/>
                      <w:spacing w:val="2"/>
                      <w:sz w:val="18"/>
                      <w:szCs w:val="18"/>
                      <w:highlight w:val="none"/>
                    </w:rPr>
                    <w:t>本项目为</w:t>
                  </w:r>
                  <w:r>
                    <w:rPr>
                      <w:rFonts w:hint="eastAsia"/>
                      <w:color w:val="auto"/>
                      <w:spacing w:val="2"/>
                      <w:sz w:val="18"/>
                      <w:szCs w:val="18"/>
                      <w:highlight w:val="none"/>
                      <w:lang w:val="en-US" w:eastAsia="zh-CN"/>
                    </w:rPr>
                    <w:t>新建</w:t>
                  </w:r>
                  <w:r>
                    <w:rPr>
                      <w:rFonts w:hint="default" w:ascii="Times New Roman" w:hAnsi="Times New Roman"/>
                      <w:color w:val="auto"/>
                      <w:spacing w:val="2"/>
                      <w:sz w:val="18"/>
                      <w:szCs w:val="18"/>
                      <w:highlight w:val="none"/>
                    </w:rPr>
                    <w:t>项目，</w:t>
                  </w:r>
                  <w:r>
                    <w:rPr>
                      <w:rFonts w:ascii="Times New Roman" w:hAnsi="Times New Roman"/>
                      <w:color w:val="auto"/>
                      <w:spacing w:val="2"/>
                      <w:sz w:val="18"/>
                      <w:szCs w:val="18"/>
                      <w:highlight w:val="none"/>
                    </w:rPr>
                    <w:t>根据预测数据</w:t>
                  </w:r>
                  <w:r>
                    <w:rPr>
                      <w:rFonts w:hint="default" w:ascii="Times New Roman" w:hAnsi="Times New Roman"/>
                      <w:color w:val="auto"/>
                      <w:spacing w:val="2"/>
                      <w:sz w:val="18"/>
                      <w:szCs w:val="18"/>
                      <w:highlight w:val="none"/>
                    </w:rPr>
                    <w:t>排放浓度</w:t>
                  </w:r>
                  <w:r>
                    <w:rPr>
                      <w:rFonts w:ascii="Times New Roman" w:hAnsi="Times New Roman"/>
                      <w:color w:val="auto"/>
                      <w:spacing w:val="2"/>
                      <w:sz w:val="18"/>
                      <w:szCs w:val="18"/>
                      <w:highlight w:val="none"/>
                    </w:rPr>
                    <w:t>，非甲烷总烃最大排放浓度可</w:t>
                  </w:r>
                  <w:r>
                    <w:rPr>
                      <w:rFonts w:hint="default" w:ascii="Times New Roman" w:hAnsi="Times New Roman"/>
                      <w:color w:val="auto"/>
                      <w:spacing w:val="2"/>
                      <w:sz w:val="18"/>
                      <w:szCs w:val="18"/>
                      <w:highlight w:val="none"/>
                    </w:rPr>
                    <w:t>满足</w:t>
                  </w:r>
                  <w:r>
                    <w:rPr>
                      <w:rFonts w:hint="eastAsia"/>
                      <w:color w:val="auto"/>
                      <w:spacing w:val="2"/>
                      <w:sz w:val="18"/>
                      <w:szCs w:val="18"/>
                      <w:highlight w:val="none"/>
                      <w:lang w:val="en-US" w:eastAsia="zh-CN"/>
                    </w:rPr>
                    <w:t>B</w:t>
                  </w:r>
                  <w:r>
                    <w:rPr>
                      <w:rFonts w:hint="default" w:ascii="Times New Roman" w:hAnsi="Times New Roman"/>
                      <w:color w:val="auto"/>
                      <w:spacing w:val="2"/>
                      <w:sz w:val="18"/>
                      <w:szCs w:val="18"/>
                      <w:highlight w:val="none"/>
                    </w:rPr>
                    <w:t>级</w:t>
                  </w:r>
                  <w:r>
                    <w:rPr>
                      <w:rFonts w:ascii="Times New Roman" w:hAnsi="Times New Roman"/>
                      <w:color w:val="auto"/>
                      <w:spacing w:val="2"/>
                      <w:sz w:val="18"/>
                      <w:szCs w:val="18"/>
                      <w:highlight w:val="none"/>
                    </w:rPr>
                    <w:t>以上限值</w:t>
                  </w:r>
                  <w:r>
                    <w:rPr>
                      <w:rFonts w:hint="default" w:ascii="Times New Roman" w:hAnsi="Times New Roman"/>
                      <w:color w:val="auto"/>
                      <w:spacing w:val="2"/>
                      <w:sz w:val="18"/>
                      <w:szCs w:val="18"/>
                      <w:highlight w:val="none"/>
                    </w:rPr>
                    <w:t>要求</w:t>
                  </w:r>
                  <w:r>
                    <w:rPr>
                      <w:rFonts w:ascii="Times New Roman" w:hAnsi="Times New Roman"/>
                      <w:color w:val="auto"/>
                      <w:spacing w:val="2"/>
                      <w:sz w:val="18"/>
                      <w:szCs w:val="18"/>
                      <w:highlight w:val="none"/>
                    </w:rPr>
                    <w:t>，无组织非甲烷总烃最大落地浓度能够满足</w:t>
                  </w:r>
                  <w:r>
                    <w:rPr>
                      <w:rFonts w:hint="default" w:ascii="Times New Roman" w:hAnsi="Times New Roman"/>
                      <w:color w:val="auto"/>
                      <w:spacing w:val="-4"/>
                      <w:sz w:val="18"/>
                      <w:szCs w:val="18"/>
                      <w:highlight w:val="none"/>
                    </w:rPr>
                    <w:t>监控点NMHC的</w:t>
                  </w:r>
                  <w:r>
                    <w:rPr>
                      <w:rFonts w:hint="default" w:ascii="Times New Roman" w:hAnsi="Times New Roman"/>
                      <w:color w:val="auto"/>
                      <w:spacing w:val="-1"/>
                      <w:sz w:val="18"/>
                      <w:szCs w:val="18"/>
                      <w:highlight w:val="none"/>
                    </w:rPr>
                    <w:t>小时平均浓度值不超过6mg/m</w:t>
                  </w:r>
                  <w:r>
                    <w:rPr>
                      <w:rFonts w:ascii="Times New Roman" w:hAnsi="Times New Roman"/>
                      <w:color w:val="auto"/>
                      <w:spacing w:val="-3"/>
                      <w:sz w:val="18"/>
                      <w:szCs w:val="18"/>
                      <w:highlight w:val="none"/>
                      <w:vertAlign w:val="superscript"/>
                    </w:rPr>
                    <w:t>3</w:t>
                  </w:r>
                  <w:r>
                    <w:rPr>
                      <w:rFonts w:hint="default" w:ascii="Times New Roman" w:hAnsi="Times New Roman"/>
                      <w:color w:val="auto"/>
                      <w:spacing w:val="-1"/>
                      <w:sz w:val="18"/>
                      <w:szCs w:val="18"/>
                      <w:highlight w:val="none"/>
                    </w:rPr>
                    <w:t>、任意</w:t>
                  </w:r>
                  <w:r>
                    <w:rPr>
                      <w:rFonts w:hint="default" w:ascii="Times New Roman" w:hAnsi="Times New Roman"/>
                      <w:color w:val="auto"/>
                      <w:spacing w:val="-2"/>
                      <w:sz w:val="18"/>
                      <w:szCs w:val="18"/>
                      <w:highlight w:val="none"/>
                    </w:rPr>
                    <w:t>一次浓度值不超过20mg/m</w:t>
                  </w:r>
                  <w:r>
                    <w:rPr>
                      <w:rFonts w:ascii="Times New Roman" w:hAnsi="Times New Roman"/>
                      <w:color w:val="auto"/>
                      <w:spacing w:val="-3"/>
                      <w:sz w:val="18"/>
                      <w:szCs w:val="18"/>
                      <w:highlight w:val="none"/>
                      <w:vertAlign w:val="superscript"/>
                    </w:rPr>
                    <w:t>3</w:t>
                  </w:r>
                  <w:r>
                    <w:rPr>
                      <w:rFonts w:ascii="Times New Roman" w:hAnsi="Times New Roman"/>
                      <w:color w:val="auto"/>
                      <w:spacing w:val="-3"/>
                      <w:sz w:val="18"/>
                      <w:szCs w:val="18"/>
                      <w:highlight w:val="none"/>
                    </w:rPr>
                    <w:t>要求</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2"/>
                      <w:sz w:val="18"/>
                      <w:szCs w:val="18"/>
                      <w:highlight w:val="none"/>
                      <w:lang w:val="en-US" w:eastAsia="zh-CN"/>
                    </w:rPr>
                  </w:pPr>
                  <w:r>
                    <w:rPr>
                      <w:rFonts w:hint="eastAsia" w:ascii="Times New Roman" w:hAnsi="Times New Roman"/>
                      <w:color w:val="auto"/>
                      <w:spacing w:val="2"/>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continue"/>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pacing w:val="-5"/>
                      <w:sz w:val="18"/>
                      <w:szCs w:val="18"/>
                      <w:highlight w:val="none"/>
                    </w:rPr>
                  </w:pPr>
                  <w:r>
                    <w:rPr>
                      <w:rFonts w:hint="default" w:ascii="Times New Roman" w:hAnsi="Times New Roman"/>
                      <w:color w:val="auto"/>
                      <w:spacing w:val="-5"/>
                      <w:sz w:val="18"/>
                      <w:szCs w:val="18"/>
                      <w:highlight w:val="none"/>
                    </w:rPr>
                    <w:t>备注：车间或生产设施排气筒排放的TVOC浓度限值要求待相应的监测标准发布后执行</w:t>
                  </w:r>
                </w:p>
              </w:tc>
              <w:tc>
                <w:tcPr>
                  <w:tcW w:w="1425" w:type="pct"/>
                  <w:tcBorders>
                    <w:tl2br w:val="nil"/>
                    <w:tr2bl w:val="nil"/>
                  </w:tcBorders>
                  <w:noWrap w:val="0"/>
                  <w:vAlign w:val="center"/>
                </w:tcPr>
                <w:p>
                  <w:pPr>
                    <w:adjustRightInd w:val="0"/>
                    <w:snapToGrid w:val="0"/>
                    <w:jc w:val="center"/>
                    <w:rPr>
                      <w:rFonts w:ascii="Times New Roman" w:hAnsi="Times New Roman"/>
                      <w:color w:val="auto"/>
                      <w:spacing w:val="-5"/>
                      <w:sz w:val="18"/>
                      <w:szCs w:val="18"/>
                      <w:highlight w:val="none"/>
                    </w:rPr>
                  </w:pPr>
                  <w:r>
                    <w:rPr>
                      <w:rFonts w:ascii="Times New Roman" w:hAnsi="Times New Roman"/>
                      <w:color w:val="auto"/>
                      <w:spacing w:val="-5"/>
                      <w:sz w:val="18"/>
                      <w:szCs w:val="18"/>
                      <w:highlight w:val="none"/>
                    </w:rPr>
                    <w:t>/</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color w:val="auto"/>
                      <w:spacing w:val="-5"/>
                      <w:sz w:val="18"/>
                      <w:szCs w:val="18"/>
                      <w:highlight w:val="none"/>
                      <w:lang w:val="en-US" w:eastAsia="zh-CN"/>
                    </w:rPr>
                  </w:pPr>
                  <w:r>
                    <w:rPr>
                      <w:rFonts w:hint="eastAsia" w:ascii="Times New Roman" w:hAnsi="Times New Roman"/>
                      <w:color w:val="auto"/>
                      <w:spacing w:val="-5"/>
                      <w:sz w:val="18"/>
                      <w:szCs w:val="18"/>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监测监控</w:t>
                  </w:r>
                  <w:r>
                    <w:rPr>
                      <w:rFonts w:hint="default" w:ascii="Times New Roman" w:hAnsi="Times New Roman"/>
                      <w:color w:val="auto"/>
                      <w:sz w:val="18"/>
                      <w:szCs w:val="18"/>
                      <w:highlight w:val="none"/>
                    </w:rPr>
                    <w:t xml:space="preserve"> </w:t>
                  </w:r>
                  <w:r>
                    <w:rPr>
                      <w:rFonts w:hint="default" w:ascii="Times New Roman" w:hAnsi="Times New Roman"/>
                      <w:color w:val="auto"/>
                      <w:spacing w:val="-6"/>
                      <w:sz w:val="18"/>
                      <w:szCs w:val="18"/>
                      <w:highlight w:val="none"/>
                    </w:rPr>
                    <w:t>水平</w:t>
                  </w:r>
                </w:p>
              </w:tc>
              <w:tc>
                <w:tcPr>
                  <w:tcW w:w="2705" w:type="pct"/>
                  <w:tcBorders>
                    <w:tl2br w:val="nil"/>
                    <w:tr2bl w:val="nil"/>
                  </w:tcBorders>
                  <w:noWrap w:val="0"/>
                  <w:vAlign w:val="center"/>
                </w:tcPr>
                <w:p>
                  <w:pPr>
                    <w:adjustRightInd w:val="0"/>
                    <w:snapToGrid w:val="0"/>
                    <w:jc w:val="left"/>
                    <w:rPr>
                      <w:rFonts w:hint="default" w:ascii="Times New Roman" w:hAnsi="Times New Roman"/>
                      <w:i w:val="0"/>
                      <w:iCs w:val="0"/>
                      <w:color w:val="auto"/>
                      <w:sz w:val="18"/>
                      <w:szCs w:val="18"/>
                      <w:highlight w:val="none"/>
                    </w:rPr>
                  </w:pPr>
                  <w:r>
                    <w:rPr>
                      <w:rFonts w:hint="default" w:ascii="Times New Roman" w:hAnsi="Times New Roman"/>
                      <w:i w:val="0"/>
                      <w:iCs w:val="0"/>
                      <w:color w:val="auto"/>
                      <w:spacing w:val="1"/>
                      <w:sz w:val="18"/>
                      <w:szCs w:val="18"/>
                      <w:highlight w:val="none"/>
                    </w:rPr>
                    <w:t>1、严格执行《排污许可证申请与核发</w:t>
                  </w:r>
                  <w:r>
                    <w:rPr>
                      <w:rFonts w:hint="default" w:ascii="Times New Roman" w:hAnsi="Times New Roman"/>
                      <w:i w:val="0"/>
                      <w:iCs w:val="0"/>
                      <w:color w:val="auto"/>
                      <w:spacing w:val="-9"/>
                      <w:sz w:val="18"/>
                      <w:szCs w:val="18"/>
                      <w:highlight w:val="none"/>
                    </w:rPr>
                    <w:t>技术规范</w:t>
                  </w:r>
                  <w:r>
                    <w:rPr>
                      <w:rFonts w:hint="default" w:ascii="Times New Roman" w:hAnsi="Times New Roman"/>
                      <w:i w:val="0"/>
                      <w:iCs w:val="0"/>
                      <w:color w:val="auto"/>
                      <w:spacing w:val="26"/>
                      <w:sz w:val="18"/>
                      <w:szCs w:val="18"/>
                      <w:highlight w:val="none"/>
                    </w:rPr>
                    <w:t xml:space="preserve"> </w:t>
                  </w:r>
                  <w:r>
                    <w:rPr>
                      <w:rFonts w:hint="default" w:ascii="Times New Roman" w:hAnsi="Times New Roman"/>
                      <w:i w:val="0"/>
                      <w:iCs w:val="0"/>
                      <w:color w:val="auto"/>
                      <w:spacing w:val="-9"/>
                      <w:sz w:val="18"/>
                      <w:szCs w:val="18"/>
                      <w:highlight w:val="none"/>
                    </w:rPr>
                    <w:t>总则》（HJ942－2018）</w:t>
                  </w:r>
                  <w:r>
                    <w:rPr>
                      <w:rFonts w:hint="default" w:ascii="Times New Roman" w:hAnsi="Times New Roman"/>
                      <w:i w:val="0"/>
                      <w:iCs w:val="0"/>
                      <w:color w:val="auto"/>
                      <w:spacing w:val="-56"/>
                      <w:sz w:val="18"/>
                      <w:szCs w:val="18"/>
                      <w:highlight w:val="none"/>
                    </w:rPr>
                    <w:t xml:space="preserve"> </w:t>
                  </w:r>
                  <w:r>
                    <w:rPr>
                      <w:rFonts w:hint="default" w:ascii="Times New Roman" w:hAnsi="Times New Roman"/>
                      <w:i w:val="0"/>
                      <w:iCs w:val="0"/>
                      <w:color w:val="auto"/>
                      <w:spacing w:val="-9"/>
                      <w:sz w:val="18"/>
                      <w:szCs w:val="18"/>
                      <w:highlight w:val="none"/>
                    </w:rPr>
                    <w:t>以</w:t>
                  </w:r>
                  <w:r>
                    <w:rPr>
                      <w:rFonts w:hint="default" w:ascii="Times New Roman" w:hAnsi="Times New Roman"/>
                      <w:i w:val="0"/>
                      <w:iCs w:val="0"/>
                      <w:color w:val="auto"/>
                      <w:spacing w:val="10"/>
                      <w:sz w:val="18"/>
                      <w:szCs w:val="18"/>
                      <w:highlight w:val="none"/>
                    </w:rPr>
                    <w:t>及相关行业排污许可证申请与核发技</w:t>
                  </w:r>
                  <w:r>
                    <w:rPr>
                      <w:rFonts w:hint="default" w:ascii="Times New Roman" w:hAnsi="Times New Roman"/>
                      <w:i w:val="0"/>
                      <w:iCs w:val="0"/>
                      <w:color w:val="auto"/>
                      <w:spacing w:val="-1"/>
                      <w:sz w:val="18"/>
                      <w:szCs w:val="18"/>
                      <w:highlight w:val="none"/>
                    </w:rPr>
                    <w:t>术规范规定的自行监测管理要求；</w:t>
                  </w:r>
                </w:p>
                <w:p>
                  <w:pPr>
                    <w:adjustRightInd w:val="0"/>
                    <w:snapToGrid w:val="0"/>
                    <w:jc w:val="left"/>
                    <w:rPr>
                      <w:rFonts w:hint="default" w:ascii="Times New Roman" w:hAnsi="Times New Roman"/>
                      <w:i w:val="0"/>
                      <w:iCs w:val="0"/>
                      <w:color w:val="auto"/>
                      <w:sz w:val="18"/>
                      <w:szCs w:val="18"/>
                      <w:highlight w:val="none"/>
                    </w:rPr>
                  </w:pPr>
                  <w:r>
                    <w:rPr>
                      <w:rFonts w:hint="default" w:ascii="Times New Roman" w:hAnsi="Times New Roman"/>
                      <w:i w:val="0"/>
                      <w:iCs w:val="0"/>
                      <w:color w:val="auto"/>
                      <w:spacing w:val="4"/>
                      <w:sz w:val="18"/>
                      <w:szCs w:val="18"/>
                      <w:highlight w:val="none"/>
                    </w:rPr>
                    <w:t>2、重点排污企业风量大于10000m</w:t>
                  </w:r>
                  <w:r>
                    <w:rPr>
                      <w:rFonts w:hint="default" w:ascii="Times New Roman" w:hAnsi="Times New Roman"/>
                      <w:i w:val="0"/>
                      <w:iCs w:val="0"/>
                      <w:color w:val="auto"/>
                      <w:spacing w:val="4"/>
                      <w:position w:val="6"/>
                      <w:sz w:val="18"/>
                      <w:szCs w:val="18"/>
                      <w:highlight w:val="none"/>
                      <w:vertAlign w:val="superscript"/>
                    </w:rPr>
                    <w:t>3</w:t>
                  </w:r>
                  <w:r>
                    <w:rPr>
                      <w:rFonts w:hint="default" w:ascii="Times New Roman" w:hAnsi="Times New Roman"/>
                      <w:i w:val="0"/>
                      <w:iCs w:val="0"/>
                      <w:color w:val="auto"/>
                      <w:spacing w:val="4"/>
                      <w:sz w:val="18"/>
                      <w:szCs w:val="18"/>
                      <w:highlight w:val="none"/>
                    </w:rPr>
                    <w:t>/h</w:t>
                  </w:r>
                  <w:r>
                    <w:rPr>
                      <w:rFonts w:hint="default" w:ascii="Times New Roman" w:hAnsi="Times New Roman"/>
                      <w:i w:val="0"/>
                      <w:iCs w:val="0"/>
                      <w:color w:val="auto"/>
                      <w:spacing w:val="11"/>
                      <w:sz w:val="18"/>
                      <w:szCs w:val="18"/>
                      <w:highlight w:val="none"/>
                    </w:rPr>
                    <w:t>的主要排放口，有机废气排放口安装</w:t>
                  </w:r>
                  <w:r>
                    <w:rPr>
                      <w:rFonts w:hint="default" w:ascii="Times New Roman" w:hAnsi="Times New Roman"/>
                      <w:i w:val="0"/>
                      <w:iCs w:val="0"/>
                      <w:color w:val="auto"/>
                      <w:spacing w:val="2"/>
                      <w:sz w:val="18"/>
                      <w:szCs w:val="18"/>
                      <w:highlight w:val="none"/>
                    </w:rPr>
                    <w:t>NMHC在线监测设施（FID检测器</w:t>
                  </w:r>
                  <w:r>
                    <w:rPr>
                      <w:rFonts w:hint="default" w:ascii="Times New Roman" w:hAnsi="Times New Roman"/>
                      <w:i w:val="0"/>
                      <w:iCs w:val="0"/>
                      <w:color w:val="auto"/>
                      <w:spacing w:val="-64"/>
                      <w:sz w:val="18"/>
                      <w:szCs w:val="18"/>
                      <w:highlight w:val="none"/>
                    </w:rPr>
                    <w:t>），</w:t>
                  </w:r>
                  <w:r>
                    <w:rPr>
                      <w:rFonts w:hint="default" w:ascii="Times New Roman" w:hAnsi="Times New Roman"/>
                      <w:i w:val="0"/>
                      <w:iCs w:val="0"/>
                      <w:color w:val="auto"/>
                      <w:sz w:val="18"/>
                      <w:szCs w:val="18"/>
                      <w:highlight w:val="none"/>
                    </w:rPr>
                    <w:t>自动监控数据保存一年以上；</w:t>
                  </w:r>
                </w:p>
                <w:p>
                  <w:pPr>
                    <w:adjustRightInd w:val="0"/>
                    <w:snapToGrid w:val="0"/>
                    <w:jc w:val="left"/>
                    <w:rPr>
                      <w:rFonts w:hint="default" w:ascii="Times New Roman" w:hAnsi="Times New Roman"/>
                      <w:i w:val="0"/>
                      <w:iCs w:val="0"/>
                      <w:color w:val="auto"/>
                      <w:sz w:val="18"/>
                      <w:szCs w:val="18"/>
                      <w:highlight w:val="none"/>
                    </w:rPr>
                  </w:pPr>
                  <w:r>
                    <w:rPr>
                      <w:rFonts w:hint="default" w:ascii="Times New Roman" w:hAnsi="Times New Roman"/>
                      <w:i w:val="0"/>
                      <w:iCs w:val="0"/>
                      <w:color w:val="auto"/>
                      <w:spacing w:val="-5"/>
                      <w:sz w:val="18"/>
                      <w:szCs w:val="18"/>
                      <w:highlight w:val="none"/>
                    </w:rPr>
                    <w:t>3、安装DCS系统、PLC系统、仪器仪表</w:t>
                  </w:r>
                  <w:r>
                    <w:rPr>
                      <w:rFonts w:hint="default" w:ascii="Times New Roman" w:hAnsi="Times New Roman"/>
                      <w:i w:val="0"/>
                      <w:iCs w:val="0"/>
                      <w:color w:val="auto"/>
                      <w:spacing w:val="-3"/>
                      <w:sz w:val="18"/>
                      <w:szCs w:val="18"/>
                      <w:highlight w:val="none"/>
                    </w:rPr>
                    <w:t>等装置，记录治理设施主要参数，数据</w:t>
                  </w:r>
                  <w:r>
                    <w:rPr>
                      <w:rFonts w:hint="default" w:ascii="Times New Roman" w:hAnsi="Times New Roman"/>
                      <w:i w:val="0"/>
                      <w:iCs w:val="0"/>
                      <w:color w:val="auto"/>
                      <w:spacing w:val="-2"/>
                      <w:sz w:val="18"/>
                      <w:szCs w:val="18"/>
                      <w:highlight w:val="none"/>
                    </w:rPr>
                    <w:t>保存一年以上</w:t>
                  </w:r>
                </w:p>
              </w:tc>
              <w:tc>
                <w:tcPr>
                  <w:tcW w:w="1425" w:type="pct"/>
                  <w:tcBorders>
                    <w:tl2br w:val="nil"/>
                    <w:tr2bl w:val="nil"/>
                  </w:tcBorders>
                  <w:noWrap w:val="0"/>
                  <w:vAlign w:val="center"/>
                </w:tcPr>
                <w:p>
                  <w:pPr>
                    <w:adjustRightInd w:val="0"/>
                    <w:snapToGrid w:val="0"/>
                    <w:jc w:val="center"/>
                    <w:rPr>
                      <w:rFonts w:hint="default" w:ascii="Times New Roman" w:hAnsi="Times New Roman"/>
                      <w:i w:val="0"/>
                      <w:iCs w:val="0"/>
                      <w:color w:val="auto"/>
                      <w:spacing w:val="-5"/>
                      <w:sz w:val="18"/>
                      <w:szCs w:val="18"/>
                      <w:highlight w:val="none"/>
                    </w:rPr>
                  </w:pPr>
                  <w:r>
                    <w:rPr>
                      <w:rFonts w:hint="default" w:ascii="Times New Roman" w:hAnsi="Times New Roman"/>
                      <w:i w:val="0"/>
                      <w:iCs w:val="0"/>
                      <w:color w:val="auto"/>
                      <w:spacing w:val="-5"/>
                      <w:sz w:val="18"/>
                      <w:szCs w:val="18"/>
                      <w:highlight w:val="none"/>
                    </w:rPr>
                    <w:t>本项目自行监测要求按文件规定执行，本项目不</w:t>
                  </w:r>
                  <w:r>
                    <w:rPr>
                      <w:rFonts w:hint="eastAsia" w:ascii="Times New Roman" w:hAnsi="Times New Roman"/>
                      <w:i w:val="0"/>
                      <w:iCs w:val="0"/>
                      <w:color w:val="auto"/>
                      <w:spacing w:val="-5"/>
                      <w:sz w:val="18"/>
                      <w:szCs w:val="18"/>
                      <w:highlight w:val="none"/>
                      <w:lang w:val="en-US" w:eastAsia="zh-CN"/>
                    </w:rPr>
                    <w:t>在</w:t>
                  </w:r>
                  <w:r>
                    <w:rPr>
                      <w:rFonts w:hint="default" w:ascii="Times New Roman" w:hAnsi="Times New Roman"/>
                      <w:i w:val="0"/>
                      <w:iCs w:val="0"/>
                      <w:color w:val="auto"/>
                      <w:spacing w:val="-5"/>
                      <w:sz w:val="18"/>
                      <w:szCs w:val="18"/>
                      <w:highlight w:val="none"/>
                    </w:rPr>
                    <w:t>重点排污</w:t>
                  </w:r>
                  <w:r>
                    <w:rPr>
                      <w:rFonts w:hint="eastAsia" w:ascii="Times New Roman" w:hAnsi="Times New Roman"/>
                      <w:i w:val="0"/>
                      <w:iCs w:val="0"/>
                      <w:color w:val="auto"/>
                      <w:spacing w:val="-5"/>
                      <w:sz w:val="18"/>
                      <w:szCs w:val="18"/>
                      <w:highlight w:val="none"/>
                      <w:lang w:val="en-US" w:eastAsia="zh-CN"/>
                    </w:rPr>
                    <w:t>单位之列</w:t>
                  </w:r>
                  <w:r>
                    <w:rPr>
                      <w:rFonts w:ascii="Times New Roman" w:hAnsi="Times New Roman"/>
                      <w:i w:val="0"/>
                      <w:iCs w:val="0"/>
                      <w:color w:val="auto"/>
                      <w:spacing w:val="-5"/>
                      <w:sz w:val="18"/>
                      <w:szCs w:val="18"/>
                      <w:highlight w:val="none"/>
                    </w:rPr>
                    <w:t>，</w:t>
                  </w:r>
                  <w:r>
                    <w:rPr>
                      <w:rFonts w:hint="eastAsia"/>
                      <w:i w:val="0"/>
                      <w:iCs w:val="0"/>
                      <w:color w:val="auto"/>
                      <w:kern w:val="0"/>
                      <w:sz w:val="18"/>
                      <w:szCs w:val="18"/>
                      <w:highlight w:val="none"/>
                    </w:rPr>
                    <w:t>安装自动控制系统</w:t>
                  </w:r>
                  <w:r>
                    <w:rPr>
                      <w:i w:val="0"/>
                      <w:iCs w:val="0"/>
                      <w:color w:val="auto"/>
                      <w:kern w:val="0"/>
                      <w:sz w:val="18"/>
                      <w:szCs w:val="18"/>
                      <w:highlight w:val="none"/>
                    </w:rPr>
                    <w:t>记录治理设施主要参数，数据保存一年以上</w:t>
                  </w:r>
                  <w:r>
                    <w:rPr>
                      <w:rFonts w:hint="default" w:ascii="Times New Roman" w:hAnsi="Times New Roman"/>
                      <w:i w:val="0"/>
                      <w:iCs w:val="0"/>
                      <w:color w:val="auto"/>
                      <w:spacing w:val="-3"/>
                      <w:sz w:val="18"/>
                      <w:szCs w:val="18"/>
                      <w:highlight w:val="none"/>
                    </w:rPr>
                    <w:t>，记录治理设施主要参数，数据</w:t>
                  </w:r>
                  <w:r>
                    <w:rPr>
                      <w:rFonts w:hint="default" w:ascii="Times New Roman" w:hAnsi="Times New Roman"/>
                      <w:i w:val="0"/>
                      <w:iCs w:val="0"/>
                      <w:color w:val="auto"/>
                      <w:spacing w:val="-2"/>
                      <w:sz w:val="18"/>
                      <w:szCs w:val="18"/>
                      <w:highlight w:val="none"/>
                    </w:rPr>
                    <w:t>保存一年以上</w:t>
                  </w:r>
                </w:p>
              </w:tc>
              <w:tc>
                <w:tcPr>
                  <w:tcW w:w="520" w:type="pct"/>
                  <w:tcBorders>
                    <w:tl2br w:val="nil"/>
                    <w:tr2bl w:val="nil"/>
                  </w:tcBorders>
                  <w:noWrap w:val="0"/>
                  <w:vAlign w:val="center"/>
                </w:tcPr>
                <w:p>
                  <w:pPr>
                    <w:adjustRightInd w:val="0"/>
                    <w:snapToGrid w:val="0"/>
                    <w:jc w:val="center"/>
                    <w:rPr>
                      <w:rFonts w:hint="eastAsia" w:ascii="Times New Roman" w:hAnsi="Times New Roman" w:eastAsia="宋体"/>
                      <w:i w:val="0"/>
                      <w:iCs w:val="0"/>
                      <w:color w:val="auto"/>
                      <w:spacing w:val="-5"/>
                      <w:sz w:val="18"/>
                      <w:szCs w:val="18"/>
                      <w:highlight w:val="none"/>
                      <w:lang w:val="en-US" w:eastAsia="zh-CN"/>
                    </w:rPr>
                  </w:pPr>
                  <w:r>
                    <w:rPr>
                      <w:rFonts w:hint="eastAsia" w:ascii="Times New Roman" w:hAnsi="Times New Roman"/>
                      <w:i w:val="0"/>
                      <w:iCs w:val="0"/>
                      <w:color w:val="auto"/>
                      <w:spacing w:val="-5"/>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restar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环境管理</w:t>
                  </w:r>
                  <w:r>
                    <w:rPr>
                      <w:rFonts w:hint="default" w:ascii="Times New Roman" w:hAnsi="Times New Roman"/>
                      <w:color w:val="auto"/>
                      <w:spacing w:val="1"/>
                      <w:sz w:val="18"/>
                      <w:szCs w:val="18"/>
                      <w:highlight w:val="none"/>
                    </w:rPr>
                    <w:t xml:space="preserve"> </w:t>
                  </w:r>
                  <w:r>
                    <w:rPr>
                      <w:rFonts w:hint="default" w:ascii="Times New Roman" w:hAnsi="Times New Roman"/>
                      <w:color w:val="auto"/>
                      <w:spacing w:val="-6"/>
                      <w:sz w:val="18"/>
                      <w:szCs w:val="18"/>
                      <w:highlight w:val="none"/>
                    </w:rPr>
                    <w:t>水平</w:t>
                  </w: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pacing w:val="-3"/>
                      <w:kern w:val="2"/>
                      <w:sz w:val="18"/>
                      <w:szCs w:val="18"/>
                      <w:highlight w:val="none"/>
                      <w:lang w:val="en-US" w:eastAsia="zh-CN" w:bidi="ar-SA"/>
                    </w:rPr>
                  </w:pPr>
                  <w:r>
                    <w:rPr>
                      <w:rFonts w:hint="default" w:ascii="Times New Roman" w:hAnsi="Times New Roman"/>
                      <w:color w:val="auto"/>
                      <w:spacing w:val="-3"/>
                      <w:sz w:val="18"/>
                      <w:szCs w:val="18"/>
                      <w:highlight w:val="none"/>
                    </w:rPr>
                    <w:t>环保档案齐全：1、环评批复文件；2、排污许可证及季度、年度执行报告；3、竣工验收文件；4、废气治理设施运行管理规程；5、一年内废气监测报告</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3"/>
                      <w:sz w:val="18"/>
                      <w:szCs w:val="18"/>
                      <w:highlight w:val="none"/>
                    </w:rPr>
                  </w:pPr>
                  <w:r>
                    <w:rPr>
                      <w:rFonts w:hint="default" w:ascii="Times New Roman" w:hAnsi="Times New Roman"/>
                      <w:color w:val="auto"/>
                      <w:spacing w:val="-6"/>
                      <w:sz w:val="18"/>
                      <w:szCs w:val="18"/>
                      <w:highlight w:val="none"/>
                    </w:rPr>
                    <w:t>本项目</w:t>
                  </w:r>
                  <w:r>
                    <w:rPr>
                      <w:rFonts w:ascii="Times New Roman" w:hAnsi="Times New Roman"/>
                      <w:color w:val="auto"/>
                      <w:spacing w:val="-6"/>
                      <w:sz w:val="18"/>
                      <w:szCs w:val="18"/>
                      <w:highlight w:val="none"/>
                    </w:rPr>
                    <w:t>实施后</w:t>
                  </w:r>
                  <w:r>
                    <w:rPr>
                      <w:rFonts w:hint="default" w:ascii="Times New Roman" w:hAnsi="Times New Roman"/>
                      <w:color w:val="auto"/>
                      <w:spacing w:val="-3"/>
                      <w:sz w:val="18"/>
                      <w:szCs w:val="18"/>
                      <w:highlight w:val="none"/>
                    </w:rPr>
                    <w:t>企业</w:t>
                  </w:r>
                  <w:r>
                    <w:rPr>
                      <w:rFonts w:hint="eastAsia"/>
                      <w:color w:val="auto"/>
                      <w:spacing w:val="-3"/>
                      <w:sz w:val="18"/>
                      <w:szCs w:val="18"/>
                      <w:highlight w:val="none"/>
                      <w:lang w:val="en-US" w:eastAsia="zh-CN"/>
                    </w:rPr>
                    <w:t>按照相关要求进行环保档案存档</w:t>
                  </w:r>
                </w:p>
              </w:tc>
              <w:tc>
                <w:tcPr>
                  <w:tcW w:w="520" w:type="pct"/>
                  <w:tcBorders>
                    <w:tl2br w:val="nil"/>
                    <w:tr2bl w:val="nil"/>
                  </w:tcBorders>
                  <w:noWrap w:val="0"/>
                  <w:vAlign w:val="center"/>
                </w:tcPr>
                <w:p>
                  <w:pPr>
                    <w:adjustRightInd w:val="0"/>
                    <w:snapToGrid w:val="0"/>
                    <w:jc w:val="center"/>
                    <w:rPr>
                      <w:rFonts w:hint="default" w:ascii="Times New Roman" w:hAnsi="Times New Roman"/>
                      <w:color w:val="auto"/>
                      <w:spacing w:val="-3"/>
                      <w:sz w:val="18"/>
                      <w:szCs w:val="18"/>
                      <w:highlight w:val="none"/>
                    </w:rPr>
                  </w:pPr>
                  <w:r>
                    <w:rPr>
                      <w:rFonts w:hint="eastAsia" w:ascii="Times New Roman" w:hAnsi="Times New Roman"/>
                      <w:color w:val="auto"/>
                      <w:spacing w:val="-5"/>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continue"/>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kern w:val="2"/>
                      <w:sz w:val="18"/>
                      <w:szCs w:val="18"/>
                      <w:highlight w:val="none"/>
                      <w:lang w:val="en-US" w:eastAsia="zh-CN" w:bidi="ar-SA"/>
                    </w:rPr>
                  </w:pPr>
                  <w:r>
                    <w:rPr>
                      <w:rFonts w:hint="default" w:ascii="Times New Roman" w:hAnsi="Times New Roman"/>
                      <w:color w:val="auto"/>
                      <w:spacing w:val="-6"/>
                      <w:sz w:val="18"/>
                      <w:szCs w:val="18"/>
                      <w:highlight w:val="none"/>
                    </w:rPr>
                    <w:t>台账记录：1、生产设施运行管理信息（生产时间、运行负荷、产品产量等，必须</w:t>
                  </w:r>
                  <w:r>
                    <w:rPr>
                      <w:rFonts w:hint="default" w:ascii="Times New Roman" w:hAnsi="Times New Roman"/>
                      <w:color w:val="auto"/>
                      <w:spacing w:val="-3"/>
                      <w:sz w:val="18"/>
                      <w:szCs w:val="18"/>
                      <w:highlight w:val="none"/>
                    </w:rPr>
                    <w:t>具备近一年及以上所用涂料的密度、扣水后VOCs含量、含水率（水性涂料）等信</w:t>
                  </w:r>
                  <w:r>
                    <w:rPr>
                      <w:rFonts w:hint="default" w:ascii="Times New Roman" w:hAnsi="Times New Roman"/>
                      <w:color w:val="auto"/>
                      <w:spacing w:val="-1"/>
                      <w:sz w:val="18"/>
                      <w:szCs w:val="18"/>
                      <w:highlight w:val="none"/>
                    </w:rPr>
                    <w:t>息的检测报告</w:t>
                  </w:r>
                  <w:r>
                    <w:rPr>
                      <w:rFonts w:hint="default" w:ascii="Times New Roman" w:hAnsi="Times New Roman"/>
                      <w:color w:val="auto"/>
                      <w:spacing w:val="-68"/>
                      <w:sz w:val="18"/>
                      <w:szCs w:val="18"/>
                      <w:highlight w:val="none"/>
                    </w:rPr>
                    <w:t>）；</w:t>
                  </w:r>
                  <w:r>
                    <w:rPr>
                      <w:rFonts w:hint="default" w:ascii="Times New Roman" w:hAnsi="Times New Roman"/>
                      <w:color w:val="auto"/>
                      <w:spacing w:val="-1"/>
                      <w:sz w:val="18"/>
                      <w:szCs w:val="18"/>
                      <w:highlight w:val="none"/>
                    </w:rPr>
                    <w:t>2、废气污染治理设施运行管理信息（燃烧室温度、冷凝温度、</w:t>
                  </w:r>
                  <w:r>
                    <w:rPr>
                      <w:rFonts w:hint="default" w:ascii="Times New Roman" w:hAnsi="Times New Roman"/>
                      <w:color w:val="auto"/>
                      <w:spacing w:val="-2"/>
                      <w:sz w:val="18"/>
                      <w:szCs w:val="18"/>
                      <w:highlight w:val="none"/>
                    </w:rPr>
                    <w:t>过滤材料更换频次、吸附剂更换频次、催化剂更换频次</w:t>
                  </w:r>
                  <w:r>
                    <w:rPr>
                      <w:rFonts w:hint="default" w:ascii="Times New Roman" w:hAnsi="Times New Roman"/>
                      <w:color w:val="auto"/>
                      <w:spacing w:val="-53"/>
                      <w:sz w:val="18"/>
                      <w:szCs w:val="18"/>
                      <w:highlight w:val="none"/>
                    </w:rPr>
                    <w:t>）；</w:t>
                  </w:r>
                  <w:r>
                    <w:rPr>
                      <w:rFonts w:hint="default" w:ascii="Times New Roman" w:hAnsi="Times New Roman"/>
                      <w:color w:val="auto"/>
                      <w:spacing w:val="-2"/>
                      <w:sz w:val="18"/>
                      <w:szCs w:val="18"/>
                      <w:highlight w:val="none"/>
                    </w:rPr>
                    <w:t>3、监测</w:t>
                  </w:r>
                  <w:r>
                    <w:rPr>
                      <w:rFonts w:hint="default" w:ascii="Times New Roman" w:hAnsi="Times New Roman"/>
                      <w:color w:val="auto"/>
                      <w:sz w:val="18"/>
                      <w:szCs w:val="18"/>
                      <w:highlight w:val="none"/>
                    </w:rPr>
                    <w:t>记录信息（主要污染排放口废气排放记录（手工监测或在线监测）等）；4、主要原辅材料消耗记录；5、燃料（天然气）消耗记录</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6"/>
                      <w:sz w:val="18"/>
                      <w:szCs w:val="18"/>
                      <w:highlight w:val="none"/>
                    </w:rPr>
                  </w:pPr>
                  <w:r>
                    <w:rPr>
                      <w:rFonts w:hint="default" w:ascii="Times New Roman" w:hAnsi="Times New Roman"/>
                      <w:color w:val="auto"/>
                      <w:spacing w:val="-6"/>
                      <w:sz w:val="18"/>
                      <w:szCs w:val="18"/>
                      <w:highlight w:val="none"/>
                    </w:rPr>
                    <w:t>本项目</w:t>
                  </w:r>
                  <w:r>
                    <w:rPr>
                      <w:rFonts w:ascii="Times New Roman" w:hAnsi="Times New Roman"/>
                      <w:color w:val="auto"/>
                      <w:spacing w:val="-6"/>
                      <w:sz w:val="18"/>
                      <w:szCs w:val="18"/>
                      <w:highlight w:val="none"/>
                    </w:rPr>
                    <w:t>实施后</w:t>
                  </w:r>
                  <w:r>
                    <w:rPr>
                      <w:rFonts w:hint="default" w:ascii="Times New Roman" w:hAnsi="Times New Roman"/>
                      <w:color w:val="auto"/>
                      <w:spacing w:val="-6"/>
                      <w:sz w:val="18"/>
                      <w:szCs w:val="18"/>
                      <w:highlight w:val="none"/>
                    </w:rPr>
                    <w:t>按要求记录</w:t>
                  </w:r>
                  <w:r>
                    <w:rPr>
                      <w:rFonts w:ascii="Times New Roman" w:hAnsi="Times New Roman"/>
                      <w:color w:val="auto"/>
                      <w:spacing w:val="-6"/>
                      <w:sz w:val="18"/>
                      <w:szCs w:val="18"/>
                      <w:highlight w:val="none"/>
                    </w:rPr>
                    <w:t>台账</w:t>
                  </w:r>
                </w:p>
              </w:tc>
              <w:tc>
                <w:tcPr>
                  <w:tcW w:w="520" w:type="pct"/>
                  <w:tcBorders>
                    <w:tl2br w:val="nil"/>
                    <w:tr2bl w:val="nil"/>
                  </w:tcBorders>
                  <w:noWrap w:val="0"/>
                  <w:vAlign w:val="center"/>
                </w:tcPr>
                <w:p>
                  <w:pPr>
                    <w:adjustRightInd w:val="0"/>
                    <w:snapToGrid w:val="0"/>
                    <w:jc w:val="center"/>
                    <w:rPr>
                      <w:rFonts w:hint="default" w:ascii="Times New Roman" w:hAnsi="Times New Roman"/>
                      <w:color w:val="auto"/>
                      <w:spacing w:val="-6"/>
                      <w:sz w:val="18"/>
                      <w:szCs w:val="18"/>
                      <w:highlight w:val="none"/>
                    </w:rPr>
                  </w:pPr>
                  <w:r>
                    <w:rPr>
                      <w:rFonts w:hint="eastAsia" w:ascii="Times New Roman" w:hAnsi="Times New Roman"/>
                      <w:color w:val="auto"/>
                      <w:spacing w:val="-5"/>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vMerge w:val="continue"/>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kern w:val="2"/>
                      <w:sz w:val="18"/>
                      <w:szCs w:val="18"/>
                      <w:highlight w:val="none"/>
                      <w:lang w:val="en-US" w:eastAsia="zh-CN" w:bidi="ar-SA"/>
                    </w:rPr>
                  </w:pPr>
                  <w:r>
                    <w:rPr>
                      <w:rFonts w:hint="default" w:ascii="Times New Roman" w:hAnsi="Times New Roman"/>
                      <w:color w:val="auto"/>
                      <w:spacing w:val="-6"/>
                      <w:sz w:val="18"/>
                      <w:szCs w:val="18"/>
                      <w:highlight w:val="none"/>
                    </w:rPr>
                    <w:t>人员配置：设置环保部门，配备专职环保人员，并具备相应的环境管理能力</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6"/>
                      <w:sz w:val="18"/>
                      <w:szCs w:val="18"/>
                      <w:highlight w:val="none"/>
                    </w:rPr>
                  </w:pPr>
                  <w:r>
                    <w:rPr>
                      <w:rFonts w:hint="default" w:ascii="Times New Roman" w:hAnsi="Times New Roman"/>
                      <w:color w:val="auto"/>
                      <w:spacing w:val="-6"/>
                      <w:sz w:val="18"/>
                      <w:szCs w:val="18"/>
                      <w:highlight w:val="none"/>
                    </w:rPr>
                    <w:t>设有环保部门，配有专职环保人员</w:t>
                  </w:r>
                </w:p>
              </w:tc>
              <w:tc>
                <w:tcPr>
                  <w:tcW w:w="520" w:type="pct"/>
                  <w:tcBorders>
                    <w:tl2br w:val="nil"/>
                    <w:tr2bl w:val="nil"/>
                  </w:tcBorders>
                  <w:noWrap w:val="0"/>
                  <w:vAlign w:val="center"/>
                </w:tcPr>
                <w:p>
                  <w:pPr>
                    <w:adjustRightInd w:val="0"/>
                    <w:snapToGrid w:val="0"/>
                    <w:jc w:val="center"/>
                    <w:rPr>
                      <w:rFonts w:hint="default" w:ascii="Times New Roman" w:hAnsi="Times New Roman"/>
                      <w:color w:val="auto"/>
                      <w:spacing w:val="-6"/>
                      <w:sz w:val="18"/>
                      <w:szCs w:val="18"/>
                      <w:highlight w:val="none"/>
                    </w:rPr>
                  </w:pPr>
                  <w:r>
                    <w:rPr>
                      <w:rFonts w:hint="eastAsia" w:ascii="Times New Roman" w:hAnsi="Times New Roman"/>
                      <w:color w:val="auto"/>
                      <w:spacing w:val="-5"/>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运输方式</w:t>
                  </w:r>
                </w:p>
              </w:tc>
              <w:tc>
                <w:tcPr>
                  <w:tcW w:w="2705" w:type="pct"/>
                  <w:tcBorders>
                    <w:tl2br w:val="nil"/>
                    <w:tr2bl w:val="nil"/>
                  </w:tcBorders>
                  <w:noWrap w:val="0"/>
                  <w:vAlign w:val="center"/>
                </w:tcPr>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1"/>
                      <w:sz w:val="18"/>
                      <w:szCs w:val="18"/>
                      <w:highlight w:val="none"/>
                    </w:rPr>
                    <w:t>1</w:t>
                  </w:r>
                  <w:r>
                    <w:rPr>
                      <w:rFonts w:hint="default" w:ascii="Times New Roman" w:hAnsi="Times New Roman"/>
                      <w:color w:val="auto"/>
                      <w:spacing w:val="-22"/>
                      <w:sz w:val="18"/>
                      <w:szCs w:val="18"/>
                      <w:highlight w:val="none"/>
                    </w:rPr>
                    <w:t xml:space="preserve"> </w:t>
                  </w:r>
                  <w:r>
                    <w:rPr>
                      <w:rFonts w:hint="default" w:ascii="Times New Roman" w:hAnsi="Times New Roman"/>
                      <w:color w:val="auto"/>
                      <w:spacing w:val="1"/>
                      <w:sz w:val="18"/>
                      <w:szCs w:val="18"/>
                      <w:highlight w:val="none"/>
                    </w:rPr>
                    <w:t>、物料公路运输使用达到国五及以上</w:t>
                  </w:r>
                  <w:r>
                    <w:rPr>
                      <w:rFonts w:hint="default" w:ascii="Times New Roman" w:hAnsi="Times New Roman"/>
                      <w:color w:val="auto"/>
                      <w:spacing w:val="-8"/>
                      <w:sz w:val="18"/>
                      <w:szCs w:val="18"/>
                      <w:highlight w:val="none"/>
                    </w:rPr>
                    <w:t>排放标准重型载货车辆（含燃气）或新</w:t>
                  </w:r>
                  <w:r>
                    <w:rPr>
                      <w:rFonts w:hint="default" w:ascii="Times New Roman" w:hAnsi="Times New Roman"/>
                      <w:color w:val="auto"/>
                      <w:spacing w:val="-2"/>
                      <w:sz w:val="18"/>
                      <w:szCs w:val="18"/>
                      <w:highlight w:val="none"/>
                    </w:rPr>
                    <w:t>能源车辆占比不低于80%，其他车辆达到国四排放标准；</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2</w:t>
                  </w:r>
                  <w:r>
                    <w:rPr>
                      <w:rFonts w:hint="default" w:ascii="Times New Roman" w:hAnsi="Times New Roman"/>
                      <w:color w:val="auto"/>
                      <w:spacing w:val="-19"/>
                      <w:sz w:val="18"/>
                      <w:szCs w:val="18"/>
                      <w:highlight w:val="none"/>
                    </w:rPr>
                    <w:t xml:space="preserve"> </w:t>
                  </w:r>
                  <w:r>
                    <w:rPr>
                      <w:rFonts w:hint="default" w:ascii="Times New Roman" w:hAnsi="Times New Roman"/>
                      <w:color w:val="auto"/>
                      <w:spacing w:val="2"/>
                      <w:sz w:val="18"/>
                      <w:szCs w:val="18"/>
                      <w:highlight w:val="none"/>
                    </w:rPr>
                    <w:t>、厂内运输使用达到国五及以上排放</w:t>
                  </w:r>
                  <w:r>
                    <w:rPr>
                      <w:rFonts w:hint="default" w:ascii="Times New Roman" w:hAnsi="Times New Roman"/>
                      <w:color w:val="auto"/>
                      <w:spacing w:val="-8"/>
                      <w:sz w:val="18"/>
                      <w:szCs w:val="18"/>
                      <w:highlight w:val="none"/>
                    </w:rPr>
                    <w:t>标准车辆（含燃气）或新能源车辆比例</w:t>
                  </w:r>
                  <w:r>
                    <w:rPr>
                      <w:rFonts w:hint="default" w:ascii="Times New Roman" w:hAnsi="Times New Roman"/>
                      <w:color w:val="auto"/>
                      <w:spacing w:val="-2"/>
                      <w:sz w:val="18"/>
                      <w:szCs w:val="18"/>
                      <w:highlight w:val="none"/>
                    </w:rPr>
                    <w:t>不低于80%，其他车辆达到国四排放标</w:t>
                  </w:r>
                  <w:r>
                    <w:rPr>
                      <w:rFonts w:hint="default" w:ascii="Times New Roman" w:hAnsi="Times New Roman"/>
                      <w:color w:val="auto"/>
                      <w:spacing w:val="-5"/>
                      <w:sz w:val="18"/>
                      <w:szCs w:val="18"/>
                      <w:highlight w:val="none"/>
                    </w:rPr>
                    <w:t>准；</w:t>
                  </w:r>
                </w:p>
                <w:p>
                  <w:pPr>
                    <w:adjustRightInd w:val="0"/>
                    <w:snapToGrid w:val="0"/>
                    <w:jc w:val="left"/>
                    <w:rPr>
                      <w:rFonts w:hint="default" w:ascii="Times New Roman" w:hAnsi="Times New Roman"/>
                      <w:color w:val="auto"/>
                      <w:sz w:val="18"/>
                      <w:szCs w:val="18"/>
                      <w:highlight w:val="none"/>
                    </w:rPr>
                  </w:pPr>
                  <w:r>
                    <w:rPr>
                      <w:rFonts w:hint="default" w:ascii="Times New Roman" w:hAnsi="Times New Roman"/>
                      <w:color w:val="auto"/>
                      <w:spacing w:val="2"/>
                      <w:sz w:val="18"/>
                      <w:szCs w:val="18"/>
                      <w:highlight w:val="none"/>
                    </w:rPr>
                    <w:t>3</w:t>
                  </w:r>
                  <w:r>
                    <w:rPr>
                      <w:rFonts w:hint="default" w:ascii="Times New Roman" w:hAnsi="Times New Roman"/>
                      <w:color w:val="auto"/>
                      <w:spacing w:val="-23"/>
                      <w:sz w:val="18"/>
                      <w:szCs w:val="18"/>
                      <w:highlight w:val="none"/>
                    </w:rPr>
                    <w:t xml:space="preserve"> </w:t>
                  </w:r>
                  <w:r>
                    <w:rPr>
                      <w:rFonts w:hint="default" w:ascii="Times New Roman" w:hAnsi="Times New Roman"/>
                      <w:color w:val="auto"/>
                      <w:spacing w:val="2"/>
                      <w:sz w:val="18"/>
                      <w:szCs w:val="18"/>
                      <w:highlight w:val="none"/>
                    </w:rPr>
                    <w:t>、厂内非道路移动机械使用达到国三</w:t>
                  </w:r>
                  <w:r>
                    <w:rPr>
                      <w:rFonts w:hint="default" w:ascii="Times New Roman" w:hAnsi="Times New Roman"/>
                      <w:color w:val="auto"/>
                      <w:spacing w:val="10"/>
                      <w:sz w:val="18"/>
                      <w:szCs w:val="18"/>
                      <w:highlight w:val="none"/>
                    </w:rPr>
                    <w:t>及以上排放标准或新能源机械比例不</w:t>
                  </w:r>
                  <w:r>
                    <w:rPr>
                      <w:rFonts w:hint="default" w:ascii="Times New Roman" w:hAnsi="Times New Roman"/>
                      <w:color w:val="auto"/>
                      <w:spacing w:val="-2"/>
                      <w:sz w:val="18"/>
                      <w:szCs w:val="18"/>
                      <w:highlight w:val="none"/>
                    </w:rPr>
                    <w:t>低于80%</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2"/>
                      <w:sz w:val="18"/>
                      <w:szCs w:val="18"/>
                      <w:highlight w:val="none"/>
                    </w:rPr>
                  </w:pPr>
                  <w:r>
                    <w:rPr>
                      <w:rFonts w:ascii="Times New Roman" w:hAnsi="Times New Roman"/>
                      <w:color w:val="auto"/>
                      <w:spacing w:val="2"/>
                      <w:sz w:val="18"/>
                      <w:szCs w:val="18"/>
                      <w:highlight w:val="none"/>
                    </w:rPr>
                    <w:t>公路运输、厂内运输以及厂区内非道路移动机械使用</w:t>
                  </w:r>
                  <w:r>
                    <w:rPr>
                      <w:rFonts w:hint="eastAsia" w:ascii="Times New Roman" w:hAnsi="Times New Roman"/>
                      <w:color w:val="auto"/>
                      <w:spacing w:val="2"/>
                      <w:sz w:val="18"/>
                      <w:szCs w:val="18"/>
                      <w:highlight w:val="none"/>
                      <w:lang w:val="en-US" w:eastAsia="zh-CN"/>
                    </w:rPr>
                    <w:t>均按要求进行</w:t>
                  </w:r>
                </w:p>
              </w:tc>
              <w:tc>
                <w:tcPr>
                  <w:tcW w:w="520" w:type="pct"/>
                  <w:tcBorders>
                    <w:tl2br w:val="nil"/>
                    <w:tr2bl w:val="nil"/>
                  </w:tcBorders>
                  <w:noWrap w:val="0"/>
                  <w:vAlign w:val="center"/>
                </w:tcPr>
                <w:p>
                  <w:pPr>
                    <w:adjustRightInd w:val="0"/>
                    <w:snapToGrid w:val="0"/>
                    <w:jc w:val="center"/>
                    <w:rPr>
                      <w:rFonts w:ascii="Times New Roman" w:hAnsi="Times New Roman"/>
                      <w:color w:val="auto"/>
                      <w:spacing w:val="2"/>
                      <w:sz w:val="18"/>
                      <w:szCs w:val="18"/>
                      <w:highlight w:val="none"/>
                    </w:rPr>
                  </w:pPr>
                  <w:r>
                    <w:rPr>
                      <w:rFonts w:hint="eastAsia" w:ascii="Times New Roman" w:hAnsi="Times New Roman"/>
                      <w:color w:val="auto"/>
                      <w:spacing w:val="-5"/>
                      <w:sz w:val="18"/>
                      <w:szCs w:val="18"/>
                      <w:highlight w:val="none"/>
                      <w:lang w:val="en-US" w:eastAsia="zh-CN"/>
                    </w:rPr>
                    <w:t>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48" w:type="pct"/>
                  <w:tcBorders>
                    <w:tl2br w:val="nil"/>
                    <w:tr2bl w:val="nil"/>
                  </w:tcBorders>
                  <w:noWrap w:val="0"/>
                  <w:vAlign w:val="center"/>
                </w:tcPr>
                <w:p>
                  <w:pPr>
                    <w:adjustRightInd w:val="0"/>
                    <w:snapToGrid w:val="0"/>
                    <w:jc w:val="center"/>
                    <w:rPr>
                      <w:rFonts w:hint="default" w:ascii="Times New Roman" w:hAnsi="Times New Roman"/>
                      <w:color w:val="auto"/>
                      <w:sz w:val="18"/>
                      <w:szCs w:val="18"/>
                      <w:highlight w:val="none"/>
                    </w:rPr>
                  </w:pPr>
                  <w:r>
                    <w:rPr>
                      <w:rFonts w:hint="default" w:ascii="Times New Roman" w:hAnsi="Times New Roman"/>
                      <w:color w:val="auto"/>
                      <w:spacing w:val="-3"/>
                      <w:sz w:val="18"/>
                      <w:szCs w:val="18"/>
                      <w:highlight w:val="none"/>
                    </w:rPr>
                    <w:t>运输监管</w:t>
                  </w:r>
                </w:p>
              </w:tc>
              <w:tc>
                <w:tcPr>
                  <w:tcW w:w="2705" w:type="pct"/>
                  <w:tcBorders>
                    <w:tl2br w:val="nil"/>
                    <w:tr2bl w:val="nil"/>
                  </w:tcBorders>
                  <w:noWrap w:val="0"/>
                  <w:vAlign w:val="center"/>
                </w:tcPr>
                <w:p>
                  <w:pPr>
                    <w:adjustRightInd w:val="0"/>
                    <w:snapToGrid w:val="0"/>
                    <w:jc w:val="center"/>
                    <w:rPr>
                      <w:rFonts w:hint="default" w:ascii="Times New Roman" w:hAnsi="Times New Roman"/>
                      <w:color w:val="auto"/>
                      <w:spacing w:val="-4"/>
                      <w:sz w:val="18"/>
                      <w:szCs w:val="18"/>
                      <w:highlight w:val="none"/>
                    </w:rPr>
                  </w:pPr>
                  <w:r>
                    <w:rPr>
                      <w:rFonts w:hint="default" w:ascii="Times New Roman" w:hAnsi="Times New Roman"/>
                      <w:color w:val="auto"/>
                      <w:spacing w:val="-4"/>
                      <w:sz w:val="18"/>
                      <w:szCs w:val="18"/>
                      <w:highlight w:val="none"/>
                    </w:rPr>
                    <w:t>参照《重污染天气重点行业移动源应急管理技术指南》建立门禁系统和电子台账</w:t>
                  </w:r>
                </w:p>
              </w:tc>
              <w:tc>
                <w:tcPr>
                  <w:tcW w:w="1425" w:type="pct"/>
                  <w:tcBorders>
                    <w:tl2br w:val="nil"/>
                    <w:tr2bl w:val="nil"/>
                  </w:tcBorders>
                  <w:noWrap w:val="0"/>
                  <w:vAlign w:val="center"/>
                </w:tcPr>
                <w:p>
                  <w:pPr>
                    <w:adjustRightInd w:val="0"/>
                    <w:snapToGrid w:val="0"/>
                    <w:jc w:val="center"/>
                    <w:rPr>
                      <w:rFonts w:hint="default" w:ascii="Times New Roman" w:hAnsi="Times New Roman"/>
                      <w:color w:val="auto"/>
                      <w:spacing w:val="-4"/>
                      <w:sz w:val="18"/>
                      <w:szCs w:val="18"/>
                      <w:highlight w:val="none"/>
                    </w:rPr>
                  </w:pPr>
                  <w:r>
                    <w:rPr>
                      <w:rFonts w:hint="default" w:ascii="Times New Roman" w:hAnsi="Times New Roman"/>
                      <w:color w:val="auto"/>
                      <w:spacing w:val="-4"/>
                      <w:sz w:val="18"/>
                      <w:szCs w:val="18"/>
                      <w:highlight w:val="none"/>
                    </w:rPr>
                    <w:t>设有门禁系统及电子台账</w:t>
                  </w:r>
                </w:p>
              </w:tc>
              <w:tc>
                <w:tcPr>
                  <w:tcW w:w="520" w:type="pct"/>
                  <w:tcBorders>
                    <w:tl2br w:val="nil"/>
                    <w:tr2bl w:val="nil"/>
                  </w:tcBorders>
                  <w:noWrap w:val="0"/>
                  <w:vAlign w:val="center"/>
                </w:tcPr>
                <w:p>
                  <w:pPr>
                    <w:adjustRightInd w:val="0"/>
                    <w:snapToGrid w:val="0"/>
                    <w:jc w:val="center"/>
                    <w:rPr>
                      <w:rFonts w:hint="default" w:ascii="Times New Roman" w:hAnsi="Times New Roman"/>
                      <w:color w:val="auto"/>
                      <w:spacing w:val="-4"/>
                      <w:sz w:val="18"/>
                      <w:szCs w:val="18"/>
                      <w:highlight w:val="none"/>
                    </w:rPr>
                  </w:pPr>
                  <w:r>
                    <w:rPr>
                      <w:rFonts w:hint="eastAsia" w:ascii="Times New Roman" w:hAnsi="Times New Roman"/>
                      <w:color w:val="auto"/>
                      <w:spacing w:val="-5"/>
                      <w:sz w:val="18"/>
                      <w:szCs w:val="18"/>
                      <w:highlight w:val="none"/>
                      <w:lang w:val="en-US" w:eastAsia="zh-CN"/>
                    </w:rPr>
                    <w:t>符合</w:t>
                  </w:r>
                </w:p>
              </w:tc>
            </w:tr>
          </w:tbl>
          <w:p>
            <w:pPr>
              <w:pStyle w:val="34"/>
              <w:rPr>
                <w:rFonts w:hint="default" w:ascii="Times New Roman" w:hAnsi="Times New Roman" w:cs="Times New Roman"/>
                <w:color w:val="auto"/>
                <w:highlight w:val="green"/>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400" w:lineRule="exact"/>
              <w:ind w:left="0" w:leftChars="0" w:right="0" w:rightChars="0"/>
              <w:jc w:val="left"/>
              <w:textAlignment w:val="auto"/>
              <w:rPr>
                <w:rFonts w:hint="default" w:ascii="Times New Roman" w:hAnsi="Times New Roman" w:eastAsia="宋体" w:cs="Times New Roman"/>
                <w:color w:val="auto"/>
                <w:kern w:val="0"/>
                <w:szCs w:val="21"/>
                <w:highlight w:val="green"/>
                <w:lang w:val="en-US" w:eastAsia="zh-CN"/>
              </w:rPr>
            </w:pPr>
          </w:p>
        </w:tc>
      </w:tr>
    </w:tbl>
    <w:p>
      <w:pPr>
        <w:pageBreakBefore w:val="0"/>
        <w:kinsoku/>
        <w:wordWrap/>
        <w:overflowPunct/>
        <w:bidi w:val="0"/>
        <w:adjustRightInd w:val="0"/>
        <w:snapToGrid w:val="0"/>
        <w:spacing w:beforeAutospacing="0" w:afterAutospacing="0" w:line="360" w:lineRule="auto"/>
        <w:ind w:left="0" w:leftChars="0" w:right="0" w:rightChars="0"/>
        <w:outlineLvl w:val="0"/>
        <w:rPr>
          <w:rFonts w:hint="default" w:ascii="Times New Roman" w:hAnsi="Times New Roman" w:eastAsia="宋体" w:cs="Times New Roman"/>
          <w:color w:val="auto"/>
          <w:sz w:val="30"/>
          <w:highlight w:val="none"/>
        </w:rPr>
        <w:sectPr>
          <w:footerReference r:id="rId5" w:type="default"/>
          <w:pgSz w:w="11906" w:h="16838"/>
          <w:pgMar w:top="1587" w:right="1531" w:bottom="1587"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31"/>
        <w:pageBreakBefore w:val="0"/>
        <w:kinsoku/>
        <w:wordWrap/>
        <w:overflowPunct/>
        <w:bidi w:val="0"/>
        <w:adjustRightInd w:val="0"/>
        <w:snapToGrid w:val="0"/>
        <w:spacing w:before="0" w:beforeAutospacing="0" w:after="0" w:afterAutospacing="0"/>
        <w:ind w:left="0" w:leftChars="0" w:right="0" w:rightChars="0"/>
        <w:jc w:val="center"/>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0"/>
          <w:szCs w:val="30"/>
          <w:highlight w:val="none"/>
        </w:rPr>
        <w:t>二、建设项目工程分析</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2"/>
        <w:gridCol w:w="725"/>
        <w:gridCol w:w="79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24" w:hRule="atLeast"/>
          <w:jc w:val="center"/>
        </w:trPr>
        <w:tc>
          <w:tcPr>
            <w:tcW w:w="412" w:type="dxa"/>
            <w:noWrap w:val="0"/>
            <w:vAlign w:val="center"/>
          </w:tcPr>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8649" w:type="dxa"/>
            <w:gridSpan w:val="2"/>
            <w:noWrap w:val="0"/>
            <w:vAlign w:val="top"/>
          </w:tcPr>
          <w:p>
            <w:pPr>
              <w:keepNext w:val="0"/>
              <w:keepLines w:val="0"/>
              <w:pageBreakBefore w:val="0"/>
              <w:widowControl w:val="0"/>
              <w:numPr>
                <w:ilvl w:val="0"/>
                <w:numId w:val="7"/>
              </w:numPr>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项目概况</w:t>
            </w: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）项目名称：</w:t>
            </w:r>
            <w:r>
              <w:rPr>
                <w:rFonts w:hint="default" w:ascii="Times New Roman" w:hAnsi="Times New Roman" w:cs="Times New Roman"/>
                <w:color w:val="auto"/>
                <w:sz w:val="21"/>
                <w:szCs w:val="21"/>
                <w:highlight w:val="none"/>
                <w:lang w:eastAsia="zh-CN"/>
              </w:rPr>
              <w:t>唐山陆凯科技有限公司</w:t>
            </w:r>
            <w:r>
              <w:rPr>
                <w:rFonts w:hint="default" w:ascii="Times New Roman" w:hAnsi="Times New Roman" w:cs="Times New Roman"/>
                <w:color w:val="auto"/>
                <w:sz w:val="21"/>
                <w:szCs w:val="21"/>
                <w:highlight w:val="none"/>
                <w:lang w:val="en-US" w:eastAsia="zh-CN"/>
              </w:rPr>
              <w:t>大型成套筛分装备数字化制造基地项目</w:t>
            </w:r>
          </w:p>
          <w:p>
            <w:pPr>
              <w:pStyle w:val="43"/>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）建设单位：</w:t>
            </w:r>
            <w:r>
              <w:rPr>
                <w:rFonts w:hint="default" w:ascii="Times New Roman" w:hAnsi="Times New Roman" w:cs="Times New Roman"/>
                <w:color w:val="auto"/>
                <w:sz w:val="21"/>
                <w:szCs w:val="21"/>
                <w:highlight w:val="none"/>
                <w:lang w:eastAsia="zh-CN"/>
              </w:rPr>
              <w:t>唐山陆凯科技有限公司</w:t>
            </w:r>
          </w:p>
          <w:p>
            <w:pPr>
              <w:pStyle w:val="43"/>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eastAsia="zh-CN"/>
              </w:rPr>
              <w:t>）建设性质：</w:t>
            </w:r>
            <w:r>
              <w:rPr>
                <w:rFonts w:hint="default" w:ascii="Times New Roman" w:hAnsi="Times New Roman" w:eastAsia="宋体" w:cs="Times New Roman"/>
                <w:color w:val="auto"/>
                <w:sz w:val="21"/>
                <w:szCs w:val="21"/>
                <w:highlight w:val="none"/>
                <w:lang w:val="en-US" w:eastAsia="zh-CN"/>
              </w:rPr>
              <w:t>新建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eastAsia="zh-CN"/>
              </w:rPr>
              <w:t>）建设内容和规模：项目总</w:t>
            </w:r>
            <w:r>
              <w:rPr>
                <w:rFonts w:hint="eastAsia" w:cs="Times New Roman"/>
                <w:color w:val="auto"/>
                <w:sz w:val="21"/>
                <w:szCs w:val="21"/>
                <w:highlight w:val="none"/>
                <w:lang w:val="en-US" w:eastAsia="zh-CN"/>
              </w:rPr>
              <w:t>占地约110.13亩，</w:t>
            </w:r>
            <w:r>
              <w:rPr>
                <w:rFonts w:hint="default" w:ascii="Times New Roman" w:hAnsi="Times New Roman" w:eastAsia="宋体" w:cs="Times New Roman"/>
                <w:color w:val="auto"/>
                <w:sz w:val="21"/>
                <w:szCs w:val="21"/>
                <w:highlight w:val="none"/>
                <w:lang w:eastAsia="zh-CN"/>
              </w:rPr>
              <w:t>总建筑面积</w:t>
            </w:r>
            <w:r>
              <w:rPr>
                <w:rFonts w:hint="eastAsia" w:cs="Times New Roman"/>
                <w:color w:val="auto"/>
                <w:sz w:val="21"/>
                <w:szCs w:val="21"/>
                <w:highlight w:val="none"/>
                <w:lang w:val="en-US" w:eastAsia="zh-CN"/>
              </w:rPr>
              <w:t>48327.61</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rPr>
              <w:t>建设</w:t>
            </w:r>
            <w:r>
              <w:rPr>
                <w:rFonts w:hint="eastAsia" w:cs="Times New Roman"/>
                <w:color w:val="auto"/>
                <w:sz w:val="21"/>
                <w:lang w:val="en-US" w:eastAsia="zh-CN"/>
              </w:rPr>
              <w:t>数字化工厂以及筛分工艺实验车间，其中数字化工厂包括下料车间、机加车间、</w:t>
            </w:r>
            <w:r>
              <w:rPr>
                <w:rFonts w:hint="eastAsia" w:cs="Times New Roman"/>
                <w:color w:val="auto"/>
                <w:sz w:val="21"/>
                <w:highlight w:val="none"/>
                <w:lang w:val="en-US" w:eastAsia="zh-CN"/>
              </w:rPr>
              <w:t>筛网车间、组</w:t>
            </w:r>
            <w:r>
              <w:rPr>
                <w:rFonts w:hint="eastAsia" w:cs="Times New Roman"/>
                <w:color w:val="auto"/>
                <w:sz w:val="21"/>
                <w:lang w:val="en-US" w:eastAsia="zh-CN"/>
              </w:rPr>
              <w:t>装车间、调试车间等生产车间及办公附属设施；选矿工艺实验车间包括研发车间、中试车间等。</w:t>
            </w:r>
            <w:r>
              <w:rPr>
                <w:rFonts w:hint="default" w:ascii="Times New Roman" w:hAnsi="Times New Roman" w:cs="Times New Roman"/>
                <w:color w:val="auto"/>
                <w:sz w:val="21"/>
              </w:rPr>
              <w:t>项目建成后</w:t>
            </w:r>
            <w:r>
              <w:rPr>
                <w:rFonts w:hint="default" w:ascii="Times New Roman" w:hAnsi="Times New Roman" w:cs="Times New Roman"/>
                <w:color w:val="auto"/>
                <w:sz w:val="21"/>
                <w:lang w:eastAsia="zh-CN"/>
              </w:rPr>
              <w:t>，</w:t>
            </w:r>
            <w:r>
              <w:rPr>
                <w:rFonts w:hint="default" w:ascii="Times New Roman" w:hAnsi="Times New Roman" w:cs="Times New Roman"/>
                <w:color w:val="auto"/>
                <w:sz w:val="21"/>
              </w:rPr>
              <w:t>年产量达到1000自然台细粒分级设备和300自然台中、粗粒筛分设备。</w:t>
            </w:r>
            <w:r>
              <w:rPr>
                <w:rFonts w:hint="eastAsia" w:cs="Times New Roman"/>
                <w:color w:val="auto"/>
                <w:sz w:val="21"/>
                <w:lang w:val="en-US" w:eastAsia="zh-CN"/>
              </w:rPr>
              <w:t>年产值3亿元。项目分二期进行建设。</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cs="Times New Roman"/>
                <w:b/>
                <w:bCs/>
                <w:color w:val="auto"/>
                <w:kern w:val="0"/>
                <w:sz w:val="21"/>
                <w:szCs w:val="21"/>
                <w:highlight w:val="none"/>
                <w:lang w:val="en-US" w:eastAsia="zh-CN"/>
              </w:rPr>
              <w:t>2-1</w:t>
            </w:r>
            <w:r>
              <w:rPr>
                <w:rFonts w:hint="default" w:ascii="Times New Roman" w:hAnsi="Times New Roman" w:eastAsia="宋体" w:cs="Times New Roman"/>
                <w:b/>
                <w:bCs/>
                <w:color w:val="auto"/>
                <w:kern w:val="0"/>
                <w:sz w:val="21"/>
                <w:szCs w:val="21"/>
                <w:highlight w:val="none"/>
                <w:lang w:val="en-US" w:eastAsia="zh-CN"/>
              </w:rPr>
              <w:t xml:space="preserve"> 本项目主要产品方案一览</w:t>
            </w:r>
            <w:r>
              <w:rPr>
                <w:rFonts w:hint="default" w:ascii="Times New Roman" w:hAnsi="Times New Roman" w:eastAsia="宋体" w:cs="Times New Roman"/>
                <w:b/>
                <w:bCs/>
                <w:color w:val="auto"/>
                <w:kern w:val="0"/>
                <w:sz w:val="21"/>
                <w:szCs w:val="21"/>
                <w:highlight w:val="none"/>
              </w:rPr>
              <w:t>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8"/>
              <w:gridCol w:w="2885"/>
              <w:gridCol w:w="1432"/>
              <w:gridCol w:w="2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7"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1712"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850"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单位</w:t>
                  </w:r>
                </w:p>
              </w:tc>
              <w:tc>
                <w:tcPr>
                  <w:tcW w:w="1748"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产品产量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7"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1</w:t>
                  </w:r>
                </w:p>
              </w:tc>
              <w:tc>
                <w:tcPr>
                  <w:tcW w:w="171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18"/>
                      <w:szCs w:val="18"/>
                      <w:highlight w:val="none"/>
                      <w:lang w:val="en-US" w:eastAsia="zh-CN" w:bidi="ar-SA"/>
                    </w:rPr>
                  </w:pPr>
                  <w:r>
                    <w:rPr>
                      <w:rFonts w:hint="default" w:ascii="Times New Roman" w:hAnsi="Times New Roman" w:eastAsia="宋体" w:cs="Times New Roman"/>
                      <w:b w:val="0"/>
                      <w:bCs/>
                      <w:color w:val="auto"/>
                      <w:kern w:val="24"/>
                      <w:sz w:val="18"/>
                      <w:szCs w:val="18"/>
                      <w:highlight w:val="none"/>
                      <w:lang w:val="en-US" w:eastAsia="zh-CN" w:bidi="ar-SA"/>
                    </w:rPr>
                    <w:t>细粒分级设备</w:t>
                  </w:r>
                </w:p>
              </w:tc>
              <w:tc>
                <w:tcPr>
                  <w:tcW w:w="8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自然台/年</w:t>
                  </w:r>
                </w:p>
              </w:tc>
              <w:tc>
                <w:tcPr>
                  <w:tcW w:w="174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18"/>
                      <w:szCs w:val="18"/>
                      <w:highlight w:val="none"/>
                      <w:lang w:val="en-US" w:eastAsia="zh-CN" w:bidi="ar-SA"/>
                    </w:rPr>
                  </w:pPr>
                  <w:r>
                    <w:rPr>
                      <w:rFonts w:hint="default" w:ascii="Times New Roman" w:hAnsi="Times New Roman" w:cs="Times New Roman"/>
                      <w:b w:val="0"/>
                      <w:bCs/>
                      <w:color w:val="auto"/>
                      <w:kern w:val="24"/>
                      <w:sz w:val="18"/>
                      <w:szCs w:val="18"/>
                      <w:highlight w:val="none"/>
                      <w:lang w:val="en-US" w:eastAsia="zh-CN" w:bidi="ar-SA"/>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7" w:type="pct"/>
                  <w:tcBorders>
                    <w:tl2br w:val="nil"/>
                    <w:tr2bl w:val="nil"/>
                  </w:tcBorders>
                  <w:noWrap w:val="0"/>
                  <w:vAlign w:val="center"/>
                </w:tcPr>
                <w:p>
                  <w:pPr>
                    <w:pStyle w:val="59"/>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2</w:t>
                  </w:r>
                </w:p>
              </w:tc>
              <w:tc>
                <w:tcPr>
                  <w:tcW w:w="171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18"/>
                      <w:szCs w:val="18"/>
                      <w:highlight w:val="none"/>
                      <w:lang w:val="en-US" w:eastAsia="zh-CN" w:bidi="ar-SA"/>
                    </w:rPr>
                  </w:pPr>
                  <w:r>
                    <w:rPr>
                      <w:rFonts w:hint="default" w:ascii="Times New Roman" w:hAnsi="Times New Roman" w:eastAsia="宋体" w:cs="Times New Roman"/>
                      <w:b w:val="0"/>
                      <w:bCs/>
                      <w:color w:val="auto"/>
                      <w:kern w:val="24"/>
                      <w:sz w:val="18"/>
                      <w:szCs w:val="18"/>
                      <w:highlight w:val="none"/>
                      <w:lang w:val="en-US" w:eastAsia="zh-CN" w:bidi="ar-SA"/>
                    </w:rPr>
                    <w:t>中、粗粒筛分设备</w:t>
                  </w:r>
                </w:p>
              </w:tc>
              <w:tc>
                <w:tcPr>
                  <w:tcW w:w="85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自然台/年</w:t>
                  </w:r>
                </w:p>
              </w:tc>
              <w:tc>
                <w:tcPr>
                  <w:tcW w:w="174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18"/>
                      <w:szCs w:val="18"/>
                      <w:highlight w:val="none"/>
                      <w:lang w:val="en-US" w:eastAsia="zh-CN" w:bidi="ar-SA"/>
                    </w:rPr>
                  </w:pPr>
                  <w:r>
                    <w:rPr>
                      <w:rFonts w:hint="default" w:ascii="Times New Roman" w:hAnsi="Times New Roman" w:cs="Times New Roman"/>
                      <w:b w:val="0"/>
                      <w:bCs/>
                      <w:color w:val="auto"/>
                      <w:kern w:val="24"/>
                      <w:sz w:val="18"/>
                      <w:szCs w:val="18"/>
                      <w:highlight w:val="none"/>
                      <w:lang w:val="en-US" w:eastAsia="zh-CN" w:bidi="ar-SA"/>
                    </w:rPr>
                    <w:t>300</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（5）工作制度：本项目实行</w:t>
            </w:r>
            <w:r>
              <w:rPr>
                <w:rFonts w:hint="default" w:ascii="Times New Roman" w:hAnsi="Times New Roman" w:cs="Times New Roman"/>
                <w:color w:val="auto"/>
                <w:kern w:val="0"/>
                <w:sz w:val="21"/>
                <w:szCs w:val="21"/>
                <w:highlight w:val="none"/>
                <w:lang w:val="en-US" w:eastAsia="zh-CN"/>
              </w:rPr>
              <w:t>两</w:t>
            </w:r>
            <w:r>
              <w:rPr>
                <w:rFonts w:hint="default" w:ascii="Times New Roman" w:hAnsi="Times New Roman" w:eastAsia="宋体" w:cs="Times New Roman"/>
                <w:color w:val="auto"/>
                <w:kern w:val="0"/>
                <w:sz w:val="21"/>
                <w:szCs w:val="21"/>
                <w:highlight w:val="none"/>
              </w:rPr>
              <w:t>班制工作制度，一班8小时，全年工作300天。</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（6）劳动定员：</w:t>
            </w:r>
            <w:r>
              <w:rPr>
                <w:rFonts w:hint="default" w:ascii="Times New Roman" w:hAnsi="Times New Roman" w:eastAsia="宋体" w:cs="Times New Roman"/>
                <w:color w:val="auto"/>
                <w:sz w:val="21"/>
                <w:szCs w:val="21"/>
                <w:highlight w:val="none"/>
                <w:lang w:val="en-US" w:eastAsia="zh-CN"/>
              </w:rPr>
              <w:t>项目劳动定员</w:t>
            </w:r>
            <w:r>
              <w:rPr>
                <w:rFonts w:hint="default" w:ascii="Times New Roman" w:hAnsi="Times New Roman"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val="en-US" w:eastAsia="zh-CN"/>
              </w:rPr>
              <w:t>0人</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color w:val="auto"/>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eastAsia="zh-CN"/>
              </w:rPr>
              <w:t>）项目建设内容一览表见表</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2、2-3</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 xml:space="preserve">  项目</w:t>
            </w:r>
            <w:r>
              <w:rPr>
                <w:rFonts w:hint="default" w:ascii="Times New Roman" w:hAnsi="Times New Roman" w:cs="Times New Roman"/>
                <w:b/>
                <w:bCs/>
                <w:color w:val="auto"/>
                <w:kern w:val="0"/>
                <w:sz w:val="21"/>
                <w:szCs w:val="21"/>
                <w:highlight w:val="none"/>
                <w:lang w:val="en-US" w:eastAsia="zh-CN"/>
              </w:rPr>
              <w:t>一期工程</w:t>
            </w:r>
            <w:r>
              <w:rPr>
                <w:rFonts w:hint="default" w:ascii="Times New Roman" w:hAnsi="Times New Roman" w:eastAsia="宋体" w:cs="Times New Roman"/>
                <w:b/>
                <w:bCs/>
                <w:color w:val="auto"/>
                <w:kern w:val="0"/>
                <w:sz w:val="21"/>
                <w:szCs w:val="21"/>
                <w:highlight w:val="none"/>
              </w:rPr>
              <w:t>主要建设内容一览表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295"/>
              <w:gridCol w:w="5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项目类别</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工程内容及规模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主体工程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eastAsia" w:cs="Times New Roman"/>
                      <w:color w:val="auto"/>
                      <w:sz w:val="18"/>
                      <w:szCs w:val="18"/>
                      <w:highlight w:val="none"/>
                      <w:lang w:val="en-US" w:eastAsia="zh-CN"/>
                    </w:rPr>
                    <w:t>数字化工厂</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一层，砖混+单层彩钢，墙体砖混、顶棚彩钢，内含原料区、库房、</w:t>
                  </w:r>
                  <w:r>
                    <w:rPr>
                      <w:rFonts w:hint="default" w:ascii="Times New Roman" w:hAnsi="Times New Roman" w:cs="Times New Roman"/>
                      <w:color w:val="auto"/>
                      <w:sz w:val="18"/>
                      <w:szCs w:val="18"/>
                      <w:highlight w:val="none"/>
                      <w:lang w:val="en-US" w:eastAsia="zh-CN"/>
                    </w:rPr>
                    <w:t>下料区、机加工区、组装区、焊接区、调试区、抛丸区、</w:t>
                  </w:r>
                  <w:r>
                    <w:rPr>
                      <w:rFonts w:hint="default" w:ascii="Times New Roman" w:hAnsi="Times New Roman" w:eastAsia="宋体" w:cs="Times New Roman"/>
                      <w:color w:val="auto"/>
                      <w:sz w:val="18"/>
                      <w:szCs w:val="18"/>
                      <w:highlight w:val="none"/>
                      <w:lang w:val="en-US" w:eastAsia="zh-CN"/>
                    </w:rPr>
                    <w:t>喷漆</w:t>
                  </w:r>
                  <w:r>
                    <w:rPr>
                      <w:rFonts w:hint="default" w:ascii="Times New Roman" w:hAnsi="Times New Roman" w:cs="Times New Roman"/>
                      <w:color w:val="auto"/>
                      <w:sz w:val="18"/>
                      <w:szCs w:val="18"/>
                      <w:highlight w:val="none"/>
                      <w:lang w:val="en-US" w:eastAsia="zh-CN"/>
                    </w:rPr>
                    <w:t>间</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晾干间、喷涂间、粘胶间</w:t>
                  </w:r>
                  <w:r>
                    <w:rPr>
                      <w:rFonts w:hint="eastAsia" w:cs="Times New Roman"/>
                      <w:color w:val="auto"/>
                      <w:sz w:val="18"/>
                      <w:szCs w:val="18"/>
                      <w:highlight w:val="none"/>
                      <w:lang w:val="en-US" w:eastAsia="zh-CN"/>
                    </w:rPr>
                    <w:t>、筛网车间</w:t>
                  </w:r>
                  <w:r>
                    <w:rPr>
                      <w:rFonts w:hint="default" w:ascii="Times New Roman" w:hAnsi="Times New Roman" w:eastAsia="宋体" w:cs="Times New Roman"/>
                      <w:color w:val="auto"/>
                      <w:sz w:val="18"/>
                      <w:szCs w:val="18"/>
                      <w:highlight w:val="none"/>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辅助工程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办公</w:t>
                  </w:r>
                  <w:r>
                    <w:rPr>
                      <w:rFonts w:hint="eastAsia" w:ascii="Times New Roman" w:hAnsi="Times New Roman" w:cs="Times New Roman"/>
                      <w:color w:val="auto"/>
                      <w:sz w:val="18"/>
                      <w:szCs w:val="18"/>
                      <w:highlight w:val="none"/>
                      <w:lang w:val="en-US" w:eastAsia="zh-CN"/>
                    </w:rPr>
                    <w:t>区</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生产车间内设</w:t>
                  </w:r>
                  <w:r>
                    <w:rPr>
                      <w:rFonts w:hint="eastAsia" w:cs="Times New Roman"/>
                      <w:color w:val="auto"/>
                      <w:sz w:val="18"/>
                      <w:szCs w:val="18"/>
                      <w:highlight w:val="none"/>
                      <w:lang w:val="en-US" w:eastAsia="zh-CN"/>
                    </w:rPr>
                    <w:t>5</w:t>
                  </w:r>
                  <w:r>
                    <w:rPr>
                      <w:rFonts w:hint="eastAsia" w:ascii="Times New Roman" w:hAnsi="Times New Roman" w:cs="Times New Roman"/>
                      <w:color w:val="auto"/>
                      <w:sz w:val="18"/>
                      <w:szCs w:val="18"/>
                      <w:highlight w:val="none"/>
                      <w:lang w:val="en-US" w:eastAsia="zh-CN"/>
                    </w:rPr>
                    <w:t>层</w:t>
                  </w:r>
                  <w:r>
                    <w:rPr>
                      <w:rFonts w:hint="default" w:ascii="Times New Roman" w:hAnsi="Times New Roman" w:cs="Times New Roman"/>
                      <w:color w:val="auto"/>
                      <w:sz w:val="18"/>
                      <w:szCs w:val="18"/>
                      <w:highlight w:val="none"/>
                      <w:lang w:val="en-US" w:eastAsia="zh-CN"/>
                    </w:rPr>
                    <w:t>办公楼1座，用于员工办公、食堂；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储运工程</w:t>
                  </w:r>
                </w:p>
              </w:tc>
              <w:tc>
                <w:tcPr>
                  <w:tcW w:w="769"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原料区</w:t>
                  </w:r>
                </w:p>
              </w:tc>
              <w:tc>
                <w:tcPr>
                  <w:tcW w:w="3557"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用于原料型材的存储</w:t>
                  </w:r>
                  <w:r>
                    <w:rPr>
                      <w:rFonts w:hint="default" w:ascii="Times New Roman" w:hAnsi="Times New Roman" w:cs="Times New Roman"/>
                      <w:color w:val="auto"/>
                      <w:sz w:val="18"/>
                      <w:szCs w:val="18"/>
                      <w:highlight w:val="none"/>
                      <w:vertAlign w:val="baseline"/>
                      <w:lang w:val="en-US" w:eastAsia="zh-CN"/>
                    </w:rPr>
                    <w:t>，位于</w:t>
                  </w:r>
                  <w:r>
                    <w:rPr>
                      <w:rFonts w:hint="default" w:ascii="Times New Roman" w:hAnsi="Times New Roman" w:cs="Times New Roman"/>
                      <w:color w:val="auto"/>
                      <w:sz w:val="18"/>
                      <w:szCs w:val="18"/>
                      <w:highlight w:val="none"/>
                      <w:lang w:val="en-US" w:eastAsia="zh-CN"/>
                    </w:rPr>
                    <w:t>生产</w:t>
                  </w:r>
                  <w:r>
                    <w:rPr>
                      <w:rFonts w:hint="default" w:ascii="Times New Roman" w:hAnsi="Times New Roman" w:eastAsia="宋体" w:cs="Times New Roman"/>
                      <w:color w:val="auto"/>
                      <w:sz w:val="18"/>
                      <w:szCs w:val="18"/>
                      <w:highlight w:val="none"/>
                    </w:rPr>
                    <w:t>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p>
              </w:tc>
              <w:tc>
                <w:tcPr>
                  <w:tcW w:w="769"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库房</w:t>
                  </w:r>
                </w:p>
              </w:tc>
              <w:tc>
                <w:tcPr>
                  <w:tcW w:w="3557"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用于成品的存储</w:t>
                  </w:r>
                  <w:r>
                    <w:rPr>
                      <w:rFonts w:hint="default" w:ascii="Times New Roman" w:hAnsi="Times New Roman" w:cs="Times New Roman"/>
                      <w:color w:val="auto"/>
                      <w:sz w:val="18"/>
                      <w:szCs w:val="18"/>
                      <w:highlight w:val="none"/>
                      <w:vertAlign w:val="baseline"/>
                      <w:lang w:val="en-US" w:eastAsia="zh-CN"/>
                    </w:rPr>
                    <w:t>，位于</w:t>
                  </w:r>
                  <w:r>
                    <w:rPr>
                      <w:rFonts w:hint="default" w:ascii="Times New Roman" w:hAnsi="Times New Roman" w:cs="Times New Roman"/>
                      <w:color w:val="auto"/>
                      <w:sz w:val="18"/>
                      <w:szCs w:val="18"/>
                      <w:highlight w:val="none"/>
                      <w:lang w:val="en-US" w:eastAsia="zh-CN"/>
                    </w:rPr>
                    <w:t>生产车</w:t>
                  </w:r>
                  <w:r>
                    <w:rPr>
                      <w:rFonts w:hint="default" w:ascii="Times New Roman" w:hAnsi="Times New Roman" w:eastAsia="宋体" w:cs="Times New Roman"/>
                      <w:color w:val="auto"/>
                      <w:sz w:val="18"/>
                      <w:szCs w:val="18"/>
                      <w:highlight w:val="none"/>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p>
              </w:tc>
              <w:tc>
                <w:tcPr>
                  <w:tcW w:w="769"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危险品库房</w:t>
                  </w:r>
                </w:p>
              </w:tc>
              <w:tc>
                <w:tcPr>
                  <w:tcW w:w="3557"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用于存储油性漆及润滑油等，地面及裙角进行防腐防渗</w:t>
                  </w:r>
                  <w:r>
                    <w:rPr>
                      <w:rFonts w:hint="default" w:ascii="Times New Roman" w:hAnsi="Times New Roman" w:cs="Times New Roman"/>
                      <w:color w:val="auto"/>
                      <w:sz w:val="18"/>
                      <w:szCs w:val="18"/>
                      <w:highlight w:val="none"/>
                      <w:vertAlign w:val="baseline"/>
                      <w:lang w:val="en-US" w:eastAsia="zh-CN"/>
                    </w:rPr>
                    <w:t>，位于</w:t>
                  </w:r>
                  <w:r>
                    <w:rPr>
                      <w:rFonts w:hint="eastAsia" w:ascii="Times New Roman" w:cs="Times New Roman"/>
                      <w:color w:val="auto"/>
                      <w:sz w:val="18"/>
                      <w:szCs w:val="18"/>
                      <w:highlight w:val="none"/>
                      <w:lang w:val="en-US" w:eastAsia="zh-CN"/>
                    </w:rPr>
                    <w:t>生产车间</w:t>
                  </w:r>
                  <w:r>
                    <w:rPr>
                      <w:rFonts w:hint="default" w:ascii="Times New Roman" w:hAnsi="Times New Roman" w:cs="Times New Roman"/>
                      <w:color w:val="auto"/>
                      <w:sz w:val="18"/>
                      <w:szCs w:val="18"/>
                      <w:highlight w:val="none"/>
                      <w:vertAlign w:val="baseline"/>
                      <w:lang w:val="en-US"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p>
              </w:tc>
              <w:tc>
                <w:tcPr>
                  <w:tcW w:w="769"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危废间</w:t>
                  </w:r>
                </w:p>
              </w:tc>
              <w:tc>
                <w:tcPr>
                  <w:tcW w:w="3557"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vertAlign w:val="baseline"/>
                      <w:lang w:val="en-US" w:eastAsia="zh-CN"/>
                    </w:rPr>
                    <w:t>用于存放生产过程产生的危险废物，地面及裙角防腐防渗，位于</w:t>
                  </w:r>
                  <w:r>
                    <w:rPr>
                      <w:rFonts w:hint="eastAsia" w:ascii="Times New Roman" w:cs="Times New Roman"/>
                      <w:color w:val="auto"/>
                      <w:sz w:val="18"/>
                      <w:szCs w:val="18"/>
                      <w:highlight w:val="none"/>
                      <w:lang w:val="en-US" w:eastAsia="zh-CN"/>
                    </w:rPr>
                    <w:t>生产车间</w:t>
                  </w:r>
                  <w:r>
                    <w:rPr>
                      <w:rFonts w:hint="default" w:ascii="Times New Roman" w:hAnsi="Times New Roman" w:cs="Times New Roman"/>
                      <w:color w:val="auto"/>
                      <w:sz w:val="18"/>
                      <w:szCs w:val="18"/>
                      <w:highlight w:val="none"/>
                      <w:vertAlign w:val="baseline"/>
                      <w:lang w:val="en-US"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p>
              </w:tc>
              <w:tc>
                <w:tcPr>
                  <w:tcW w:w="769"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一般工业固废暂存间</w:t>
                  </w:r>
                </w:p>
              </w:tc>
              <w:tc>
                <w:tcPr>
                  <w:tcW w:w="3557" w:type="pct"/>
                  <w:tcBorders>
                    <w:tl2br w:val="nil"/>
                    <w:tr2bl w:val="nil"/>
                  </w:tcBorders>
                  <w:noWrap w:val="0"/>
                  <w:vAlign w:val="center"/>
                </w:tcPr>
                <w:p>
                  <w:pPr>
                    <w:pStyle w:val="59"/>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vertAlign w:val="baseline"/>
                      <w:lang w:val="en-US" w:eastAsia="zh-CN"/>
                    </w:rPr>
                    <w:t>用于存放生产过程产生的一般固体废物，位于</w:t>
                  </w:r>
                  <w:r>
                    <w:rPr>
                      <w:rFonts w:hint="eastAsia" w:ascii="Times New Roman" w:cs="Times New Roman"/>
                      <w:color w:val="auto"/>
                      <w:sz w:val="18"/>
                      <w:szCs w:val="18"/>
                      <w:highlight w:val="none"/>
                      <w:lang w:val="en-US" w:eastAsia="zh-CN"/>
                    </w:rPr>
                    <w:t>生产车间</w:t>
                  </w:r>
                  <w:r>
                    <w:rPr>
                      <w:rFonts w:hint="default" w:ascii="Times New Roman" w:hAnsi="Times New Roman" w:cs="Times New Roman"/>
                      <w:color w:val="auto"/>
                      <w:sz w:val="18"/>
                      <w:szCs w:val="18"/>
                      <w:highlight w:val="none"/>
                      <w:vertAlign w:val="baseline"/>
                      <w:lang w:val="en-US"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7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公用工程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供水系统</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园区供水管网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排水系统</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园区排水管网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供电系统</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园区供电管网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供暖</w:t>
                  </w:r>
                  <w:r>
                    <w:rPr>
                      <w:rFonts w:hint="default" w:ascii="Times New Roman" w:hAnsi="Times New Roman" w:eastAsia="宋体" w:cs="Times New Roman"/>
                      <w:color w:val="auto"/>
                      <w:sz w:val="18"/>
                      <w:szCs w:val="18"/>
                      <w:highlight w:val="none"/>
                    </w:rPr>
                    <w:t>系统</w:t>
                  </w:r>
                </w:p>
              </w:tc>
              <w:tc>
                <w:tcPr>
                  <w:tcW w:w="3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生产过程采用电加热，车间不需供暖</w:t>
                  </w:r>
                  <w:r>
                    <w:rPr>
                      <w:rFonts w:hint="default" w:ascii="Times New Roman" w:hAnsi="Times New Roman" w:cs="Times New Roman"/>
                      <w:snapToGrid w:val="0"/>
                      <w:color w:val="auto"/>
                      <w:kern w:val="0"/>
                      <w:sz w:val="18"/>
                      <w:szCs w:val="18"/>
                      <w:highlight w:val="none"/>
                      <w:lang w:val="en-US" w:eastAsia="zh-CN"/>
                    </w:rPr>
                    <w:t>，</w:t>
                  </w:r>
                  <w:r>
                    <w:rPr>
                      <w:rFonts w:hint="default" w:ascii="Times New Roman" w:hAnsi="Times New Roman" w:eastAsia="宋体" w:cs="Times New Roman"/>
                      <w:snapToGrid w:val="0"/>
                      <w:color w:val="auto"/>
                      <w:kern w:val="0"/>
                      <w:sz w:val="18"/>
                      <w:szCs w:val="18"/>
                      <w:highlight w:val="none"/>
                      <w:lang w:val="en-US" w:eastAsia="zh-CN"/>
                    </w:rPr>
                    <w:t>办公区</w:t>
                  </w:r>
                  <w:r>
                    <w:rPr>
                      <w:rFonts w:hint="default" w:ascii="Times New Roman" w:hAnsi="Times New Roman" w:cs="Times New Roman"/>
                      <w:snapToGrid w:val="0"/>
                      <w:color w:val="auto"/>
                      <w:kern w:val="0"/>
                      <w:sz w:val="18"/>
                      <w:szCs w:val="18"/>
                      <w:highlight w:val="none"/>
                      <w:lang w:val="en-US" w:eastAsia="zh-CN"/>
                    </w:rPr>
                    <w:t>采用空调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环保工程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废气处理</w:t>
                  </w:r>
                </w:p>
              </w:tc>
              <w:tc>
                <w:tcPr>
                  <w:tcW w:w="355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val="en-US" w:eastAsia="zh-CN"/>
                    </w:rPr>
                    <w:t>激光切割机产生的废气经</w:t>
                  </w:r>
                  <w:r>
                    <w:rPr>
                      <w:rFonts w:hint="default" w:ascii="Times New Roman" w:hAnsi="Times New Roman" w:cs="Times New Roman"/>
                      <w:b w:val="0"/>
                      <w:bCs/>
                      <w:snapToGrid w:val="0"/>
                      <w:color w:val="auto"/>
                      <w:kern w:val="2"/>
                      <w:sz w:val="18"/>
                      <w:szCs w:val="18"/>
                      <w:highlight w:val="none"/>
                      <w:lang w:val="en-US" w:eastAsia="zh-CN" w:bidi="ar-SA"/>
                    </w:rPr>
                    <w:t>集气罩+1#脉冲布袋除尘器+15m排气筒P1排放；</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（2）等离子切割机产生的废气经</w:t>
                  </w:r>
                  <w:r>
                    <w:rPr>
                      <w:rFonts w:hint="default" w:ascii="Times New Roman" w:hAnsi="Times New Roman" w:cs="Times New Roman"/>
                      <w:b w:val="0"/>
                      <w:bCs/>
                      <w:snapToGrid w:val="0"/>
                      <w:color w:val="auto"/>
                      <w:kern w:val="2"/>
                      <w:sz w:val="18"/>
                      <w:szCs w:val="18"/>
                      <w:highlight w:val="none"/>
                      <w:lang w:val="en-US" w:eastAsia="zh-CN" w:bidi="ar-SA"/>
                    </w:rPr>
                    <w:t>集气罩+2#脉冲布袋除尘器+15m排气筒P2排放；</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（3）固定工位</w:t>
                  </w:r>
                  <w:r>
                    <w:rPr>
                      <w:rFonts w:hint="default" w:ascii="Times New Roman" w:hAnsi="Times New Roman" w:eastAsia="宋体" w:cs="Times New Roman"/>
                      <w:color w:val="auto"/>
                      <w:sz w:val="18"/>
                      <w:szCs w:val="18"/>
                      <w:highlight w:val="none"/>
                      <w:lang w:val="en-US" w:eastAsia="zh-CN"/>
                    </w:rPr>
                    <w:t>焊接废气</w:t>
                  </w:r>
                  <w:r>
                    <w:rPr>
                      <w:rFonts w:hint="default" w:ascii="Times New Roman" w:hAnsi="Times New Roman" w:cs="Times New Roman"/>
                      <w:color w:val="auto"/>
                      <w:sz w:val="18"/>
                      <w:szCs w:val="18"/>
                      <w:highlight w:val="none"/>
                      <w:lang w:val="en-US" w:eastAsia="zh-CN"/>
                    </w:rPr>
                    <w:t>+2台焊接机器人废气</w:t>
                  </w:r>
                  <w:r>
                    <w:rPr>
                      <w:rFonts w:hint="default" w:ascii="Times New Roman" w:hAnsi="Times New Roman" w:eastAsia="宋体" w:cs="Times New Roman"/>
                      <w:color w:val="auto"/>
                      <w:sz w:val="18"/>
                      <w:szCs w:val="18"/>
                      <w:highlight w:val="none"/>
                      <w:lang w:val="en-US" w:eastAsia="zh-CN"/>
                    </w:rPr>
                    <w:t>经</w:t>
                  </w:r>
                  <w:r>
                    <w:rPr>
                      <w:rFonts w:hint="default" w:ascii="Times New Roman" w:hAnsi="Times New Roman" w:cs="Times New Roman"/>
                      <w:b w:val="0"/>
                      <w:bCs/>
                      <w:snapToGrid w:val="0"/>
                      <w:color w:val="auto"/>
                      <w:kern w:val="2"/>
                      <w:sz w:val="18"/>
                      <w:szCs w:val="18"/>
                      <w:highlight w:val="none"/>
                      <w:lang w:val="en-US" w:eastAsia="zh-CN" w:bidi="ar-SA"/>
                    </w:rPr>
                    <w:t>封闭间+3#脉冲布袋除尘器+15m排气筒P3排放；</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3台焊接机器人经</w:t>
                  </w:r>
                  <w:r>
                    <w:rPr>
                      <w:rFonts w:hint="default" w:ascii="Times New Roman" w:hAnsi="Times New Roman" w:cs="Times New Roman"/>
                      <w:b w:val="0"/>
                      <w:bCs/>
                      <w:snapToGrid w:val="0"/>
                      <w:color w:val="auto"/>
                      <w:kern w:val="2"/>
                      <w:sz w:val="18"/>
                      <w:szCs w:val="18"/>
                      <w:highlight w:val="none"/>
                      <w:lang w:val="en-US" w:eastAsia="zh-CN" w:bidi="ar-SA"/>
                    </w:rPr>
                    <w:t>移动式集气罩+4#脉冲布袋除尘器+15m排气筒P4排放</w:t>
                  </w:r>
                  <w:r>
                    <w:rPr>
                      <w:rFonts w:hint="default" w:ascii="Times New Roman" w:hAnsi="Times New Roman"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lang w:val="en-US" w:eastAsia="zh-CN"/>
                    </w:rPr>
                    <w:t>）抛丸过程产生的废气</w:t>
                  </w:r>
                  <w:r>
                    <w:rPr>
                      <w:rFonts w:hint="default" w:ascii="Times New Roman" w:hAnsi="Times New Roman" w:cs="Times New Roman"/>
                      <w:color w:val="auto"/>
                      <w:sz w:val="18"/>
                      <w:szCs w:val="18"/>
                      <w:highlight w:val="none"/>
                      <w:lang w:val="en-US" w:eastAsia="zh-CN"/>
                    </w:rPr>
                    <w:t>经</w:t>
                  </w:r>
                  <w:r>
                    <w:rPr>
                      <w:rFonts w:hint="default" w:ascii="Times New Roman" w:hAnsi="Times New Roman" w:cs="Times New Roman"/>
                      <w:b w:val="0"/>
                      <w:bCs/>
                      <w:snapToGrid w:val="0"/>
                      <w:color w:val="auto"/>
                      <w:kern w:val="2"/>
                      <w:sz w:val="18"/>
                      <w:szCs w:val="18"/>
                      <w:highlight w:val="none"/>
                      <w:lang w:val="en-US" w:eastAsia="zh-CN" w:bidi="ar-SA"/>
                    </w:rPr>
                    <w:t>封闭间+旋风除尘器+5#脉冲布袋除尘器+15m排气筒P5排放</w:t>
                  </w:r>
                  <w:r>
                    <w:rPr>
                      <w:rFonts w:hint="default" w:ascii="Times New Roman" w:hAnsi="Times New Roman"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喷漆、晾干</w:t>
                  </w:r>
                  <w:r>
                    <w:rPr>
                      <w:rFonts w:hint="default" w:ascii="Times New Roman" w:hAnsi="Times New Roman" w:eastAsia="宋体" w:cs="Times New Roman"/>
                      <w:color w:val="auto"/>
                      <w:sz w:val="18"/>
                      <w:szCs w:val="18"/>
                      <w:highlight w:val="none"/>
                      <w:lang w:val="en-US" w:eastAsia="zh-CN"/>
                    </w:rPr>
                    <w:t>废气经</w:t>
                  </w:r>
                  <w:r>
                    <w:rPr>
                      <w:rFonts w:hint="eastAsia"/>
                      <w:color w:val="auto"/>
                      <w:sz w:val="18"/>
                      <w:szCs w:val="18"/>
                      <w:highlight w:val="none"/>
                      <w:lang w:val="en-US" w:eastAsia="zh-CN"/>
                    </w:rPr>
                    <w:t>喷淋塔+过滤棉</w:t>
                  </w:r>
                  <w:r>
                    <w:rPr>
                      <w:rFonts w:hint="default" w:ascii="Times New Roman" w:hAnsi="Times New Roman" w:cs="Times New Roman"/>
                      <w:b w:val="0"/>
                      <w:bCs/>
                      <w:snapToGrid w:val="0"/>
                      <w:color w:val="auto"/>
                      <w:kern w:val="2"/>
                      <w:sz w:val="18"/>
                      <w:szCs w:val="18"/>
                      <w:highlight w:val="none"/>
                      <w:lang w:val="en-US" w:eastAsia="zh-CN" w:bidi="ar-SA"/>
                    </w:rPr>
                    <w:t>+活性炭吸附/脱附+6#催化燃烧+15m排气筒P6排放</w:t>
                  </w:r>
                  <w:r>
                    <w:rPr>
                      <w:rFonts w:hint="default" w:ascii="Times New Roman" w:hAnsi="Times New Roman"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喷涂</w:t>
                  </w:r>
                  <w:r>
                    <w:rPr>
                      <w:rFonts w:hint="default" w:ascii="Times New Roman" w:hAnsi="Times New Roman" w:eastAsia="宋体" w:cs="Times New Roman"/>
                      <w:color w:val="auto"/>
                      <w:sz w:val="18"/>
                      <w:szCs w:val="18"/>
                      <w:highlight w:val="none"/>
                      <w:lang w:val="en-US" w:eastAsia="zh-CN"/>
                    </w:rPr>
                    <w:t>废气经</w:t>
                  </w:r>
                  <w:r>
                    <w:rPr>
                      <w:rFonts w:hint="eastAsia"/>
                      <w:color w:val="auto"/>
                      <w:sz w:val="18"/>
                      <w:szCs w:val="18"/>
                      <w:highlight w:val="none"/>
                      <w:lang w:val="en-US" w:eastAsia="zh-CN"/>
                    </w:rPr>
                    <w:t>喷淋塔+过滤棉</w:t>
                  </w:r>
                  <w:r>
                    <w:rPr>
                      <w:rFonts w:hint="default" w:ascii="Times New Roman" w:hAnsi="Times New Roman" w:cs="Times New Roman"/>
                      <w:b w:val="0"/>
                      <w:bCs/>
                      <w:snapToGrid w:val="0"/>
                      <w:color w:val="auto"/>
                      <w:kern w:val="2"/>
                      <w:sz w:val="18"/>
                      <w:szCs w:val="18"/>
                      <w:highlight w:val="none"/>
                      <w:lang w:val="en-US" w:eastAsia="zh-CN" w:bidi="ar-SA"/>
                    </w:rPr>
                    <w:t>+活性炭吸附/脱附+7#催化燃烧+15m排气筒P7排放</w:t>
                  </w:r>
                  <w:r>
                    <w:rPr>
                      <w:rFonts w:hint="default" w:ascii="Times New Roman" w:hAnsi="Times New Roman" w:eastAsia="宋体" w:cs="Times New Roman"/>
                      <w:color w:val="auto"/>
                      <w:sz w:val="18"/>
                      <w:szCs w:val="18"/>
                      <w:highlight w:val="none"/>
                      <w:lang w:val="en-US" w:eastAsia="zh-CN"/>
                    </w:rPr>
                    <w:t>排放</w:t>
                  </w:r>
                  <w:r>
                    <w:rPr>
                      <w:rFonts w:hint="default" w:ascii="Times New Roman" w:hAnsi="Times New Roman"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eastAsia="宋体" w:cs="Times New Roman"/>
                      <w:b w:val="0"/>
                      <w:bCs/>
                      <w:snapToGrid w:val="0"/>
                      <w:color w:val="auto"/>
                      <w:kern w:val="2"/>
                      <w:sz w:val="18"/>
                      <w:szCs w:val="18"/>
                      <w:highlight w:val="none"/>
                      <w:lang w:val="en-US" w:eastAsia="zh-CN" w:bidi="ar-SA"/>
                    </w:rPr>
                    <w:t>打磨胶板废气</w:t>
                  </w:r>
                  <w:r>
                    <w:rPr>
                      <w:rFonts w:hint="default" w:ascii="Times New Roman" w:hAnsi="Times New Roman" w:cs="Times New Roman"/>
                      <w:b w:val="0"/>
                      <w:bCs/>
                      <w:snapToGrid w:val="0"/>
                      <w:color w:val="auto"/>
                      <w:kern w:val="2"/>
                      <w:sz w:val="18"/>
                      <w:szCs w:val="18"/>
                      <w:highlight w:val="none"/>
                      <w:lang w:val="en-US" w:eastAsia="zh-CN" w:bidi="ar-SA"/>
                    </w:rPr>
                    <w:t>经封闭间+8#脉冲布袋除尘器+15m排气筒P8排放；</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r>
                    <w:rPr>
                      <w:rFonts w:hint="default" w:ascii="Times New Roman" w:hAnsi="Times New Roman" w:eastAsia="宋体" w:cs="Times New Roman"/>
                      <w:b w:val="0"/>
                      <w:bCs/>
                      <w:snapToGrid w:val="0"/>
                      <w:color w:val="auto"/>
                      <w:kern w:val="2"/>
                      <w:sz w:val="18"/>
                      <w:szCs w:val="18"/>
                      <w:highlight w:val="none"/>
                      <w:lang w:val="en-US" w:eastAsia="zh-CN" w:bidi="ar-SA"/>
                    </w:rPr>
                    <w:t>粘胶工序产生的废气</w:t>
                  </w:r>
                  <w:r>
                    <w:rPr>
                      <w:rFonts w:hint="default" w:ascii="Times New Roman" w:hAnsi="Times New Roman" w:cs="Times New Roman"/>
                      <w:b w:val="0"/>
                      <w:bCs/>
                      <w:snapToGrid w:val="0"/>
                      <w:color w:val="auto"/>
                      <w:kern w:val="2"/>
                      <w:sz w:val="18"/>
                      <w:szCs w:val="18"/>
                      <w:highlight w:val="none"/>
                      <w:lang w:val="en-US" w:eastAsia="zh-CN" w:bidi="ar-SA"/>
                    </w:rPr>
                    <w:t>经活性炭吸附/脱附+9~10#催化燃烧+15m排气筒P9~10排放（共两套）；</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（10）打磨废气经过移动式烟尘净化器（五套）处理之后车间内无组织排放；</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（11）</w:t>
                  </w:r>
                  <w:r>
                    <w:rPr>
                      <w:rFonts w:hint="eastAsia" w:ascii="Times New Roman" w:hAnsi="Times New Roman" w:eastAsia="宋体" w:cs="Times New Roman"/>
                      <w:color w:val="auto"/>
                      <w:sz w:val="18"/>
                      <w:szCs w:val="18"/>
                      <w:highlight w:val="none"/>
                      <w:lang w:val="en-US" w:eastAsia="zh-CN"/>
                    </w:rPr>
                    <w:t>粉料配料</w:t>
                  </w:r>
                  <w:r>
                    <w:rPr>
                      <w:rFonts w:hint="eastAsia" w:cs="Times New Roman"/>
                      <w:color w:val="auto"/>
                      <w:sz w:val="18"/>
                      <w:szCs w:val="18"/>
                      <w:highlight w:val="none"/>
                      <w:lang w:val="en-US" w:eastAsia="zh-CN"/>
                    </w:rPr>
                    <w:t>、</w:t>
                  </w:r>
                  <w:r>
                    <w:rPr>
                      <w:rFonts w:hint="eastAsia" w:ascii="Times New Roman" w:hAnsi="Times New Roman" w:eastAsia="宋体" w:cs="Times New Roman"/>
                      <w:color w:val="auto"/>
                      <w:sz w:val="18"/>
                      <w:szCs w:val="18"/>
                      <w:highlight w:val="none"/>
                      <w:lang w:val="en-US" w:eastAsia="zh-CN"/>
                    </w:rPr>
                    <w:t>捏炼、开炼</w:t>
                  </w:r>
                  <w:r>
                    <w:rPr>
                      <w:rFonts w:hint="eastAsia" w:ascii="Times New Roman" w:hAnsi="Times New Roman" w:eastAsia="宋体" w:cs="Times New Roman"/>
                      <w:color w:val="auto"/>
                      <w:sz w:val="18"/>
                      <w:szCs w:val="18"/>
                      <w:highlight w:val="none"/>
                      <w:lang w:val="en-US" w:eastAsia="zh-CN"/>
                    </w:rPr>
                    <w:t>废气经</w:t>
                  </w:r>
                  <w:r>
                    <w:rPr>
                      <w:rFonts w:hint="eastAsia" w:cs="Times New Roman"/>
                      <w:color w:val="auto"/>
                      <w:sz w:val="18"/>
                      <w:szCs w:val="18"/>
                      <w:highlight w:val="none"/>
                      <w:lang w:val="en-US" w:eastAsia="zh-CN"/>
                    </w:rPr>
                    <w:t>集气罩</w:t>
                  </w:r>
                  <w:r>
                    <w:rPr>
                      <w:rFonts w:hint="eastAsia" w:ascii="Times New Roman" w:hAnsi="Times New Roman" w:eastAsia="宋体" w:cs="Times New Roman"/>
                      <w:color w:val="auto"/>
                      <w:sz w:val="18"/>
                      <w:szCs w:val="18"/>
                      <w:highlight w:val="none"/>
                      <w:lang w:val="en-US" w:eastAsia="zh-CN"/>
                    </w:rPr>
                    <w:t>+11</w:t>
                  </w:r>
                  <w:r>
                    <w:rPr>
                      <w:rFonts w:hint="eastAsia" w:cs="Times New Roman"/>
                      <w:color w:val="auto"/>
                      <w:sz w:val="18"/>
                      <w:szCs w:val="18"/>
                      <w:highlight w:val="none"/>
                      <w:lang w:val="en-US" w:eastAsia="zh-CN"/>
                    </w:rPr>
                    <w:t>、12</w:t>
                  </w:r>
                  <w:r>
                    <w:rPr>
                      <w:rFonts w:hint="eastAsia" w:ascii="Times New Roman" w:hAnsi="Times New Roman" w:eastAsia="宋体"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脉冲布袋除尘器</w:t>
                  </w:r>
                  <w:r>
                    <w:rPr>
                      <w:rFonts w:hint="default" w:ascii="Times New Roman" w:hAnsi="Times New Roman" w:cs="Times New Roman"/>
                      <w:b w:val="0"/>
                      <w:bCs/>
                      <w:snapToGrid w:val="0"/>
                      <w:color w:val="auto"/>
                      <w:kern w:val="2"/>
                      <w:sz w:val="18"/>
                      <w:szCs w:val="18"/>
                      <w:highlight w:val="none"/>
                      <w:lang w:val="en-US" w:eastAsia="zh-CN" w:bidi="ar-SA"/>
                    </w:rPr>
                    <w:t>+活性炭吸附/脱附+催化燃烧+15m排气筒P</w:t>
                  </w:r>
                  <w:r>
                    <w:rPr>
                      <w:rFonts w:hint="eastAsia" w:ascii="Times New Roman" w:hAnsi="Times New Roman" w:cs="Times New Roman"/>
                      <w:b w:val="0"/>
                      <w:bCs/>
                      <w:snapToGrid w:val="0"/>
                      <w:color w:val="auto"/>
                      <w:kern w:val="2"/>
                      <w:sz w:val="18"/>
                      <w:szCs w:val="18"/>
                      <w:highlight w:val="none"/>
                      <w:lang w:val="en-US" w:eastAsia="zh-CN" w:bidi="ar-SA"/>
                    </w:rPr>
                    <w:t>11、</w:t>
                  </w:r>
                  <w:r>
                    <w:rPr>
                      <w:rFonts w:hint="eastAsia" w:cs="Times New Roman"/>
                      <w:b w:val="0"/>
                      <w:bCs/>
                      <w:snapToGrid w:val="0"/>
                      <w:color w:val="auto"/>
                      <w:kern w:val="2"/>
                      <w:sz w:val="18"/>
                      <w:szCs w:val="18"/>
                      <w:highlight w:val="none"/>
                      <w:lang w:val="en-US" w:eastAsia="zh-CN" w:bidi="ar-SA"/>
                    </w:rPr>
                    <w:t>12</w:t>
                  </w:r>
                  <w:r>
                    <w:rPr>
                      <w:rFonts w:hint="eastAsia" w:cs="Times New Roman"/>
                      <w:color w:val="auto"/>
                      <w:sz w:val="18"/>
                      <w:szCs w:val="18"/>
                      <w:highlight w:val="none"/>
                      <w:lang w:val="en-US" w:eastAsia="zh-CN"/>
                    </w:rPr>
                    <w:t>排放</w:t>
                  </w:r>
                  <w:r>
                    <w:rPr>
                      <w:rFonts w:hint="eastAsia" w:cs="Times New Roman"/>
                      <w:b w:val="0"/>
                      <w:bCs/>
                      <w:snapToGrid w:val="0"/>
                      <w:color w:val="auto"/>
                      <w:kern w:val="2"/>
                      <w:sz w:val="18"/>
                      <w:szCs w:val="18"/>
                      <w:highlight w:val="none"/>
                      <w:lang w:val="en-US" w:eastAsia="zh-CN" w:bidi="ar-SA"/>
                    </w:rPr>
                    <w:t>（共二套）</w:t>
                  </w:r>
                  <w:r>
                    <w:rPr>
                      <w:rFonts w:hint="default" w:ascii="Times New Roman" w:hAnsi="Times New Roman" w:eastAsia="宋体"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（12）硫化过程废气</w:t>
                  </w:r>
                  <w:r>
                    <w:rPr>
                      <w:rFonts w:hint="eastAsia" w:cs="Times New Roman"/>
                      <w:color w:val="auto"/>
                      <w:sz w:val="18"/>
                      <w:szCs w:val="18"/>
                      <w:highlight w:val="none"/>
                      <w:lang w:val="en-US" w:eastAsia="zh-CN"/>
                    </w:rPr>
                    <w:t>经集气罩+13~15#</w:t>
                  </w:r>
                  <w:r>
                    <w:rPr>
                      <w:rFonts w:hint="default" w:ascii="Times New Roman" w:hAnsi="Times New Roman" w:cs="Times New Roman"/>
                      <w:b w:val="0"/>
                      <w:bCs/>
                      <w:snapToGrid w:val="0"/>
                      <w:color w:val="auto"/>
                      <w:kern w:val="2"/>
                      <w:sz w:val="18"/>
                      <w:szCs w:val="18"/>
                      <w:highlight w:val="none"/>
                      <w:lang w:val="en-US" w:eastAsia="zh-CN" w:bidi="ar-SA"/>
                    </w:rPr>
                    <w:t>活性炭吸附/脱附+催化燃烧+15m排气筒P</w:t>
                  </w:r>
                  <w:r>
                    <w:rPr>
                      <w:rFonts w:hint="eastAsia" w:cs="Times New Roman"/>
                      <w:b w:val="0"/>
                      <w:bCs/>
                      <w:snapToGrid w:val="0"/>
                      <w:color w:val="auto"/>
                      <w:kern w:val="2"/>
                      <w:sz w:val="18"/>
                      <w:szCs w:val="18"/>
                      <w:highlight w:val="none"/>
                      <w:lang w:val="en-US" w:eastAsia="zh-CN" w:bidi="ar-SA"/>
                    </w:rPr>
                    <w:t>13~15</w:t>
                  </w:r>
                  <w:r>
                    <w:rPr>
                      <w:rFonts w:hint="default" w:ascii="Times New Roman" w:hAnsi="Times New Roman" w:cs="Times New Roman"/>
                      <w:b w:val="0"/>
                      <w:bCs/>
                      <w:snapToGrid w:val="0"/>
                      <w:color w:val="auto"/>
                      <w:kern w:val="2"/>
                      <w:sz w:val="18"/>
                      <w:szCs w:val="18"/>
                      <w:highlight w:val="none"/>
                      <w:lang w:val="en-US" w:eastAsia="zh-CN" w:bidi="ar-SA"/>
                    </w:rPr>
                    <w:t>排放</w:t>
                  </w:r>
                  <w:r>
                    <w:rPr>
                      <w:rFonts w:hint="eastAsia" w:cs="Times New Roman"/>
                      <w:b w:val="0"/>
                      <w:bCs/>
                      <w:snapToGrid w:val="0"/>
                      <w:color w:val="auto"/>
                      <w:kern w:val="2"/>
                      <w:sz w:val="18"/>
                      <w:szCs w:val="18"/>
                      <w:highlight w:val="none"/>
                      <w:lang w:val="en-US" w:eastAsia="zh-CN" w:bidi="ar-SA"/>
                    </w:rPr>
                    <w:t>（共三套）</w:t>
                  </w:r>
                  <w:r>
                    <w:rPr>
                      <w:rFonts w:hint="default" w:ascii="Times New Roman" w:hAnsi="Times New Roman" w:cs="Times New Roman"/>
                      <w:color w:val="auto"/>
                      <w:sz w:val="18"/>
                      <w:szCs w:val="18"/>
                      <w:highlight w:val="none"/>
                      <w:lang w:val="en-US"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职工食堂油烟经油烟净化器处理后排放。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废水</w:t>
                  </w:r>
                </w:p>
              </w:tc>
              <w:tc>
                <w:tcPr>
                  <w:tcW w:w="3557" w:type="pct"/>
                  <w:tcBorders>
                    <w:tl2br w:val="nil"/>
                    <w:tr2bl w:val="nil"/>
                  </w:tcBorders>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食堂废水经隔油池处理后，汇同其他</w:t>
                  </w:r>
                  <w:r>
                    <w:rPr>
                      <w:rFonts w:hint="default" w:ascii="Times New Roman" w:hAnsi="Times New Roman" w:eastAsia="宋体" w:cs="Times New Roman"/>
                      <w:color w:val="auto"/>
                      <w:sz w:val="18"/>
                      <w:szCs w:val="18"/>
                      <w:highlight w:val="none"/>
                      <w:lang w:eastAsia="zh-CN"/>
                    </w:rPr>
                    <w:t>生活</w:t>
                  </w:r>
                  <w:r>
                    <w:rPr>
                      <w:rFonts w:hint="default" w:ascii="Times New Roman" w:hAnsi="Times New Roman" w:eastAsia="宋体" w:cs="Times New Roman"/>
                      <w:color w:val="auto"/>
                      <w:sz w:val="18"/>
                      <w:szCs w:val="18"/>
                      <w:highlight w:val="none"/>
                    </w:rPr>
                    <w:t>污水排入园区污水处理厂</w:t>
                  </w:r>
                  <w:r>
                    <w:rPr>
                      <w:rFonts w:hint="default" w:ascii="Times New Roman" w:hAnsi="Times New Roman" w:eastAsia="宋体" w:cs="Times New Roman"/>
                      <w:color w:val="auto"/>
                      <w:sz w:val="18"/>
                      <w:szCs w:val="18"/>
                      <w:highlight w:val="none"/>
                      <w:lang w:eastAsia="zh-CN"/>
                    </w:rPr>
                    <w:t>；</w:t>
                  </w:r>
                  <w:r>
                    <w:rPr>
                      <w:rFonts w:hint="eastAsia" w:cs="Times New Roman"/>
                      <w:color w:val="auto"/>
                      <w:sz w:val="18"/>
                      <w:szCs w:val="18"/>
                      <w:highlight w:val="none"/>
                      <w:lang w:val="en-US" w:eastAsia="zh-CN"/>
                    </w:rPr>
                    <w:t>喷淋塔废水循环使用，不外排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噪声</w:t>
                  </w:r>
                </w:p>
              </w:tc>
              <w:tc>
                <w:tcPr>
                  <w:tcW w:w="3557" w:type="pct"/>
                  <w:tcBorders>
                    <w:tl2br w:val="nil"/>
                    <w:tr2bl w:val="nil"/>
                  </w:tcBorders>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选用低噪声设备、合理布局，</w:t>
                  </w:r>
                  <w:r>
                    <w:rPr>
                      <w:rFonts w:hint="default" w:ascii="Times New Roman" w:hAnsi="Times New Roman" w:cs="Times New Roman"/>
                      <w:color w:val="auto"/>
                      <w:kern w:val="2"/>
                      <w:sz w:val="18"/>
                      <w:szCs w:val="18"/>
                      <w:highlight w:val="none"/>
                      <w:lang w:val="en-US" w:eastAsia="zh-CN" w:bidi="ar-SA"/>
                    </w:rPr>
                    <w:t>采用厂房</w:t>
                  </w:r>
                  <w:r>
                    <w:rPr>
                      <w:rFonts w:hint="default" w:ascii="Times New Roman" w:hAnsi="Times New Roman" w:eastAsia="宋体" w:cs="Times New Roman"/>
                      <w:color w:val="auto"/>
                      <w:kern w:val="2"/>
                      <w:sz w:val="18"/>
                      <w:szCs w:val="18"/>
                      <w:highlight w:val="none"/>
                      <w:lang w:val="en-US" w:eastAsia="zh-CN" w:bidi="ar-SA"/>
                    </w:rPr>
                    <w:t>隔声、</w:t>
                  </w:r>
                  <w:r>
                    <w:rPr>
                      <w:rFonts w:hint="default" w:ascii="Times New Roman" w:hAnsi="Times New Roman" w:cs="Times New Roman"/>
                      <w:color w:val="auto"/>
                      <w:kern w:val="2"/>
                      <w:sz w:val="18"/>
                      <w:szCs w:val="18"/>
                      <w:highlight w:val="none"/>
                      <w:lang w:val="en-US" w:eastAsia="zh-CN" w:bidi="ar-SA"/>
                    </w:rPr>
                    <w:t>基础</w:t>
                  </w:r>
                  <w:r>
                    <w:rPr>
                      <w:rFonts w:hint="default" w:ascii="Times New Roman" w:hAnsi="Times New Roman" w:eastAsia="宋体" w:cs="Times New Roman"/>
                      <w:color w:val="auto"/>
                      <w:kern w:val="2"/>
                      <w:sz w:val="18"/>
                      <w:szCs w:val="18"/>
                      <w:highlight w:val="none"/>
                      <w:lang w:val="en-US" w:eastAsia="zh-CN" w:bidi="ar-SA"/>
                    </w:rPr>
                    <w:t>减振等措施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eastAsia="zh-CN"/>
                    </w:rPr>
                    <w:t>固废</w:t>
                  </w:r>
                </w:p>
              </w:tc>
              <w:tc>
                <w:tcPr>
                  <w:tcW w:w="3557" w:type="pct"/>
                  <w:tcBorders>
                    <w:tl2br w:val="nil"/>
                    <w:tr2bl w:val="nil"/>
                  </w:tcBorders>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一般固体废物集中收集，外售相关企业；</w:t>
                  </w:r>
                </w:p>
                <w:p>
                  <w:pPr>
                    <w:pStyle w:val="20"/>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职工生活垃圾由环卫部门统一处理；</w:t>
                  </w:r>
                </w:p>
                <w:p>
                  <w:pPr>
                    <w:pStyle w:val="20"/>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危险废物暂存于危险废物暂存间，定期由有资质的公司进行处置。</w:t>
                  </w: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 xml:space="preserve">  项目</w:t>
            </w:r>
            <w:r>
              <w:rPr>
                <w:rFonts w:hint="default" w:ascii="Times New Roman" w:hAnsi="Times New Roman" w:cs="Times New Roman"/>
                <w:b/>
                <w:bCs/>
                <w:color w:val="auto"/>
                <w:kern w:val="0"/>
                <w:sz w:val="21"/>
                <w:szCs w:val="21"/>
                <w:highlight w:val="none"/>
                <w:lang w:val="en-US" w:eastAsia="zh-CN"/>
              </w:rPr>
              <w:t>二期工程</w:t>
            </w:r>
            <w:r>
              <w:rPr>
                <w:rFonts w:hint="default" w:ascii="Times New Roman" w:hAnsi="Times New Roman" w:eastAsia="宋体" w:cs="Times New Roman"/>
                <w:b/>
                <w:bCs/>
                <w:color w:val="auto"/>
                <w:kern w:val="0"/>
                <w:sz w:val="21"/>
                <w:szCs w:val="21"/>
                <w:highlight w:val="none"/>
              </w:rPr>
              <w:t>主要建设内容一览表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295"/>
              <w:gridCol w:w="5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项目类别</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工程内容及规模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辅助工程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综合楼</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办公楼1座，用于员工办公、食堂、员工休息等；研发楼及中试楼各一座，包含产品设计研发、产品展示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7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展示大厅</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两座，包含产品展示、参观等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公用工程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供水系统</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依托一期</w:t>
                  </w:r>
                  <w:r>
                    <w:rPr>
                      <w:rFonts w:hint="default" w:ascii="Times New Roman" w:hAnsi="Times New Roman" w:eastAsia="宋体" w:cs="Times New Roman"/>
                      <w:color w:val="auto"/>
                      <w:sz w:val="18"/>
                      <w:szCs w:val="18"/>
                      <w:highlight w:val="none"/>
                      <w:lang w:val="en-US" w:eastAsia="zh-CN"/>
                    </w:rPr>
                    <w:t>园区供水管网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排水系统</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依托一期</w:t>
                  </w:r>
                  <w:r>
                    <w:rPr>
                      <w:rFonts w:hint="default" w:ascii="Times New Roman" w:hAnsi="Times New Roman" w:eastAsia="宋体" w:cs="Times New Roman"/>
                      <w:color w:val="auto"/>
                      <w:sz w:val="18"/>
                      <w:szCs w:val="18"/>
                      <w:highlight w:val="none"/>
                      <w:lang w:val="en-US" w:eastAsia="zh-CN"/>
                    </w:rPr>
                    <w:t>园区排水管网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供电系统</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cs="Times New Roman"/>
                      <w:color w:val="auto"/>
                      <w:sz w:val="18"/>
                      <w:szCs w:val="18"/>
                      <w:highlight w:val="none"/>
                      <w:lang w:val="en-US" w:eastAsia="zh-CN"/>
                    </w:rPr>
                    <w:t>依托一期</w:t>
                  </w:r>
                  <w:r>
                    <w:rPr>
                      <w:rFonts w:hint="default" w:ascii="Times New Roman" w:hAnsi="Times New Roman" w:eastAsia="宋体" w:cs="Times New Roman"/>
                      <w:color w:val="auto"/>
                      <w:sz w:val="18"/>
                      <w:szCs w:val="18"/>
                      <w:highlight w:val="none"/>
                      <w:lang w:val="en-US" w:eastAsia="zh-CN"/>
                    </w:rPr>
                    <w:t>园区供电管网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供暖</w:t>
                  </w:r>
                  <w:r>
                    <w:rPr>
                      <w:rFonts w:hint="default" w:ascii="Times New Roman" w:hAnsi="Times New Roman" w:eastAsia="宋体" w:cs="Times New Roman"/>
                      <w:color w:val="auto"/>
                      <w:sz w:val="18"/>
                      <w:szCs w:val="18"/>
                      <w:highlight w:val="none"/>
                    </w:rPr>
                    <w:t>系统</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车间不需供暖</w:t>
                  </w:r>
                  <w:r>
                    <w:rPr>
                      <w:rFonts w:hint="default" w:ascii="Times New Roman" w:hAnsi="Times New Roman" w:cs="Times New Roman"/>
                      <w:snapToGrid w:val="0"/>
                      <w:color w:val="auto"/>
                      <w:kern w:val="0"/>
                      <w:sz w:val="18"/>
                      <w:szCs w:val="18"/>
                      <w:highlight w:val="none"/>
                      <w:lang w:val="en-US" w:eastAsia="zh-CN"/>
                    </w:rPr>
                    <w:t>，</w:t>
                  </w:r>
                  <w:r>
                    <w:rPr>
                      <w:rFonts w:hint="default" w:ascii="Times New Roman" w:hAnsi="Times New Roman" w:eastAsia="宋体" w:cs="Times New Roman"/>
                      <w:snapToGrid w:val="0"/>
                      <w:color w:val="auto"/>
                      <w:kern w:val="0"/>
                      <w:sz w:val="18"/>
                      <w:szCs w:val="18"/>
                      <w:highlight w:val="none"/>
                      <w:lang w:val="en-US" w:eastAsia="zh-CN"/>
                    </w:rPr>
                    <w:t>办公区</w:t>
                  </w:r>
                  <w:r>
                    <w:rPr>
                      <w:rFonts w:hint="default" w:ascii="Times New Roman" w:hAnsi="Times New Roman" w:cs="Times New Roman"/>
                      <w:snapToGrid w:val="0"/>
                      <w:color w:val="auto"/>
                      <w:kern w:val="0"/>
                      <w:sz w:val="18"/>
                      <w:szCs w:val="18"/>
                      <w:highlight w:val="none"/>
                      <w:lang w:val="en-US" w:eastAsia="zh-CN"/>
                    </w:rPr>
                    <w:t>采用空调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环保工程</w:t>
                  </w:r>
                </w:p>
              </w:tc>
              <w:tc>
                <w:tcPr>
                  <w:tcW w:w="7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c>
                <w:tcPr>
                  <w:tcW w:w="355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ind w:left="0" w:leftChars="0" w:right="0" w:rightChars="0"/>
                    <w:jc w:val="center"/>
                    <w:textAlignment w:val="auto"/>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二期项目不涉及生产，无污染物排放</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gree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表</w:t>
            </w:r>
            <w:r>
              <w:rPr>
                <w:rFonts w:hint="default" w:ascii="Times New Roman" w:hAnsi="Times New Roman" w:eastAsia="宋体" w:cs="Times New Roman"/>
                <w:b/>
                <w:bCs/>
                <w:caps w:val="0"/>
                <w:smallCaps w:val="0"/>
                <w:color w:val="auto"/>
                <w:sz w:val="21"/>
                <w:szCs w:val="21"/>
                <w:highlight w:val="none"/>
                <w:lang w:val="en-US" w:eastAsia="zh-CN"/>
              </w:rPr>
              <w:t>2-</w:t>
            </w:r>
            <w:r>
              <w:rPr>
                <w:rFonts w:hint="eastAsia" w:cs="Times New Roman"/>
                <w:b/>
                <w:bCs/>
                <w:caps w:val="0"/>
                <w:smallCaps w:val="0"/>
                <w:color w:val="auto"/>
                <w:sz w:val="21"/>
                <w:szCs w:val="21"/>
                <w:highlight w:val="none"/>
                <w:lang w:val="en-US" w:eastAsia="zh-CN"/>
              </w:rPr>
              <w:t>4</w:t>
            </w:r>
            <w:r>
              <w:rPr>
                <w:rFonts w:hint="default" w:ascii="Times New Roman" w:hAnsi="Times New Roman" w:eastAsia="宋体" w:cs="Times New Roman"/>
                <w:b/>
                <w:bCs/>
                <w:caps w:val="0"/>
                <w:smallCaps w:val="0"/>
                <w:color w:val="auto"/>
                <w:sz w:val="21"/>
                <w:szCs w:val="21"/>
                <w:highlight w:val="none"/>
              </w:rPr>
              <w:t xml:space="preserve">  建构筑物一览表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177"/>
              <w:gridCol w:w="1854"/>
              <w:gridCol w:w="1811"/>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r>
                    <w:rPr>
                      <w:rFonts w:hint="default" w:ascii="Times New Roman" w:hAnsi="Times New Roman" w:eastAsia="宋体" w:cs="Times New Roman"/>
                      <w:snapToGrid w:val="0"/>
                      <w:color w:val="auto"/>
                      <w:kern w:val="0"/>
                      <w:sz w:val="18"/>
                      <w:szCs w:val="18"/>
                      <w:highlight w:val="none"/>
                    </w:rPr>
                    <w:t>序号</w:t>
                  </w:r>
                </w:p>
              </w:tc>
              <w:tc>
                <w:tcPr>
                  <w:tcW w:w="1292"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r>
                    <w:rPr>
                      <w:rFonts w:hint="default" w:ascii="Times New Roman" w:hAnsi="Times New Roman" w:eastAsia="宋体" w:cs="Times New Roman"/>
                      <w:snapToGrid w:val="0"/>
                      <w:color w:val="auto"/>
                      <w:kern w:val="0"/>
                      <w:sz w:val="18"/>
                      <w:szCs w:val="18"/>
                      <w:highlight w:val="none"/>
                    </w:rPr>
                    <w:t>建(构)筑物名称</w:t>
                  </w:r>
                </w:p>
              </w:tc>
              <w:tc>
                <w:tcPr>
                  <w:tcW w:w="1100"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r>
                    <w:rPr>
                      <w:rFonts w:hint="default" w:ascii="Times New Roman" w:hAnsi="Times New Roman" w:eastAsia="宋体" w:cs="Times New Roman"/>
                      <w:snapToGrid w:val="0"/>
                      <w:color w:val="auto"/>
                      <w:kern w:val="0"/>
                      <w:sz w:val="18"/>
                      <w:szCs w:val="18"/>
                      <w:highlight w:val="none"/>
                    </w:rPr>
                    <w:t>尺寸（m</w:t>
                  </w:r>
                  <w:r>
                    <w:rPr>
                      <w:rFonts w:hint="default" w:ascii="Times New Roman" w:hAnsi="Times New Roman" w:eastAsia="宋体" w:cs="Times New Roman"/>
                      <w:snapToGrid w:val="0"/>
                      <w:color w:val="auto"/>
                      <w:kern w:val="0"/>
                      <w:sz w:val="18"/>
                      <w:szCs w:val="18"/>
                      <w:highlight w:val="none"/>
                      <w:vertAlign w:val="superscript"/>
                    </w:rPr>
                    <w:t>2</w:t>
                  </w:r>
                  <w:r>
                    <w:rPr>
                      <w:rFonts w:hint="default" w:ascii="Times New Roman" w:hAnsi="Times New Roman" w:eastAsia="宋体" w:cs="Times New Roman"/>
                      <w:snapToGrid w:val="0"/>
                      <w:color w:val="auto"/>
                      <w:kern w:val="0"/>
                      <w:sz w:val="18"/>
                      <w:szCs w:val="18"/>
                      <w:highlight w:val="none"/>
                    </w:rPr>
                    <w:t>）</w:t>
                  </w:r>
                </w:p>
              </w:tc>
              <w:tc>
                <w:tcPr>
                  <w:tcW w:w="1075"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r>
                    <w:rPr>
                      <w:rFonts w:hint="default" w:ascii="Times New Roman" w:hAnsi="Times New Roman" w:eastAsia="宋体" w:cs="Times New Roman"/>
                      <w:snapToGrid w:val="0"/>
                      <w:color w:val="auto"/>
                      <w:kern w:val="0"/>
                      <w:sz w:val="18"/>
                      <w:szCs w:val="18"/>
                      <w:highlight w:val="none"/>
                    </w:rPr>
                    <w:t>建筑面积（m</w:t>
                  </w:r>
                  <w:r>
                    <w:rPr>
                      <w:rFonts w:hint="default" w:ascii="Times New Roman" w:hAnsi="Times New Roman" w:eastAsia="宋体" w:cs="Times New Roman"/>
                      <w:snapToGrid w:val="0"/>
                      <w:color w:val="auto"/>
                      <w:kern w:val="0"/>
                      <w:sz w:val="18"/>
                      <w:szCs w:val="18"/>
                      <w:highlight w:val="none"/>
                      <w:vertAlign w:val="superscript"/>
                    </w:rPr>
                    <w:t>2</w:t>
                  </w:r>
                  <w:r>
                    <w:rPr>
                      <w:rFonts w:hint="default" w:ascii="Times New Roman" w:hAnsi="Times New Roman" w:eastAsia="宋体" w:cs="Times New Roman"/>
                      <w:snapToGrid w:val="0"/>
                      <w:color w:val="auto"/>
                      <w:kern w:val="0"/>
                      <w:sz w:val="18"/>
                      <w:szCs w:val="18"/>
                      <w:highlight w:val="none"/>
                    </w:rPr>
                    <w:t>）</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r>
                    <w:rPr>
                      <w:rFonts w:hint="default" w:ascii="Times New Roman" w:hAnsi="Times New Roman" w:eastAsia="宋体" w:cs="Times New Roman"/>
                      <w:snapToGrid w:val="0"/>
                      <w:color w:val="auto"/>
                      <w:kern w:val="0"/>
                      <w:sz w:val="18"/>
                      <w:szCs w:val="18"/>
                      <w:highlight w:val="none"/>
                    </w:rPr>
                    <w:t>1</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eastAsia" w:cs="Times New Roman"/>
                      <w:i w:val="0"/>
                      <w:color w:val="auto"/>
                      <w:kern w:val="0"/>
                      <w:sz w:val="18"/>
                      <w:szCs w:val="18"/>
                      <w:highlight w:val="none"/>
                      <w:u w:val="none"/>
                      <w:lang w:val="en-US" w:eastAsia="zh-CN" w:bidi="ar"/>
                    </w:rPr>
                    <w:t>数字化工厂</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西侧部分长149.34m，宽120m，建筑高度10.3m；东侧部分长149.34m，宽66m，建筑高度15.3m</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31319.99</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color w:val="auto"/>
                      <w:sz w:val="18"/>
                      <w:szCs w:val="18"/>
                      <w:highlight w:val="none"/>
                      <w:lang w:val="en-US" w:eastAsia="zh-CN"/>
                    </w:rPr>
                    <w:t>1层，</w:t>
                  </w:r>
                  <w:r>
                    <w:rPr>
                      <w:rFonts w:hint="default" w:ascii="Times New Roman" w:hAnsi="Times New Roman" w:eastAsia="宋体" w:cs="Times New Roman"/>
                      <w:color w:val="auto"/>
                      <w:sz w:val="18"/>
                      <w:szCs w:val="18"/>
                      <w:highlight w:val="none"/>
                      <w:lang w:val="en-US" w:eastAsia="zh-CN"/>
                    </w:rPr>
                    <w:t>砖混+单层彩钢</w:t>
                  </w:r>
                  <w:r>
                    <w:rPr>
                      <w:rFonts w:hint="eastAsia" w:ascii="Times New Roman" w:hAnsi="Times New Roman" w:cs="Times New Roman"/>
                      <w:color w:val="auto"/>
                      <w:sz w:val="18"/>
                      <w:szCs w:val="18"/>
                      <w:highlight w:val="none"/>
                      <w:lang w:val="en-US" w:eastAsia="zh-CN"/>
                    </w:rPr>
                    <w:t>，一期建设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restar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生产车间</w:t>
                  </w:r>
                  <w:r>
                    <w:rPr>
                      <w:rFonts w:hint="default" w:ascii="Times New Roman" w:hAnsi="Times New Roman" w:cs="Times New Roman"/>
                      <w:snapToGrid w:val="0"/>
                      <w:color w:val="auto"/>
                      <w:kern w:val="0"/>
                      <w:sz w:val="18"/>
                      <w:szCs w:val="18"/>
                      <w:highlight w:val="none"/>
                      <w:lang w:val="en-US" w:eastAsia="zh-CN"/>
                    </w:rPr>
                    <w:t>中单独封闭间</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喷涂间1</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8</w:t>
                  </w:r>
                  <w:r>
                    <w:rPr>
                      <w:rStyle w:val="76"/>
                      <w:rFonts w:hint="default" w:ascii="Times New Roman" w:hAnsi="Times New Roman" w:eastAsia="宋体" w:cs="Times New Roman"/>
                      <w:color w:val="auto"/>
                      <w:sz w:val="18"/>
                      <w:szCs w:val="18"/>
                      <w:highlight w:val="none"/>
                      <w:lang w:val="en-US" w:eastAsia="zh-CN" w:bidi="ar"/>
                    </w:rPr>
                    <w:t>×8×7</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64</w:t>
                  </w:r>
                </w:p>
              </w:tc>
              <w:tc>
                <w:tcPr>
                  <w:tcW w:w="1076" w:type="pct"/>
                  <w:vMerge w:val="restar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彩钢封闭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喷涂间2</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8</w:t>
                  </w:r>
                  <w:r>
                    <w:rPr>
                      <w:rStyle w:val="76"/>
                      <w:rFonts w:hint="default" w:ascii="Times New Roman" w:hAnsi="Times New Roman" w:eastAsia="宋体" w:cs="Times New Roman"/>
                      <w:color w:val="auto"/>
                      <w:sz w:val="18"/>
                      <w:szCs w:val="18"/>
                      <w:highlight w:val="none"/>
                      <w:lang w:val="en-US" w:eastAsia="zh-CN" w:bidi="ar"/>
                    </w:rPr>
                    <w:t>×8×7</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64</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喷漆间</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15</w:t>
                  </w:r>
                  <w:r>
                    <w:rPr>
                      <w:rStyle w:val="76"/>
                      <w:rFonts w:hint="default" w:ascii="Times New Roman" w:hAnsi="Times New Roman" w:eastAsia="宋体" w:cs="Times New Roman"/>
                      <w:color w:val="auto"/>
                      <w:sz w:val="18"/>
                      <w:szCs w:val="18"/>
                      <w:highlight w:val="none"/>
                      <w:lang w:val="en-US" w:eastAsia="zh-CN" w:bidi="ar"/>
                    </w:rPr>
                    <w:t>×8×</w:t>
                  </w:r>
                  <w:r>
                    <w:rPr>
                      <w:rStyle w:val="76"/>
                      <w:rFonts w:hint="eastAsia" w:cs="Times New Roman"/>
                      <w:color w:val="auto"/>
                      <w:sz w:val="18"/>
                      <w:szCs w:val="18"/>
                      <w:highlight w:val="none"/>
                      <w:lang w:val="en-US" w:eastAsia="zh-CN" w:bidi="ar"/>
                    </w:rPr>
                    <w:t>6.5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120</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晾干间</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12</w:t>
                  </w:r>
                  <w:r>
                    <w:rPr>
                      <w:rStyle w:val="76"/>
                      <w:rFonts w:hint="default" w:ascii="Times New Roman" w:hAnsi="Times New Roman" w:eastAsia="宋体" w:cs="Times New Roman"/>
                      <w:color w:val="auto"/>
                      <w:sz w:val="18"/>
                      <w:szCs w:val="18"/>
                      <w:highlight w:val="none"/>
                      <w:lang w:val="en-US" w:eastAsia="zh-CN" w:bidi="ar"/>
                    </w:rPr>
                    <w:t>×8×</w:t>
                  </w:r>
                  <w:r>
                    <w:rPr>
                      <w:rStyle w:val="76"/>
                      <w:rFonts w:hint="eastAsia" w:cs="Times New Roman"/>
                      <w:color w:val="auto"/>
                      <w:sz w:val="18"/>
                      <w:szCs w:val="18"/>
                      <w:highlight w:val="none"/>
                      <w:lang w:val="en-US" w:eastAsia="zh-CN" w:bidi="ar"/>
                    </w:rPr>
                    <w:t>6.5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96</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黏胶间1</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24</w:t>
                  </w:r>
                  <w:r>
                    <w:rPr>
                      <w:rStyle w:val="76"/>
                      <w:rFonts w:hint="default" w:ascii="Times New Roman" w:hAnsi="Times New Roman" w:eastAsia="宋体" w:cs="Times New Roman"/>
                      <w:color w:val="auto"/>
                      <w:sz w:val="18"/>
                      <w:szCs w:val="18"/>
                      <w:highlight w:val="none"/>
                      <w:lang w:val="en-US" w:eastAsia="zh-CN" w:bidi="ar"/>
                    </w:rPr>
                    <w:t>×8×5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192</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黏胶间2</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24</w:t>
                  </w:r>
                  <w:r>
                    <w:rPr>
                      <w:rStyle w:val="76"/>
                      <w:rFonts w:hint="default" w:ascii="Times New Roman" w:hAnsi="Times New Roman" w:eastAsia="宋体" w:cs="Times New Roman"/>
                      <w:color w:val="auto"/>
                      <w:sz w:val="18"/>
                      <w:szCs w:val="18"/>
                      <w:highlight w:val="none"/>
                      <w:lang w:val="en-US" w:eastAsia="zh-CN" w:bidi="ar"/>
                    </w:rPr>
                    <w:t>×8×5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192</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胶片打磨间</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6</w:t>
                  </w:r>
                  <w:r>
                    <w:rPr>
                      <w:rStyle w:val="76"/>
                      <w:rFonts w:hint="default" w:ascii="Times New Roman" w:hAnsi="Times New Roman" w:eastAsia="宋体" w:cs="Times New Roman"/>
                      <w:color w:val="auto"/>
                      <w:sz w:val="18"/>
                      <w:szCs w:val="18"/>
                      <w:highlight w:val="none"/>
                      <w:lang w:val="en-US" w:eastAsia="zh-CN" w:bidi="ar"/>
                    </w:rPr>
                    <w:t>×</w:t>
                  </w:r>
                  <w:r>
                    <w:rPr>
                      <w:rStyle w:val="76"/>
                      <w:rFonts w:hint="default" w:ascii="Times New Roman" w:hAnsi="Times New Roman" w:cs="Times New Roman"/>
                      <w:color w:val="auto"/>
                      <w:sz w:val="18"/>
                      <w:szCs w:val="18"/>
                      <w:highlight w:val="none"/>
                      <w:lang w:val="en-US" w:eastAsia="zh-CN" w:bidi="ar"/>
                    </w:rPr>
                    <w:t>5</w:t>
                  </w:r>
                  <w:r>
                    <w:rPr>
                      <w:rStyle w:val="76"/>
                      <w:rFonts w:hint="default" w:ascii="Times New Roman" w:hAnsi="Times New Roman" w:eastAsia="宋体" w:cs="Times New Roman"/>
                      <w:color w:val="auto"/>
                      <w:sz w:val="18"/>
                      <w:szCs w:val="18"/>
                      <w:highlight w:val="none"/>
                      <w:lang w:val="en-US" w:eastAsia="zh-CN" w:bidi="ar"/>
                    </w:rPr>
                    <w:t>×</w:t>
                  </w:r>
                  <w:r>
                    <w:rPr>
                      <w:rStyle w:val="76"/>
                      <w:rFonts w:hint="default" w:ascii="Times New Roman" w:hAnsi="Times New Roman" w:cs="Times New Roman"/>
                      <w:color w:val="auto"/>
                      <w:sz w:val="18"/>
                      <w:szCs w:val="18"/>
                      <w:highlight w:val="none"/>
                      <w:lang w:val="en-US" w:eastAsia="zh-CN" w:bidi="ar"/>
                    </w:rPr>
                    <w:t>3</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default" w:ascii="Times New Roman" w:hAnsi="Times New Roman" w:cs="Times New Roman"/>
                      <w:i w:val="0"/>
                      <w:color w:val="auto"/>
                      <w:kern w:val="0"/>
                      <w:sz w:val="18"/>
                      <w:szCs w:val="18"/>
                      <w:highlight w:val="none"/>
                      <w:u w:val="none"/>
                      <w:lang w:val="en-US" w:eastAsia="zh-CN" w:bidi="ar"/>
                    </w:rPr>
                    <w:t>30</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rPr>
                  </w:pP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eastAsia" w:cs="Times New Roman"/>
                      <w:i w:val="0"/>
                      <w:color w:val="auto"/>
                      <w:kern w:val="0"/>
                      <w:sz w:val="18"/>
                      <w:szCs w:val="18"/>
                      <w:highlight w:val="none"/>
                      <w:u w:val="none"/>
                      <w:lang w:val="en-US" w:eastAsia="zh-CN" w:bidi="ar"/>
                    </w:rPr>
                    <w:t>刷胶间</w:t>
                  </w:r>
                </w:p>
              </w:tc>
              <w:tc>
                <w:tcPr>
                  <w:tcW w:w="1100"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eastAsia" w:cs="Times New Roman"/>
                      <w:i w:val="0"/>
                      <w:color w:val="auto"/>
                      <w:kern w:val="0"/>
                      <w:sz w:val="18"/>
                      <w:szCs w:val="18"/>
                      <w:highlight w:val="none"/>
                      <w:u w:val="none"/>
                      <w:lang w:val="en-US" w:eastAsia="zh-CN" w:bidi="ar"/>
                    </w:rPr>
                    <w:t>3</w:t>
                  </w:r>
                  <w:r>
                    <w:rPr>
                      <w:rStyle w:val="76"/>
                      <w:rFonts w:hint="default" w:ascii="Times New Roman" w:hAnsi="Times New Roman" w:eastAsia="宋体" w:cs="Times New Roman"/>
                      <w:color w:val="auto"/>
                      <w:sz w:val="18"/>
                      <w:szCs w:val="18"/>
                      <w:highlight w:val="none"/>
                      <w:lang w:val="en-US" w:eastAsia="zh-CN" w:bidi="ar"/>
                    </w:rPr>
                    <w:t>×</w:t>
                  </w:r>
                  <w:r>
                    <w:rPr>
                      <w:rStyle w:val="76"/>
                      <w:rFonts w:hint="eastAsia" w:cs="Times New Roman"/>
                      <w:color w:val="auto"/>
                      <w:sz w:val="18"/>
                      <w:szCs w:val="18"/>
                      <w:highlight w:val="none"/>
                      <w:lang w:val="en-US" w:eastAsia="zh-CN" w:bidi="ar"/>
                    </w:rPr>
                    <w:t>6</w:t>
                  </w:r>
                  <w:r>
                    <w:rPr>
                      <w:rStyle w:val="76"/>
                      <w:rFonts w:hint="default" w:ascii="Times New Roman" w:hAnsi="Times New Roman" w:eastAsia="宋体" w:cs="Times New Roman"/>
                      <w:color w:val="auto"/>
                      <w:sz w:val="18"/>
                      <w:szCs w:val="18"/>
                      <w:highlight w:val="none"/>
                      <w:lang w:val="en-US" w:eastAsia="zh-CN" w:bidi="ar"/>
                    </w:rPr>
                    <w:t>×</w:t>
                  </w:r>
                  <w:r>
                    <w:rPr>
                      <w:rStyle w:val="76"/>
                      <w:rFonts w:hint="default" w:ascii="Times New Roman" w:hAnsi="Times New Roman" w:cs="Times New Roman"/>
                      <w:color w:val="auto"/>
                      <w:sz w:val="18"/>
                      <w:szCs w:val="18"/>
                      <w:highlight w:val="none"/>
                      <w:lang w:val="en-US" w:eastAsia="zh-CN" w:bidi="ar"/>
                    </w:rPr>
                    <w:t>3</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i w:val="0"/>
                      <w:color w:val="auto"/>
                      <w:kern w:val="0"/>
                      <w:sz w:val="18"/>
                      <w:szCs w:val="18"/>
                      <w:highlight w:val="none"/>
                      <w:u w:val="none"/>
                      <w:lang w:val="en-US" w:eastAsia="zh-CN" w:bidi="ar"/>
                    </w:rPr>
                  </w:pPr>
                  <w:r>
                    <w:rPr>
                      <w:rFonts w:hint="eastAsia" w:cs="Times New Roman"/>
                      <w:i w:val="0"/>
                      <w:color w:val="auto"/>
                      <w:kern w:val="0"/>
                      <w:sz w:val="18"/>
                      <w:szCs w:val="18"/>
                      <w:highlight w:val="none"/>
                      <w:u w:val="none"/>
                      <w:lang w:val="en-US" w:eastAsia="zh-CN" w:bidi="ar"/>
                    </w:rPr>
                    <w:t>36</w:t>
                  </w:r>
                </w:p>
              </w:tc>
              <w:tc>
                <w:tcPr>
                  <w:tcW w:w="1076" w:type="pct"/>
                  <w:vMerge w:val="continue"/>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2</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18"/>
                      <w:szCs w:val="18"/>
                      <w:highlight w:val="none"/>
                      <w:lang w:val="en-US" w:eastAsia="zh-CN"/>
                    </w:rPr>
                  </w:pPr>
                  <w:r>
                    <w:rPr>
                      <w:rFonts w:hint="eastAsia" w:ascii="Times New Roman" w:hAnsi="Times New Roman" w:cs="Times New Roman"/>
                      <w:i w:val="0"/>
                      <w:color w:val="auto"/>
                      <w:kern w:val="0"/>
                      <w:sz w:val="18"/>
                      <w:szCs w:val="18"/>
                      <w:highlight w:val="none"/>
                      <w:u w:val="none"/>
                      <w:lang w:val="en-US" w:eastAsia="zh-CN" w:bidi="ar"/>
                    </w:rPr>
                    <w:t>综合</w:t>
                  </w:r>
                  <w:r>
                    <w:rPr>
                      <w:rFonts w:hint="default" w:ascii="Times New Roman" w:hAnsi="Times New Roman" w:eastAsia="宋体" w:cs="Times New Roman"/>
                      <w:i w:val="0"/>
                      <w:color w:val="auto"/>
                      <w:kern w:val="0"/>
                      <w:sz w:val="18"/>
                      <w:szCs w:val="18"/>
                      <w:highlight w:val="none"/>
                      <w:u w:val="none"/>
                      <w:lang w:val="en-US" w:eastAsia="zh-CN" w:bidi="ar"/>
                    </w:rPr>
                    <w:t>楼</w:t>
                  </w:r>
                </w:p>
              </w:tc>
              <w:tc>
                <w:tcPr>
                  <w:tcW w:w="110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73.7×20×25.95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7548.34</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color w:val="auto"/>
                      <w:sz w:val="18"/>
                      <w:szCs w:val="18"/>
                      <w:highlight w:val="none"/>
                      <w:lang w:val="en-US" w:eastAsia="zh-CN"/>
                    </w:rPr>
                    <w:t>5层，</w:t>
                  </w:r>
                  <w:r>
                    <w:rPr>
                      <w:rFonts w:hint="default" w:ascii="Times New Roman" w:hAnsi="Times New Roman" w:eastAsia="宋体" w:cs="Times New Roman"/>
                      <w:color w:val="auto"/>
                      <w:sz w:val="18"/>
                      <w:szCs w:val="18"/>
                      <w:highlight w:val="none"/>
                      <w:lang w:val="en-US" w:eastAsia="zh-CN"/>
                    </w:rPr>
                    <w:t>砖混</w:t>
                  </w:r>
                  <w:r>
                    <w:rPr>
                      <w:rFonts w:hint="eastAsia" w:ascii="Times New Roman" w:hAnsi="Times New Roman" w:cs="Times New Roman"/>
                      <w:color w:val="auto"/>
                      <w:sz w:val="18"/>
                      <w:szCs w:val="18"/>
                      <w:highlight w:val="none"/>
                      <w:lang w:val="en-US" w:eastAsia="zh-CN"/>
                    </w:rPr>
                    <w:t>，一期建设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3</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18"/>
                      <w:szCs w:val="18"/>
                      <w:highlight w:val="none"/>
                      <w:lang w:val="en-US" w:eastAsia="zh-CN"/>
                    </w:rPr>
                  </w:pPr>
                  <w:r>
                    <w:rPr>
                      <w:rFonts w:hint="eastAsia" w:ascii="Times New Roman" w:hAnsi="Times New Roman" w:cs="Times New Roman"/>
                      <w:i w:val="0"/>
                      <w:color w:val="auto"/>
                      <w:kern w:val="0"/>
                      <w:sz w:val="18"/>
                      <w:szCs w:val="18"/>
                      <w:highlight w:val="none"/>
                      <w:u w:val="none"/>
                      <w:lang w:val="en-US" w:eastAsia="zh-CN" w:bidi="ar"/>
                    </w:rPr>
                    <w:t>展示大厅1</w:t>
                  </w:r>
                </w:p>
              </w:tc>
              <w:tc>
                <w:tcPr>
                  <w:tcW w:w="110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64.7</w:t>
                  </w:r>
                  <w:r>
                    <w:rPr>
                      <w:rStyle w:val="76"/>
                      <w:rFonts w:hint="default" w:ascii="Times New Roman" w:hAnsi="Times New Roman" w:eastAsia="宋体" w:cs="Times New Roman"/>
                      <w:color w:val="auto"/>
                      <w:sz w:val="18"/>
                      <w:szCs w:val="18"/>
                      <w:highlight w:val="none"/>
                      <w:lang w:val="en-US" w:eastAsia="zh-CN" w:bidi="ar"/>
                    </w:rPr>
                    <w:t>×</w:t>
                  </w:r>
                  <w:r>
                    <w:rPr>
                      <w:rFonts w:hint="default" w:ascii="Times New Roman" w:hAnsi="Times New Roman" w:eastAsia="宋体" w:cs="Times New Roman"/>
                      <w:i w:val="0"/>
                      <w:color w:val="auto"/>
                      <w:kern w:val="0"/>
                      <w:sz w:val="18"/>
                      <w:szCs w:val="18"/>
                      <w:highlight w:val="none"/>
                      <w:u w:val="none"/>
                      <w:lang w:val="en-US" w:eastAsia="zh-CN" w:bidi="ar"/>
                    </w:rPr>
                    <w:t>46.1</w:t>
                  </w:r>
                  <w:r>
                    <w:rPr>
                      <w:rStyle w:val="76"/>
                      <w:rFonts w:hint="default" w:ascii="Times New Roman" w:hAnsi="Times New Roman" w:eastAsia="宋体" w:cs="Times New Roman"/>
                      <w:color w:val="auto"/>
                      <w:sz w:val="18"/>
                      <w:szCs w:val="18"/>
                      <w:highlight w:val="none"/>
                      <w:lang w:val="en-US" w:eastAsia="zh-CN" w:bidi="ar"/>
                    </w:rPr>
                    <w:t>×</w:t>
                  </w:r>
                  <w:r>
                    <w:rPr>
                      <w:rFonts w:hint="default" w:ascii="Times New Roman" w:hAnsi="Times New Roman" w:eastAsia="宋体" w:cs="Times New Roman"/>
                      <w:i w:val="0"/>
                      <w:color w:val="auto"/>
                      <w:kern w:val="0"/>
                      <w:sz w:val="18"/>
                      <w:szCs w:val="18"/>
                      <w:highlight w:val="none"/>
                      <w:u w:val="none"/>
                      <w:lang w:val="en-US" w:eastAsia="zh-CN" w:bidi="ar"/>
                    </w:rPr>
                    <w:t>10.35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4533.9</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color w:val="auto"/>
                      <w:sz w:val="18"/>
                      <w:szCs w:val="18"/>
                      <w:highlight w:val="none"/>
                      <w:lang w:val="en-US" w:eastAsia="zh-CN"/>
                    </w:rPr>
                    <w:t>2层，</w:t>
                  </w:r>
                  <w:r>
                    <w:rPr>
                      <w:rFonts w:hint="default" w:ascii="Times New Roman" w:hAnsi="Times New Roman" w:eastAsia="宋体" w:cs="Times New Roman"/>
                      <w:color w:val="auto"/>
                      <w:sz w:val="18"/>
                      <w:szCs w:val="18"/>
                      <w:highlight w:val="none"/>
                      <w:lang w:val="en-US" w:eastAsia="zh-CN"/>
                    </w:rPr>
                    <w:t>砖混</w:t>
                  </w:r>
                  <w:r>
                    <w:rPr>
                      <w:rFonts w:hint="eastAsia" w:ascii="Times New Roman" w:hAnsi="Times New Roman" w:cs="Times New Roman"/>
                      <w:color w:val="auto"/>
                      <w:sz w:val="18"/>
                      <w:szCs w:val="18"/>
                      <w:highlight w:val="none"/>
                      <w:lang w:val="en-US" w:eastAsia="zh-CN"/>
                    </w:rPr>
                    <w:t>，二期建设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4</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eastAsia="宋体" w:cs="Times New Roman"/>
                      <w:snapToGrid w:val="0"/>
                      <w:color w:val="auto"/>
                      <w:kern w:val="0"/>
                      <w:sz w:val="18"/>
                      <w:szCs w:val="18"/>
                      <w:highlight w:val="none"/>
                      <w:lang w:val="en-US" w:eastAsia="zh-CN"/>
                    </w:rPr>
                  </w:pPr>
                  <w:r>
                    <w:rPr>
                      <w:rFonts w:hint="eastAsia" w:ascii="Times New Roman" w:hAnsi="Times New Roman" w:cs="Times New Roman"/>
                      <w:i w:val="0"/>
                      <w:color w:val="auto"/>
                      <w:kern w:val="0"/>
                      <w:sz w:val="18"/>
                      <w:szCs w:val="18"/>
                      <w:highlight w:val="none"/>
                      <w:u w:val="none"/>
                      <w:lang w:val="en-US" w:eastAsia="zh-CN" w:bidi="ar"/>
                    </w:rPr>
                    <w:t>展示大厅2</w:t>
                  </w:r>
                </w:p>
              </w:tc>
              <w:tc>
                <w:tcPr>
                  <w:tcW w:w="110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64.7×46.1×10.35</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3671.06</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color w:val="auto"/>
                      <w:sz w:val="18"/>
                      <w:szCs w:val="18"/>
                      <w:highlight w:val="none"/>
                      <w:lang w:val="en-US" w:eastAsia="zh-CN"/>
                    </w:rPr>
                    <w:t>2层，</w:t>
                  </w:r>
                  <w:r>
                    <w:rPr>
                      <w:rFonts w:hint="default" w:ascii="Times New Roman" w:hAnsi="Times New Roman" w:eastAsia="宋体" w:cs="Times New Roman"/>
                      <w:color w:val="auto"/>
                      <w:sz w:val="18"/>
                      <w:szCs w:val="18"/>
                      <w:highlight w:val="none"/>
                      <w:lang w:val="en-US" w:eastAsia="zh-CN"/>
                    </w:rPr>
                    <w:t>砖混</w:t>
                  </w:r>
                  <w:r>
                    <w:rPr>
                      <w:rFonts w:hint="eastAsia" w:ascii="Times New Roman" w:hAnsi="Times New Roman" w:cs="Times New Roman"/>
                      <w:color w:val="auto"/>
                      <w:sz w:val="18"/>
                      <w:szCs w:val="18"/>
                      <w:highlight w:val="none"/>
                      <w:lang w:val="en-US" w:eastAsia="zh-CN"/>
                    </w:rPr>
                    <w:t>，二期建设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5</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门卫</w:t>
                  </w:r>
                </w:p>
              </w:tc>
              <w:tc>
                <w:tcPr>
                  <w:tcW w:w="110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eastAsia="宋体" w:cs="Times New Roman"/>
                      <w:snapToGrid w:val="0"/>
                      <w:color w:val="auto"/>
                      <w:kern w:val="0"/>
                      <w:sz w:val="18"/>
                      <w:szCs w:val="18"/>
                      <w:highlight w:val="none"/>
                      <w:lang w:val="en-US" w:eastAsia="zh-CN"/>
                    </w:rPr>
                    <w:t>/</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eastAsia="宋体" w:cs="Times New Roman"/>
                      <w:i w:val="0"/>
                      <w:color w:val="auto"/>
                      <w:kern w:val="0"/>
                      <w:sz w:val="18"/>
                      <w:szCs w:val="18"/>
                      <w:highlight w:val="none"/>
                      <w:u w:val="none"/>
                      <w:lang w:val="en-US" w:eastAsia="zh-CN" w:bidi="ar"/>
                    </w:rPr>
                    <w:t>111</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color w:val="auto"/>
                      <w:sz w:val="18"/>
                      <w:szCs w:val="18"/>
                      <w:highlight w:val="none"/>
                      <w:lang w:val="en-US" w:eastAsia="zh-CN"/>
                    </w:rPr>
                    <w:t>3个门卫室，</w:t>
                  </w:r>
                  <w:r>
                    <w:rPr>
                      <w:rFonts w:hint="default" w:ascii="Times New Roman" w:hAnsi="Times New Roman" w:eastAsia="宋体" w:cs="Times New Roman"/>
                      <w:color w:val="auto"/>
                      <w:sz w:val="18"/>
                      <w:szCs w:val="18"/>
                      <w:highlight w:val="none"/>
                      <w:lang w:val="en-US" w:eastAsia="zh-CN"/>
                    </w:rPr>
                    <w:t>砖混</w:t>
                  </w:r>
                  <w:r>
                    <w:rPr>
                      <w:rFonts w:hint="eastAsia" w:ascii="Times New Roman" w:hAnsi="Times New Roman" w:cs="Times New Roman"/>
                      <w:color w:val="auto"/>
                      <w:sz w:val="18"/>
                      <w:szCs w:val="18"/>
                      <w:highlight w:val="none"/>
                      <w:lang w:val="en-US" w:eastAsia="zh-CN"/>
                    </w:rPr>
                    <w:t>，一期建设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6</w:t>
                  </w:r>
                </w:p>
              </w:tc>
              <w:tc>
                <w:tcPr>
                  <w:tcW w:w="1292"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i w:val="0"/>
                      <w:color w:val="auto"/>
                      <w:kern w:val="0"/>
                      <w:sz w:val="18"/>
                      <w:szCs w:val="18"/>
                      <w:highlight w:val="none"/>
                      <w:u w:val="none"/>
                      <w:lang w:val="en-US" w:eastAsia="zh-CN" w:bidi="ar"/>
                    </w:rPr>
                    <w:t>地下车库</w:t>
                  </w:r>
                </w:p>
              </w:tc>
              <w:tc>
                <w:tcPr>
                  <w:tcW w:w="1100" w:type="pct"/>
                  <w:tcBorders>
                    <w:tl2br w:val="nil"/>
                    <w:tr2bl w:val="nil"/>
                  </w:tcBorders>
                  <w:noWrap w:val="0"/>
                  <w:tcMar>
                    <w:left w:w="0" w:type="dxa"/>
                    <w:right w:w="0" w:type="dxa"/>
                  </w:tcMar>
                  <w:vAlign w:val="center"/>
                </w:tcPr>
                <w:p>
                  <w:pPr>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w:t>
                  </w:r>
                </w:p>
              </w:tc>
              <w:tc>
                <w:tcPr>
                  <w:tcW w:w="1075" w:type="pct"/>
                  <w:tcBorders>
                    <w:tl2br w:val="nil"/>
                    <w:tr2bl w:val="nil"/>
                  </w:tcBorders>
                  <w:noWrap w:val="0"/>
                  <w:tcMar>
                    <w:left w:w="0" w:type="dxa"/>
                    <w:right w:w="0" w:type="dxa"/>
                  </w:tcMar>
                  <w:vAlign w:val="center"/>
                </w:tcPr>
                <w:p>
                  <w:pPr>
                    <w:keepNext w:val="0"/>
                    <w:keepLines w:val="0"/>
                    <w:widowControl/>
                    <w:suppressLineNumbers w:val="0"/>
                    <w:jc w:val="center"/>
                    <w:textAlignment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i w:val="0"/>
                      <w:color w:val="auto"/>
                      <w:kern w:val="0"/>
                      <w:sz w:val="18"/>
                      <w:szCs w:val="18"/>
                      <w:highlight w:val="none"/>
                      <w:u w:val="none"/>
                      <w:lang w:val="en-US" w:eastAsia="zh-CN" w:bidi="ar"/>
                    </w:rPr>
                    <w:t>2865.64</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砖混</w:t>
                  </w:r>
                  <w:r>
                    <w:rPr>
                      <w:rFonts w:hint="eastAsia" w:ascii="Times New Roman" w:hAnsi="Times New Roman" w:cs="Times New Roman"/>
                      <w:color w:val="auto"/>
                      <w:sz w:val="18"/>
                      <w:szCs w:val="18"/>
                      <w:highlight w:val="none"/>
                      <w:lang w:val="en-US" w:eastAsia="zh-CN"/>
                    </w:rPr>
                    <w:t>，二期建设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54"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7</w:t>
                  </w:r>
                </w:p>
              </w:tc>
              <w:tc>
                <w:tcPr>
                  <w:tcW w:w="1292"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合计</w:t>
                  </w:r>
                </w:p>
              </w:tc>
              <w:tc>
                <w:tcPr>
                  <w:tcW w:w="1100"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w:t>
                  </w:r>
                </w:p>
              </w:tc>
              <w:tc>
                <w:tcPr>
                  <w:tcW w:w="1075"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50164.99</w:t>
                  </w:r>
                </w:p>
              </w:tc>
              <w:tc>
                <w:tcPr>
                  <w:tcW w:w="1076" w:type="pct"/>
                  <w:tcBorders>
                    <w:tl2br w:val="nil"/>
                    <w:tr2bl w:val="nil"/>
                  </w:tcBorders>
                  <w:noWrap w:val="0"/>
                  <w:tcMar>
                    <w:left w:w="0" w:type="dxa"/>
                    <w:right w:w="0"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本项目</w:t>
            </w:r>
            <w:r>
              <w:rPr>
                <w:rFonts w:hint="default" w:ascii="Times New Roman" w:hAnsi="Times New Roman" w:eastAsia="宋体" w:cs="Times New Roman"/>
                <w:color w:val="auto"/>
                <w:sz w:val="21"/>
                <w:szCs w:val="21"/>
                <w:highlight w:val="none"/>
                <w:lang w:val="en-US" w:eastAsia="zh-CN"/>
              </w:rPr>
              <w:t>实施后</w:t>
            </w:r>
            <w:r>
              <w:rPr>
                <w:rFonts w:hint="default" w:ascii="Times New Roman" w:hAnsi="Times New Roman" w:eastAsia="宋体" w:cs="Times New Roman"/>
                <w:color w:val="auto"/>
                <w:sz w:val="21"/>
                <w:szCs w:val="21"/>
                <w:highlight w:val="none"/>
              </w:rPr>
              <w:t>原辅材料及能源消耗见表</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表</w:t>
            </w:r>
            <w:r>
              <w:rPr>
                <w:rFonts w:hint="default" w:ascii="Times New Roman" w:hAnsi="Times New Roman" w:eastAsia="宋体" w:cs="Times New Roman"/>
                <w:b/>
                <w:bCs/>
                <w:caps w:val="0"/>
                <w:smallCaps w:val="0"/>
                <w:color w:val="auto"/>
                <w:sz w:val="21"/>
                <w:szCs w:val="21"/>
                <w:highlight w:val="none"/>
                <w:lang w:val="en-US" w:eastAsia="zh-CN"/>
              </w:rPr>
              <w:t>2-</w:t>
            </w:r>
            <w:r>
              <w:rPr>
                <w:rFonts w:hint="eastAsia" w:cs="Times New Roman"/>
                <w:b/>
                <w:bCs/>
                <w:caps w:val="0"/>
                <w:smallCaps w:val="0"/>
                <w:color w:val="auto"/>
                <w:sz w:val="21"/>
                <w:szCs w:val="21"/>
                <w:highlight w:val="none"/>
                <w:lang w:val="en-US" w:eastAsia="zh-CN"/>
              </w:rPr>
              <w:t>5</w:t>
            </w:r>
            <w:r>
              <w:rPr>
                <w:rFonts w:hint="default" w:ascii="Times New Roman" w:hAnsi="Times New Roman" w:eastAsia="宋体" w:cs="Times New Roman"/>
                <w:b/>
                <w:bCs/>
                <w:caps w:val="0"/>
                <w:smallCaps w:val="0"/>
                <w:color w:val="auto"/>
                <w:sz w:val="21"/>
                <w:szCs w:val="21"/>
                <w:highlight w:val="none"/>
              </w:rPr>
              <w:t xml:space="preserve">     项目主要原辅材料</w:t>
            </w:r>
            <w:r>
              <w:rPr>
                <w:rFonts w:hint="default" w:ascii="Times New Roman" w:hAnsi="Times New Roman" w:eastAsia="宋体" w:cs="Times New Roman"/>
                <w:b/>
                <w:bCs/>
                <w:caps w:val="0"/>
                <w:smallCaps w:val="0"/>
                <w:color w:val="auto"/>
                <w:sz w:val="21"/>
                <w:szCs w:val="21"/>
                <w:highlight w:val="none"/>
                <w:lang w:val="en-US" w:eastAsia="zh-CN"/>
              </w:rPr>
              <w:t>及能源消耗</w:t>
            </w:r>
            <w:r>
              <w:rPr>
                <w:rFonts w:hint="default" w:ascii="Times New Roman" w:hAnsi="Times New Roman" w:eastAsia="宋体" w:cs="Times New Roman"/>
                <w:b/>
                <w:bCs/>
                <w:caps w:val="0"/>
                <w:smallCaps w:val="0"/>
                <w:color w:val="auto"/>
                <w:sz w:val="21"/>
                <w:szCs w:val="21"/>
                <w:highlight w:val="none"/>
              </w:rPr>
              <w:t>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807"/>
              <w:gridCol w:w="792"/>
              <w:gridCol w:w="837"/>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原料</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单位</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数量</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钢板</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7360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圆钢</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钢管</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2780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型钢、角钢、槽钢等</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2645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5</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LHHL耐磨防腐材料</w:t>
                  </w:r>
                  <w:r>
                    <w:rPr>
                      <w:rFonts w:hint="default" w:ascii="Times New Roman" w:hAnsi="Times New Roman" w:cs="Times New Roman"/>
                      <w:color w:val="auto"/>
                      <w:sz w:val="18"/>
                      <w:szCs w:val="18"/>
                      <w:highlight w:val="none"/>
                      <w:lang w:val="en-US" w:eastAsia="zh-CN"/>
                    </w:rPr>
                    <w:t>A组分</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lang w:val="en-US" w:eastAsia="zh-CN"/>
                    </w:rPr>
                    <w:t>.853</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桶装，</w:t>
                  </w:r>
                  <w:r>
                    <w:rPr>
                      <w:rFonts w:hint="default" w:ascii="Times New Roman" w:hAnsi="Times New Roman" w:cs="Times New Roman"/>
                      <w:color w:val="auto"/>
                      <w:sz w:val="18"/>
                      <w:szCs w:val="18"/>
                      <w:highlight w:val="none"/>
                      <w:lang w:val="en-US" w:eastAsia="zh-CN"/>
                    </w:rPr>
                    <w:t>220</w:t>
                  </w:r>
                  <w:r>
                    <w:rPr>
                      <w:rFonts w:hint="default" w:ascii="Times New Roman" w:hAnsi="Times New Roman" w:eastAsia="宋体" w:cs="Times New Roman"/>
                      <w:color w:val="auto"/>
                      <w:sz w:val="18"/>
                      <w:szCs w:val="18"/>
                      <w:highlight w:val="none"/>
                      <w:lang w:val="en-US" w:eastAsia="zh-CN"/>
                    </w:rPr>
                    <w:t>kg/桶，最大储存量</w:t>
                  </w: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44</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val="en-US" w:eastAsia="zh-CN"/>
                    </w:rPr>
                    <w:t>，危险品库房暂存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LHHL耐磨防腐材料B组分</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lang w:val="en-US" w:eastAsia="zh-CN"/>
                    </w:rPr>
                    <w:t>.853</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桶装，</w:t>
                  </w:r>
                  <w:r>
                    <w:rPr>
                      <w:rFonts w:hint="default" w:ascii="Times New Roman" w:hAnsi="Times New Roman" w:cs="Times New Roman"/>
                      <w:color w:val="auto"/>
                      <w:sz w:val="18"/>
                      <w:szCs w:val="18"/>
                      <w:highlight w:val="none"/>
                      <w:lang w:val="en-US" w:eastAsia="zh-CN"/>
                    </w:rPr>
                    <w:t>200</w:t>
                  </w:r>
                  <w:r>
                    <w:rPr>
                      <w:rFonts w:hint="default" w:ascii="Times New Roman" w:hAnsi="Times New Roman" w:eastAsia="宋体" w:cs="Times New Roman"/>
                      <w:color w:val="auto"/>
                      <w:sz w:val="18"/>
                      <w:szCs w:val="18"/>
                      <w:highlight w:val="none"/>
                      <w:lang w:val="en-US" w:eastAsia="zh-CN"/>
                    </w:rPr>
                    <w:t>kg/桶，最大储存量</w:t>
                  </w: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val="en-US" w:eastAsia="zh-CN"/>
                    </w:rPr>
                    <w:t>，危险品库房暂存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7</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环氧磷酸锌底漆</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0.807</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桶装，1</w:t>
                  </w:r>
                  <w:r>
                    <w:rPr>
                      <w:rFonts w:hint="eastAsia" w:ascii="Times New Roman" w:hAnsi="Times New Roman"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lang w:val="en-US" w:eastAsia="zh-CN"/>
                    </w:rPr>
                    <w:t>kg/桶，最大储存量</w:t>
                  </w:r>
                  <w:r>
                    <w:rPr>
                      <w:rFonts w:hint="default" w:ascii="Times New Roman" w:hAnsi="Times New Roman" w:eastAsia="宋体" w:cs="Times New Roman"/>
                      <w:color w:val="auto"/>
                      <w:sz w:val="18"/>
                      <w:szCs w:val="18"/>
                      <w:highlight w:val="none"/>
                    </w:rPr>
                    <w:t>0.</w:t>
                  </w:r>
                  <w:r>
                    <w:rPr>
                      <w:rFonts w:hint="default" w:ascii="Times New Roman" w:hAnsi="Times New Roman" w:eastAsia="宋体" w:cs="Times New Roman"/>
                      <w:color w:val="auto"/>
                      <w:sz w:val="18"/>
                      <w:szCs w:val="18"/>
                      <w:highlight w:val="none"/>
                      <w:lang w:val="en-US" w:eastAsia="zh-CN"/>
                    </w:rPr>
                    <w:t>0</w:t>
                  </w:r>
                  <w:r>
                    <w:rPr>
                      <w:rFonts w:hint="default" w:ascii="Times New Roman" w:hAnsi="Times New Roman" w:cs="Times New Roman"/>
                      <w:color w:val="auto"/>
                      <w:sz w:val="18"/>
                      <w:szCs w:val="18"/>
                      <w:highlight w:val="none"/>
                      <w:lang w:val="en-US" w:eastAsia="zh-CN"/>
                    </w:rPr>
                    <w:t>5</w:t>
                  </w:r>
                  <w:r>
                    <w:rPr>
                      <w:rFonts w:hint="eastAsia"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val="en-US" w:eastAsia="zh-CN"/>
                    </w:rPr>
                    <w:t>，危险品库房暂存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8</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脂肪族聚氨酯面漆</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0.510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桶装，</w:t>
                  </w:r>
                  <w:r>
                    <w:rPr>
                      <w:rFonts w:hint="eastAsia"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0kg/桶，最大储存量</w:t>
                  </w:r>
                  <w:r>
                    <w:rPr>
                      <w:rFonts w:hint="default" w:ascii="Times New Roman" w:hAnsi="Times New Roman" w:eastAsia="宋体" w:cs="Times New Roman"/>
                      <w:color w:val="auto"/>
                      <w:sz w:val="18"/>
                      <w:szCs w:val="18"/>
                      <w:highlight w:val="none"/>
                    </w:rPr>
                    <w:t>0.</w:t>
                  </w:r>
                  <w:r>
                    <w:rPr>
                      <w:rFonts w:hint="default" w:ascii="Times New Roman" w:hAnsi="Times New Roman" w:eastAsia="宋体" w:cs="Times New Roman"/>
                      <w:color w:val="auto"/>
                      <w:sz w:val="18"/>
                      <w:szCs w:val="18"/>
                      <w:highlight w:val="none"/>
                      <w:lang w:val="en-US" w:eastAsia="zh-CN"/>
                    </w:rPr>
                    <w:t>0</w:t>
                  </w:r>
                  <w:r>
                    <w:rPr>
                      <w:rFonts w:hint="eastAsia"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val="en-US" w:eastAsia="zh-CN"/>
                    </w:rPr>
                    <w:t>，危险品库房暂存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9</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耐磨橡胶粘合剂</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20.6</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桶装，</w:t>
                  </w:r>
                  <w:r>
                    <w:rPr>
                      <w:rFonts w:hint="default" w:ascii="Times New Roman" w:hAnsi="Times New Roman" w:eastAsia="宋体" w:cs="Times New Roman"/>
                      <w:color w:val="auto"/>
                      <w:sz w:val="18"/>
                      <w:szCs w:val="18"/>
                      <w:highlight w:val="none"/>
                    </w:rPr>
                    <w:t>5升/桶</w:t>
                  </w:r>
                  <w:r>
                    <w:rPr>
                      <w:rFonts w:hint="default" w:ascii="Times New Roman" w:hAnsi="Times New Roman" w:eastAsia="宋体" w:cs="Times New Roman"/>
                      <w:color w:val="auto"/>
                      <w:sz w:val="18"/>
                      <w:szCs w:val="18"/>
                      <w:highlight w:val="none"/>
                      <w:lang w:val="en-US" w:eastAsia="zh-CN"/>
                    </w:rPr>
                    <w:t>，最大储存量</w:t>
                  </w: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val="en-US" w:eastAsia="zh-CN"/>
                    </w:rPr>
                    <w:t>，危险品库房暂存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铸件</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吨/a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249</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11</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电器元件</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套/a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1300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12</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铜线</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green"/>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6</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外购，汽运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13</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混合气体</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瓶</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7940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CO</w:t>
                  </w:r>
                  <w:r>
                    <w:rPr>
                      <w:rFonts w:hint="default" w:ascii="Times New Roman" w:hAnsi="Times New Roman" w:cs="Times New Roman"/>
                      <w:color w:val="auto"/>
                      <w:sz w:val="18"/>
                      <w:szCs w:val="18"/>
                      <w:highlight w:val="none"/>
                      <w:vertAlign w:val="subscript"/>
                      <w:lang w:val="en-US" w:eastAsia="zh-CN"/>
                    </w:rPr>
                    <w:t>2</w:t>
                  </w:r>
                  <w:r>
                    <w:rPr>
                      <w:rFonts w:hint="default" w:ascii="Times New Roman" w:hAnsi="Times New Roman" w:cs="Times New Roman"/>
                      <w:color w:val="auto"/>
                      <w:sz w:val="18"/>
                      <w:szCs w:val="18"/>
                      <w:highlight w:val="none"/>
                      <w:lang w:val="en-US" w:eastAsia="zh-CN"/>
                    </w:rPr>
                    <w:t>保护焊用，钢瓶装，12kg/瓶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14</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乳化液</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桶</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90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18升/桶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液压油</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2.72</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长城46#（170kg/桶）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16</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齿轮油</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1.04</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长城润滑油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17</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焊丝</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14.4</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φ1.2，神钢，机器人用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18</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焊丝</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9.6</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φ1.2，机器人用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19</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不锈钢焊丝</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90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φ1.2，304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20</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CO</w:t>
                  </w:r>
                  <w:r>
                    <w:rPr>
                      <w:rFonts w:hint="default" w:ascii="Times New Roman" w:hAnsi="Times New Roman" w:cs="Times New Roman"/>
                      <w:color w:val="auto"/>
                      <w:sz w:val="18"/>
                      <w:szCs w:val="18"/>
                      <w:highlight w:val="none"/>
                      <w:vertAlign w:val="subscript"/>
                      <w:lang w:val="en-US" w:eastAsia="zh-CN"/>
                    </w:rPr>
                    <w:t>2</w:t>
                  </w:r>
                  <w:r>
                    <w:rPr>
                      <w:rFonts w:hint="default" w:ascii="Times New Roman" w:hAnsi="Times New Roman" w:cs="Times New Roman"/>
                      <w:color w:val="auto"/>
                      <w:sz w:val="18"/>
                      <w:szCs w:val="18"/>
                      <w:highlight w:val="none"/>
                      <w:lang w:val="en-US" w:eastAsia="zh-CN"/>
                    </w:rPr>
                    <w:t>焊丝</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62</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φ1.2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21</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钢丸</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抛丸用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22</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天然胶</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1365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块状，外购，储存于原料库，最大储存量10t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23</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白炭黑</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300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固态粉末，25kg/袋，储存于配料间，最大储存量1t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24</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trike w:val="0"/>
                      <w:dstrike w:val="0"/>
                      <w:color w:val="auto"/>
                      <w:kern w:val="2"/>
                      <w:sz w:val="18"/>
                      <w:szCs w:val="18"/>
                      <w:highlight w:val="none"/>
                      <w:lang w:val="en-US" w:eastAsia="zh-CN" w:bidi="ar-SA"/>
                    </w:rPr>
                  </w:pPr>
                  <w:r>
                    <w:rPr>
                      <w:rFonts w:hint="eastAsia" w:ascii="Times New Roman" w:hAnsi="Times New Roman" w:cs="Times New Roman"/>
                      <w:strike w:val="0"/>
                      <w:dstrike w:val="0"/>
                      <w:color w:val="auto"/>
                      <w:sz w:val="18"/>
                      <w:szCs w:val="18"/>
                      <w:highlight w:val="none"/>
                      <w:lang w:val="en-US" w:eastAsia="zh-CN"/>
                    </w:rPr>
                    <w:t>钢制埋件</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trike w:val="0"/>
                      <w:dstrike w:val="0"/>
                      <w:color w:val="auto"/>
                      <w:kern w:val="2"/>
                      <w:sz w:val="18"/>
                      <w:szCs w:val="18"/>
                      <w:highlight w:val="none"/>
                      <w:lang w:val="en-US" w:eastAsia="zh-CN" w:bidi="ar-SA"/>
                    </w:rPr>
                  </w:pPr>
                  <w:r>
                    <w:rPr>
                      <w:rFonts w:hint="eastAsia" w:cs="Times New Roman"/>
                      <w:strike w:val="0"/>
                      <w:dstrike w:val="0"/>
                      <w:color w:val="auto"/>
                      <w:sz w:val="18"/>
                      <w:szCs w:val="18"/>
                      <w:highlight w:val="none"/>
                      <w:lang w:val="en-US" w:eastAsia="zh-CN"/>
                    </w:rPr>
                    <w:t>件</w:t>
                  </w:r>
                  <w:r>
                    <w:rPr>
                      <w:rFonts w:hint="default" w:ascii="Times New Roman" w:hAnsi="Times New Roman" w:eastAsia="宋体" w:cs="Times New Roman"/>
                      <w:strike w:val="0"/>
                      <w:dstrike w:val="0"/>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trike w:val="0"/>
                      <w:dstrike w:val="0"/>
                      <w:color w:val="auto"/>
                      <w:kern w:val="2"/>
                      <w:sz w:val="18"/>
                      <w:szCs w:val="18"/>
                      <w:highlight w:val="none"/>
                      <w:lang w:val="en-US" w:eastAsia="zh-CN" w:bidi="ar-SA"/>
                    </w:rPr>
                  </w:pPr>
                  <w:r>
                    <w:rPr>
                      <w:rFonts w:hint="eastAsia" w:ascii="Times New Roman" w:hAnsi="Times New Roman" w:eastAsia="宋体" w:cs="Times New Roman"/>
                      <w:strike w:val="0"/>
                      <w:dstrike w:val="0"/>
                      <w:color w:val="auto"/>
                      <w:sz w:val="18"/>
                      <w:szCs w:val="18"/>
                      <w:highlight w:val="none"/>
                      <w:lang w:val="en-US" w:eastAsia="zh-CN"/>
                    </w:rPr>
                    <w:t>20000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strike w:val="0"/>
                      <w:dstrike w:val="0"/>
                      <w:color w:val="auto"/>
                      <w:kern w:val="2"/>
                      <w:sz w:val="18"/>
                      <w:szCs w:val="18"/>
                      <w:highlight w:val="none"/>
                      <w:lang w:val="en-US" w:eastAsia="zh-CN" w:bidi="ar-SA"/>
                    </w:rPr>
                  </w:pPr>
                  <w:r>
                    <w:rPr>
                      <w:rFonts w:hint="eastAsia" w:cs="Times New Roman"/>
                      <w:strike w:val="0"/>
                      <w:dstrike w:val="0"/>
                      <w:color w:val="auto"/>
                      <w:kern w:val="2"/>
                      <w:sz w:val="18"/>
                      <w:szCs w:val="18"/>
                      <w:highlight w:val="none"/>
                      <w:lang w:val="en-US" w:eastAsia="zh-CN" w:bidi="ar-SA"/>
                    </w:rPr>
                    <w:t>外购经过机加工、打磨之后成品，储存于原料库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25</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炭黑</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120</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固态粉末，25kg/袋，储存于配料间，最大储存量为2.5t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26</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硫磺</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3.5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固态粉末，25kg/袋，储存于配料间，最大储存量为0.2t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27</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氧化锌</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固态粉末，25kg/袋，储存于配料间，最大储存量为0.3t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28</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sz w:val="18"/>
                      <w:szCs w:val="18"/>
                      <w:highlight w:val="none"/>
                      <w:lang w:val="en-US" w:eastAsia="zh-CN"/>
                    </w:rPr>
                    <w:t>开姆洛克</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吨</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0.24</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外购，桶装，主要种类为225/205，储存于原料库，最大储存量为0.1t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29</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电</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万</w:t>
                  </w:r>
                  <w:r>
                    <w:rPr>
                      <w:rFonts w:hint="default" w:ascii="Times New Roman" w:hAnsi="Times New Roman" w:eastAsia="宋体" w:cs="Times New Roman"/>
                      <w:color w:val="auto"/>
                      <w:sz w:val="18"/>
                      <w:szCs w:val="18"/>
                      <w:highlight w:val="none"/>
                      <w:lang w:val="en-US" w:eastAsia="zh-CN"/>
                    </w:rPr>
                    <w:t>kw.h/a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1302</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园区供电管网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30</w:t>
                  </w:r>
                </w:p>
              </w:tc>
              <w:tc>
                <w:tcPr>
                  <w:tcW w:w="166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水</w:t>
                  </w:r>
                </w:p>
              </w:tc>
              <w:tc>
                <w:tcPr>
                  <w:tcW w:w="47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m</w:t>
                  </w:r>
                  <w:r>
                    <w:rPr>
                      <w:rFonts w:hint="default" w:ascii="Times New Roman" w:hAnsi="Times New Roman" w:eastAsia="宋体" w:cs="Times New Roman"/>
                      <w:color w:val="auto"/>
                      <w:sz w:val="18"/>
                      <w:szCs w:val="18"/>
                      <w:highlight w:val="none"/>
                      <w:vertAlign w:val="superscript"/>
                      <w:lang w:val="en-US" w:eastAsia="zh-CN"/>
                    </w:rPr>
                    <w:t>3</w:t>
                  </w:r>
                  <w:r>
                    <w:rPr>
                      <w:rFonts w:hint="default" w:ascii="Times New Roman" w:hAnsi="Times New Roman" w:eastAsia="宋体" w:cs="Times New Roman"/>
                      <w:color w:val="auto"/>
                      <w:sz w:val="18"/>
                      <w:szCs w:val="18"/>
                      <w:highlight w:val="none"/>
                      <w:lang w:val="en-US" w:eastAsia="zh-CN"/>
                    </w:rPr>
                    <w:t>/a</w:t>
                  </w:r>
                </w:p>
              </w:tc>
              <w:tc>
                <w:tcPr>
                  <w:tcW w:w="4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15079.5</w:t>
                  </w:r>
                </w:p>
              </w:tc>
              <w:tc>
                <w:tcPr>
                  <w:tcW w:w="197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园区供水管网</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jc w:val="center"/>
              <w:textAlignment w:val="auto"/>
              <w:outlineLvl w:val="9"/>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表2</w:t>
            </w:r>
            <w:r>
              <w:rPr>
                <w:rFonts w:hint="default" w:ascii="Times New Roman" w:hAnsi="Times New Roman" w:eastAsia="宋体" w:cs="Times New Roman"/>
                <w:b/>
                <w:bCs/>
                <w:caps w:val="0"/>
                <w:smallCaps w:val="0"/>
                <w:color w:val="auto"/>
                <w:sz w:val="21"/>
                <w:szCs w:val="21"/>
                <w:highlight w:val="none"/>
                <w:lang w:val="en-US" w:eastAsia="zh-CN"/>
              </w:rPr>
              <w:t>-</w:t>
            </w:r>
            <w:r>
              <w:rPr>
                <w:rFonts w:hint="eastAsia" w:cs="Times New Roman"/>
                <w:b/>
                <w:bCs/>
                <w:caps w:val="0"/>
                <w:smallCaps w:val="0"/>
                <w:color w:val="auto"/>
                <w:sz w:val="21"/>
                <w:szCs w:val="21"/>
                <w:highlight w:val="none"/>
                <w:lang w:val="en-US" w:eastAsia="zh-CN"/>
              </w:rPr>
              <w:t>6</w:t>
            </w:r>
            <w:r>
              <w:rPr>
                <w:rFonts w:hint="default" w:ascii="Times New Roman" w:hAnsi="Times New Roman" w:eastAsia="宋体" w:cs="Times New Roman"/>
                <w:b/>
                <w:bCs/>
                <w:caps w:val="0"/>
                <w:smallCaps w:val="0"/>
                <w:color w:val="auto"/>
                <w:sz w:val="21"/>
                <w:szCs w:val="21"/>
                <w:highlight w:val="none"/>
                <w:lang w:val="en-US" w:eastAsia="zh-CN"/>
              </w:rPr>
              <w:t xml:space="preserve">  </w:t>
            </w:r>
            <w:r>
              <w:rPr>
                <w:rFonts w:hint="default" w:ascii="Times New Roman" w:hAnsi="Times New Roman" w:eastAsia="宋体" w:cs="Times New Roman"/>
                <w:b/>
                <w:bCs/>
                <w:caps w:val="0"/>
                <w:smallCaps w:val="0"/>
                <w:color w:val="auto"/>
                <w:sz w:val="21"/>
                <w:szCs w:val="21"/>
                <w:highlight w:val="none"/>
              </w:rPr>
              <w:t xml:space="preserve">  </w:t>
            </w:r>
            <w:r>
              <w:rPr>
                <w:rFonts w:hint="default" w:ascii="Times New Roman" w:hAnsi="Times New Roman" w:cs="Times New Roman"/>
                <w:b/>
                <w:bCs/>
                <w:caps w:val="0"/>
                <w:smallCaps w:val="0"/>
                <w:color w:val="auto"/>
                <w:sz w:val="21"/>
                <w:szCs w:val="21"/>
                <w:highlight w:val="none"/>
                <w:lang w:val="en-US" w:eastAsia="zh-CN"/>
              </w:rPr>
              <w:t>原辅</w:t>
            </w:r>
            <w:r>
              <w:rPr>
                <w:rFonts w:hint="default" w:ascii="Times New Roman" w:hAnsi="Times New Roman" w:eastAsia="宋体" w:cs="Times New Roman"/>
                <w:b/>
                <w:bCs/>
                <w:caps w:val="0"/>
                <w:smallCaps w:val="0"/>
                <w:color w:val="auto"/>
                <w:sz w:val="21"/>
                <w:szCs w:val="21"/>
                <w:highlight w:val="none"/>
              </w:rPr>
              <w:t>材料理化性质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4537"/>
              <w:gridCol w:w="2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原料种类</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理化特性</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毒理学资料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LHHL耐磨防腐材料</w:t>
                  </w:r>
                  <w:r>
                    <w:rPr>
                      <w:rFonts w:hint="default" w:ascii="Times New Roman" w:hAnsi="Times New Roman" w:cs="Times New Roman"/>
                      <w:color w:val="auto"/>
                      <w:sz w:val="18"/>
                      <w:szCs w:val="18"/>
                      <w:highlight w:val="none"/>
                      <w:lang w:val="en-US" w:eastAsia="zh-CN"/>
                    </w:rPr>
                    <w:t>A组分</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外观与性状：淡黄色透明液体</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pH值：7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熔点（℃）：-30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相对密度（水＝1）：1.15</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沸点（℃）：大于166</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闪点（℃）：无资料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引燃温度（℃）：大于600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溶解性：易溶于乙醚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主要用途：作为聚脲反应的A组分</w:t>
                  </w:r>
                  <w:r>
                    <w:rPr>
                      <w:rFonts w:hint="default" w:ascii="Times New Roman" w:hAnsi="Times New Roman" w:cs="Times New Roman"/>
                      <w:color w:val="auto"/>
                      <w:sz w:val="18"/>
                      <w:szCs w:val="18"/>
                      <w:highlight w:val="none"/>
                      <w:lang w:eastAsia="zh-CN"/>
                    </w:rPr>
                    <w:t>；</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稳定性：常温下稳定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聚合危害：不聚合</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禁配物：水、醇类、强碱、胺类、酸类、强氧化剂</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避免接触的条件：极端的温度、潮湿空气及雨水</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分解产物：暴露于高温处可能会产生危险的分解物如CO、CO</w:t>
                  </w:r>
                  <w:r>
                    <w:rPr>
                      <w:rFonts w:hint="default" w:ascii="Times New Roman" w:hAnsi="Times New Roman" w:eastAsia="宋体" w:cs="Times New Roman"/>
                      <w:color w:val="auto"/>
                      <w:sz w:val="18"/>
                      <w:szCs w:val="18"/>
                      <w:highlight w:val="none"/>
                      <w:vertAlign w:val="subscript"/>
                    </w:rPr>
                    <w:t>2</w:t>
                  </w:r>
                  <w:r>
                    <w:rPr>
                      <w:rFonts w:hint="default" w:ascii="Times New Roman" w:hAnsi="Times New Roman" w:eastAsia="宋体" w:cs="Times New Roman"/>
                      <w:color w:val="auto"/>
                      <w:sz w:val="18"/>
                      <w:szCs w:val="18"/>
                      <w:highlight w:val="none"/>
                    </w:rPr>
                    <w:t>、烟、氮的氧化物。</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急性中毒：LD50940mg/kg（大鼠经口）；7130mg/kg（兔经皮）；LC50：无资料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刺激性：过度接触蒸气会刺激眼睛和呼吸系统，溅入眼睛将会引起不适。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LHHL耐磨防腐材料B组分</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外观与性状：液体，颜色随颜料的变化而不同</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pH值：7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熔点（℃）：无资料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相对密度（水＝1）：1.02</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沸点（℃）：大于275℃</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闪点（℃）：大于200℃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溶解性：溶于水、乙醇、乙醚、热苯</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主要用途：作为聚脲反应的B组分。稳定性：常温下稳定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聚合危害：不聚合</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禁配物：强氧化剂</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避免接触的条件：避免与潮气、酸、强氧化剂接触</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分解产物：暴露于高温处可能会产生危险的分解物如CO、CO</w:t>
                  </w:r>
                  <w:r>
                    <w:rPr>
                      <w:rFonts w:hint="default" w:ascii="Times New Roman" w:hAnsi="Times New Roman" w:eastAsia="宋体" w:cs="Times New Roman"/>
                      <w:color w:val="auto"/>
                      <w:sz w:val="18"/>
                      <w:szCs w:val="18"/>
                      <w:highlight w:val="none"/>
                      <w:vertAlign w:val="subscript"/>
                    </w:rPr>
                    <w:t>2</w:t>
                  </w:r>
                  <w:r>
                    <w:rPr>
                      <w:rFonts w:hint="default" w:ascii="Times New Roman" w:hAnsi="Times New Roman" w:eastAsia="宋体" w:cs="Times New Roman"/>
                      <w:color w:val="auto"/>
                      <w:sz w:val="18"/>
                      <w:szCs w:val="18"/>
                      <w:highlight w:val="none"/>
                    </w:rPr>
                    <w:t>、烟、氮的氧化物。</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急性中毒：无资料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LC50：无资料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刺激性：本品属于实际无毒等级化学品，几乎无刺激性。溅入眼睛将会引起不适。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z w:val="18"/>
                      <w:szCs w:val="18"/>
                      <w:highlight w:val="none"/>
                      <w:lang w:val="en-US" w:eastAsia="zh-CN"/>
                    </w:rPr>
                    <w:t>环氧磷酸锌底漆</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z w:val="18"/>
                      <w:szCs w:val="18"/>
                      <w:highlight w:val="none"/>
                    </w:rPr>
                    <w:t>外观与性状：灰色</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相对密度（水=1）：1.5</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闪点（℃）：27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溶解性（℃）：可混溶于有机溶剂。稳定性：稳定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禁配物：氧化剂、酸类、碱类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避免接触的条件：高温，火种</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聚合危害：不能发生</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分解产物：一氧化碳，二氧化碳，NO</w:t>
                  </w:r>
                  <w:r>
                    <w:rPr>
                      <w:rFonts w:hint="default" w:ascii="Times New Roman" w:hAnsi="Times New Roman" w:eastAsia="宋体" w:cs="Times New Roman"/>
                      <w:color w:val="auto"/>
                      <w:sz w:val="18"/>
                      <w:szCs w:val="18"/>
                      <w:highlight w:val="none"/>
                      <w:vertAlign w:val="subscript"/>
                    </w:rPr>
                    <w:t>X</w:t>
                  </w:r>
                  <w:r>
                    <w:rPr>
                      <w:rFonts w:hint="default" w:ascii="Times New Roman" w:hAnsi="Times New Roman" w:eastAsia="宋体" w:cs="Times New Roman"/>
                      <w:color w:val="auto"/>
                      <w:sz w:val="18"/>
                      <w:szCs w:val="18"/>
                      <w:highlight w:val="none"/>
                    </w:rPr>
                    <w:t>等有毒物质。</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环氧树脂（24969-06-0）</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大鼠经口LD50：11400mg/kg。</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二甲苯（1330-20-7）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人经口LDL0：50 mg/kg。大鼠经口LD50：4300mg/kg。小鼠经口LDL0：6mg/kg。兔经皮LD50：＞1700mg/kg。本品对皮肤粘膜的刺激作用较甲苯为强，高浓度时对中枢神经系统有麻醉作用</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工业品中常含有苯、甲苯等杂质，可同时出现杂质的毒作用。</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锌粉</w:t>
                  </w:r>
                  <w:r>
                    <w:rPr>
                      <w:rFonts w:hint="default" w:ascii="Times New Roman" w:hAnsi="Times New Roman" w:eastAsia="宋体" w:cs="Times New Roman"/>
                      <w:color w:val="auto"/>
                      <w:sz w:val="18"/>
                      <w:szCs w:val="18"/>
                      <w:highlight w:val="none"/>
                    </w:rPr>
                    <w:t>（</w:t>
                  </w:r>
                  <w:r>
                    <w:rPr>
                      <w:rFonts w:hint="default" w:ascii="Times New Roman" w:hAnsi="Times New Roman" w:eastAsia="宋体" w:cs="Times New Roman"/>
                      <w:color w:val="auto"/>
                      <w:sz w:val="18"/>
                      <w:szCs w:val="18"/>
                      <w:highlight w:val="none"/>
                      <w:lang w:val="en-US" w:eastAsia="zh-CN"/>
                    </w:rPr>
                    <w:t>7740-66-6</w:t>
                  </w:r>
                  <w:r>
                    <w:rPr>
                      <w:rFonts w:hint="default" w:ascii="Times New Roman" w:hAnsi="Times New Roman" w:eastAsia="宋体" w:cs="Times New Roman"/>
                      <w:color w:val="auto"/>
                      <w:sz w:val="18"/>
                      <w:szCs w:val="18"/>
                      <w:highlight w:val="none"/>
                    </w:rPr>
                    <w:t>）大鼠经口LD50：4360 mg/kg。吸入LC50：24240 mg/m。兔经皮LD50：3400 mg/kg。</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z w:val="18"/>
                      <w:szCs w:val="18"/>
                      <w:highlight w:val="none"/>
                    </w:rPr>
                    <w:t>聚酰胺树脂</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3416-89-3）大鼠经口LD50：484mg/kg</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大鼠吸入LC50：200ppm，4小时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脂肪族聚氨酯面漆</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外观与性状：各色</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相对密度（水=1）：1.2</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闪点（℃）：25</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溶解性（℃）：可混溶于有机溶剂。</w:t>
                  </w:r>
                  <w:r>
                    <w:rPr>
                      <w:rFonts w:hint="default" w:ascii="Times New Roman" w:hAnsi="Times New Roman" w:eastAsia="宋体" w:cs="Times New Roman"/>
                      <w:color w:val="auto"/>
                      <w:sz w:val="18"/>
                      <w:szCs w:val="18"/>
                      <w:highlight w:val="none"/>
                    </w:rPr>
                    <w:t>稳定性：稳定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禁配物：氧化剂、酸类、碱类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避免接触的条件：高温，火种</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聚合危害：不能发生</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分解产物：一氧化碳，二氧化碳，NO</w:t>
                  </w:r>
                  <w:r>
                    <w:rPr>
                      <w:rFonts w:hint="default" w:ascii="Times New Roman" w:hAnsi="Times New Roman" w:eastAsia="宋体" w:cs="Times New Roman"/>
                      <w:color w:val="auto"/>
                      <w:sz w:val="18"/>
                      <w:szCs w:val="18"/>
                      <w:highlight w:val="none"/>
                      <w:vertAlign w:val="subscript"/>
                    </w:rPr>
                    <w:t>X</w:t>
                  </w:r>
                  <w:r>
                    <w:rPr>
                      <w:rFonts w:hint="default" w:ascii="Times New Roman" w:hAnsi="Times New Roman" w:eastAsia="宋体" w:cs="Times New Roman"/>
                      <w:color w:val="auto"/>
                      <w:sz w:val="18"/>
                      <w:szCs w:val="18"/>
                      <w:highlight w:val="none"/>
                    </w:rPr>
                    <w:t>等有毒物质。</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eastAsia="zh-CN"/>
                    </w:rPr>
                    <w:t>丙烯酸树脂</w:t>
                  </w:r>
                  <w:r>
                    <w:rPr>
                      <w:rFonts w:hint="default" w:ascii="Times New Roman" w:hAnsi="Times New Roman" w:eastAsia="宋体" w:cs="Times New Roman"/>
                      <w:color w:val="auto"/>
                      <w:sz w:val="18"/>
                      <w:szCs w:val="18"/>
                      <w:highlight w:val="none"/>
                    </w:rPr>
                    <w:t>树脂（</w:t>
                  </w:r>
                  <w:r>
                    <w:rPr>
                      <w:rFonts w:hint="default" w:ascii="Times New Roman" w:hAnsi="Times New Roman" w:eastAsia="宋体" w:cs="Times New Roman"/>
                      <w:color w:val="auto"/>
                      <w:sz w:val="18"/>
                      <w:szCs w:val="18"/>
                      <w:highlight w:val="none"/>
                      <w:lang w:val="en-US" w:eastAsia="zh-CN"/>
                    </w:rPr>
                    <w:t>9003-01-4</w:t>
                  </w:r>
                  <w:r>
                    <w:rPr>
                      <w:rFonts w:hint="default" w:ascii="Times New Roman" w:hAnsi="Times New Roman" w:eastAsia="宋体" w:cs="Times New Roman"/>
                      <w:color w:val="auto"/>
                      <w:sz w:val="18"/>
                      <w:szCs w:val="18"/>
                      <w:highlight w:val="none"/>
                    </w:rPr>
                    <w:t>）大鼠经口LD50：11400 mg/kg。</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二甲苯（1330-20-7）人经口LDL0：50mg/kg</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大鼠经口LD50：4300 mg/kg</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小鼠经口LDL0：6mg/kg</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兔经皮LD50：＞1700mg/kg</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本品对皮肤粘膜的刺激作用较甲苯为强，高浓度时对中枢神经系统有麻醉作用</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工业品中常含有苯、甲苯等杂质，可同时出现杂质的毒作用。</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z w:val="18"/>
                      <w:szCs w:val="18"/>
                      <w:highlight w:val="none"/>
                      <w:lang w:eastAsia="zh-CN"/>
                    </w:rPr>
                    <w:t>颜料粉</w:t>
                  </w:r>
                  <w:r>
                    <w:rPr>
                      <w:rFonts w:hint="default" w:ascii="Times New Roman" w:hAnsi="Times New Roman" w:eastAsia="宋体" w:cs="Times New Roman"/>
                      <w:color w:val="auto"/>
                      <w:sz w:val="18"/>
                      <w:szCs w:val="18"/>
                      <w:highlight w:val="none"/>
                    </w:rPr>
                    <w:t>（1</w:t>
                  </w:r>
                  <w:r>
                    <w:rPr>
                      <w:rFonts w:hint="default" w:ascii="Times New Roman" w:hAnsi="Times New Roman" w:eastAsia="宋体" w:cs="Times New Roman"/>
                      <w:color w:val="auto"/>
                      <w:sz w:val="18"/>
                      <w:szCs w:val="18"/>
                      <w:highlight w:val="none"/>
                      <w:lang w:val="en-US" w:eastAsia="zh-CN"/>
                    </w:rPr>
                    <w:t>328-53-6</w:t>
                  </w:r>
                  <w:r>
                    <w:rPr>
                      <w:rFonts w:hint="default" w:ascii="Times New Roman" w:hAnsi="Times New Roman" w:eastAsia="宋体" w:cs="Times New Roman"/>
                      <w:color w:val="auto"/>
                      <w:sz w:val="18"/>
                      <w:szCs w:val="18"/>
                      <w:highlight w:val="none"/>
                    </w:rPr>
                    <w:t>）大鼠经口LD50：4360mg/kg</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吸入LC50：24240mg/m</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兔经皮LD50：3400 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耐磨橡胶粘合剂</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外观与性状：红色粘稠液体</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PH值：6－7</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熔点(℃)：无资料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相对密度(水=1)：无资料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闪点(℃)：无资料</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溶解性：溶于丙酮、甲苯、丁酮</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稳定性：稳定</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避免接触的条件：暴露在高温环境下导致产溶剂挥发</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禁配物：强氧化剂</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急性毒性：LD50：大鼠经口LD50(mg/kg):11400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天然</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橡胶</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天然橡胶（NR）是一种以顺-1，4-聚异戊二烯为主要成分的天然高分子化合物，其成分中 91%～94%是橡胶烃（顺-1，4-聚异戊二烯），其余为蛋白质、脂肪酸、灰分、糖类等非橡胶物质。天然橡胶是应用最广的通用橡胶。一般为片状固体，相对密度0.94，折射率1.522，弹性模量2～4MPa，130～140℃时软化，150～160℃粘软，200℃时开始降解。常温下有较高弹性，略有塑性，低温时结晶硬化。有较好的耐碱性，但不耐强酸。不溶于水、低级酮和醇类，在非极性溶剂如三氯甲烷、四氯化碳等中能溶胀。</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炭黑</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轻松而极细的无定型炭粉末，色黑。不溶于各种溶剂。相对密度 1.8-2.1。</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危险品分类：4.2—易自燃物质。包装分类：Ⅲ类—危险性较小的物质标志：易自然物质 4。</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吸入和吞食有害，对呼吸道有刺激。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白炭黑</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白炭黑是白色粉末状 X-射线无定形硅酸和硅酸盐产品的总称，主要是指沉淀二氧化硅、气相二氧化硅和超细二氧化硅凝胶，也包括粉末状合成硅酸铝和硅酸钙等。白炭黑是多孔性物质，其组成可用SiO 2 ·nH 2 O表示，其中nH 2 O是以表面羟基的形式存在。能溶于苛性碱和氢氟酸，不溶于水、溶剂和酸（氢氟酸除外）。耐高温、不燃、无味、无嗅、具有很好的电绝缘性。</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吸入和吞食有害，对呼吸道有刺激。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硫磺</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原子量 32.06，不溶于水，微溶于苯、甲苯、乙醇、乙醚，熔点 112.8℃-120℃，沸点 444.6℃，闪点 207℃。易于着火，可燃固体。粉尘或蒸汽于空气形成爆炸混合物，燃点 232℃，在 112℃时熔融。接触氧化剂形成爆炸混合物。</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危险品分类 4.1—易自燃物质。包装分类：Ⅲ类—危险性较小的物质。对人眼有刺激，燃烧的硫磺可生成有毒的二氧化硫气体。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氧化锌</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分子量81.37，白色粉末、无臭、无味、无砂性。微溶于水和醇，溶于酸、碱、氯化铵和氨水中。熔点 1975℃。与镁、亚麻籽油发生剧烈反应。</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与氯化橡胶的混合物加热至 215℃以上可能发生爆炸。大量氧化锌粉尘和阻塞皮脂腺管和引起皮肤丘疹、湿疹。LD 50 7950mg/kg（小白鼠经口）。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54"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开姆洛克</w:t>
                  </w:r>
                </w:p>
              </w:tc>
              <w:tc>
                <w:tcPr>
                  <w:tcW w:w="269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开姆洛克（Chemlok）粘合剂是美国 LORD 洛德公司于 1956 年专门研发一种热硫化型粘合剂产品，它是一种聚合物、有机化合物和矿物填料在有机溶剂体系内溶解或分散形成的混合物。</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外观：底胶（Chemlok 205，207）是灰色闪点：34℃稀释剂：底涂使用酮类（丁酮、甲基异丁基酮），面胶使用苯类（甲苯、二甲苯）溶剂：二甲苯、三氯乙烯</w:t>
                  </w:r>
                  <w:r>
                    <w:rPr>
                      <w:rFonts w:hint="eastAsia"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储存期：未开启容器(25℃) ，不同胶粘剂贮存期不相同，从 6 个月~24个月。甲基异丁基酮成分 65%，二甲苯成分 10%，二氯化钛成分 10%，乙苯成分 10%，丙二醇甲醚 5%。开姆洛克胶除溶剂（甲苯、二甲苯）为发挥性外，其余高聚物、化合物都为非挥发性物质。因此，本项目在涂胶过程当中不会产生含氯废气。</w:t>
                  </w:r>
                </w:p>
              </w:tc>
              <w:tc>
                <w:tcPr>
                  <w:tcW w:w="1652"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工作场所防火通风，防止长期吸入或长期皮肤接触</w:t>
                  </w:r>
                </w:p>
              </w:tc>
            </w:tr>
          </w:tbl>
          <w:p>
            <w:pPr>
              <w:widowControl/>
              <w:spacing w:line="480" w:lineRule="exact"/>
              <w:jc w:val="center"/>
              <w:rPr>
                <w:b/>
                <w:color w:val="auto"/>
                <w:sz w:val="24"/>
                <w:highlight w:val="none"/>
              </w:rPr>
            </w:pPr>
          </w:p>
          <w:p>
            <w:pPr>
              <w:widowControl/>
              <w:spacing w:line="480" w:lineRule="exact"/>
              <w:jc w:val="center"/>
              <w:rPr>
                <w:b/>
                <w:color w:val="auto"/>
                <w:sz w:val="24"/>
                <w:highlight w:val="none"/>
              </w:rPr>
            </w:pPr>
          </w:p>
          <w:p>
            <w:pPr>
              <w:widowControl/>
              <w:spacing w:line="480" w:lineRule="exact"/>
              <w:jc w:val="center"/>
              <w:rPr>
                <w:b/>
                <w:color w:val="auto"/>
                <w:sz w:val="24"/>
                <w:highlight w:val="none"/>
              </w:rPr>
            </w:pPr>
          </w:p>
          <w:p>
            <w:pPr>
              <w:widowControl/>
              <w:spacing w:line="480" w:lineRule="exact"/>
              <w:jc w:val="center"/>
              <w:rPr>
                <w:b/>
                <w:color w:val="auto"/>
                <w:sz w:val="24"/>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表</w:t>
            </w:r>
            <w:r>
              <w:rPr>
                <w:rFonts w:hint="eastAsia" w:ascii="Times New Roman" w:hAnsi="Times New Roman" w:eastAsia="宋体" w:cs="Times New Roman"/>
                <w:b/>
                <w:bCs/>
                <w:color w:val="auto"/>
                <w:kern w:val="0"/>
                <w:sz w:val="21"/>
                <w:szCs w:val="21"/>
                <w:highlight w:val="none"/>
                <w:lang w:val="en-US" w:eastAsia="zh-CN"/>
              </w:rPr>
              <w:t>2-7</w:t>
            </w:r>
            <w:r>
              <w:rPr>
                <w:rFonts w:hint="eastAsia" w:ascii="Times New Roman" w:hAnsi="Times New Roman" w:eastAsia="宋体" w:cs="Times New Roman"/>
                <w:b/>
                <w:bCs/>
                <w:color w:val="auto"/>
                <w:kern w:val="0"/>
                <w:sz w:val="21"/>
                <w:szCs w:val="21"/>
                <w:highlight w:val="none"/>
              </w:rPr>
              <w:t xml:space="preserve"> </w:t>
            </w:r>
            <w:r>
              <w:rPr>
                <w:rFonts w:hint="default" w:ascii="Times New Roman" w:hAnsi="Times New Roman" w:eastAsia="宋体" w:cs="Times New Roman"/>
                <w:b/>
                <w:bCs/>
                <w:color w:val="auto"/>
                <w:kern w:val="0"/>
                <w:sz w:val="21"/>
                <w:szCs w:val="21"/>
                <w:highlight w:val="none"/>
              </w:rPr>
              <w:t xml:space="preserve"> </w:t>
            </w:r>
            <w:r>
              <w:rPr>
                <w:rFonts w:hint="eastAsia" w:ascii="Times New Roman" w:hAnsi="Times New Roman" w:eastAsia="宋体" w:cs="Times New Roman"/>
                <w:b/>
                <w:bCs/>
                <w:color w:val="auto"/>
                <w:kern w:val="0"/>
                <w:sz w:val="21"/>
                <w:szCs w:val="21"/>
                <w:highlight w:val="none"/>
                <w:lang w:val="en-US" w:eastAsia="zh-CN"/>
              </w:rPr>
              <w:t>项目用漆VOC含量情况表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759"/>
              <w:gridCol w:w="842"/>
              <w:gridCol w:w="920"/>
              <w:gridCol w:w="352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46" w:type="pct"/>
                  <w:noWrap w:val="0"/>
                  <w:vAlign w:val="center"/>
                </w:tcPr>
                <w:p>
                  <w:pPr>
                    <w:adjustRightInd w:val="0"/>
                    <w:snapToGrid w:val="0"/>
                    <w:spacing w:line="280" w:lineRule="exact"/>
                    <w:jc w:val="center"/>
                    <w:rPr>
                      <w:bCs/>
                      <w:color w:val="auto"/>
                      <w:kern w:val="0"/>
                      <w:sz w:val="18"/>
                      <w:szCs w:val="18"/>
                      <w:highlight w:val="none"/>
                      <w:lang w:val="zh-CN"/>
                    </w:rPr>
                  </w:pPr>
                  <w:r>
                    <w:rPr>
                      <w:bCs/>
                      <w:color w:val="auto"/>
                      <w:kern w:val="0"/>
                      <w:sz w:val="18"/>
                      <w:szCs w:val="18"/>
                      <w:highlight w:val="none"/>
                      <w:lang w:val="zh-CN"/>
                    </w:rPr>
                    <w:t>序号</w:t>
                  </w:r>
                </w:p>
              </w:tc>
              <w:tc>
                <w:tcPr>
                  <w:tcW w:w="1544" w:type="pct"/>
                  <w:gridSpan w:val="2"/>
                  <w:noWrap w:val="0"/>
                  <w:vAlign w:val="center"/>
                </w:tcPr>
                <w:p>
                  <w:pPr>
                    <w:adjustRightInd w:val="0"/>
                    <w:snapToGrid w:val="0"/>
                    <w:spacing w:line="280" w:lineRule="exact"/>
                    <w:jc w:val="center"/>
                    <w:rPr>
                      <w:rFonts w:hint="eastAsia"/>
                      <w:bCs/>
                      <w:color w:val="auto"/>
                      <w:kern w:val="0"/>
                      <w:sz w:val="18"/>
                      <w:szCs w:val="18"/>
                      <w:highlight w:val="none"/>
                      <w:lang w:val="en-US" w:eastAsia="zh-CN"/>
                    </w:rPr>
                  </w:pPr>
                  <w:r>
                    <w:rPr>
                      <w:bCs/>
                      <w:color w:val="auto"/>
                      <w:kern w:val="0"/>
                      <w:sz w:val="18"/>
                      <w:szCs w:val="18"/>
                      <w:highlight w:val="none"/>
                      <w:lang w:val="zh-CN"/>
                    </w:rPr>
                    <w:t>项目</w:t>
                  </w:r>
                </w:p>
              </w:tc>
              <w:tc>
                <w:tcPr>
                  <w:tcW w:w="546"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VOC含量(g/L)</w:t>
                  </w:r>
                </w:p>
              </w:tc>
              <w:tc>
                <w:tcPr>
                  <w:tcW w:w="2095" w:type="pct"/>
                  <w:noWrap w:val="0"/>
                  <w:vAlign w:val="center"/>
                </w:tcPr>
                <w:p>
                  <w:pPr>
                    <w:adjustRightInd w:val="0"/>
                    <w:snapToGrid w:val="0"/>
                    <w:spacing w:line="280" w:lineRule="exact"/>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《低挥发性有机化合物含量涂料产品技术要求》（GB/T38597-2020）相关要求</w:t>
                  </w:r>
                </w:p>
              </w:tc>
              <w:tc>
                <w:tcPr>
                  <w:tcW w:w="567" w:type="pct"/>
                  <w:noWrap w:val="0"/>
                  <w:vAlign w:val="center"/>
                </w:tcPr>
                <w:p>
                  <w:pPr>
                    <w:adjustRightInd w:val="0"/>
                    <w:snapToGrid w:val="0"/>
                    <w:spacing w:line="280" w:lineRule="exact"/>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是否符合要求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noWrap w:val="0"/>
                  <w:vAlign w:val="center"/>
                </w:tcPr>
                <w:p>
                  <w:pPr>
                    <w:adjustRightInd w:val="0"/>
                    <w:snapToGrid w:val="0"/>
                    <w:spacing w:line="280" w:lineRule="exact"/>
                    <w:jc w:val="center"/>
                    <w:rPr>
                      <w:bCs/>
                      <w:color w:val="auto"/>
                      <w:kern w:val="0"/>
                      <w:sz w:val="18"/>
                      <w:szCs w:val="18"/>
                      <w:highlight w:val="none"/>
                      <w:lang w:val="zh-CN"/>
                    </w:rPr>
                  </w:pPr>
                  <w:r>
                    <w:rPr>
                      <w:bCs/>
                      <w:color w:val="auto"/>
                      <w:kern w:val="0"/>
                      <w:sz w:val="18"/>
                      <w:szCs w:val="18"/>
                      <w:highlight w:val="none"/>
                      <w:lang w:val="zh-CN"/>
                    </w:rPr>
                    <w:t>1</w:t>
                  </w:r>
                </w:p>
              </w:tc>
              <w:tc>
                <w:tcPr>
                  <w:tcW w:w="1044"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default" w:eastAsia="宋体"/>
                      <w:bCs/>
                      <w:color w:val="auto"/>
                      <w:kern w:val="0"/>
                      <w:sz w:val="18"/>
                      <w:szCs w:val="18"/>
                      <w:highlight w:val="none"/>
                      <w:lang w:val="en-US" w:eastAsia="zh-CN"/>
                    </w:rPr>
                    <w:t>环氧磷酸锌底漆</w:t>
                  </w:r>
                </w:p>
              </w:tc>
              <w:tc>
                <w:tcPr>
                  <w:tcW w:w="500" w:type="pct"/>
                  <w:noWrap w:val="0"/>
                  <w:vAlign w:val="center"/>
                </w:tcPr>
                <w:p>
                  <w:pPr>
                    <w:adjustRightInd w:val="0"/>
                    <w:snapToGrid w:val="0"/>
                    <w:spacing w:line="280" w:lineRule="exact"/>
                    <w:jc w:val="center"/>
                    <w:rPr>
                      <w:rFonts w:hint="eastAsia" w:eastAsia="宋体"/>
                      <w:bCs/>
                      <w:color w:val="auto"/>
                      <w:kern w:val="0"/>
                      <w:sz w:val="18"/>
                      <w:szCs w:val="18"/>
                      <w:highlight w:val="none"/>
                      <w:lang w:val="en-US" w:eastAsia="zh-CN"/>
                    </w:rPr>
                  </w:pPr>
                  <w:r>
                    <w:rPr>
                      <w:rFonts w:hint="eastAsia"/>
                      <w:bCs/>
                      <w:color w:val="auto"/>
                      <w:kern w:val="0"/>
                      <w:sz w:val="18"/>
                      <w:szCs w:val="18"/>
                      <w:highlight w:val="none"/>
                      <w:lang w:val="en-US" w:eastAsia="zh-CN"/>
                    </w:rPr>
                    <w:t>油漆</w:t>
                  </w:r>
                </w:p>
              </w:tc>
              <w:tc>
                <w:tcPr>
                  <w:tcW w:w="546"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164</w:t>
                  </w:r>
                </w:p>
              </w:tc>
              <w:tc>
                <w:tcPr>
                  <w:tcW w:w="2095"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≤420</w:t>
                  </w:r>
                </w:p>
              </w:tc>
              <w:tc>
                <w:tcPr>
                  <w:tcW w:w="567" w:type="pct"/>
                  <w:noWrap w:val="0"/>
                  <w:vAlign w:val="center"/>
                </w:tcPr>
                <w:p>
                  <w:pPr>
                    <w:adjustRightInd w:val="0"/>
                    <w:snapToGrid w:val="0"/>
                    <w:spacing w:line="280" w:lineRule="exact"/>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noWrap w:val="0"/>
                  <w:vAlign w:val="center"/>
                </w:tcPr>
                <w:p>
                  <w:pPr>
                    <w:adjustRightInd w:val="0"/>
                    <w:snapToGrid w:val="0"/>
                    <w:spacing w:line="280" w:lineRule="exact"/>
                    <w:jc w:val="center"/>
                    <w:rPr>
                      <w:bCs/>
                      <w:color w:val="auto"/>
                      <w:kern w:val="0"/>
                      <w:sz w:val="18"/>
                      <w:szCs w:val="18"/>
                      <w:highlight w:val="none"/>
                    </w:rPr>
                  </w:pPr>
                  <w:r>
                    <w:rPr>
                      <w:bCs/>
                      <w:color w:val="auto"/>
                      <w:kern w:val="0"/>
                      <w:sz w:val="18"/>
                      <w:szCs w:val="18"/>
                      <w:highlight w:val="none"/>
                    </w:rPr>
                    <w:t>2</w:t>
                  </w:r>
                </w:p>
              </w:tc>
              <w:tc>
                <w:tcPr>
                  <w:tcW w:w="1044"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default" w:eastAsia="宋体"/>
                      <w:bCs/>
                      <w:color w:val="auto"/>
                      <w:kern w:val="0"/>
                      <w:sz w:val="18"/>
                      <w:szCs w:val="18"/>
                      <w:highlight w:val="none"/>
                      <w:lang w:val="en-US" w:eastAsia="zh-CN"/>
                    </w:rPr>
                    <w:t>脂肪族聚氨酯面漆</w:t>
                  </w:r>
                </w:p>
              </w:tc>
              <w:tc>
                <w:tcPr>
                  <w:tcW w:w="500" w:type="pct"/>
                  <w:noWrap w:val="0"/>
                  <w:vAlign w:val="center"/>
                </w:tcPr>
                <w:p>
                  <w:pPr>
                    <w:adjustRightInd w:val="0"/>
                    <w:snapToGrid w:val="0"/>
                    <w:spacing w:line="280" w:lineRule="exact"/>
                    <w:jc w:val="center"/>
                    <w:rPr>
                      <w:rFonts w:hint="eastAsia" w:eastAsia="宋体"/>
                      <w:bCs/>
                      <w:color w:val="auto"/>
                      <w:kern w:val="0"/>
                      <w:sz w:val="18"/>
                      <w:szCs w:val="18"/>
                      <w:highlight w:val="none"/>
                      <w:lang w:val="en-US" w:eastAsia="zh-CN"/>
                    </w:rPr>
                  </w:pPr>
                  <w:r>
                    <w:rPr>
                      <w:rFonts w:hint="eastAsia"/>
                      <w:bCs/>
                      <w:color w:val="auto"/>
                      <w:kern w:val="0"/>
                      <w:sz w:val="18"/>
                      <w:szCs w:val="18"/>
                      <w:highlight w:val="none"/>
                      <w:lang w:val="en-US" w:eastAsia="zh-CN"/>
                    </w:rPr>
                    <w:t>油漆</w:t>
                  </w:r>
                </w:p>
              </w:tc>
              <w:tc>
                <w:tcPr>
                  <w:tcW w:w="546"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204</w:t>
                  </w:r>
                </w:p>
              </w:tc>
              <w:tc>
                <w:tcPr>
                  <w:tcW w:w="2095"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≤480</w:t>
                  </w:r>
                </w:p>
              </w:tc>
              <w:tc>
                <w:tcPr>
                  <w:tcW w:w="567" w:type="pct"/>
                  <w:noWrap w:val="0"/>
                  <w:vAlign w:val="center"/>
                </w:tcPr>
                <w:p>
                  <w:pPr>
                    <w:adjustRightInd w:val="0"/>
                    <w:snapToGrid w:val="0"/>
                    <w:spacing w:line="280" w:lineRule="exact"/>
                    <w:jc w:val="center"/>
                    <w:rPr>
                      <w:rFonts w:hint="eastAsia"/>
                      <w:bCs/>
                      <w:color w:val="auto"/>
                      <w:kern w:val="0"/>
                      <w:sz w:val="18"/>
                      <w:szCs w:val="18"/>
                      <w:highlight w:val="none"/>
                      <w:lang w:val="en-US" w:eastAsia="zh-CN"/>
                    </w:rPr>
                  </w:pPr>
                  <w:r>
                    <w:rPr>
                      <w:rFonts w:hint="eastAsia"/>
                      <w:bCs/>
                      <w:color w:val="auto"/>
                      <w:kern w:val="0"/>
                      <w:sz w:val="18"/>
                      <w:szCs w:val="18"/>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46" w:type="pct"/>
                  <w:noWrap w:val="0"/>
                  <w:vAlign w:val="center"/>
                </w:tcPr>
                <w:p>
                  <w:pPr>
                    <w:adjustRightInd w:val="0"/>
                    <w:snapToGrid w:val="0"/>
                    <w:spacing w:line="280" w:lineRule="exact"/>
                    <w:jc w:val="center"/>
                    <w:rPr>
                      <w:bCs/>
                      <w:color w:val="auto"/>
                      <w:kern w:val="0"/>
                      <w:sz w:val="18"/>
                      <w:szCs w:val="18"/>
                      <w:highlight w:val="none"/>
                    </w:rPr>
                  </w:pPr>
                  <w:r>
                    <w:rPr>
                      <w:bCs/>
                      <w:color w:val="auto"/>
                      <w:kern w:val="0"/>
                      <w:sz w:val="18"/>
                      <w:szCs w:val="18"/>
                      <w:highlight w:val="none"/>
                    </w:rPr>
                    <w:t>3</w:t>
                  </w:r>
                </w:p>
              </w:tc>
              <w:tc>
                <w:tcPr>
                  <w:tcW w:w="1044"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default" w:eastAsia="宋体"/>
                      <w:bCs/>
                      <w:color w:val="auto"/>
                      <w:kern w:val="0"/>
                      <w:sz w:val="18"/>
                      <w:szCs w:val="18"/>
                      <w:highlight w:val="none"/>
                      <w:lang w:val="en-US" w:eastAsia="zh-CN"/>
                    </w:rPr>
                    <w:t>耐磨防腐材料</w:t>
                  </w:r>
                </w:p>
              </w:tc>
              <w:tc>
                <w:tcPr>
                  <w:tcW w:w="500" w:type="pct"/>
                  <w:noWrap w:val="0"/>
                  <w:vAlign w:val="center"/>
                </w:tcPr>
                <w:p>
                  <w:pPr>
                    <w:adjustRightInd w:val="0"/>
                    <w:snapToGrid w:val="0"/>
                    <w:spacing w:line="280" w:lineRule="exact"/>
                    <w:jc w:val="center"/>
                    <w:rPr>
                      <w:rFonts w:hint="eastAsia" w:eastAsia="宋体"/>
                      <w:bCs/>
                      <w:color w:val="auto"/>
                      <w:kern w:val="0"/>
                      <w:sz w:val="18"/>
                      <w:szCs w:val="18"/>
                      <w:highlight w:val="none"/>
                      <w:lang w:val="en-US" w:eastAsia="zh-CN"/>
                    </w:rPr>
                  </w:pPr>
                  <w:r>
                    <w:rPr>
                      <w:rFonts w:hint="eastAsia"/>
                      <w:bCs/>
                      <w:color w:val="auto"/>
                      <w:kern w:val="0"/>
                      <w:sz w:val="18"/>
                      <w:szCs w:val="18"/>
                      <w:highlight w:val="none"/>
                      <w:lang w:val="en-US" w:eastAsia="zh-CN"/>
                    </w:rPr>
                    <w:t>涂料</w:t>
                  </w:r>
                </w:p>
              </w:tc>
              <w:tc>
                <w:tcPr>
                  <w:tcW w:w="546"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w:t>
                  </w:r>
                </w:p>
              </w:tc>
              <w:tc>
                <w:tcPr>
                  <w:tcW w:w="2095" w:type="pct"/>
                  <w:noWrap w:val="0"/>
                  <w:vAlign w:val="center"/>
                </w:tcPr>
                <w:p>
                  <w:pPr>
                    <w:adjustRightInd w:val="0"/>
                    <w:snapToGrid w:val="0"/>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≤60</w:t>
                  </w:r>
                </w:p>
              </w:tc>
              <w:tc>
                <w:tcPr>
                  <w:tcW w:w="567" w:type="pct"/>
                  <w:noWrap w:val="0"/>
                  <w:vAlign w:val="center"/>
                </w:tcPr>
                <w:p>
                  <w:pPr>
                    <w:adjustRightInd w:val="0"/>
                    <w:snapToGrid w:val="0"/>
                    <w:spacing w:line="280" w:lineRule="exact"/>
                    <w:jc w:val="center"/>
                    <w:rPr>
                      <w:rFonts w:hint="eastAsia"/>
                      <w:bCs/>
                      <w:color w:val="auto"/>
                      <w:kern w:val="0"/>
                      <w:sz w:val="18"/>
                      <w:szCs w:val="18"/>
                      <w:highlight w:val="none"/>
                      <w:lang w:val="en-US" w:eastAsia="zh-CN"/>
                    </w:rPr>
                  </w:pPr>
                  <w:r>
                    <w:rPr>
                      <w:rFonts w:hint="eastAsia"/>
                      <w:bCs/>
                      <w:color w:val="auto"/>
                      <w:kern w:val="0"/>
                      <w:sz w:val="18"/>
                      <w:szCs w:val="18"/>
                      <w:highlight w:val="none"/>
                      <w:lang w:val="en-US" w:eastAsia="zh-CN"/>
                    </w:rPr>
                    <w:t>符合</w:t>
                  </w:r>
                </w:p>
              </w:tc>
            </w:tr>
          </w:tbl>
          <w:p>
            <w:pPr>
              <w:pageBreakBefore w:val="0"/>
              <w:kinsoku/>
              <w:wordWrap/>
              <w:overflowPunct/>
              <w:bidi w:val="0"/>
              <w:adjustRightInd w:val="0"/>
              <w:snapToGrid w:val="0"/>
              <w:spacing w:beforeAutospacing="0" w:afterAutospacing="0" w:line="480" w:lineRule="exact"/>
              <w:ind w:left="0" w:leftChars="0" w:right="0" w:rightChars="0" w:firstLine="420" w:firstLineChars="200"/>
              <w:jc w:val="both"/>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项目主要生产设备见表</w:t>
            </w:r>
            <w:r>
              <w:rPr>
                <w:rFonts w:hint="default" w:ascii="Times New Roman" w:hAnsi="Times New Roman" w:eastAsia="宋体" w:cs="Times New Roman"/>
                <w:color w:val="auto"/>
                <w:sz w:val="21"/>
                <w:szCs w:val="21"/>
                <w:highlight w:val="none"/>
                <w:lang w:val="en-US" w:eastAsia="zh-CN"/>
              </w:rPr>
              <w:t>2-8</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2-8</w:t>
            </w:r>
            <w:r>
              <w:rPr>
                <w:rFonts w:hint="default" w:ascii="Times New Roman" w:hAnsi="Times New Roman" w:eastAsia="宋体" w:cs="Times New Roman"/>
                <w:b/>
                <w:bCs/>
                <w:color w:val="auto"/>
                <w:kern w:val="0"/>
                <w:sz w:val="21"/>
                <w:szCs w:val="21"/>
                <w:highlight w:val="none"/>
              </w:rPr>
              <w:t xml:space="preserve">  主要设备设施一览表</w:t>
            </w:r>
          </w:p>
          <w:tbl>
            <w:tblPr>
              <w:tblStyle w:val="58"/>
              <w:tblW w:w="498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7"/>
              <w:gridCol w:w="2077"/>
              <w:gridCol w:w="824"/>
              <w:gridCol w:w="701"/>
              <w:gridCol w:w="3399"/>
              <w:gridCol w:w="6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序 号</w:t>
                  </w:r>
                </w:p>
              </w:tc>
              <w:tc>
                <w:tcPr>
                  <w:tcW w:w="1235"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设备名称</w:t>
                  </w:r>
                </w:p>
              </w:tc>
              <w:tc>
                <w:tcPr>
                  <w:tcW w:w="49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单位</w:t>
                  </w:r>
                </w:p>
              </w:tc>
              <w:tc>
                <w:tcPr>
                  <w:tcW w:w="417"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数量</w:t>
                  </w:r>
                </w:p>
              </w:tc>
              <w:tc>
                <w:tcPr>
                  <w:tcW w:w="2021"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规格型号</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lang w:val="en-US" w:eastAsia="zh-CN"/>
                    </w:rPr>
                  </w:pPr>
                  <w:r>
                    <w:rPr>
                      <w:rFonts w:hint="default" w:ascii="Times New Roman" w:hAnsi="Times New Roman" w:eastAsia="宋体" w:cs="Times New Roman"/>
                      <w:b w:val="0"/>
                      <w:bCs/>
                      <w:snapToGrid w:val="0"/>
                      <w:color w:val="auto"/>
                      <w:sz w:val="18"/>
                      <w:szCs w:val="18"/>
                      <w:highlight w:val="none"/>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235"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金属带锯床</w:t>
                  </w:r>
                </w:p>
              </w:tc>
              <w:tc>
                <w:tcPr>
                  <w:tcW w:w="490" w:type="pct"/>
                  <w:tcBorders>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CD4028B</w:t>
                  </w:r>
                </w:p>
              </w:tc>
              <w:tc>
                <w:tcPr>
                  <w:tcW w:w="379" w:type="pct"/>
                  <w:tcBorders>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金属带锯床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GD4240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C620-1</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CA6140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CA6140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马鞍车床（加长）</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CW6280C</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CW6163B/φ600×3000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CA6140A/φ400×1500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CAK6150Di/φ500×890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CAK6150Dj/φ500×1390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BRT4065</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数控车床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BRT5085（主轴孔82)</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立式升降台铣床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XA5032</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台式钻床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Z4116</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台式钻床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Z4116</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立式钻床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A5132A</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气动攻丝机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Style w:val="73"/>
                      <w:rFonts w:hint="default" w:ascii="Times New Roman" w:hAnsi="Times New Roman" w:eastAsia="宋体" w:cs="Times New Roman"/>
                      <w:color w:val="auto"/>
                      <w:sz w:val="21"/>
                      <w:szCs w:val="21"/>
                      <w:highlight w:val="none"/>
                      <w:lang w:val="en-US" w:eastAsia="zh-CN" w:bidi="ar"/>
                    </w:rPr>
                    <w:t>孔</w:t>
                  </w:r>
                  <w:r>
                    <w:rPr>
                      <w:rStyle w:val="74"/>
                      <w:rFonts w:hint="default" w:ascii="Times New Roman" w:hAnsi="Times New Roman" w:eastAsia="宋体" w:cs="Times New Roman"/>
                      <w:color w:val="auto"/>
                      <w:sz w:val="21"/>
                      <w:szCs w:val="21"/>
                      <w:highlight w:val="none"/>
                      <w:lang w:val="en-US" w:eastAsia="zh-CN" w:bidi="ar"/>
                    </w:rPr>
                    <w:t>-804</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立式炮塔型铣床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KTM-4H</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万能升降台铣床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XA6132</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数控线切割机床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DK7763</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数显卧式铣镗床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TX6111C/3</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摇臂钻床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Z3050×16/1</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冲床</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24</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开式可倾压力机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J23-100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剪板机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Q11-3×1300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26</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压力机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LK125T</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27</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液压板料折弯机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WC67Y-40/2200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28</w:t>
                  </w:r>
                </w:p>
              </w:tc>
              <w:tc>
                <w:tcPr>
                  <w:tcW w:w="1235"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液压板料折弯机</w:t>
                  </w:r>
                </w:p>
              </w:tc>
              <w:tc>
                <w:tcPr>
                  <w:tcW w:w="490" w:type="pct"/>
                  <w:tcBorders>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WC67Y-40/2200</w:t>
                  </w:r>
                </w:p>
              </w:tc>
              <w:tc>
                <w:tcPr>
                  <w:tcW w:w="379" w:type="pct"/>
                  <w:tcBorders>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29</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液压摆式剪板机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QC12Y-6×2500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液压摆式剪板机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QC12Y-16×3200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31</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压轴机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32</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数控折弯机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WS67K-400/5000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数控折弯机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532032</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34</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矫板机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WB43M-8*1500</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35</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焊接机器人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default" w:ascii="Times New Roman" w:hAnsi="Times New Roman" w:eastAsia="宋体" w:cs="Times New Roman"/>
                      <w:b w:val="0"/>
                      <w:bCs/>
                      <w:snapToGrid w:val="0"/>
                      <w:color w:val="auto"/>
                      <w:kern w:val="0"/>
                      <w:sz w:val="21"/>
                      <w:szCs w:val="21"/>
                      <w:highlight w:val="none"/>
                      <w:lang w:val="en-US" w:eastAsia="zh-CN" w:bidi="ar-SA"/>
                    </w:rPr>
                    <w:t>/</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36</w:t>
                  </w:r>
                </w:p>
              </w:tc>
              <w:tc>
                <w:tcPr>
                  <w:tcW w:w="1235"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焊接机器人</w:t>
                  </w:r>
                </w:p>
              </w:tc>
              <w:tc>
                <w:tcPr>
                  <w:tcW w:w="490" w:type="pct"/>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tcBorders>
                    <w:top w:val="single" w:color="000000" w:sz="2" w:space="0"/>
                    <w:bottom w:val="single" w:color="000000" w:sz="2" w:space="0"/>
                  </w:tcBorders>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tcBorders>
                    <w:top w:val="single" w:color="000000" w:sz="2" w:space="0"/>
                    <w:bottom w:val="single" w:color="000000" w:sz="2" w:space="0"/>
                  </w:tcBorders>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焊轴机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交流电焊机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二氧化碳保护焊机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cs="Times New Roman"/>
                      <w:b w:val="0"/>
                      <w:bCs/>
                      <w:snapToGrid w:val="0"/>
                      <w:color w:val="auto"/>
                      <w:sz w:val="21"/>
                      <w:szCs w:val="21"/>
                      <w:highlight w:val="none"/>
                      <w:lang w:val="en-US" w:eastAsia="zh-CN"/>
                    </w:rPr>
                    <w:t>45KW</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碳弧气刨机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41</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螺杆式空气压缩机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42</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打毛机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43</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移动式焊烟净化器</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44</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柴油叉车</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45</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聚脲喷涂机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46</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高压无气喷涂机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3050钻床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3040钻床</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3080钻床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3050钻床</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激振器试验平台</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激振器组装平台</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51</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平面钻床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TPM14045 高速数控平面钻</w:t>
                  </w:r>
                </w:p>
              </w:tc>
              <w:tc>
                <w:tcPr>
                  <w:tcW w:w="37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52</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数控角钢生产线</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TADM2532-2高速角钢钻孔生产线</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53</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折弯机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540032折弯机</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54</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折弯机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540050折弯机</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55</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数控龙门镗铣床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2021" w:type="pct"/>
                  <w:noWrap w:val="0"/>
                  <w:vAlign w:val="center"/>
                </w:tcPr>
                <w:p>
                  <w:pPr>
                    <w:keepNext w:val="0"/>
                    <w:keepLines w:val="0"/>
                    <w:pageBreakBefore w:val="0"/>
                    <w:kinsoku/>
                    <w:wordWrap/>
                    <w:overflowPunct/>
                    <w:topLinePunct w:val="0"/>
                    <w:autoSpaceDE/>
                    <w:autoSpaceDN/>
                    <w:bidi w:val="0"/>
                    <w:spacing w:before="0" w:beforeLines="0" w:after="0" w:afterLines="0" w:line="280" w:lineRule="exact"/>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56</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激光</w:t>
                  </w:r>
                  <w:r>
                    <w:rPr>
                      <w:rFonts w:hint="default" w:ascii="Times New Roman" w:hAnsi="Times New Roman" w:cs="Times New Roman"/>
                      <w:i w:val="0"/>
                      <w:iCs w:val="0"/>
                      <w:color w:val="auto"/>
                      <w:kern w:val="0"/>
                      <w:sz w:val="21"/>
                      <w:szCs w:val="21"/>
                      <w:highlight w:val="none"/>
                      <w:u w:val="none"/>
                      <w:lang w:val="en-US" w:eastAsia="zh-CN" w:bidi="ar"/>
                    </w:rPr>
                    <w:t>切割机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25120交换平台</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抛丸机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QH6945抛丸机</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等离子</w:t>
                  </w:r>
                  <w:r>
                    <w:rPr>
                      <w:rFonts w:hint="default" w:ascii="Times New Roman" w:hAnsi="Times New Roman" w:cs="Times New Roman"/>
                      <w:i w:val="0"/>
                      <w:iCs w:val="0"/>
                      <w:color w:val="auto"/>
                      <w:kern w:val="0"/>
                      <w:sz w:val="21"/>
                      <w:szCs w:val="21"/>
                      <w:highlight w:val="none"/>
                      <w:u w:val="none"/>
                      <w:lang w:val="en-US" w:eastAsia="zh-CN" w:bidi="ar"/>
                    </w:rPr>
                    <w:t>切割机</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ProCut 6000 数控火焰/精细等离子切割机</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59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机器人焊接系统</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法兰焊接系统</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60</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机器人焊接系统</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主梁直缝焊接系统</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61</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数控双柱立式车床</w:t>
                  </w:r>
                </w:p>
              </w:tc>
              <w:tc>
                <w:tcPr>
                  <w:tcW w:w="490"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CK5225E×15、20、25/20（最大车销直接2500mm）</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62</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数控双柱立式车床</w:t>
                  </w:r>
                </w:p>
              </w:tc>
              <w:tc>
                <w:tcPr>
                  <w:tcW w:w="490"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CK5235E×20、25/20（最大车销直接3500mm）</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63</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数控双柱立式车床</w:t>
                  </w:r>
                </w:p>
              </w:tc>
              <w:tc>
                <w:tcPr>
                  <w:tcW w:w="490"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CK5240E×20、25/20（最大车销直接4000mm）</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64</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w:t>
                  </w:r>
                  <w:r>
                    <w:rPr>
                      <w:rFonts w:hint="default" w:ascii="Times New Roman" w:hAnsi="Times New Roman" w:cs="Times New Roman"/>
                      <w:i w:val="0"/>
                      <w:iCs w:val="0"/>
                      <w:color w:val="auto"/>
                      <w:kern w:val="0"/>
                      <w:sz w:val="21"/>
                      <w:szCs w:val="21"/>
                      <w:highlight w:val="none"/>
                      <w:u w:val="none"/>
                      <w:lang w:val="en-US" w:eastAsia="zh-CN" w:bidi="ar"/>
                    </w:rPr>
                    <w:t>落地</w:t>
                  </w:r>
                  <w:r>
                    <w:rPr>
                      <w:rFonts w:hint="default" w:ascii="Times New Roman" w:hAnsi="Times New Roman" w:eastAsia="宋体" w:cs="Times New Roman"/>
                      <w:i w:val="0"/>
                      <w:iCs w:val="0"/>
                      <w:color w:val="auto"/>
                      <w:kern w:val="0"/>
                      <w:sz w:val="21"/>
                      <w:szCs w:val="21"/>
                      <w:highlight w:val="none"/>
                      <w:u w:val="none"/>
                      <w:lang w:val="en-US" w:eastAsia="zh-CN" w:bidi="ar"/>
                    </w:rPr>
                    <w:t>镗</w:t>
                  </w:r>
                  <w:r>
                    <w:rPr>
                      <w:rFonts w:hint="default" w:ascii="Times New Roman" w:hAnsi="Times New Roman" w:cs="Times New Roman"/>
                      <w:i w:val="0"/>
                      <w:iCs w:val="0"/>
                      <w:color w:val="auto"/>
                      <w:kern w:val="0"/>
                      <w:sz w:val="21"/>
                      <w:szCs w:val="21"/>
                      <w:highlight w:val="none"/>
                      <w:u w:val="none"/>
                      <w:lang w:val="en-US" w:eastAsia="zh-CN" w:bidi="ar"/>
                    </w:rPr>
                    <w:t>铣</w:t>
                  </w:r>
                  <w:r>
                    <w:rPr>
                      <w:rFonts w:hint="default" w:ascii="Times New Roman" w:hAnsi="Times New Roman" w:eastAsia="宋体" w:cs="Times New Roman"/>
                      <w:i w:val="0"/>
                      <w:iCs w:val="0"/>
                      <w:color w:val="auto"/>
                      <w:kern w:val="0"/>
                      <w:sz w:val="21"/>
                      <w:szCs w:val="21"/>
                      <w:highlight w:val="none"/>
                      <w:u w:val="none"/>
                      <w:lang w:val="en-US" w:eastAsia="zh-CN" w:bidi="ar"/>
                    </w:rPr>
                    <w:t>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DVT630×30/60P-NC（最大回转6300mm、加工高度3000mm、最大工件重量60t）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65</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数控镗铣床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66</w:t>
                  </w:r>
                </w:p>
              </w:tc>
              <w:tc>
                <w:tcPr>
                  <w:tcW w:w="1235"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螺杆式空气压缩机</w:t>
                  </w:r>
                </w:p>
              </w:tc>
              <w:tc>
                <w:tcPr>
                  <w:tcW w:w="490" w:type="pct"/>
                  <w:noWrap w:val="0"/>
                  <w:vAlign w:val="center"/>
                </w:tcPr>
                <w:p>
                  <w:pPr>
                    <w:widowControl/>
                    <w:spacing w:line="290" w:lineRule="exact"/>
                    <w:ind w:left="-105" w:leftChars="-50" w:right="-105" w:rightChars="-50" w:firstLine="0" w:firstLineChars="0"/>
                    <w:jc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台</w:t>
                  </w:r>
                </w:p>
              </w:tc>
              <w:tc>
                <w:tcPr>
                  <w:tcW w:w="417" w:type="pct"/>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2021" w:type="pct"/>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green"/>
                      <w:lang w:val="en-US" w:eastAsia="zh-CN" w:bidi="ar-SA"/>
                    </w:rPr>
                  </w:pPr>
                  <w:r>
                    <w:rPr>
                      <w:rFonts w:hint="default" w:ascii="Times New Roman" w:hAnsi="Times New Roman" w:eastAsia="宋体" w:cs="Times New Roman"/>
                      <w:color w:val="auto"/>
                      <w:sz w:val="21"/>
                      <w:szCs w:val="21"/>
                      <w:lang w:val="en-US" w:eastAsia="zh-CN"/>
                    </w:rPr>
                    <w: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转运车</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3</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highlight w:val="green"/>
                      <w:lang w:val="en-US" w:eastAsia="zh-CN" w:bidi="ar-SA"/>
                    </w:rPr>
                  </w:pPr>
                  <w:r>
                    <w:rPr>
                      <w:rFonts w:hint="default" w:ascii="Times New Roman" w:hAnsi="Times New Roman" w:eastAsia="宋体" w:cs="Times New Roman"/>
                      <w:color w:val="auto"/>
                      <w:sz w:val="21"/>
                      <w:szCs w:val="21"/>
                      <w:lang w:val="en-US" w:eastAsia="zh-CN"/>
                    </w:rPr>
                    <w: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68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高速锯床</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21"/>
                      <w:szCs w:val="21"/>
                      <w:highlight w:val="none"/>
                      <w:lang w:val="en-US" w:eastAsia="zh-CN" w:bidi="ar-SA"/>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color w:val="auto"/>
                      <w:kern w:val="2"/>
                      <w:sz w:val="21"/>
                      <w:szCs w:val="21"/>
                      <w:highlight w:val="green"/>
                      <w:lang w:val="en-US" w:eastAsia="zh-CN" w:bidi="ar-SA"/>
                    </w:rPr>
                  </w:pPr>
                  <w:r>
                    <w:rPr>
                      <w:rFonts w:hint="default" w:ascii="Times New Roman" w:hAnsi="Times New Roman" w:eastAsia="宋体" w:cs="Times New Roman"/>
                      <w:color w:val="auto"/>
                      <w:sz w:val="21"/>
                      <w:szCs w:val="21"/>
                      <w:lang w:val="en-US" w:eastAsia="zh-CN"/>
                    </w:rPr>
                    <w:t>/</w:t>
                  </w: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21"/>
                      <w:szCs w:val="21"/>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69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注射机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700*700</w:t>
                  </w:r>
                  <w:r>
                    <w:rPr>
                      <w:rFonts w:hint="eastAsia" w:ascii="Times New Roman" w:hAnsi="Times New Roman" w:eastAsia="宋体" w:cs="Times New Roman"/>
                      <w:i w:val="0"/>
                      <w:iCs w:val="0"/>
                      <w:color w:val="auto"/>
                      <w:kern w:val="0"/>
                      <w:sz w:val="21"/>
                      <w:szCs w:val="21"/>
                      <w:highlight w:val="none"/>
                      <w:u w:val="none"/>
                      <w:lang w:val="en-US" w:eastAsia="zh-CN" w:bidi="ar"/>
                    </w:rPr>
                    <w:t>，1#耐磨件生产线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70</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1300*2500</w:t>
                  </w:r>
                  <w:r>
                    <w:rPr>
                      <w:rFonts w:hint="eastAsia" w:ascii="Times New Roman" w:hAnsi="Times New Roman" w:eastAsia="宋体" w:cs="Times New Roman"/>
                      <w:i w:val="0"/>
                      <w:iCs w:val="0"/>
                      <w:color w:val="auto"/>
                      <w:kern w:val="0"/>
                      <w:sz w:val="21"/>
                      <w:szCs w:val="21"/>
                      <w:highlight w:val="none"/>
                      <w:u w:val="none"/>
                      <w:lang w:val="en-US" w:eastAsia="zh-CN" w:bidi="ar"/>
                    </w:rPr>
                    <w:t>，1#耐磨件生产线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71</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注射机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700*700</w:t>
                  </w:r>
                  <w:r>
                    <w:rPr>
                      <w:rFonts w:hint="eastAsia" w:ascii="Times New Roman" w:hAnsi="Times New Roman" w:eastAsia="宋体" w:cs="Times New Roman"/>
                      <w:i w:val="0"/>
                      <w:iCs w:val="0"/>
                      <w:color w:val="auto"/>
                      <w:kern w:val="0"/>
                      <w:sz w:val="21"/>
                      <w:szCs w:val="21"/>
                      <w:highlight w:val="none"/>
                      <w:u w:val="none"/>
                      <w:lang w:val="en-US" w:eastAsia="zh-CN" w:bidi="ar"/>
                    </w:rPr>
                    <w:t>，2#耐磨件生产线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72</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1300*2500</w:t>
                  </w:r>
                  <w:r>
                    <w:rPr>
                      <w:rFonts w:hint="eastAsia" w:ascii="Times New Roman" w:hAnsi="Times New Roman" w:eastAsia="宋体" w:cs="Times New Roman"/>
                      <w:i w:val="0"/>
                      <w:iCs w:val="0"/>
                      <w:color w:val="auto"/>
                      <w:kern w:val="0"/>
                      <w:sz w:val="21"/>
                      <w:szCs w:val="21"/>
                      <w:highlight w:val="none"/>
                      <w:u w:val="none"/>
                      <w:lang w:val="en-US" w:eastAsia="zh-CN" w:bidi="ar"/>
                    </w:rPr>
                    <w:t>，2#耐磨件生产线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73</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捏炼机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35L，耐磨件生产线共用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74</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开胶机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16寸</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75</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400*400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76</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2500*500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600*600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800*800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1600*2200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80</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1300*650</w:t>
                  </w:r>
                  <w:r>
                    <w:rPr>
                      <w:rFonts w:hint="eastAsia" w:ascii="Times New Roman" w:hAnsi="Times New Roman" w:eastAsia="宋体" w:cs="Times New Roman"/>
                      <w:i w:val="0"/>
                      <w:iCs w:val="0"/>
                      <w:color w:val="auto"/>
                      <w:kern w:val="0"/>
                      <w:sz w:val="21"/>
                      <w:szCs w:val="21"/>
                      <w:highlight w:val="none"/>
                      <w:u w:val="none"/>
                      <w:lang w:val="en-US" w:eastAsia="zh-CN" w:bidi="ar"/>
                    </w:rPr>
                    <w:t>，耐磨件生产线共用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81</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1000*1000</w:t>
                  </w:r>
                  <w:r>
                    <w:rPr>
                      <w:rFonts w:hint="eastAsia" w:ascii="Times New Roman" w:hAnsi="Times New Roman" w:eastAsia="宋体" w:cs="Times New Roman"/>
                      <w:i w:val="0"/>
                      <w:iCs w:val="0"/>
                      <w:color w:val="auto"/>
                      <w:kern w:val="0"/>
                      <w:sz w:val="21"/>
                      <w:szCs w:val="21"/>
                      <w:highlight w:val="none"/>
                      <w:u w:val="none"/>
                      <w:lang w:val="en-US" w:eastAsia="zh-CN" w:bidi="ar"/>
                    </w:rPr>
                    <w:t>，1#筛网线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82</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1000*1000</w:t>
                  </w:r>
                  <w:r>
                    <w:rPr>
                      <w:rFonts w:hint="eastAsia" w:ascii="Times New Roman" w:hAnsi="Times New Roman" w:eastAsia="宋体" w:cs="Times New Roman"/>
                      <w:i w:val="0"/>
                      <w:iCs w:val="0"/>
                      <w:color w:val="auto"/>
                      <w:kern w:val="0"/>
                      <w:sz w:val="21"/>
                      <w:szCs w:val="21"/>
                      <w:highlight w:val="none"/>
                      <w:u w:val="none"/>
                      <w:lang w:val="en-US" w:eastAsia="zh-CN" w:bidi="ar"/>
                    </w:rPr>
                    <w:t>，1#筛网线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83</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1000*1000</w:t>
                  </w:r>
                  <w:r>
                    <w:rPr>
                      <w:rFonts w:hint="eastAsia" w:ascii="Times New Roman" w:hAnsi="Times New Roman" w:eastAsia="宋体" w:cs="Times New Roman"/>
                      <w:i w:val="0"/>
                      <w:iCs w:val="0"/>
                      <w:color w:val="auto"/>
                      <w:kern w:val="0"/>
                      <w:sz w:val="21"/>
                      <w:szCs w:val="21"/>
                      <w:highlight w:val="none"/>
                      <w:u w:val="none"/>
                      <w:lang w:val="en-US" w:eastAsia="zh-CN" w:bidi="ar"/>
                    </w:rPr>
                    <w:t>，2#筛网线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84</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硫化机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800*800</w:t>
                  </w:r>
                  <w:r>
                    <w:rPr>
                      <w:rFonts w:hint="eastAsia" w:ascii="Times New Roman" w:hAnsi="Times New Roman" w:eastAsia="宋体" w:cs="Times New Roman"/>
                      <w:i w:val="0"/>
                      <w:iCs w:val="0"/>
                      <w:color w:val="auto"/>
                      <w:kern w:val="0"/>
                      <w:sz w:val="21"/>
                      <w:szCs w:val="21"/>
                      <w:highlight w:val="none"/>
                      <w:u w:val="none"/>
                      <w:lang w:val="en-US" w:eastAsia="zh-CN" w:bidi="ar"/>
                    </w:rPr>
                    <w:t>，2#筛网线</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85</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捏炼机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75L</w:t>
                  </w:r>
                  <w:r>
                    <w:rPr>
                      <w:rFonts w:hint="eastAsia" w:ascii="Times New Roman" w:hAnsi="Times New Roman" w:eastAsia="宋体" w:cs="Times New Roman"/>
                      <w:i w:val="0"/>
                      <w:iCs w:val="0"/>
                      <w:color w:val="auto"/>
                      <w:kern w:val="0"/>
                      <w:sz w:val="21"/>
                      <w:szCs w:val="21"/>
                      <w:highlight w:val="none"/>
                      <w:u w:val="none"/>
                      <w:lang w:val="en-US" w:eastAsia="zh-CN" w:bidi="ar"/>
                    </w:rPr>
                    <w:t>，筛网线共用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86</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开胶机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18寸</w:t>
                  </w: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筛网线共用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87</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开胶机</w:t>
                  </w:r>
                </w:p>
              </w:tc>
              <w:tc>
                <w:tcPr>
                  <w:tcW w:w="82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val="0"/>
                      <w:bCs/>
                      <w:snapToGrid w:val="0"/>
                      <w:color w:val="auto"/>
                      <w:sz w:val="21"/>
                      <w:szCs w:val="21"/>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eastAsia="宋体" w:cs="Times New Roman"/>
                      <w:i w:val="0"/>
                      <w:iCs w:val="0"/>
                      <w:color w:val="auto"/>
                      <w:kern w:val="0"/>
                      <w:sz w:val="21"/>
                      <w:szCs w:val="21"/>
                      <w:highlight w:val="none"/>
                      <w:u w:val="none"/>
                      <w:lang w:val="en-US" w:eastAsia="zh-CN" w:bidi="ar"/>
                    </w:rPr>
                    <w:t>6</w:t>
                  </w:r>
                  <w:r>
                    <w:rPr>
                      <w:rFonts w:hint="default" w:ascii="Times New Roman" w:hAnsi="Times New Roman" w:eastAsia="宋体" w:cs="Times New Roman"/>
                      <w:i w:val="0"/>
                      <w:iCs w:val="0"/>
                      <w:color w:val="auto"/>
                      <w:kern w:val="0"/>
                      <w:sz w:val="21"/>
                      <w:szCs w:val="21"/>
                      <w:highlight w:val="none"/>
                      <w:u w:val="none"/>
                      <w:lang w:val="en-US" w:eastAsia="zh-CN" w:bidi="ar"/>
                    </w:rPr>
                    <w:t>寸</w:t>
                  </w:r>
                  <w:r>
                    <w:rPr>
                      <w:rFonts w:hint="eastAsia" w:ascii="Times New Roman" w:hAnsi="Times New Roman" w:eastAsia="宋体" w:cs="Times New Roman"/>
                      <w:i w:val="0"/>
                      <w:iCs w:val="0"/>
                      <w:color w:val="auto"/>
                      <w:kern w:val="0"/>
                      <w:sz w:val="21"/>
                      <w:szCs w:val="21"/>
                      <w:highlight w:val="none"/>
                      <w:u w:val="none"/>
                      <w:lang w:val="en-US" w:eastAsia="zh-CN" w:bidi="ar"/>
                    </w:rPr>
                    <w:t>，公</w:t>
                  </w:r>
                  <w:r>
                    <w:rPr>
                      <w:rFonts w:hint="default" w:ascii="Times New Roman" w:hAnsi="Times New Roman" w:eastAsia="宋体" w:cs="Times New Roman"/>
                      <w:i w:val="0"/>
                      <w:iCs w:val="0"/>
                      <w:color w:val="auto"/>
                      <w:kern w:val="0"/>
                      <w:sz w:val="21"/>
                      <w:szCs w:val="21"/>
                      <w:highlight w:val="none"/>
                      <w:u w:val="none"/>
                      <w:lang w:val="en-US" w:eastAsia="zh-CN" w:bidi="ar"/>
                    </w:rPr>
                    <w:t>用</w:t>
                  </w:r>
                </w:p>
              </w:tc>
              <w:tc>
                <w:tcPr>
                  <w:tcW w:w="379"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cs="Times New Roman"/>
                      <w:b w:val="0"/>
                      <w:bCs/>
                      <w:snapToGrid w:val="0"/>
                      <w:color w:val="auto"/>
                      <w:sz w:val="18"/>
                      <w:szCs w:val="18"/>
                      <w:highlight w:val="none"/>
                      <w:lang w:val="en-US" w:eastAsia="zh-CN"/>
                    </w:rPr>
                  </w:pPr>
                  <w:r>
                    <w:rPr>
                      <w:rFonts w:hint="eastAsia" w:cs="Times New Roman"/>
                      <w:b w:val="0"/>
                      <w:bCs/>
                      <w:snapToGrid w:val="0"/>
                      <w:color w:val="auto"/>
                      <w:sz w:val="18"/>
                      <w:szCs w:val="18"/>
                      <w:highlight w:val="none"/>
                      <w:lang w:val="en-US" w:eastAsia="zh-CN"/>
                    </w:rPr>
                    <w:t>88</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脉冲布袋</w:t>
                  </w:r>
                  <w:r>
                    <w:rPr>
                      <w:rFonts w:hint="default" w:ascii="Times New Roman" w:hAnsi="Times New Roman" w:cs="Times New Roman"/>
                      <w:i w:val="0"/>
                      <w:iCs w:val="0"/>
                      <w:color w:val="auto"/>
                      <w:kern w:val="0"/>
                      <w:sz w:val="18"/>
                      <w:szCs w:val="18"/>
                      <w:highlight w:val="none"/>
                      <w:u w:val="none"/>
                      <w:lang w:val="en-US" w:eastAsia="zh-CN" w:bidi="ar"/>
                    </w:rPr>
                    <w:t>除尘器</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sz w:val="18"/>
                      <w:szCs w:val="18"/>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12</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cs="Times New Roman"/>
                      <w:color w:val="auto"/>
                      <w:sz w:val="18"/>
                      <w:szCs w:val="18"/>
                    </w:rPr>
                  </w:pP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18"/>
                      <w:szCs w:val="18"/>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56" w:type="pct"/>
                  <w:tcBorders>
                    <w:top w:val="single" w:color="000000" w:sz="2" w:space="0"/>
                    <w:bottom w:val="single" w:color="000000" w:sz="2" w:space="0"/>
                  </w:tcBorders>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cs="Times New Roman"/>
                      <w:b w:val="0"/>
                      <w:bCs/>
                      <w:snapToGrid w:val="0"/>
                      <w:color w:val="auto"/>
                      <w:sz w:val="18"/>
                      <w:szCs w:val="18"/>
                      <w:highlight w:val="none"/>
                      <w:lang w:val="en-US" w:eastAsia="zh-CN"/>
                    </w:rPr>
                  </w:pPr>
                  <w:r>
                    <w:rPr>
                      <w:rFonts w:hint="eastAsia" w:cs="Times New Roman"/>
                      <w:b w:val="0"/>
                      <w:bCs/>
                      <w:snapToGrid w:val="0"/>
                      <w:color w:val="auto"/>
                      <w:sz w:val="18"/>
                      <w:szCs w:val="18"/>
                      <w:highlight w:val="none"/>
                      <w:lang w:val="en-US" w:eastAsia="zh-CN"/>
                    </w:rPr>
                    <w:t>89</w:t>
                  </w:r>
                </w:p>
              </w:tc>
              <w:tc>
                <w:tcPr>
                  <w:tcW w:w="1235"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cs="Times New Roman"/>
                      <w:i w:val="0"/>
                      <w:iCs w:val="0"/>
                      <w:color w:val="auto"/>
                      <w:kern w:val="0"/>
                      <w:sz w:val="18"/>
                      <w:szCs w:val="18"/>
                      <w:highlight w:val="none"/>
                      <w:u w:val="none"/>
                      <w:lang w:val="en-US" w:eastAsia="zh-CN" w:bidi="ar"/>
                    </w:rPr>
                    <w:t>有机废气处理设施</w:t>
                  </w:r>
                </w:p>
              </w:tc>
              <w:tc>
                <w:tcPr>
                  <w:tcW w:w="4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sz w:val="18"/>
                      <w:szCs w:val="18"/>
                      <w:highlight w:val="none"/>
                      <w:lang w:val="en-US" w:eastAsia="zh-CN"/>
                    </w:rPr>
                    <w:t>台</w:t>
                  </w:r>
                </w:p>
              </w:tc>
              <w:tc>
                <w:tcPr>
                  <w:tcW w:w="417"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9</w:t>
                  </w:r>
                </w:p>
              </w:tc>
              <w:tc>
                <w:tcPr>
                  <w:tcW w:w="2021" w:type="pct"/>
                  <w:noWrap w:val="0"/>
                  <w:vAlign w:val="center"/>
                </w:tcPr>
                <w:p>
                  <w:pPr>
                    <w:keepNext w:val="0"/>
                    <w:keepLines w:val="0"/>
                    <w:pageBreakBefore w:val="0"/>
                    <w:widowControl/>
                    <w:suppressLineNumbers w:val="0"/>
                    <w:kinsoku/>
                    <w:wordWrap/>
                    <w:overflowPunct/>
                    <w:topLinePunct w:val="0"/>
                    <w:autoSpaceDE/>
                    <w:autoSpaceDN/>
                    <w:bidi w:val="0"/>
                    <w:spacing w:line="280" w:lineRule="exact"/>
                    <w:jc w:val="center"/>
                    <w:textAlignment w:val="center"/>
                    <w:rPr>
                      <w:rFonts w:hint="default" w:ascii="Times New Roman" w:hAnsi="Times New Roman" w:cs="Times New Roman"/>
                      <w:color w:val="auto"/>
                      <w:sz w:val="18"/>
                      <w:szCs w:val="18"/>
                    </w:rPr>
                  </w:pPr>
                </w:p>
              </w:tc>
              <w:tc>
                <w:tcPr>
                  <w:tcW w:w="37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80" w:lineRule="exact"/>
                    <w:ind w:left="0" w:leftChars="0" w:right="0" w:rightChars="0" w:firstLine="0" w:firstLineChars="0"/>
                    <w:jc w:val="center"/>
                    <w:outlineLvl w:val="9"/>
                    <w:rPr>
                      <w:rFonts w:hint="default" w:ascii="Times New Roman" w:hAnsi="Times New Roman" w:eastAsia="宋体" w:cs="Times New Roman"/>
                      <w:b w:val="0"/>
                      <w:bCs/>
                      <w:snapToGrid w:val="0"/>
                      <w:color w:val="auto"/>
                      <w:kern w:val="0"/>
                      <w:sz w:val="18"/>
                      <w:szCs w:val="18"/>
                      <w:highlight w:val="none"/>
                      <w:lang w:val="en-US" w:eastAsia="zh-CN" w:bidi="ar-SA"/>
                    </w:rPr>
                  </w:pP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green"/>
              </w:rPr>
            </w:pP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）工程投资：项目总投资</w:t>
            </w:r>
            <w:r>
              <w:rPr>
                <w:rFonts w:hint="default" w:ascii="Times New Roman" w:hAnsi="Times New Roman" w:cs="Times New Roman"/>
                <w:color w:val="auto"/>
                <w:spacing w:val="0"/>
                <w:sz w:val="21"/>
                <w:szCs w:val="21"/>
                <w:highlight w:val="none"/>
                <w:lang w:val="en-US" w:eastAsia="zh-CN"/>
              </w:rPr>
              <w:t>33500万</w:t>
            </w:r>
            <w:r>
              <w:rPr>
                <w:rFonts w:hint="default" w:ascii="Times New Roman" w:hAnsi="Times New Roman" w:eastAsia="宋体" w:cs="Times New Roman"/>
                <w:color w:val="auto"/>
                <w:spacing w:val="0"/>
                <w:sz w:val="21"/>
                <w:szCs w:val="21"/>
                <w:highlight w:val="none"/>
              </w:rPr>
              <w:t>元，环保投资为</w:t>
            </w:r>
            <w:r>
              <w:rPr>
                <w:rFonts w:hint="default" w:ascii="Times New Roman" w:hAnsi="Times New Roman"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val="en-US" w:eastAsia="zh-CN"/>
              </w:rPr>
              <w:t>00</w:t>
            </w:r>
            <w:r>
              <w:rPr>
                <w:rFonts w:hint="default" w:ascii="Times New Roman" w:hAnsi="Times New Roman" w:eastAsia="宋体" w:cs="Times New Roman"/>
                <w:color w:val="auto"/>
                <w:spacing w:val="0"/>
                <w:sz w:val="21"/>
                <w:szCs w:val="21"/>
                <w:highlight w:val="none"/>
              </w:rPr>
              <w:t>万元，占总投资的</w:t>
            </w:r>
            <w:r>
              <w:rPr>
                <w:rFonts w:hint="default" w:ascii="Times New Roman" w:hAnsi="Times New Roman" w:cs="Times New Roman"/>
                <w:color w:val="auto"/>
                <w:spacing w:val="0"/>
                <w:sz w:val="21"/>
                <w:szCs w:val="21"/>
                <w:highlight w:val="none"/>
                <w:lang w:val="en-US" w:eastAsia="zh-CN"/>
              </w:rPr>
              <w:t>0.90</w:t>
            </w:r>
            <w:r>
              <w:rPr>
                <w:rFonts w:hint="default" w:ascii="Times New Roman" w:hAnsi="Times New Roman" w:eastAsia="宋体" w:cs="Times New Roman"/>
                <w:color w:val="auto"/>
                <w:spacing w:val="0"/>
                <w:sz w:val="21"/>
                <w:szCs w:val="21"/>
                <w:highlight w:val="none"/>
              </w:rPr>
              <w:t>%。</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green"/>
              </w:rPr>
            </w:pP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9</w:t>
            </w:r>
            <w:r>
              <w:rPr>
                <w:rFonts w:hint="default" w:ascii="Times New Roman" w:hAnsi="Times New Roman" w:eastAsia="宋体" w:cs="Times New Roman"/>
                <w:color w:val="auto"/>
                <w:spacing w:val="0"/>
                <w:sz w:val="21"/>
                <w:szCs w:val="21"/>
                <w:highlight w:val="none"/>
                <w:lang w:eastAsia="zh-CN"/>
              </w:rPr>
              <w:t>）项目位于</w:t>
            </w:r>
            <w:r>
              <w:rPr>
                <w:rFonts w:hint="default" w:ascii="Times New Roman" w:hAnsi="Times New Roman" w:eastAsia="宋体" w:cs="Times New Roman"/>
                <w:color w:val="auto"/>
                <w:spacing w:val="0"/>
                <w:sz w:val="21"/>
                <w:szCs w:val="21"/>
                <w:highlight w:val="none"/>
                <w:lang w:val="en-US" w:eastAsia="zh-CN"/>
              </w:rPr>
              <w:t>河北省唐山市高新区京唐智慧港纬三路南侧，经七路西侧</w:t>
            </w:r>
            <w:r>
              <w:rPr>
                <w:rFonts w:hint="default" w:ascii="Times New Roman" w:hAnsi="Times New Roman" w:eastAsia="宋体" w:cs="Times New Roman"/>
                <w:color w:val="auto"/>
                <w:spacing w:val="0"/>
                <w:sz w:val="21"/>
                <w:szCs w:val="21"/>
                <w:highlight w:val="none"/>
                <w:lang w:eastAsia="zh-CN"/>
              </w:rPr>
              <w:t>，中心坐标为</w:t>
            </w:r>
            <w:r>
              <w:rPr>
                <w:rFonts w:hint="default" w:ascii="Times New Roman" w:hAnsi="Times New Roman" w:eastAsia="宋体" w:cs="Times New Roman"/>
                <w:color w:val="auto"/>
                <w:spacing w:val="0"/>
                <w:sz w:val="21"/>
                <w:szCs w:val="21"/>
                <w:highlight w:val="none"/>
                <w:lang w:val="en-US" w:eastAsia="zh-CN"/>
              </w:rPr>
              <w:t>118.009000°</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39.707538°</w:t>
            </w:r>
            <w:r>
              <w:rPr>
                <w:rFonts w:hint="default" w:ascii="Times New Roman" w:hAnsi="Times New Roman" w:eastAsia="宋体" w:cs="Times New Roman"/>
                <w:color w:val="auto"/>
                <w:spacing w:val="0"/>
                <w:sz w:val="21"/>
                <w:szCs w:val="21"/>
                <w:highlight w:val="none"/>
                <w:lang w:eastAsia="zh-CN"/>
              </w:rPr>
              <w:t>。厂区</w:t>
            </w:r>
            <w:r>
              <w:rPr>
                <w:rFonts w:hint="default" w:ascii="Times New Roman" w:hAnsi="Times New Roman" w:eastAsia="宋体" w:cs="Times New Roman"/>
                <w:color w:val="auto"/>
                <w:spacing w:val="0"/>
                <w:sz w:val="21"/>
                <w:szCs w:val="21"/>
                <w:highlight w:val="none"/>
                <w:lang w:val="en-US" w:eastAsia="zh-CN"/>
              </w:rPr>
              <w:t>北</w:t>
            </w:r>
            <w:r>
              <w:rPr>
                <w:rFonts w:hint="default" w:ascii="Times New Roman" w:hAnsi="Times New Roman" w:eastAsia="宋体" w:cs="Times New Roman"/>
                <w:color w:val="auto"/>
                <w:spacing w:val="0"/>
                <w:sz w:val="21"/>
                <w:szCs w:val="21"/>
                <w:highlight w:val="none"/>
                <w:lang w:eastAsia="zh-CN"/>
              </w:rPr>
              <w:t>侧</w:t>
            </w:r>
            <w:r>
              <w:rPr>
                <w:rFonts w:hint="default" w:ascii="Times New Roman" w:hAnsi="Times New Roman" w:cs="Times New Roman"/>
                <w:color w:val="auto"/>
                <w:spacing w:val="0"/>
                <w:sz w:val="21"/>
                <w:szCs w:val="21"/>
                <w:highlight w:val="none"/>
                <w:lang w:val="en-US" w:eastAsia="zh-CN"/>
              </w:rPr>
              <w:t>为</w:t>
            </w:r>
            <w:r>
              <w:rPr>
                <w:rFonts w:hint="default" w:ascii="Times New Roman" w:hAnsi="Times New Roman" w:eastAsia="宋体" w:cs="Times New Roman"/>
                <w:color w:val="auto"/>
                <w:spacing w:val="0"/>
                <w:sz w:val="21"/>
                <w:szCs w:val="21"/>
                <w:highlight w:val="none"/>
                <w:lang w:val="en-US" w:eastAsia="zh-CN"/>
              </w:rPr>
              <w:t>纬三路</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西侧为</w:t>
            </w:r>
            <w:r>
              <w:rPr>
                <w:rFonts w:hint="default" w:ascii="Times New Roman" w:hAnsi="Times New Roman" w:cs="Times New Roman"/>
                <w:color w:val="auto"/>
                <w:spacing w:val="0"/>
                <w:sz w:val="21"/>
                <w:szCs w:val="21"/>
                <w:highlight w:val="none"/>
                <w:lang w:val="en-US" w:eastAsia="zh-CN"/>
              </w:rPr>
              <w:t>空地</w:t>
            </w:r>
            <w:r>
              <w:rPr>
                <w:rFonts w:hint="default" w:ascii="Times New Roman" w:hAnsi="Times New Roman" w:eastAsia="宋体" w:cs="Times New Roman"/>
                <w:color w:val="auto"/>
                <w:spacing w:val="0"/>
                <w:sz w:val="21"/>
                <w:szCs w:val="21"/>
                <w:highlight w:val="none"/>
                <w:lang w:val="en-US" w:eastAsia="zh-CN"/>
              </w:rPr>
              <w:t>，南侧、东侧</w:t>
            </w:r>
            <w:r>
              <w:rPr>
                <w:rFonts w:hint="default" w:ascii="Times New Roman" w:hAnsi="Times New Roman" w:cs="Times New Roman"/>
                <w:color w:val="auto"/>
                <w:spacing w:val="0"/>
                <w:sz w:val="21"/>
                <w:szCs w:val="21"/>
                <w:highlight w:val="none"/>
                <w:lang w:val="en-US" w:eastAsia="zh-CN"/>
              </w:rPr>
              <w:t>隔</w:t>
            </w:r>
            <w:r>
              <w:rPr>
                <w:rFonts w:hint="default" w:ascii="Times New Roman" w:hAnsi="Times New Roman" w:eastAsia="宋体" w:cs="Times New Roman"/>
                <w:color w:val="auto"/>
                <w:spacing w:val="0"/>
                <w:sz w:val="21"/>
                <w:szCs w:val="21"/>
                <w:highlight w:val="none"/>
                <w:lang w:val="en-US" w:eastAsia="zh-CN"/>
              </w:rPr>
              <w:t>经七路为</w:t>
            </w:r>
            <w:r>
              <w:rPr>
                <w:rFonts w:hint="default" w:ascii="Times New Roman" w:hAnsi="Times New Roman" w:cs="Times New Roman"/>
                <w:color w:val="auto"/>
                <w:spacing w:val="0"/>
                <w:sz w:val="21"/>
                <w:szCs w:val="21"/>
                <w:highlight w:val="none"/>
                <w:lang w:val="en-US" w:eastAsia="zh-CN"/>
              </w:rPr>
              <w:t>（震安科技）唐山智能化减隔震产品研发及生产基地</w:t>
            </w:r>
            <w:r>
              <w:rPr>
                <w:rFonts w:hint="default" w:ascii="Times New Roman" w:hAnsi="Times New Roman" w:eastAsia="宋体" w:cs="Times New Roman"/>
                <w:color w:val="auto"/>
                <w:spacing w:val="0"/>
                <w:sz w:val="21"/>
                <w:szCs w:val="21"/>
                <w:highlight w:val="none"/>
              </w:rPr>
              <w:t>。厂区四周敏感点分布为：</w:t>
            </w:r>
            <w:r>
              <w:rPr>
                <w:rFonts w:hint="default" w:ascii="Times New Roman" w:hAnsi="Times New Roman" w:cs="Times New Roman"/>
                <w:color w:val="auto"/>
                <w:spacing w:val="0"/>
                <w:sz w:val="21"/>
                <w:szCs w:val="21"/>
                <w:highlight w:val="none"/>
                <w:lang w:val="en-US" w:eastAsia="zh-CN"/>
              </w:rPr>
              <w:t>西北</w:t>
            </w:r>
            <w:r>
              <w:rPr>
                <w:rFonts w:hint="default" w:ascii="Times New Roman" w:hAnsi="Times New Roman" w:eastAsia="宋体" w:cs="Times New Roman"/>
                <w:color w:val="auto"/>
                <w:spacing w:val="0"/>
                <w:sz w:val="21"/>
                <w:szCs w:val="21"/>
                <w:highlight w:val="none"/>
                <w:lang w:val="en-US" w:eastAsia="zh-CN"/>
              </w:rPr>
              <w:t>距</w:t>
            </w:r>
            <w:r>
              <w:rPr>
                <w:rFonts w:hint="default" w:ascii="Times New Roman" w:hAnsi="Times New Roman" w:cs="Times New Roman"/>
                <w:color w:val="auto"/>
                <w:spacing w:val="0"/>
                <w:sz w:val="21"/>
                <w:szCs w:val="21"/>
                <w:highlight w:val="none"/>
                <w:lang w:val="en-US" w:eastAsia="zh-CN"/>
              </w:rPr>
              <w:t>黄花港</w:t>
            </w:r>
            <w:r>
              <w:rPr>
                <w:rFonts w:hint="default" w:ascii="Times New Roman" w:hAnsi="Times New Roman" w:eastAsia="宋体" w:cs="Times New Roman"/>
                <w:color w:val="auto"/>
                <w:spacing w:val="0"/>
                <w:sz w:val="21"/>
                <w:szCs w:val="21"/>
                <w:highlight w:val="none"/>
                <w:lang w:val="en-US" w:eastAsia="zh-CN"/>
              </w:rPr>
              <w:t>村</w:t>
            </w:r>
            <w:r>
              <w:rPr>
                <w:rFonts w:hint="default" w:ascii="Times New Roman" w:hAnsi="Times New Roman" w:cs="Times New Roman"/>
                <w:color w:val="auto"/>
                <w:spacing w:val="0"/>
                <w:sz w:val="21"/>
                <w:szCs w:val="21"/>
                <w:highlight w:val="none"/>
                <w:lang w:val="en-US" w:eastAsia="zh-CN"/>
              </w:rPr>
              <w:t>550</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rPr>
              <w:t>本项目评价范围内无饮用水水源地保护区、自然保护区、风景名胜区、生态功能保护区、文物保护地等法律、法规规定的环境敏感区。</w:t>
            </w:r>
          </w:p>
          <w:p>
            <w:pPr>
              <w:pStyle w:val="43"/>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10</w:t>
            </w:r>
            <w:r>
              <w:rPr>
                <w:rFonts w:hint="default" w:ascii="Times New Roman" w:hAnsi="Times New Roman" w:eastAsia="宋体" w:cs="Times New Roman"/>
                <w:color w:val="auto"/>
                <w:spacing w:val="0"/>
                <w:sz w:val="21"/>
                <w:szCs w:val="21"/>
                <w:highlight w:val="none"/>
                <w:lang w:eastAsia="zh-CN"/>
              </w:rPr>
              <w:t>）给排水</w:t>
            </w:r>
          </w:p>
          <w:p>
            <w:pPr>
              <w:pStyle w:val="20"/>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1）给水</w:t>
            </w:r>
          </w:p>
          <w:p>
            <w:pPr>
              <w:pStyle w:val="20"/>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本项目用水</w:t>
            </w:r>
            <w:r>
              <w:rPr>
                <w:rFonts w:hint="default" w:ascii="Times New Roman" w:hAnsi="Times New Roman" w:eastAsia="宋体" w:cs="Times New Roman"/>
                <w:color w:val="auto"/>
                <w:spacing w:val="0"/>
                <w:sz w:val="21"/>
                <w:szCs w:val="21"/>
                <w:highlight w:val="none"/>
                <w:lang w:val="en-US" w:eastAsia="zh-CN"/>
              </w:rPr>
              <w:t>由园区供给</w:t>
            </w:r>
            <w:r>
              <w:rPr>
                <w:rFonts w:hint="default" w:ascii="Times New Roman" w:hAnsi="Times New Roman" w:eastAsia="宋体" w:cs="Times New Roman"/>
                <w:color w:val="auto"/>
                <w:spacing w:val="0"/>
                <w:sz w:val="21"/>
                <w:szCs w:val="21"/>
                <w:highlight w:val="none"/>
              </w:rPr>
              <w:t>。</w:t>
            </w:r>
            <w:r>
              <w:rPr>
                <w:rFonts w:hint="default" w:ascii="Times New Roman" w:hAnsi="Times New Roman" w:cs="Times New Roman"/>
                <w:color w:val="auto"/>
                <w:spacing w:val="0"/>
                <w:sz w:val="21"/>
                <w:szCs w:val="21"/>
                <w:highlight w:val="none"/>
                <w:lang w:val="en-US" w:eastAsia="zh-CN"/>
              </w:rPr>
              <w:t>项目总用水量为50.265</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/d</w:t>
            </w:r>
            <w:r>
              <w:rPr>
                <w:rFonts w:hint="default" w:ascii="Times New Roman" w:hAnsi="Times New Roman" w:cs="Times New Roman"/>
                <w:color w:val="auto"/>
                <w:spacing w:val="0"/>
                <w:sz w:val="21"/>
                <w:szCs w:val="21"/>
                <w:highlight w:val="none"/>
                <w:lang w:val="en-US" w:eastAsia="zh-CN"/>
              </w:rPr>
              <w:t>（15079.5</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a），主要包括生产用水和职工生活用水。</w:t>
            </w:r>
          </w:p>
          <w:p>
            <w:pPr>
              <w:pStyle w:val="20"/>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项目劳动定员</w:t>
            </w:r>
            <w:r>
              <w:rPr>
                <w:rFonts w:hint="default" w:ascii="Times New Roman" w:hAnsi="Times New Roman" w:cs="Times New Roman"/>
                <w:color w:val="auto"/>
                <w:spacing w:val="0"/>
                <w:sz w:val="21"/>
                <w:szCs w:val="21"/>
                <w:highlight w:val="none"/>
                <w:lang w:val="en-US" w:eastAsia="zh-CN"/>
              </w:rPr>
              <w:t>500</w:t>
            </w:r>
            <w:r>
              <w:rPr>
                <w:rFonts w:hint="default" w:ascii="Times New Roman" w:hAnsi="Times New Roman" w:eastAsia="宋体" w:cs="Times New Roman"/>
                <w:color w:val="auto"/>
                <w:spacing w:val="0"/>
                <w:sz w:val="21"/>
                <w:szCs w:val="21"/>
                <w:highlight w:val="none"/>
                <w:lang w:val="en-US" w:eastAsia="zh-CN"/>
              </w:rPr>
              <w:t>人，</w:t>
            </w:r>
            <w:r>
              <w:rPr>
                <w:rFonts w:hint="default" w:ascii="Times New Roman" w:hAnsi="Times New Roman" w:cs="Times New Roman"/>
                <w:color w:val="auto"/>
                <w:spacing w:val="0"/>
                <w:sz w:val="21"/>
                <w:szCs w:val="21"/>
                <w:highlight w:val="none"/>
                <w:lang w:val="en-US" w:eastAsia="zh-CN"/>
              </w:rPr>
              <w:t>厂区内设置食堂、宿舍等，</w:t>
            </w:r>
            <w:r>
              <w:rPr>
                <w:rFonts w:hint="default" w:ascii="Times New Roman" w:hAnsi="Times New Roman" w:eastAsia="宋体" w:cs="Times New Roman"/>
                <w:color w:val="auto"/>
                <w:spacing w:val="0"/>
                <w:sz w:val="21"/>
                <w:szCs w:val="21"/>
                <w:highlight w:val="none"/>
                <w:lang w:val="en-US" w:eastAsia="zh-CN"/>
              </w:rPr>
              <w:t>根据《河北省用水定额》（DB13/T5450.1-20</w:t>
            </w:r>
            <w:r>
              <w:rPr>
                <w:rFonts w:hint="default" w:ascii="Times New Roman" w:hAnsi="Times New Roman" w:cs="Times New Roman"/>
                <w:color w:val="auto"/>
                <w:spacing w:val="0"/>
                <w:sz w:val="21"/>
                <w:szCs w:val="21"/>
                <w:highlight w:val="none"/>
                <w:lang w:val="en-US" w:eastAsia="zh-CN"/>
              </w:rPr>
              <w:t>21</w:t>
            </w:r>
            <w:r>
              <w:rPr>
                <w:rFonts w:hint="default" w:ascii="Times New Roman" w:hAnsi="Times New Roman" w:eastAsia="宋体" w:cs="Times New Roman"/>
                <w:color w:val="auto"/>
                <w:spacing w:val="0"/>
                <w:sz w:val="21"/>
                <w:szCs w:val="21"/>
                <w:highlight w:val="none"/>
                <w:lang w:val="en-US" w:eastAsia="zh-CN"/>
              </w:rPr>
              <w:t>）及项目实际用水情况，用水量按10</w:t>
            </w:r>
            <w:r>
              <w:rPr>
                <w:rFonts w:hint="default" w:ascii="Times New Roman" w:hAnsi="Times New Roman" w:cs="Times New Roman"/>
                <w:color w:val="auto"/>
                <w:spacing w:val="0"/>
                <w:sz w:val="21"/>
                <w:szCs w:val="21"/>
                <w:highlight w:val="none"/>
                <w:lang w:val="en-US" w:eastAsia="zh-CN"/>
              </w:rPr>
              <w:t>0</w:t>
            </w:r>
            <w:r>
              <w:rPr>
                <w:rFonts w:hint="default" w:ascii="Times New Roman" w:hAnsi="Times New Roman" w:eastAsia="宋体" w:cs="Times New Roman"/>
                <w:color w:val="auto"/>
                <w:spacing w:val="0"/>
                <w:sz w:val="21"/>
                <w:szCs w:val="21"/>
                <w:highlight w:val="none"/>
                <w:lang w:val="en-US" w:eastAsia="zh-CN"/>
              </w:rPr>
              <w:t>L/人·d计算，则新鲜水用量为</w:t>
            </w:r>
            <w:r>
              <w:rPr>
                <w:rFonts w:hint="default" w:ascii="Times New Roman" w:hAnsi="Times New Roman" w:cs="Times New Roman"/>
                <w:color w:val="auto"/>
                <w:spacing w:val="0"/>
                <w:sz w:val="21"/>
                <w:szCs w:val="21"/>
                <w:highlight w:val="none"/>
                <w:lang w:val="en-US" w:eastAsia="zh-CN"/>
              </w:rPr>
              <w:t>50</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/d；</w:t>
            </w:r>
          </w:p>
          <w:p>
            <w:pPr>
              <w:pStyle w:val="20"/>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eastAsia="宋体" w:cs="Times New Roman"/>
                <w:color w:val="auto"/>
                <w:spacing w:val="0"/>
                <w:sz w:val="21"/>
                <w:szCs w:val="21"/>
                <w:highlight w:val="green"/>
                <w:lang w:val="en-US" w:eastAsia="zh-CN"/>
              </w:rPr>
            </w:pPr>
            <w:r>
              <w:rPr>
                <w:rFonts w:hint="default" w:ascii="Times New Roman" w:hAnsi="Times New Roman" w:eastAsia="宋体" w:cs="Times New Roman"/>
                <w:color w:val="auto"/>
                <w:spacing w:val="0"/>
                <w:sz w:val="21"/>
                <w:szCs w:val="21"/>
                <w:highlight w:val="none"/>
                <w:lang w:val="en-US" w:eastAsia="zh-CN"/>
              </w:rPr>
              <w:t>生产过程</w:t>
            </w:r>
            <w:r>
              <w:rPr>
                <w:rFonts w:hint="default" w:ascii="Times New Roman" w:hAnsi="Times New Roman" w:cs="Times New Roman"/>
                <w:color w:val="auto"/>
                <w:spacing w:val="0"/>
                <w:sz w:val="21"/>
                <w:szCs w:val="21"/>
                <w:highlight w:val="none"/>
                <w:lang w:val="en-US" w:eastAsia="zh-CN"/>
              </w:rPr>
              <w:t>用水为配置切削液用水</w:t>
            </w:r>
            <w:r>
              <w:rPr>
                <w:rFonts w:hint="eastAsia" w:cs="Times New Roman"/>
                <w:color w:val="auto"/>
                <w:spacing w:val="0"/>
                <w:sz w:val="21"/>
                <w:szCs w:val="21"/>
                <w:highlight w:val="none"/>
                <w:lang w:val="en-US" w:eastAsia="zh-CN"/>
              </w:rPr>
              <w:t>和喷淋塔循环用水补水</w:t>
            </w:r>
            <w:r>
              <w:rPr>
                <w:rFonts w:hint="default" w:ascii="Times New Roman" w:hAnsi="Times New Roman" w:cs="Times New Roman"/>
                <w:color w:val="auto"/>
                <w:spacing w:val="0"/>
                <w:sz w:val="21"/>
                <w:szCs w:val="21"/>
                <w:highlight w:val="none"/>
                <w:lang w:val="en-US" w:eastAsia="zh-CN"/>
              </w:rPr>
              <w:t>，</w:t>
            </w:r>
            <w:r>
              <w:rPr>
                <w:rFonts w:hint="eastAsia" w:cs="Times New Roman"/>
                <w:color w:val="auto"/>
                <w:spacing w:val="0"/>
                <w:sz w:val="21"/>
                <w:szCs w:val="21"/>
                <w:highlight w:val="none"/>
                <w:lang w:val="en-US" w:eastAsia="zh-CN"/>
              </w:rPr>
              <w:t>配置切削液时</w:t>
            </w:r>
            <w:r>
              <w:rPr>
                <w:rFonts w:hint="default" w:ascii="Times New Roman" w:hAnsi="Times New Roman" w:cs="Times New Roman"/>
                <w:color w:val="auto"/>
                <w:spacing w:val="0"/>
                <w:sz w:val="21"/>
                <w:szCs w:val="21"/>
                <w:highlight w:val="none"/>
                <w:lang w:val="en-US" w:eastAsia="zh-CN"/>
              </w:rPr>
              <w:t>将乳化液与水按照2:98的比例配置切削液，乳化液用量为1.62</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a，则配置切削液所需水量为79.38</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a（0.265</w:t>
            </w:r>
            <w:r>
              <w:rPr>
                <w:rFonts w:hint="default" w:ascii="Times New Roman" w:hAnsi="Times New Roman" w:eastAsia="宋体" w:cs="Times New Roman"/>
                <w:color w:val="auto"/>
                <w:spacing w:val="0"/>
                <w:sz w:val="21"/>
                <w:szCs w:val="21"/>
                <w:highlight w:val="none"/>
                <w:lang w:val="en-US" w:eastAsia="zh-CN"/>
              </w:rPr>
              <w:t>m</w:t>
            </w:r>
            <w:r>
              <w:rPr>
                <w:rFonts w:hint="default" w:ascii="Times New Roman" w:hAnsi="Times New Roman" w:eastAsia="宋体" w:cs="Times New Roman"/>
                <w:color w:val="auto"/>
                <w:spacing w:val="0"/>
                <w:sz w:val="21"/>
                <w:szCs w:val="21"/>
                <w:highlight w:val="none"/>
                <w:vertAlign w:val="superscript"/>
                <w:lang w:val="en-US" w:eastAsia="zh-CN"/>
              </w:rPr>
              <w:t>3</w:t>
            </w:r>
            <w:r>
              <w:rPr>
                <w:rFonts w:hint="default" w:ascii="Times New Roman" w:hAnsi="Times New Roman" w:eastAsia="宋体" w:cs="Times New Roman"/>
                <w:color w:val="auto"/>
                <w:spacing w:val="0"/>
                <w:sz w:val="21"/>
                <w:szCs w:val="21"/>
                <w:highlight w:val="none"/>
                <w:lang w:val="en-US" w:eastAsia="zh-CN"/>
              </w:rPr>
              <w:t>/d</w:t>
            </w:r>
            <w:r>
              <w:rPr>
                <w:rFonts w:hint="default" w:ascii="Times New Roman" w:hAnsi="Times New Roman" w:cs="Times New Roman"/>
                <w:color w:val="auto"/>
                <w:spacing w:val="0"/>
                <w:sz w:val="21"/>
                <w:szCs w:val="21"/>
                <w:highlight w:val="none"/>
                <w:lang w:val="en-US" w:eastAsia="zh-CN"/>
              </w:rPr>
              <w:t>）</w:t>
            </w:r>
            <w:r>
              <w:rPr>
                <w:rFonts w:hint="eastAsia" w:cs="Times New Roman"/>
                <w:color w:val="auto"/>
                <w:spacing w:val="0"/>
                <w:sz w:val="21"/>
                <w:szCs w:val="21"/>
                <w:highlight w:val="none"/>
                <w:lang w:val="en-US" w:eastAsia="zh-CN"/>
              </w:rPr>
              <w:t>；项目使用喷淋塔处理漆雾，水箱容积1m</w:t>
            </w:r>
            <w:r>
              <w:rPr>
                <w:rFonts w:hint="eastAsia" w:cs="Times New Roman"/>
                <w:color w:val="auto"/>
                <w:spacing w:val="0"/>
                <w:sz w:val="21"/>
                <w:szCs w:val="21"/>
                <w:highlight w:val="none"/>
                <w:vertAlign w:val="superscript"/>
                <w:lang w:val="en-US" w:eastAsia="zh-CN"/>
              </w:rPr>
              <w:t>3</w:t>
            </w:r>
            <w:r>
              <w:rPr>
                <w:rFonts w:hint="eastAsia" w:cs="Times New Roman"/>
                <w:color w:val="auto"/>
                <w:spacing w:val="0"/>
                <w:sz w:val="21"/>
                <w:szCs w:val="21"/>
                <w:highlight w:val="none"/>
                <w:lang w:val="en-US" w:eastAsia="zh-CN"/>
              </w:rPr>
              <w:t>，运行过程中产生损失，需要新水补充，日平均补水量为0.1m</w:t>
            </w:r>
            <w:r>
              <w:rPr>
                <w:rFonts w:hint="eastAsia" w:cs="Times New Roman"/>
                <w:color w:val="auto"/>
                <w:spacing w:val="0"/>
                <w:sz w:val="21"/>
                <w:szCs w:val="21"/>
                <w:highlight w:val="none"/>
                <w:vertAlign w:val="superscript"/>
                <w:lang w:val="en-US" w:eastAsia="zh-CN"/>
              </w:rPr>
              <w:t>3</w:t>
            </w:r>
            <w:r>
              <w:rPr>
                <w:rFonts w:hint="eastAsia" w:cs="Times New Roman"/>
                <w:color w:val="auto"/>
                <w:spacing w:val="0"/>
                <w:sz w:val="21"/>
                <w:szCs w:val="21"/>
                <w:highlight w:val="none"/>
                <w:lang w:val="en-US" w:eastAsia="zh-CN"/>
              </w:rPr>
              <w:t>/d（30m</w:t>
            </w:r>
            <w:r>
              <w:rPr>
                <w:rFonts w:hint="eastAsia" w:cs="Times New Roman"/>
                <w:color w:val="auto"/>
                <w:spacing w:val="0"/>
                <w:sz w:val="21"/>
                <w:szCs w:val="21"/>
                <w:highlight w:val="none"/>
                <w:vertAlign w:val="superscript"/>
                <w:lang w:val="en-US" w:eastAsia="zh-CN"/>
              </w:rPr>
              <w:t>3</w:t>
            </w:r>
            <w:r>
              <w:rPr>
                <w:rFonts w:hint="eastAsia" w:cs="Times New Roman"/>
                <w:color w:val="auto"/>
                <w:spacing w:val="0"/>
                <w:sz w:val="21"/>
                <w:szCs w:val="21"/>
                <w:highlight w:val="none"/>
                <w:lang w:val="en-US" w:eastAsia="zh-CN"/>
              </w:rPr>
              <w:t>/a），循环使用，不外排。</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eastAsia="宋体" w:cs="Times New Roman"/>
                <w:color w:val="auto"/>
                <w:spacing w:val="0"/>
                <w:kern w:val="0"/>
                <w:sz w:val="21"/>
                <w:szCs w:val="21"/>
                <w:highlight w:val="none"/>
                <w:lang w:val="en-US" w:eastAsia="zh-CN"/>
              </w:rPr>
              <w:t>2）排水</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项目生活污水产生量</w:t>
            </w:r>
            <w:r>
              <w:rPr>
                <w:rFonts w:hint="default" w:ascii="Times New Roman" w:hAnsi="Times New Roman" w:cs="Times New Roman"/>
                <w:color w:val="auto"/>
                <w:spacing w:val="0"/>
                <w:kern w:val="2"/>
                <w:sz w:val="21"/>
                <w:szCs w:val="21"/>
                <w:highlight w:val="none"/>
                <w:lang w:val="en-US" w:eastAsia="zh-CN" w:bidi="ar-SA"/>
              </w:rPr>
              <w:t>40</w:t>
            </w:r>
            <w:r>
              <w:rPr>
                <w:rFonts w:hint="default" w:ascii="Times New Roman" w:hAnsi="Times New Roman" w:eastAsia="宋体" w:cs="Times New Roman"/>
                <w:color w:val="auto"/>
                <w:spacing w:val="0"/>
                <w:kern w:val="2"/>
                <w:sz w:val="21"/>
                <w:szCs w:val="21"/>
                <w:highlight w:val="none"/>
                <w:lang w:val="en-US" w:eastAsia="zh-CN" w:bidi="ar-SA"/>
              </w:rPr>
              <w:t>m</w:t>
            </w:r>
            <w:r>
              <w:rPr>
                <w:rFonts w:hint="default" w:ascii="Times New Roman" w:hAnsi="Times New Roman" w:eastAsia="宋体" w:cs="Times New Roman"/>
                <w:color w:val="auto"/>
                <w:spacing w:val="0"/>
                <w:kern w:val="2"/>
                <w:sz w:val="21"/>
                <w:szCs w:val="21"/>
                <w:highlight w:val="none"/>
                <w:vertAlign w:val="superscript"/>
                <w:lang w:val="en-US" w:eastAsia="zh-CN" w:bidi="ar-SA"/>
              </w:rPr>
              <w:t>3</w:t>
            </w:r>
            <w:r>
              <w:rPr>
                <w:rFonts w:hint="default" w:ascii="Times New Roman" w:hAnsi="Times New Roman" w:eastAsia="宋体" w:cs="Times New Roman"/>
                <w:color w:val="auto"/>
                <w:spacing w:val="0"/>
                <w:kern w:val="2"/>
                <w:sz w:val="21"/>
                <w:szCs w:val="21"/>
                <w:highlight w:val="none"/>
                <w:lang w:val="en-US" w:eastAsia="zh-CN" w:bidi="ar-SA"/>
              </w:rPr>
              <w:t>/d，</w:t>
            </w:r>
            <w:r>
              <w:rPr>
                <w:rFonts w:hint="default" w:ascii="Times New Roman" w:hAnsi="Times New Roman" w:cs="Times New Roman"/>
                <w:color w:val="auto"/>
                <w:spacing w:val="0"/>
                <w:kern w:val="2"/>
                <w:sz w:val="21"/>
                <w:szCs w:val="21"/>
                <w:highlight w:val="none"/>
                <w:lang w:val="en-US" w:eastAsia="zh-CN" w:bidi="ar-SA"/>
              </w:rPr>
              <w:t>食堂废水经隔油池处理后，汇同其他生活污水排入</w:t>
            </w:r>
            <w:r>
              <w:rPr>
                <w:rFonts w:hint="default" w:ascii="Times New Roman" w:hAnsi="Times New Roman" w:eastAsia="宋体" w:cs="Times New Roman"/>
                <w:color w:val="auto"/>
                <w:spacing w:val="0"/>
                <w:kern w:val="2"/>
                <w:sz w:val="21"/>
                <w:szCs w:val="21"/>
                <w:highlight w:val="none"/>
                <w:lang w:val="en-US" w:eastAsia="zh-CN" w:bidi="ar-SA"/>
              </w:rPr>
              <w:t>园区污水管网</w:t>
            </w:r>
            <w:r>
              <w:rPr>
                <w:rFonts w:hint="default" w:ascii="Times New Roman" w:hAnsi="Times New Roman" w:cs="Times New Roman"/>
                <w:color w:val="auto"/>
                <w:spacing w:val="0"/>
                <w:kern w:val="2"/>
                <w:sz w:val="21"/>
                <w:szCs w:val="21"/>
                <w:highlight w:val="none"/>
                <w:lang w:val="en-US" w:eastAsia="zh-CN" w:bidi="ar-SA"/>
              </w:rPr>
              <w:t>，最终进入</w:t>
            </w:r>
            <w:r>
              <w:rPr>
                <w:rFonts w:hint="default" w:ascii="Times New Roman" w:hAnsi="Times New Roman" w:eastAsia="宋体" w:cs="Times New Roman"/>
                <w:color w:val="auto"/>
                <w:spacing w:val="0"/>
                <w:kern w:val="2"/>
                <w:sz w:val="21"/>
                <w:szCs w:val="21"/>
                <w:highlight w:val="none"/>
                <w:lang w:val="en-US" w:eastAsia="zh-CN" w:bidi="ar-SA"/>
              </w:rPr>
              <w:t>园区污水处理厂</w:t>
            </w:r>
            <w:r>
              <w:rPr>
                <w:rFonts w:hint="default" w:ascii="Times New Roman" w:hAnsi="Times New Roman" w:cs="Times New Roman"/>
                <w:color w:val="auto"/>
                <w:spacing w:val="0"/>
                <w:kern w:val="2"/>
                <w:sz w:val="21"/>
                <w:szCs w:val="21"/>
                <w:highlight w:val="none"/>
                <w:lang w:val="en-US" w:eastAsia="zh-CN" w:bidi="ar-SA"/>
              </w:rPr>
              <w:t>统一处理</w:t>
            </w:r>
            <w:r>
              <w:rPr>
                <w:rFonts w:hint="default" w:ascii="Times New Roman" w:hAnsi="Times New Roman" w:eastAsia="宋体" w:cs="Times New Roman"/>
                <w:color w:val="auto"/>
                <w:spacing w:val="0"/>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配置切削液用水在生产过程中损耗或进入废切削液，</w:t>
            </w:r>
            <w:r>
              <w:rPr>
                <w:rFonts w:hint="eastAsia" w:cs="Times New Roman"/>
                <w:color w:val="auto"/>
                <w:spacing w:val="0"/>
                <w:kern w:val="2"/>
                <w:sz w:val="21"/>
                <w:szCs w:val="21"/>
                <w:highlight w:val="none"/>
                <w:lang w:val="en-US" w:eastAsia="zh-CN" w:bidi="ar-SA"/>
              </w:rPr>
              <w:t>喷淋塔用水循环使用，</w:t>
            </w:r>
            <w:r>
              <w:rPr>
                <w:rFonts w:hint="default" w:ascii="Times New Roman" w:hAnsi="Times New Roman" w:cs="Times New Roman"/>
                <w:color w:val="auto"/>
                <w:spacing w:val="0"/>
                <w:kern w:val="2"/>
                <w:sz w:val="21"/>
                <w:szCs w:val="21"/>
                <w:highlight w:val="none"/>
                <w:lang w:val="en-US" w:eastAsia="zh-CN" w:bidi="ar-SA"/>
              </w:rPr>
              <w:t>无生产废水产生</w:t>
            </w:r>
            <w:r>
              <w:rPr>
                <w:rFonts w:hint="default" w:ascii="Times New Roman" w:hAnsi="Times New Roman" w:eastAsia="宋体" w:cs="Times New Roman"/>
                <w:color w:val="auto"/>
                <w:spacing w:val="0"/>
                <w:kern w:val="2"/>
                <w:sz w:val="21"/>
                <w:szCs w:val="21"/>
                <w:highlight w:val="none"/>
                <w:lang w:val="en-US" w:eastAsia="zh-CN" w:bidi="ar-SA"/>
              </w:rPr>
              <w:t>。</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 xml:space="preserve">2-9  </w:t>
            </w:r>
            <w:r>
              <w:rPr>
                <w:rFonts w:hint="default" w:ascii="Times New Roman" w:hAnsi="Times New Roman" w:eastAsia="宋体" w:cs="Times New Roman"/>
                <w:b/>
                <w:bCs/>
                <w:color w:val="auto"/>
                <w:kern w:val="0"/>
                <w:sz w:val="21"/>
                <w:szCs w:val="21"/>
                <w:highlight w:val="none"/>
              </w:rPr>
              <w:t xml:space="preserve">  </w:t>
            </w:r>
            <w:r>
              <w:rPr>
                <w:rFonts w:hint="default" w:ascii="Times New Roman" w:hAnsi="Times New Roman" w:eastAsia="宋体" w:cs="Times New Roman"/>
                <w:b/>
                <w:bCs/>
                <w:color w:val="auto"/>
                <w:kern w:val="0"/>
                <w:sz w:val="21"/>
                <w:szCs w:val="21"/>
                <w:highlight w:val="none"/>
                <w:lang w:val="en-US" w:eastAsia="zh-CN"/>
              </w:rPr>
              <w:t>给排</w:t>
            </w:r>
            <w:r>
              <w:rPr>
                <w:rFonts w:hint="default" w:ascii="Times New Roman" w:hAnsi="Times New Roman" w:eastAsia="宋体" w:cs="Times New Roman"/>
                <w:b/>
                <w:bCs/>
                <w:color w:val="auto"/>
                <w:kern w:val="0"/>
                <w:sz w:val="21"/>
                <w:szCs w:val="21"/>
                <w:highlight w:val="none"/>
              </w:rPr>
              <w:t>水平衡一览表（单位：m</w:t>
            </w:r>
            <w:r>
              <w:rPr>
                <w:rFonts w:hint="default" w:ascii="Times New Roman" w:hAnsi="Times New Roman" w:eastAsia="宋体" w:cs="Times New Roman"/>
                <w:b/>
                <w:bCs/>
                <w:color w:val="auto"/>
                <w:kern w:val="0"/>
                <w:sz w:val="21"/>
                <w:szCs w:val="21"/>
                <w:highlight w:val="none"/>
                <w:vertAlign w:val="superscript"/>
              </w:rPr>
              <w:t>3</w:t>
            </w:r>
            <w:r>
              <w:rPr>
                <w:rFonts w:hint="default" w:ascii="Times New Roman" w:hAnsi="Times New Roman" w:eastAsia="宋体" w:cs="Times New Roman"/>
                <w:b/>
                <w:bCs/>
                <w:color w:val="auto"/>
                <w:kern w:val="0"/>
                <w:sz w:val="21"/>
                <w:szCs w:val="21"/>
                <w:highlight w:val="none"/>
              </w:rPr>
              <w:t>/d）</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900"/>
              <w:gridCol w:w="798"/>
              <w:gridCol w:w="899"/>
              <w:gridCol w:w="867"/>
              <w:gridCol w:w="699"/>
              <w:gridCol w:w="816"/>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5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w:t>
                  </w:r>
                </w:p>
              </w:tc>
              <w:tc>
                <w:tcPr>
                  <w:tcW w:w="900"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总用水量</w:t>
                  </w:r>
                </w:p>
              </w:tc>
              <w:tc>
                <w:tcPr>
                  <w:tcW w:w="798"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新鲜水量</w:t>
                  </w:r>
                </w:p>
              </w:tc>
              <w:tc>
                <w:tcPr>
                  <w:tcW w:w="899"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回用水量</w:t>
                  </w:r>
                </w:p>
              </w:tc>
              <w:tc>
                <w:tcPr>
                  <w:tcW w:w="86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循环水量</w:t>
                  </w:r>
                </w:p>
              </w:tc>
              <w:tc>
                <w:tcPr>
                  <w:tcW w:w="699"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耗损量</w:t>
                  </w:r>
                </w:p>
              </w:tc>
              <w:tc>
                <w:tcPr>
                  <w:tcW w:w="816"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废水量</w:t>
                  </w:r>
                </w:p>
              </w:tc>
              <w:tc>
                <w:tcPr>
                  <w:tcW w:w="1829"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5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职工生活</w:t>
                  </w:r>
                </w:p>
              </w:tc>
              <w:tc>
                <w:tcPr>
                  <w:tcW w:w="900"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w:t>
                  </w:r>
                </w:p>
              </w:tc>
              <w:tc>
                <w:tcPr>
                  <w:tcW w:w="798"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w:t>
                  </w:r>
                </w:p>
              </w:tc>
              <w:tc>
                <w:tcPr>
                  <w:tcW w:w="8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86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816"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40</w:t>
                  </w:r>
                </w:p>
              </w:tc>
              <w:tc>
                <w:tcPr>
                  <w:tcW w:w="182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排入园区污水处理厂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5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配置切削液</w:t>
                  </w:r>
                </w:p>
              </w:tc>
              <w:tc>
                <w:tcPr>
                  <w:tcW w:w="900"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0.265</w:t>
                  </w:r>
                </w:p>
              </w:tc>
              <w:tc>
                <w:tcPr>
                  <w:tcW w:w="798"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0.265</w:t>
                  </w:r>
                </w:p>
              </w:tc>
              <w:tc>
                <w:tcPr>
                  <w:tcW w:w="8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w:t>
                  </w:r>
                </w:p>
              </w:tc>
              <w:tc>
                <w:tcPr>
                  <w:tcW w:w="86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w:t>
                  </w:r>
                </w:p>
              </w:tc>
              <w:tc>
                <w:tcPr>
                  <w:tcW w:w="6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0.265</w:t>
                  </w:r>
                </w:p>
              </w:tc>
              <w:tc>
                <w:tcPr>
                  <w:tcW w:w="816"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w:t>
                  </w:r>
                </w:p>
              </w:tc>
              <w:tc>
                <w:tcPr>
                  <w:tcW w:w="1829" w:type="dxa"/>
                  <w:tcBorders>
                    <w:tl2br w:val="nil"/>
                    <w:tr2bl w:val="nil"/>
                  </w:tcBorders>
                  <w:noWrap w:val="0"/>
                  <w:vAlign w:val="center"/>
                </w:tcPr>
                <w:p>
                  <w:pPr>
                    <w:pageBreakBefore w:val="0"/>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5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喷淋塔补水</w:t>
                  </w:r>
                </w:p>
              </w:tc>
              <w:tc>
                <w:tcPr>
                  <w:tcW w:w="900"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0.1</w:t>
                  </w:r>
                </w:p>
              </w:tc>
              <w:tc>
                <w:tcPr>
                  <w:tcW w:w="798"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0.1</w:t>
                  </w:r>
                </w:p>
              </w:tc>
              <w:tc>
                <w:tcPr>
                  <w:tcW w:w="8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86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1</w:t>
                  </w:r>
                </w:p>
              </w:tc>
              <w:tc>
                <w:tcPr>
                  <w:tcW w:w="69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0.1</w:t>
                  </w:r>
                </w:p>
              </w:tc>
              <w:tc>
                <w:tcPr>
                  <w:tcW w:w="816"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829" w:type="dxa"/>
                  <w:tcBorders>
                    <w:tl2br w:val="nil"/>
                    <w:tr2bl w:val="nil"/>
                  </w:tcBorders>
                  <w:noWrap w:val="0"/>
                  <w:vAlign w:val="center"/>
                </w:tcPr>
                <w:p>
                  <w:pPr>
                    <w:pageBreakBefore w:val="0"/>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57"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900"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50</w:t>
                  </w:r>
                  <w:r>
                    <w:rPr>
                      <w:rFonts w:hint="default" w:ascii="Times New Roman" w:hAnsi="Times New Roman" w:cs="Times New Roman"/>
                      <w:color w:val="auto"/>
                      <w:sz w:val="18"/>
                      <w:szCs w:val="18"/>
                      <w:highlight w:val="none"/>
                      <w:lang w:val="en-US" w:eastAsia="zh-CN"/>
                    </w:rPr>
                    <w:t>.</w:t>
                  </w:r>
                  <w:r>
                    <w:rPr>
                      <w:rFonts w:hint="eastAsia"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val="en-US" w:eastAsia="zh-CN"/>
                    </w:rPr>
                    <w:t>65</w:t>
                  </w:r>
                </w:p>
              </w:tc>
              <w:tc>
                <w:tcPr>
                  <w:tcW w:w="798"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w:t>
                  </w:r>
                  <w:r>
                    <w:rPr>
                      <w:rFonts w:hint="eastAsia"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val="en-US" w:eastAsia="zh-CN"/>
                    </w:rPr>
                    <w:t>65</w:t>
                  </w:r>
                </w:p>
              </w:tc>
              <w:tc>
                <w:tcPr>
                  <w:tcW w:w="899"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w:t>
                  </w:r>
                </w:p>
              </w:tc>
              <w:tc>
                <w:tcPr>
                  <w:tcW w:w="867"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w:t>
                  </w:r>
                </w:p>
              </w:tc>
              <w:tc>
                <w:tcPr>
                  <w:tcW w:w="699"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r>
                    <w:rPr>
                      <w:rFonts w:hint="eastAsia"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val="en-US" w:eastAsia="zh-CN"/>
                    </w:rPr>
                    <w:t>65</w:t>
                  </w:r>
                </w:p>
              </w:tc>
              <w:tc>
                <w:tcPr>
                  <w:tcW w:w="816" w:type="dxa"/>
                  <w:tcBorders>
                    <w:tl2br w:val="nil"/>
                    <w:tr2bl w:val="nil"/>
                  </w:tcBorders>
                  <w:noWrap w:val="0"/>
                  <w:vAlign w:val="center"/>
                </w:tcPr>
                <w:p>
                  <w:pPr>
                    <w:keepNext w:val="0"/>
                    <w:keepLines w:val="0"/>
                    <w:pageBreakBefore w:val="0"/>
                    <w:widowControl/>
                    <w:suppressLineNumbers w:val="0"/>
                    <w:kinsoku/>
                    <w:wordWrap/>
                    <w:overflowPunct/>
                    <w:bidi w:val="0"/>
                    <w:adjustRightInd w:val="0"/>
                    <w:snapToGrid w:val="0"/>
                    <w:spacing w:beforeAutospacing="0" w:afterAutospacing="0"/>
                    <w:ind w:left="0" w:leftChars="0" w:right="0" w:right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40</w:t>
                  </w:r>
                </w:p>
              </w:tc>
              <w:tc>
                <w:tcPr>
                  <w:tcW w:w="1829" w:type="dxa"/>
                  <w:tcBorders>
                    <w:tl2br w:val="nil"/>
                    <w:tr2bl w:val="nil"/>
                  </w:tcBorders>
                  <w:noWrap w:val="0"/>
                  <w:vAlign w:val="center"/>
                </w:tcPr>
                <w:p>
                  <w:pPr>
                    <w:pageBreakBefore w:val="0"/>
                    <w:tabs>
                      <w:tab w:val="left" w:pos="2604"/>
                    </w:tabs>
                    <w:kinsoku/>
                    <w:wordWrap/>
                    <w:overflowPunct/>
                    <w:bidi w:val="0"/>
                    <w:adjustRightInd w:val="0"/>
                    <w:snapToGrid w:val="0"/>
                    <w:spacing w:beforeAutospacing="0" w:afterAutospacing="0" w:line="0" w:lineRule="atLeas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object>
                <v:shape id="_x0000_i1026" o:spt="75" type="#_x0000_t75" style="height:120.75pt;width:352.5pt;" o:ole="t" filled="f" o:preferrelative="t" stroked="f" coordsize="21600,21600">
                  <v:path/>
                  <v:fill on="f" focussize="0,0"/>
                  <v:stroke on="f"/>
                  <v:imagedata r:id="rId11" o:title=""/>
                  <o:lock v:ext="edit" aspectratio="f"/>
                  <w10:wrap type="none"/>
                  <w10:anchorlock/>
                </v:shape>
                <o:OLEObject Type="Embed" ProgID="Visio.Drawing.11" ShapeID="_x0000_i1026" DrawAspect="Content" ObjectID="_1468075726" r:id="rId10">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bCs/>
                <w:color w:val="auto"/>
                <w:highlight w:val="none"/>
              </w:rPr>
              <w:t>图</w:t>
            </w:r>
            <w:r>
              <w:rPr>
                <w:rFonts w:hint="default" w:ascii="Times New Roman" w:hAnsi="Times New Roman" w:eastAsia="宋体" w:cs="Times New Roman"/>
                <w:b/>
                <w:bCs/>
                <w:color w:val="auto"/>
                <w:highlight w:val="none"/>
                <w:lang w:val="en-US" w:eastAsia="zh-CN"/>
              </w:rPr>
              <w:t>2-1</w:t>
            </w:r>
            <w:r>
              <w:rPr>
                <w:rFonts w:hint="default" w:ascii="Times New Roman" w:hAnsi="Times New Roman" w:eastAsia="宋体" w:cs="Times New Roman"/>
                <w:b/>
                <w:bCs/>
                <w:color w:val="auto"/>
                <w:highlight w:val="none"/>
              </w:rPr>
              <w:t xml:space="preserve">  水量平衡图   （m</w:t>
            </w:r>
            <w:r>
              <w:rPr>
                <w:rFonts w:hint="default" w:ascii="Times New Roman" w:hAnsi="Times New Roman" w:eastAsia="宋体" w:cs="Times New Roman"/>
                <w:b/>
                <w:bCs/>
                <w:color w:val="auto"/>
                <w:highlight w:val="none"/>
                <w:vertAlign w:val="superscript"/>
              </w:rPr>
              <w:t>3</w:t>
            </w:r>
            <w:r>
              <w:rPr>
                <w:rFonts w:hint="default" w:ascii="Times New Roman" w:hAnsi="Times New Roman" w:eastAsia="宋体" w:cs="Times New Roman"/>
                <w:b/>
                <w:bCs/>
                <w:color w:val="auto"/>
                <w:highlight w:val="none"/>
              </w:rPr>
              <w:t>/d）</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供电：项目</w:t>
            </w:r>
            <w:r>
              <w:rPr>
                <w:rFonts w:hint="default" w:ascii="Times New Roman" w:hAnsi="Times New Roman" w:eastAsia="宋体" w:cs="Times New Roman"/>
                <w:color w:val="auto"/>
                <w:sz w:val="21"/>
                <w:szCs w:val="21"/>
                <w:highlight w:val="none"/>
                <w:lang w:val="en-US" w:eastAsia="zh-CN"/>
              </w:rPr>
              <w:t>建成后，全厂</w:t>
            </w:r>
            <w:r>
              <w:rPr>
                <w:rFonts w:hint="default" w:ascii="Times New Roman" w:hAnsi="Times New Roman" w:eastAsia="宋体" w:cs="Times New Roman"/>
                <w:color w:val="auto"/>
                <w:sz w:val="21"/>
                <w:szCs w:val="21"/>
                <w:highlight w:val="none"/>
              </w:rPr>
              <w:t>用电量</w:t>
            </w:r>
            <w:r>
              <w:rPr>
                <w:rFonts w:hint="default" w:ascii="Times New Roman" w:hAnsi="Times New Roman" w:cs="Times New Roman"/>
                <w:color w:val="auto"/>
                <w:sz w:val="21"/>
                <w:szCs w:val="21"/>
                <w:highlight w:val="none"/>
                <w:lang w:val="en-US" w:eastAsia="zh-CN"/>
              </w:rPr>
              <w:t>1302</w:t>
            </w:r>
            <w:r>
              <w:rPr>
                <w:rFonts w:hint="default" w:ascii="Times New Roman" w:hAnsi="Times New Roman" w:eastAsia="宋体" w:cs="Times New Roman"/>
                <w:color w:val="auto"/>
                <w:sz w:val="21"/>
                <w:szCs w:val="21"/>
                <w:highlight w:val="none"/>
              </w:rPr>
              <w:t>万kWh/a</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sz w:val="21"/>
                <w:szCs w:val="21"/>
                <w:highlight w:val="none"/>
                <w:lang w:val="en-US" w:eastAsia="zh-CN"/>
              </w:rPr>
              <w:t>园区</w:t>
            </w:r>
            <w:r>
              <w:rPr>
                <w:rFonts w:hint="default" w:ascii="Times New Roman" w:hAnsi="Times New Roman" w:eastAsia="宋体" w:cs="Times New Roman"/>
                <w:color w:val="auto"/>
                <w:sz w:val="21"/>
                <w:szCs w:val="21"/>
                <w:highlight w:val="none"/>
              </w:rPr>
              <w:t>电网供给。</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12</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供热：</w:t>
            </w:r>
            <w:r>
              <w:rPr>
                <w:rFonts w:hint="default" w:ascii="Times New Roman" w:hAnsi="Times New Roman" w:eastAsia="宋体" w:cs="Times New Roman"/>
                <w:color w:val="auto"/>
                <w:sz w:val="21"/>
                <w:szCs w:val="21"/>
                <w:highlight w:val="none"/>
                <w:lang w:val="en-US" w:eastAsia="zh-CN"/>
              </w:rPr>
              <w:t>生产过程采用电加热</w:t>
            </w:r>
            <w:r>
              <w:rPr>
                <w:rFonts w:hint="default" w:ascii="Times New Roman" w:hAnsi="Times New Roman" w:cs="Times New Roman"/>
                <w:color w:val="auto"/>
                <w:sz w:val="21"/>
                <w:szCs w:val="21"/>
                <w:highlight w:val="none"/>
                <w:lang w:val="en-US" w:eastAsia="zh-CN"/>
              </w:rPr>
              <w:t>，职工生活取暖采用空调。</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r>
              <w:rPr>
                <w:rFonts w:hint="default" w:ascii="Times New Roman" w:hAnsi="Times New Roman" w:cs="Times New Roman"/>
                <w:color w:val="auto"/>
                <w:sz w:val="21"/>
                <w:szCs w:val="21"/>
                <w:highlight w:val="none"/>
                <w:lang w:val="en-US" w:eastAsia="zh-CN"/>
              </w:rPr>
              <w:t>用漆量计算</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本项目的产品根据客户需求大致分为两种，第一种为出口产品，约占总产能5</w:t>
            </w:r>
            <w:r>
              <w:rPr>
                <w:rFonts w:hint="eastAsia"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en-US" w:eastAsia="zh-CN"/>
              </w:rPr>
              <w:t>%，出口产品对表面处理工艺要求较高，喷漆及喷涂工艺在本厂进行；剩余</w:t>
            </w:r>
            <w:r>
              <w:rPr>
                <w:rFonts w:hint="eastAsia" w:ascii="Times New Roman" w:hAnsi="Times New Roman"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val="en-US" w:eastAsia="zh-CN"/>
              </w:rPr>
              <w:t>%为国内销售产品，为提高生产效率，这部分产品喷漆及喷涂工艺委托其他厂家进行。</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本项目的喷漆工件尺寸</w:t>
            </w:r>
            <w:r>
              <w:rPr>
                <w:rFonts w:hint="eastAsia" w:ascii="Times New Roman" w:hAnsi="Times New Roman" w:cs="Times New Roman"/>
                <w:color w:val="auto"/>
                <w:sz w:val="21"/>
                <w:szCs w:val="21"/>
                <w:highlight w:val="none"/>
                <w:lang w:val="en-US" w:eastAsia="zh-CN"/>
              </w:rPr>
              <w:t>均根据</w:t>
            </w:r>
            <w:r>
              <w:rPr>
                <w:rFonts w:hint="default" w:ascii="Times New Roman" w:hAnsi="Times New Roman" w:eastAsia="宋体" w:cs="Times New Roman"/>
                <w:color w:val="auto"/>
                <w:sz w:val="21"/>
                <w:szCs w:val="21"/>
                <w:highlight w:val="none"/>
                <w:lang w:val="en-US" w:eastAsia="zh-CN"/>
              </w:rPr>
              <w:t>客户</w:t>
            </w:r>
            <w:r>
              <w:rPr>
                <w:rFonts w:hint="eastAsia" w:ascii="Times New Roman" w:hAnsi="Times New Roman" w:cs="Times New Roman"/>
                <w:color w:val="auto"/>
                <w:sz w:val="21"/>
                <w:szCs w:val="21"/>
                <w:highlight w:val="none"/>
                <w:lang w:val="en-US" w:eastAsia="zh-CN"/>
              </w:rPr>
              <w:t>要求</w:t>
            </w:r>
            <w:r>
              <w:rPr>
                <w:rFonts w:hint="default" w:ascii="Times New Roman" w:hAnsi="Times New Roman" w:eastAsia="宋体" w:cs="Times New Roman"/>
                <w:color w:val="auto"/>
                <w:sz w:val="21"/>
                <w:szCs w:val="21"/>
                <w:highlight w:val="none"/>
                <w:lang w:val="en-US" w:eastAsia="zh-CN"/>
              </w:rPr>
              <w:t>设计，</w:t>
            </w:r>
            <w:r>
              <w:rPr>
                <w:rFonts w:hint="eastAsia" w:ascii="Times New Roman" w:hAnsi="Times New Roman" w:cs="Times New Roman"/>
                <w:color w:val="auto"/>
                <w:sz w:val="21"/>
                <w:szCs w:val="21"/>
                <w:highlight w:val="none"/>
                <w:lang w:val="en-US" w:eastAsia="zh-CN"/>
              </w:rPr>
              <w:t>无统一尺寸，</w:t>
            </w:r>
            <w:r>
              <w:rPr>
                <w:rFonts w:hint="default" w:ascii="Times New Roman" w:hAnsi="Times New Roman" w:eastAsia="宋体" w:cs="Times New Roman"/>
                <w:color w:val="auto"/>
                <w:sz w:val="21"/>
                <w:szCs w:val="21"/>
                <w:highlight w:val="none"/>
                <w:lang w:val="en-US" w:eastAsia="zh-CN"/>
              </w:rPr>
              <w:t>因此本次评价油漆用量按照产品产量、原材料用量以及企业提供的经验数据进行估算。</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rPr>
                <w:rFonts w:hint="default" w:ascii="Times New Roman" w:hAnsi="Times New Roman" w:eastAsia="宋体" w:cs="Times New Roman"/>
                <w:b/>
                <w:bCs/>
                <w:color w:val="auto"/>
                <w:kern w:val="0"/>
                <w:sz w:val="21"/>
                <w:szCs w:val="21"/>
                <w:highlight w:val="none"/>
                <w:lang w:val="en-US"/>
              </w:rPr>
            </w:pPr>
            <w:r>
              <w:rPr>
                <w:rFonts w:hint="default" w:ascii="Times New Roman" w:hAnsi="Times New Roman" w:eastAsia="宋体" w:cs="Times New Roman"/>
                <w:b/>
                <w:bCs/>
                <w:color w:val="auto"/>
                <w:kern w:val="0"/>
                <w:sz w:val="21"/>
                <w:szCs w:val="21"/>
                <w:highlight w:val="none"/>
              </w:rPr>
              <w:t>表</w:t>
            </w:r>
            <w:r>
              <w:rPr>
                <w:rFonts w:hint="default" w:ascii="Times New Roman" w:hAnsi="Times New Roman" w:eastAsia="宋体" w:cs="Times New Roman"/>
                <w:b/>
                <w:bCs/>
                <w:color w:val="auto"/>
                <w:kern w:val="0"/>
                <w:sz w:val="21"/>
                <w:szCs w:val="21"/>
                <w:highlight w:val="none"/>
                <w:lang w:val="en-US" w:eastAsia="zh-CN"/>
              </w:rPr>
              <w:t>2-</w:t>
            </w:r>
            <w:r>
              <w:rPr>
                <w:rFonts w:hint="default" w:ascii="Times New Roman" w:hAnsi="Times New Roman" w:cs="Times New Roman"/>
                <w:b/>
                <w:bCs/>
                <w:color w:val="auto"/>
                <w:kern w:val="0"/>
                <w:sz w:val="21"/>
                <w:szCs w:val="21"/>
                <w:highlight w:val="none"/>
                <w:lang w:val="en-US" w:eastAsia="zh-CN"/>
              </w:rPr>
              <w:t>10</w:t>
            </w:r>
            <w:r>
              <w:rPr>
                <w:rFonts w:hint="default" w:ascii="Times New Roman" w:hAnsi="Times New Roman" w:eastAsia="宋体" w:cs="Times New Roman"/>
                <w:b/>
                <w:bCs/>
                <w:color w:val="auto"/>
                <w:kern w:val="0"/>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rPr>
              <w:t xml:space="preserve">  </w:t>
            </w:r>
            <w:r>
              <w:rPr>
                <w:rFonts w:hint="default" w:ascii="Times New Roman" w:hAnsi="Times New Roman" w:cs="Times New Roman"/>
                <w:b/>
                <w:bCs/>
                <w:color w:val="auto"/>
                <w:kern w:val="0"/>
                <w:sz w:val="21"/>
                <w:szCs w:val="21"/>
                <w:highlight w:val="none"/>
                <w:lang w:val="en-US" w:eastAsia="zh-CN"/>
              </w:rPr>
              <w:t>喷涂工件重量计算</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700"/>
              <w:gridCol w:w="659"/>
              <w:gridCol w:w="1349"/>
              <w:gridCol w:w="1099"/>
              <w:gridCol w:w="676"/>
              <w:gridCol w:w="1393"/>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产品种类</w:t>
                  </w:r>
                </w:p>
              </w:tc>
              <w:tc>
                <w:tcPr>
                  <w:tcW w:w="4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总台套数</w:t>
                  </w:r>
                </w:p>
              </w:tc>
              <w:tc>
                <w:tcPr>
                  <w:tcW w:w="3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重量t/台</w:t>
                  </w:r>
                </w:p>
              </w:tc>
              <w:tc>
                <w:tcPr>
                  <w:tcW w:w="8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喷涂防腐耐磨材料零部件重量t/台</w:t>
                  </w:r>
                </w:p>
              </w:tc>
              <w:tc>
                <w:tcPr>
                  <w:tcW w:w="6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喷涂油漆零部件重量t/台</w:t>
                  </w:r>
                </w:p>
              </w:tc>
              <w:tc>
                <w:tcPr>
                  <w:tcW w:w="40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喷涂台套数</w:t>
                  </w:r>
                </w:p>
              </w:tc>
              <w:tc>
                <w:tcPr>
                  <w:tcW w:w="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喷涂防腐耐磨材料零部件总重量t</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喷涂油漆零部件总重量t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9"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auto"/>
                      <w:kern w:val="24"/>
                      <w:sz w:val="18"/>
                      <w:szCs w:val="18"/>
                      <w:highlight w:val="none"/>
                      <w:lang w:val="en-US" w:eastAsia="zh-CN" w:bidi="ar-SA"/>
                    </w:rPr>
                    <w:t>细粒分级设备</w:t>
                  </w:r>
                </w:p>
              </w:tc>
              <w:tc>
                <w:tcPr>
                  <w:tcW w:w="415"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1000</w:t>
                  </w:r>
                </w:p>
              </w:tc>
              <w:tc>
                <w:tcPr>
                  <w:tcW w:w="391"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w:t>
                  </w:r>
                </w:p>
              </w:tc>
              <w:tc>
                <w:tcPr>
                  <w:tcW w:w="1347" w:type="dxa"/>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0.4</w:t>
                  </w:r>
                </w:p>
              </w:tc>
              <w:tc>
                <w:tcPr>
                  <w:tcW w:w="1098" w:type="dxa"/>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0.4</w:t>
                  </w:r>
                </w:p>
              </w:tc>
              <w:tc>
                <w:tcPr>
                  <w:tcW w:w="401"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500</w:t>
                  </w:r>
                </w:p>
              </w:tc>
              <w:tc>
                <w:tcPr>
                  <w:tcW w:w="826"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200</w:t>
                  </w:r>
                </w:p>
              </w:tc>
              <w:tc>
                <w:tcPr>
                  <w:tcW w:w="711" w:type="pct"/>
                  <w:tcBorders>
                    <w:tl2br w:val="nil"/>
                    <w:tr2bl w:val="nil"/>
                  </w:tcBorders>
                  <w:noWrap w:val="0"/>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9"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color w:val="auto"/>
                      <w:kern w:val="24"/>
                      <w:sz w:val="18"/>
                      <w:szCs w:val="18"/>
                      <w:highlight w:val="none"/>
                      <w:lang w:val="en-US" w:eastAsia="zh-CN" w:bidi="ar-SA"/>
                    </w:rPr>
                    <w:t>中、粗粒筛分设备</w:t>
                  </w:r>
                </w:p>
              </w:tc>
              <w:tc>
                <w:tcPr>
                  <w:tcW w:w="415"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300</w:t>
                  </w:r>
                </w:p>
              </w:tc>
              <w:tc>
                <w:tcPr>
                  <w:tcW w:w="39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3.9</w:t>
                  </w:r>
                </w:p>
              </w:tc>
              <w:tc>
                <w:tcPr>
                  <w:tcW w:w="1347" w:type="dxa"/>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0.6</w:t>
                  </w:r>
                </w:p>
              </w:tc>
              <w:tc>
                <w:tcPr>
                  <w:tcW w:w="1098" w:type="dxa"/>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40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150</w:t>
                  </w:r>
                </w:p>
              </w:tc>
              <w:tc>
                <w:tcPr>
                  <w:tcW w:w="826"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90</w:t>
                  </w:r>
                </w:p>
              </w:tc>
              <w:tc>
                <w:tcPr>
                  <w:tcW w:w="71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9"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合计</w:t>
                  </w:r>
                </w:p>
              </w:tc>
              <w:tc>
                <w:tcPr>
                  <w:tcW w:w="415"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1300</w:t>
                  </w:r>
                </w:p>
              </w:tc>
              <w:tc>
                <w:tcPr>
                  <w:tcW w:w="39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5.9</w:t>
                  </w:r>
                </w:p>
              </w:tc>
              <w:tc>
                <w:tcPr>
                  <w:tcW w:w="800"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1.0</w:t>
                  </w:r>
                </w:p>
              </w:tc>
              <w:tc>
                <w:tcPr>
                  <w:tcW w:w="652"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1.2</w:t>
                  </w:r>
                </w:p>
              </w:tc>
              <w:tc>
                <w:tcPr>
                  <w:tcW w:w="40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650</w:t>
                  </w:r>
                </w:p>
              </w:tc>
              <w:tc>
                <w:tcPr>
                  <w:tcW w:w="826"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290</w:t>
                  </w:r>
                </w:p>
              </w:tc>
              <w:tc>
                <w:tcPr>
                  <w:tcW w:w="711" w:type="pct"/>
                  <w:vAlign w:val="center"/>
                </w:tcPr>
                <w:p>
                  <w:pPr>
                    <w:keepNext w:val="0"/>
                    <w:keepLines w:val="0"/>
                    <w:pageBreakBefore w:val="0"/>
                    <w:widowControl w:val="0"/>
                    <w:tabs>
                      <w:tab w:val="left" w:pos="2604"/>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320</w:t>
                  </w:r>
                </w:p>
              </w:tc>
            </w:tr>
          </w:tbl>
          <w:p>
            <w:pPr>
              <w:adjustRightInd w:val="0"/>
              <w:snapToGrid w:val="0"/>
              <w:spacing w:line="500" w:lineRule="exact"/>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工作漆用量采用以下公式计算：</w:t>
            </w:r>
          </w:p>
          <w:p>
            <w:pPr>
              <w:adjustRightInd w:val="0"/>
              <w:snapToGrid w:val="0"/>
              <w:spacing w:line="500" w:lineRule="exact"/>
              <w:ind w:firstLine="2310" w:firstLineChars="11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m=ρδs×10</w:t>
            </w:r>
            <w:r>
              <w:rPr>
                <w:rFonts w:hint="default" w:ascii="Times New Roman" w:hAnsi="Times New Roman" w:cs="Times New Roman"/>
                <w:color w:val="auto"/>
                <w:sz w:val="21"/>
                <w:szCs w:val="21"/>
                <w:highlight w:val="none"/>
                <w:vertAlign w:val="superscript"/>
              </w:rPr>
              <w:t>-6</w:t>
            </w:r>
            <w:r>
              <w:rPr>
                <w:rFonts w:hint="default" w:ascii="Times New Roman" w:hAnsi="Times New Roman" w:cs="Times New Roman"/>
                <w:color w:val="auto"/>
                <w:sz w:val="21"/>
                <w:szCs w:val="21"/>
                <w:highlight w:val="none"/>
              </w:rPr>
              <w:t>/（NV·ε）</w:t>
            </w:r>
          </w:p>
          <w:p>
            <w:pPr>
              <w:adjustRightInd w:val="0"/>
              <w:snapToGrid w:val="0"/>
              <w:spacing w:line="50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其中：m—漆用量（t）；ρ—漆密度，单位：g/cm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；δ—涂层厚度（μm）；s—涂装面积（m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p>
          <w:p>
            <w:pPr>
              <w:adjustRightInd w:val="0"/>
              <w:snapToGrid w:val="0"/>
              <w:spacing w:line="500" w:lineRule="exact"/>
              <w:ind w:firstLine="630" w:firstLineChars="3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NV—体积固体份（%）；ε—上漆率。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项目工作漆用量及计算参数详见表2-11。</w:t>
            </w:r>
          </w:p>
          <w:p>
            <w:pPr>
              <w:tabs>
                <w:tab w:val="left" w:pos="3360"/>
              </w:tabs>
              <w:adjustRightInd w:val="0"/>
              <w:snapToGrid w:val="0"/>
              <w:spacing w:line="480" w:lineRule="exact"/>
              <w:jc w:val="center"/>
              <w:rPr>
                <w:rFonts w:hint="default" w:ascii="Times New Roman" w:hAnsi="Times New Roman" w:eastAsia="黑体" w:cs="Times New Roman"/>
                <w:bCs/>
                <w:color w:val="auto"/>
                <w:sz w:val="24"/>
                <w:szCs w:val="21"/>
                <w:highlight w:val="none"/>
              </w:rPr>
            </w:pPr>
            <w:r>
              <w:rPr>
                <w:rFonts w:hint="default" w:ascii="Times New Roman" w:hAnsi="Times New Roman" w:eastAsia="黑体" w:cs="Times New Roman"/>
                <w:bCs/>
                <w:color w:val="auto"/>
                <w:sz w:val="24"/>
                <w:szCs w:val="21"/>
                <w:highlight w:val="none"/>
              </w:rPr>
              <w:t>表</w:t>
            </w:r>
            <w:r>
              <w:rPr>
                <w:rFonts w:hint="default" w:ascii="Times New Roman" w:hAnsi="Times New Roman" w:eastAsia="黑体" w:cs="Times New Roman"/>
                <w:bCs/>
                <w:color w:val="auto"/>
                <w:sz w:val="24"/>
                <w:szCs w:val="21"/>
                <w:highlight w:val="none"/>
                <w:lang w:val="en-US" w:eastAsia="zh-CN"/>
              </w:rPr>
              <w:t>2-11</w:t>
            </w:r>
            <w:r>
              <w:rPr>
                <w:rFonts w:hint="default" w:ascii="Times New Roman" w:hAnsi="Times New Roman" w:eastAsia="黑体" w:cs="Times New Roman"/>
                <w:bCs/>
                <w:color w:val="auto"/>
                <w:sz w:val="24"/>
                <w:szCs w:val="21"/>
                <w:highlight w:val="none"/>
              </w:rPr>
              <w:t xml:space="preserve">  项目喷涂参数一览表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674"/>
              <w:gridCol w:w="522"/>
              <w:gridCol w:w="765"/>
              <w:gridCol w:w="457"/>
              <w:gridCol w:w="537"/>
              <w:gridCol w:w="719"/>
              <w:gridCol w:w="552"/>
              <w:gridCol w:w="719"/>
              <w:gridCol w:w="552"/>
              <w:gridCol w:w="719"/>
              <w:gridCol w:w="552"/>
              <w:gridCol w:w="628"/>
              <w:gridCol w:w="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 w:type="pct"/>
                  <w:tcBorders>
                    <w:tl2br w:val="nil"/>
                    <w:tr2bl w:val="nil"/>
                  </w:tcBorders>
                  <w:noWrap w:val="0"/>
                  <w:vAlign w:val="center"/>
                </w:tcPr>
                <w:p>
                  <w:pPr>
                    <w:widowControl/>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喷漆种类</w:t>
                  </w:r>
                </w:p>
              </w:tc>
              <w:tc>
                <w:tcPr>
                  <w:tcW w:w="399" w:type="pct"/>
                  <w:tcBorders>
                    <w:tl2br w:val="nil"/>
                    <w:tr2bl w:val="nil"/>
                  </w:tcBorders>
                  <w:noWrap w:val="0"/>
                  <w:vAlign w:val="center"/>
                </w:tcPr>
                <w:p>
                  <w:pPr>
                    <w:widowControl/>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喷涂数</w:t>
                  </w:r>
                </w:p>
                <w:p>
                  <w:pPr>
                    <w:widowControl/>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量t/a</w:t>
                  </w:r>
                </w:p>
              </w:tc>
              <w:tc>
                <w:tcPr>
                  <w:tcW w:w="309"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单吨产品喷涂面积</w:t>
                  </w:r>
                </w:p>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w:t>
                  </w:r>
                  <w:r>
                    <w:rPr>
                      <w:rFonts w:hint="default" w:ascii="Times New Roman" w:hAnsi="Times New Roman" w:cs="Times New Roman"/>
                      <w:color w:val="auto"/>
                      <w:sz w:val="18"/>
                      <w:szCs w:val="18"/>
                      <w:highlight w:val="none"/>
                      <w:vertAlign w:val="superscript"/>
                    </w:rPr>
                    <w:t>2</w:t>
                  </w:r>
                  <w:r>
                    <w:rPr>
                      <w:rFonts w:hint="default" w:ascii="Times New Roman" w:hAnsi="Times New Roman" w:cs="Times New Roman"/>
                      <w:color w:val="auto"/>
                      <w:sz w:val="18"/>
                      <w:szCs w:val="18"/>
                      <w:highlight w:val="none"/>
                    </w:rPr>
                    <w:t>/t</w:t>
                  </w:r>
                </w:p>
              </w:tc>
              <w:tc>
                <w:tcPr>
                  <w:tcW w:w="453"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总喷涂面积m</w:t>
                  </w:r>
                  <w:r>
                    <w:rPr>
                      <w:rFonts w:hint="default" w:ascii="Times New Roman" w:hAnsi="Times New Roman" w:cs="Times New Roman"/>
                      <w:color w:val="auto"/>
                      <w:sz w:val="18"/>
                      <w:szCs w:val="18"/>
                      <w:highlight w:val="none"/>
                      <w:vertAlign w:val="superscript"/>
                    </w:rPr>
                    <w:t>2</w:t>
                  </w:r>
                </w:p>
              </w:tc>
              <w:tc>
                <w:tcPr>
                  <w:tcW w:w="271" w:type="pct"/>
                  <w:tcBorders>
                    <w:tl2br w:val="nil"/>
                    <w:tr2bl w:val="nil"/>
                  </w:tcBorders>
                  <w:noWrap w:val="0"/>
                  <w:vAlign w:val="center"/>
                </w:tcPr>
                <w:p>
                  <w:pPr>
                    <w:widowControl/>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干漆膜</w:t>
                  </w:r>
                </w:p>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厚度μm</w:t>
                  </w:r>
                </w:p>
              </w:tc>
              <w:tc>
                <w:tcPr>
                  <w:tcW w:w="318"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漆膜比重t/m</w:t>
                  </w:r>
                  <w:r>
                    <w:rPr>
                      <w:rFonts w:hint="default" w:ascii="Times New Roman" w:hAnsi="Times New Roman" w:cs="Times New Roman"/>
                      <w:color w:val="auto"/>
                      <w:sz w:val="18"/>
                      <w:szCs w:val="18"/>
                      <w:highlight w:val="none"/>
                      <w:vertAlign w:val="superscript"/>
                    </w:rPr>
                    <w:t>3</w:t>
                  </w:r>
                </w:p>
              </w:tc>
              <w:tc>
                <w:tcPr>
                  <w:tcW w:w="426"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漆膜重量t/a</w:t>
                  </w:r>
                </w:p>
              </w:tc>
              <w:tc>
                <w:tcPr>
                  <w:tcW w:w="327"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附着率%</w:t>
                  </w:r>
                </w:p>
              </w:tc>
              <w:tc>
                <w:tcPr>
                  <w:tcW w:w="426"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cs="Times New Roman"/>
                      <w:i w:val="0"/>
                      <w:color w:val="auto"/>
                      <w:kern w:val="0"/>
                      <w:sz w:val="18"/>
                      <w:szCs w:val="18"/>
                      <w:highlight w:val="none"/>
                      <w:u w:val="none"/>
                      <w:lang w:val="en-US" w:eastAsia="zh-CN" w:bidi="ar"/>
                    </w:rPr>
                    <w:t>固体组分</w:t>
                  </w:r>
                  <w:r>
                    <w:rPr>
                      <w:rFonts w:hint="default" w:ascii="Times New Roman" w:hAnsi="Times New Roman" w:eastAsia="宋体" w:cs="Times New Roman"/>
                      <w:i w:val="0"/>
                      <w:color w:val="auto"/>
                      <w:kern w:val="0"/>
                      <w:sz w:val="18"/>
                      <w:szCs w:val="18"/>
                      <w:highlight w:val="none"/>
                      <w:u w:val="none"/>
                      <w:lang w:val="en-US" w:eastAsia="zh-CN" w:bidi="ar"/>
                    </w:rPr>
                    <w:t>总重</w:t>
                  </w:r>
                  <w:r>
                    <w:rPr>
                      <w:rFonts w:hint="default" w:ascii="Times New Roman" w:hAnsi="Times New Roman" w:cs="Times New Roman"/>
                      <w:color w:val="auto"/>
                      <w:sz w:val="18"/>
                      <w:szCs w:val="18"/>
                      <w:highlight w:val="none"/>
                    </w:rPr>
                    <w:t>t/a</w:t>
                  </w:r>
                </w:p>
              </w:tc>
              <w:tc>
                <w:tcPr>
                  <w:tcW w:w="327"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油漆</w:t>
                  </w:r>
                  <w:r>
                    <w:rPr>
                      <w:rFonts w:hint="default" w:ascii="Times New Roman" w:hAnsi="Times New Roman" w:cs="Times New Roman"/>
                      <w:color w:val="auto"/>
                      <w:sz w:val="18"/>
                      <w:szCs w:val="18"/>
                      <w:highlight w:val="none"/>
                    </w:rPr>
                    <w:t>固体组分比例%</w:t>
                  </w:r>
                </w:p>
              </w:tc>
              <w:tc>
                <w:tcPr>
                  <w:tcW w:w="426" w:type="pct"/>
                  <w:tcBorders>
                    <w:tl2br w:val="nil"/>
                    <w:tr2bl w:val="nil"/>
                  </w:tcBorders>
                  <w:noWrap w:val="0"/>
                  <w:vAlign w:val="center"/>
                </w:tcPr>
                <w:p>
                  <w:pPr>
                    <w:spacing w:line="3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用漆量t/a</w:t>
                  </w:r>
                </w:p>
              </w:tc>
              <w:tc>
                <w:tcPr>
                  <w:tcW w:w="327"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color w:val="auto"/>
                      <w:kern w:val="0"/>
                      <w:sz w:val="18"/>
                      <w:szCs w:val="18"/>
                      <w:highlight w:val="none"/>
                      <w:u w:val="none"/>
                      <w:lang w:val="en-US" w:eastAsia="zh-CN" w:bidi="ar"/>
                    </w:rPr>
                    <w:t>固化剂中固体组分比</w:t>
                  </w:r>
                  <w:r>
                    <w:rPr>
                      <w:rFonts w:hint="default" w:ascii="Times New Roman" w:hAnsi="Times New Roman" w:cs="Times New Roman"/>
                      <w:color w:val="auto"/>
                      <w:sz w:val="18"/>
                      <w:szCs w:val="18"/>
                      <w:highlight w:val="none"/>
                    </w:rPr>
                    <w:t>%</w:t>
                  </w:r>
                </w:p>
              </w:tc>
              <w:tc>
                <w:tcPr>
                  <w:tcW w:w="3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color w:val="auto"/>
                      <w:kern w:val="0"/>
                      <w:sz w:val="18"/>
                      <w:szCs w:val="18"/>
                      <w:highlight w:val="none"/>
                      <w:u w:val="none"/>
                      <w:lang w:val="en-US" w:eastAsia="zh-CN" w:bidi="ar"/>
                    </w:rPr>
                    <w:t>固化剂量</w:t>
                  </w:r>
                  <w:r>
                    <w:rPr>
                      <w:rFonts w:hint="default" w:ascii="Times New Roman" w:hAnsi="Times New Roman" w:cs="Times New Roman"/>
                      <w:color w:val="auto"/>
                      <w:sz w:val="18"/>
                      <w:szCs w:val="18"/>
                      <w:highlight w:val="none"/>
                    </w:rPr>
                    <w:t>t/a</w:t>
                  </w:r>
                </w:p>
              </w:tc>
              <w:tc>
                <w:tcPr>
                  <w:tcW w:w="372"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color w:val="auto"/>
                      <w:kern w:val="0"/>
                      <w:sz w:val="18"/>
                      <w:szCs w:val="18"/>
                      <w:highlight w:val="none"/>
                      <w:u w:val="none"/>
                      <w:lang w:val="en-US" w:eastAsia="zh-CN" w:bidi="ar"/>
                    </w:rPr>
                    <w:t>稀释剂用量</w:t>
                  </w:r>
                  <w:r>
                    <w:rPr>
                      <w:rFonts w:hint="default" w:ascii="Times New Roman" w:hAnsi="Times New Roman" w:cs="Times New Roman"/>
                      <w:color w:val="auto"/>
                      <w:sz w:val="18"/>
                      <w:szCs w:val="18"/>
                      <w:highlight w:val="none"/>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环氧磷酸锌底漆</w:t>
                  </w:r>
                </w:p>
              </w:tc>
              <w:tc>
                <w:tcPr>
                  <w:tcW w:w="6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cs="Times New Roman"/>
                      <w:color w:val="auto"/>
                      <w:kern w:val="0"/>
                      <w:sz w:val="18"/>
                      <w:szCs w:val="18"/>
                      <w:highlight w:val="none"/>
                      <w:lang w:val="en-US" w:eastAsia="zh-CN" w:bidi="ar"/>
                    </w:rPr>
                    <w:t>320</w:t>
                  </w:r>
                </w:p>
              </w:tc>
              <w:tc>
                <w:tcPr>
                  <w:tcW w:w="51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10.000 </w:t>
                  </w:r>
                </w:p>
              </w:tc>
              <w:tc>
                <w:tcPr>
                  <w:tcW w:w="75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3200.000 </w:t>
                  </w:r>
                </w:p>
              </w:tc>
              <w:tc>
                <w:tcPr>
                  <w:tcW w:w="45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100.000 </w:t>
                  </w:r>
                </w:p>
              </w:tc>
              <w:tc>
                <w:tcPr>
                  <w:tcW w:w="53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1.500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0.480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0.700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0.686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0.800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0.807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0.250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0.161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0.161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GB"/>
                    </w:rPr>
                  </w:pPr>
                  <w:r>
                    <w:rPr>
                      <w:rFonts w:hint="default" w:ascii="Times New Roman" w:hAnsi="Times New Roman" w:eastAsia="宋体" w:cs="Times New Roman"/>
                      <w:i w:val="0"/>
                      <w:iCs w:val="0"/>
                      <w:color w:val="auto"/>
                      <w:kern w:val="0"/>
                      <w:sz w:val="18"/>
                      <w:szCs w:val="18"/>
                      <w:highlight w:val="none"/>
                      <w:u w:val="none"/>
                      <w:lang w:val="en-US" w:eastAsia="zh-CN" w:bidi="ar"/>
                    </w:rPr>
                    <w:t>脂肪族聚氨酯面漆</w:t>
                  </w:r>
                </w:p>
              </w:tc>
              <w:tc>
                <w:tcPr>
                  <w:tcW w:w="6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cs="Times New Roman"/>
                      <w:color w:val="auto"/>
                      <w:kern w:val="0"/>
                      <w:sz w:val="18"/>
                      <w:szCs w:val="18"/>
                      <w:highlight w:val="none"/>
                      <w:lang w:val="en-US" w:eastAsia="zh-CN" w:bidi="ar"/>
                    </w:rPr>
                    <w:t>320</w:t>
                  </w:r>
                </w:p>
              </w:tc>
              <w:tc>
                <w:tcPr>
                  <w:tcW w:w="51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10.000 </w:t>
                  </w:r>
                </w:p>
              </w:tc>
              <w:tc>
                <w:tcPr>
                  <w:tcW w:w="75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3200.000 </w:t>
                  </w:r>
                </w:p>
              </w:tc>
              <w:tc>
                <w:tcPr>
                  <w:tcW w:w="45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80.000 </w:t>
                  </w:r>
                </w:p>
              </w:tc>
              <w:tc>
                <w:tcPr>
                  <w:tcW w:w="53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1.200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0.307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0.700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0.439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0.800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0.510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0.300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0.064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GB" w:eastAsia="zh-CN" w:bidi="ar"/>
                    </w:rPr>
                  </w:pPr>
                  <w:r>
                    <w:rPr>
                      <w:rFonts w:hint="eastAsia" w:ascii="Times New Roman" w:hAnsi="Times New Roman" w:eastAsia="宋体" w:cs="Times New Roman"/>
                      <w:color w:val="auto"/>
                      <w:kern w:val="0"/>
                      <w:sz w:val="18"/>
                      <w:szCs w:val="18"/>
                      <w:highlight w:val="none"/>
                      <w:lang w:val="en-US" w:eastAsia="zh-CN" w:bidi="ar"/>
                    </w:rPr>
                    <w:t xml:space="preserve">0.102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sz w:val="18"/>
                      <w:szCs w:val="18"/>
                      <w:highlight w:val="none"/>
                      <w:lang w:val="en-GB"/>
                    </w:rPr>
                  </w:pPr>
                  <w:r>
                    <w:rPr>
                      <w:rFonts w:hint="default" w:ascii="Times New Roman" w:hAnsi="Times New Roman" w:eastAsia="宋体" w:cs="Times New Roman"/>
                      <w:i w:val="0"/>
                      <w:iCs w:val="0"/>
                      <w:color w:val="auto"/>
                      <w:kern w:val="0"/>
                      <w:sz w:val="18"/>
                      <w:szCs w:val="18"/>
                      <w:highlight w:val="none"/>
                      <w:u w:val="none"/>
                      <w:lang w:val="en-US" w:eastAsia="zh-CN" w:bidi="ar"/>
                    </w:rPr>
                    <w:t>防腐耐磨AB料</w:t>
                  </w:r>
                </w:p>
              </w:tc>
              <w:tc>
                <w:tcPr>
                  <w:tcW w:w="6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cs="Times New Roman"/>
                      <w:color w:val="auto"/>
                      <w:kern w:val="0"/>
                      <w:sz w:val="18"/>
                      <w:szCs w:val="18"/>
                      <w:highlight w:val="none"/>
                      <w:lang w:val="en-US" w:eastAsia="zh-CN" w:bidi="ar"/>
                    </w:rPr>
                  </w:pPr>
                  <w:r>
                    <w:rPr>
                      <w:rFonts w:hint="eastAsia" w:ascii="Times New Roman" w:hAnsi="Times New Roman" w:cs="Times New Roman"/>
                      <w:color w:val="auto"/>
                      <w:kern w:val="0"/>
                      <w:sz w:val="18"/>
                      <w:szCs w:val="18"/>
                      <w:highlight w:val="none"/>
                      <w:lang w:val="en-US" w:eastAsia="zh-CN" w:bidi="ar"/>
                    </w:rPr>
                    <w:t>290</w:t>
                  </w:r>
                </w:p>
              </w:tc>
              <w:tc>
                <w:tcPr>
                  <w:tcW w:w="51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10.000 </w:t>
                  </w:r>
                </w:p>
              </w:tc>
              <w:tc>
                <w:tcPr>
                  <w:tcW w:w="75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2900.000 </w:t>
                  </w:r>
                </w:p>
              </w:tc>
              <w:tc>
                <w:tcPr>
                  <w:tcW w:w="45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1500.000 </w:t>
                  </w:r>
                </w:p>
              </w:tc>
              <w:tc>
                <w:tcPr>
                  <w:tcW w:w="53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1.085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4.720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0.700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6.743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0.875 </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7.706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0.000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0.000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7" w:type="pct"/>
                  <w:tcBorders>
                    <w:tl2br w:val="nil"/>
                    <w:tr2bl w:val="nil"/>
                  </w:tcBorders>
                  <w:noWrap w:val="0"/>
                  <w:vAlign w:val="center"/>
                </w:tcPr>
                <w:p>
                  <w:pPr>
                    <w:widowControl/>
                    <w:snapToGrid w:val="0"/>
                    <w:spacing w:line="300" w:lineRule="exact"/>
                    <w:jc w:val="center"/>
                    <w:rPr>
                      <w:rFonts w:hint="default" w:ascii="Times New Roman" w:hAnsi="Times New Roman" w:cs="Times New Roman"/>
                      <w:color w:val="auto"/>
                      <w:sz w:val="18"/>
                      <w:szCs w:val="18"/>
                      <w:highlight w:val="none"/>
                      <w:lang w:val="en-GB"/>
                    </w:rPr>
                  </w:pPr>
                  <w:r>
                    <w:rPr>
                      <w:rFonts w:hint="default" w:ascii="Times New Roman" w:hAnsi="Times New Roman" w:cs="Times New Roman"/>
                      <w:color w:val="auto"/>
                      <w:sz w:val="18"/>
                      <w:szCs w:val="18"/>
                      <w:highlight w:val="none"/>
                      <w:lang w:val="en-GB"/>
                    </w:rPr>
                    <w:t>合计</w:t>
                  </w:r>
                </w:p>
              </w:tc>
              <w:tc>
                <w:tcPr>
                  <w:tcW w:w="6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930</w:t>
                  </w:r>
                </w:p>
              </w:tc>
              <w:tc>
                <w:tcPr>
                  <w:tcW w:w="51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75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9300.000 </w:t>
                  </w:r>
                </w:p>
              </w:tc>
              <w:tc>
                <w:tcPr>
                  <w:tcW w:w="453"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53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5.507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7.867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9.023 </w:t>
                  </w:r>
                </w:p>
              </w:tc>
              <w:tc>
                <w:tcPr>
                  <w:tcW w:w="54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0.225 </w:t>
                  </w:r>
                </w:p>
              </w:tc>
              <w:tc>
                <w:tcPr>
                  <w:tcW w:w="62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 xml:space="preserve">0.263 </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根据企业提供资料，防腐耐磨AB料为AB组分混合喷涂，不需要固化剂和稀释剂；油性漆和稀释剂比例为4:1；油性漆与固化剂比例为4:1。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根据计算，本项目年消耗环氧磷酸锌底漆0.</w:t>
            </w:r>
            <w:r>
              <w:rPr>
                <w:rFonts w:hint="eastAsia" w:ascii="Times New Roman" w:hAnsi="Times New Roman" w:cs="Times New Roman"/>
                <w:color w:val="auto"/>
                <w:sz w:val="21"/>
                <w:szCs w:val="21"/>
                <w:highlight w:val="none"/>
                <w:lang w:val="en-US" w:eastAsia="zh-CN"/>
              </w:rPr>
              <w:t>807</w:t>
            </w:r>
            <w:r>
              <w:rPr>
                <w:rFonts w:hint="default" w:ascii="Times New Roman" w:hAnsi="Times New Roman" w:cs="Times New Roman"/>
                <w:color w:val="auto"/>
                <w:sz w:val="21"/>
                <w:szCs w:val="21"/>
                <w:highlight w:val="none"/>
                <w:lang w:val="en-US" w:eastAsia="zh-CN"/>
              </w:rPr>
              <w:t>t/a，脂肪族聚氨酯面漆0.</w:t>
            </w:r>
            <w:r>
              <w:rPr>
                <w:rFonts w:hint="eastAsia" w:ascii="Times New Roman" w:hAnsi="Times New Roman" w:cs="Times New Roman"/>
                <w:color w:val="auto"/>
                <w:sz w:val="21"/>
                <w:szCs w:val="21"/>
                <w:highlight w:val="none"/>
                <w:lang w:val="en-US" w:eastAsia="zh-CN"/>
              </w:rPr>
              <w:t>510</w:t>
            </w:r>
            <w:r>
              <w:rPr>
                <w:rFonts w:hint="default" w:ascii="Times New Roman" w:hAnsi="Times New Roman" w:cs="Times New Roman"/>
                <w:color w:val="auto"/>
                <w:sz w:val="21"/>
                <w:szCs w:val="21"/>
                <w:highlight w:val="none"/>
                <w:lang w:val="en-US" w:eastAsia="zh-CN"/>
              </w:rPr>
              <w:t>t/a，防腐耐磨AB料</w:t>
            </w:r>
            <w:r>
              <w:rPr>
                <w:rFonts w:hint="eastAsia" w:ascii="Times New Roman" w:hAnsi="Times New Roman" w:cs="Times New Roman"/>
                <w:color w:val="auto"/>
                <w:sz w:val="21"/>
                <w:szCs w:val="21"/>
                <w:highlight w:val="none"/>
                <w:lang w:val="en-US" w:eastAsia="zh-CN"/>
              </w:rPr>
              <w:t>7.706</w:t>
            </w:r>
            <w:r>
              <w:rPr>
                <w:rFonts w:hint="default" w:ascii="Times New Roman" w:hAnsi="Times New Roman" w:cs="Times New Roman"/>
                <w:color w:val="auto"/>
                <w:sz w:val="21"/>
                <w:szCs w:val="21"/>
                <w:highlight w:val="none"/>
                <w:lang w:val="en-US" w:eastAsia="zh-CN"/>
              </w:rPr>
              <w:t>t/a，固化剂0.</w:t>
            </w:r>
            <w:r>
              <w:rPr>
                <w:rFonts w:hint="eastAsia" w:ascii="Times New Roman" w:hAnsi="Times New Roman" w:cs="Times New Roman"/>
                <w:color w:val="auto"/>
                <w:sz w:val="21"/>
                <w:szCs w:val="21"/>
                <w:highlight w:val="none"/>
                <w:lang w:val="en-US" w:eastAsia="zh-CN"/>
              </w:rPr>
              <w:t>225</w:t>
            </w:r>
            <w:r>
              <w:rPr>
                <w:rFonts w:hint="default" w:ascii="Times New Roman" w:hAnsi="Times New Roman" w:cs="Times New Roman"/>
                <w:color w:val="auto"/>
                <w:sz w:val="21"/>
                <w:szCs w:val="21"/>
                <w:highlight w:val="none"/>
                <w:lang w:val="en-US" w:eastAsia="zh-CN"/>
              </w:rPr>
              <w:t>t/a，稀释剂0.</w:t>
            </w:r>
            <w:r>
              <w:rPr>
                <w:rFonts w:hint="eastAsia" w:ascii="Times New Roman" w:hAnsi="Times New Roman" w:cs="Times New Roman"/>
                <w:color w:val="auto"/>
                <w:sz w:val="21"/>
                <w:szCs w:val="21"/>
                <w:highlight w:val="none"/>
                <w:lang w:val="en-US" w:eastAsia="zh-CN"/>
              </w:rPr>
              <w:t>263</w:t>
            </w:r>
            <w:r>
              <w:rPr>
                <w:rFonts w:hint="default" w:ascii="Times New Roman" w:hAnsi="Times New Roman" w:cs="Times New Roman"/>
                <w:color w:val="auto"/>
                <w:sz w:val="21"/>
                <w:szCs w:val="21"/>
                <w:highlight w:val="none"/>
                <w:lang w:val="en-US" w:eastAsia="zh-CN"/>
              </w:rPr>
              <w:t>a。</w:t>
            </w: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340" w:lineRule="exact"/>
              <w:ind w:left="0" w:leftChars="0" w:right="0" w:rightChars="0" w:firstLine="420" w:firstLineChars="200"/>
              <w:jc w:val="left"/>
              <w:textAlignment w:val="auto"/>
              <w:rPr>
                <w:rFonts w:hint="default" w:ascii="Times New Roman" w:hAnsi="Times New Roman" w:eastAsia="宋体" w:cs="Times New Roman"/>
                <w:bCs/>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8" w:hRule="atLeast"/>
          <w:jc w:val="center"/>
        </w:trPr>
        <w:tc>
          <w:tcPr>
            <w:tcW w:w="412" w:type="dxa"/>
            <w:noWrap w:val="0"/>
            <w:vAlign w:val="center"/>
          </w:tcPr>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工艺流程和产排污环节</w:t>
            </w:r>
          </w:p>
        </w:tc>
        <w:tc>
          <w:tcPr>
            <w:tcW w:w="8649" w:type="dxa"/>
            <w:gridSpan w:val="2"/>
            <w:noWrap w:val="0"/>
            <w:vAlign w:val="top"/>
          </w:tcPr>
          <w:p>
            <w:pPr>
              <w:pageBreakBefore w:val="0"/>
              <w:kinsoku/>
              <w:wordWrap/>
              <w:overflowPunct/>
              <w:bidi w:val="0"/>
              <w:adjustRightInd w:val="0"/>
              <w:snapToGrid w:val="0"/>
              <w:spacing w:beforeAutospacing="0" w:afterAutospacing="0" w:line="480" w:lineRule="exact"/>
              <w:ind w:left="0" w:leftChars="0" w:right="0" w:rightChars="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3655695</wp:posOffset>
                      </wp:positionH>
                      <wp:positionV relativeFrom="paragraph">
                        <wp:posOffset>236855</wp:posOffset>
                      </wp:positionV>
                      <wp:extent cx="22860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_x0000_s1026" o:spid="_x0000_s1026" o:spt="20" style="position:absolute;left:0pt;margin-left:287.85pt;margin-top:18.65pt;height:0.05pt;width:18pt;z-index:251661312;mso-width-relative:page;mso-height-relative:page;" filled="f" stroked="f" coordsize="21600,21600" o:gfxdata="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AqcceXYAAAACQEAAA8AAAAA&#10;AAAAAQAgAAAAIgAAAGRycy9kb3ducmV2LnhtbFBLAQIUABQAAAAIAIdO4kBiMOJVogEAADADAAAO&#10;AAAAAAAAAAEAIAAAACcBAABkcnMvZTJvRG9jLnhtbFBLBQYAAAAABgAGAFkBAAA7BQAAAAA=&#10;">
                      <v:fill on="f" focussize="0,0"/>
                      <v:stroke on="f"/>
                      <v:imagedata o:title=""/>
                      <o:lock v:ext="edit" aspectratio="f"/>
                    </v:line>
                  </w:pict>
                </mc:Fallback>
              </mc:AlternateContent>
            </w:r>
            <w:r>
              <w:rPr>
                <w:rFonts w:hint="default" w:ascii="Times New Roman" w:hAnsi="Times New Roman" w:eastAsia="宋体" w:cs="Times New Roman"/>
                <w:b/>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2703195</wp:posOffset>
                      </wp:positionH>
                      <wp:positionV relativeFrom="paragraph">
                        <wp:posOffset>246380</wp:posOffset>
                      </wp:positionV>
                      <wp:extent cx="228600" cy="635"/>
                      <wp:effectExtent l="0" t="0" r="0" b="0"/>
                      <wp:wrapNone/>
                      <wp:docPr id="7" name="直接连接符 7"/>
                      <wp:cNvGraphicFramePr/>
                      <a:graphic xmlns:a="http://schemas.openxmlformats.org/drawingml/2006/main">
                        <a:graphicData uri="http://schemas.microsoft.com/office/word/2010/wordprocessingShape">
                          <wps:wsp>
                            <wps:cNvCnPr/>
                            <wps:spPr>
                              <a:xfrm>
                                <a:off x="0" y="0"/>
                                <a:ext cx="228600" cy="635"/>
                              </a:xfrm>
                              <a:prstGeom prst="line">
                                <a:avLst/>
                              </a:prstGeom>
                              <a:ln>
                                <a:noFill/>
                              </a:ln>
                            </wps:spPr>
                            <wps:bodyPr upright="1"/>
                          </wps:wsp>
                        </a:graphicData>
                      </a:graphic>
                    </wp:anchor>
                  </w:drawing>
                </mc:Choice>
                <mc:Fallback>
                  <w:pict>
                    <v:line id="_x0000_s1026" o:spid="_x0000_s1026" o:spt="20" style="position:absolute;left:0pt;margin-left:212.85pt;margin-top:19.4pt;height:0.05pt;width:18pt;z-index:251660288;mso-width-relative:page;mso-height-relative:page;" filled="f" stroked="f" coordsize="21600,21600" o:gfxdata="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zRVHq2AAAAAkBAAAPAAAA&#10;AAAAAAEAIAAAACIAAABkcnMvZG93bnJldi54bWxQSwECFAAUAAAACACHTuJAlaGbzKMBAAAwAwAA&#10;DgAAAAAAAAABACAAAAAnAQAAZHJzL2Uyb0RvYy54bWxQSwUGAAAAAAYABgBZAQAAPAUAAAAA&#10;">
                      <v:fill on="f" focussize="0,0"/>
                      <v:stroke on="f"/>
                      <v:imagedata o:title=""/>
                      <o:lock v:ext="edit" aspectratio="f"/>
                    </v:line>
                  </w:pict>
                </mc:Fallback>
              </mc:AlternateContent>
            </w:r>
            <w:r>
              <w:rPr>
                <w:rFonts w:hint="default" w:ascii="Times New Roman" w:hAnsi="Times New Roman" w:eastAsia="宋体" w:cs="Times New Roman"/>
                <w:b/>
                <w:color w:val="auto"/>
                <w:sz w:val="21"/>
                <w:szCs w:val="21"/>
                <w:highlight w:val="none"/>
              </w:rPr>
              <w:t>工艺流程简述(图示)：</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本项目产品为矿石采选所用筛分设备，分细粒分级设备和中、粗粒筛分设备两种。其中中、粗粒筛分设备主要包括后背板、激振器、侧板、支撑座、梁、筛网等几部分，细粒分级设备包括侧板、梁、激振器、筛网</w:t>
            </w:r>
            <w:r>
              <w:rPr>
                <w:rFonts w:hint="eastAsia" w:cs="Times New Roman"/>
                <w:color w:val="auto"/>
                <w:sz w:val="21"/>
                <w:szCs w:val="21"/>
                <w:highlight w:val="none"/>
                <w:lang w:val="en-US" w:eastAsia="zh-CN"/>
              </w:rPr>
              <w:t>或耐磨橡胶件</w:t>
            </w:r>
            <w:r>
              <w:rPr>
                <w:rFonts w:hint="default" w:ascii="Times New Roman" w:hAnsi="Times New Roman" w:cs="Times New Roman"/>
                <w:color w:val="auto"/>
                <w:sz w:val="21"/>
                <w:szCs w:val="21"/>
                <w:highlight w:val="none"/>
                <w:lang w:val="en-US" w:eastAsia="zh-CN"/>
              </w:rPr>
              <w:t>等几部分。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其中，后背板、侧板、支撑座、梁在厂内进行机加工工序；筛网</w:t>
            </w:r>
            <w:r>
              <w:rPr>
                <w:rFonts w:hint="eastAsia" w:cs="Times New Roman"/>
                <w:color w:val="auto"/>
                <w:sz w:val="21"/>
                <w:szCs w:val="21"/>
                <w:highlight w:val="none"/>
                <w:lang w:val="en-US" w:eastAsia="zh-CN"/>
              </w:rPr>
              <w:t>或耐磨橡胶件厂内自行制作</w:t>
            </w:r>
            <w:r>
              <w:rPr>
                <w:rFonts w:hint="default" w:ascii="Times New Roman" w:hAnsi="Times New Roman" w:cs="Times New Roman"/>
                <w:color w:val="auto"/>
                <w:sz w:val="21"/>
                <w:szCs w:val="21"/>
                <w:highlight w:val="none"/>
                <w:lang w:val="en-US" w:eastAsia="zh-CN"/>
              </w:rPr>
              <w:t>；激振器为外购铸件在厂内组装；各部分部件准备好后组装成为成品，在厂内粘胶板、密封、调试之后即为成品待售。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本项目的产品根据客户需求大致分为两种，第一种为出口产品，约占总产能</w:t>
            </w:r>
            <w:r>
              <w:rPr>
                <w:rFonts w:hint="eastAsia" w:cs="Times New Roman"/>
                <w:color w:val="auto"/>
                <w:sz w:val="21"/>
                <w:szCs w:val="21"/>
                <w:highlight w:val="none"/>
                <w:lang w:val="en-US" w:eastAsia="zh-CN"/>
              </w:rPr>
              <w:t>50</w:t>
            </w:r>
            <w:r>
              <w:rPr>
                <w:rFonts w:hint="default" w:ascii="Times New Roman" w:hAnsi="Times New Roman" w:cs="Times New Roman"/>
                <w:color w:val="auto"/>
                <w:sz w:val="21"/>
                <w:szCs w:val="21"/>
                <w:highlight w:val="none"/>
                <w:lang w:val="en-US" w:eastAsia="zh-CN"/>
              </w:rPr>
              <w:t>%，出口产品对表面处理工艺要求较高，喷漆及喷涂工艺在本厂进行；剩余</w:t>
            </w:r>
            <w:r>
              <w:rPr>
                <w:rFonts w:hint="eastAsia" w:cs="Times New Roman"/>
                <w:color w:val="auto"/>
                <w:sz w:val="21"/>
                <w:szCs w:val="21"/>
                <w:highlight w:val="none"/>
                <w:lang w:val="en-US" w:eastAsia="zh-CN"/>
              </w:rPr>
              <w:t>50</w:t>
            </w:r>
            <w:r>
              <w:rPr>
                <w:rFonts w:hint="default" w:ascii="Times New Roman" w:hAnsi="Times New Roman" w:cs="Times New Roman"/>
                <w:color w:val="auto"/>
                <w:sz w:val="21"/>
                <w:szCs w:val="21"/>
                <w:highlight w:val="none"/>
                <w:lang w:val="en-US" w:eastAsia="zh-CN"/>
              </w:rPr>
              <w:t>%为国内销售产品，为提高生产效率，这部分产品喷漆及喷涂工艺委托其他厂家进行。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两种设备生产工艺大致相同，主要包括原料储运、机加工工序、表面处理工序、组装工序、调试工序、粘胶板、外售。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一、原料储运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生产所需的板材、钢材、胶板、筛网、油漆、防腐耐磨涂料、液压油等通过汽车运入厂区，板材、钢材、胶板、筛网通过叉车卸至原料区储存备用，桶装油漆、防腐耐磨涂料、液压油由人工卸至危险品库房。</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二、机加工工序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kern w:val="0"/>
                <w:sz w:val="21"/>
                <w:szCs w:val="21"/>
                <w:highlight w:val="red"/>
                <w:lang w:val="en-US" w:eastAsia="zh-CN" w:bidi="ar"/>
              </w:rPr>
            </w:pPr>
            <w:r>
              <w:rPr>
                <w:rFonts w:hint="default" w:ascii="Times New Roman" w:hAnsi="Times New Roman" w:cs="Times New Roman"/>
                <w:color w:val="auto"/>
                <w:sz w:val="21"/>
                <w:szCs w:val="21"/>
                <w:highlight w:val="none"/>
                <w:lang w:val="en-US" w:eastAsia="zh-CN"/>
              </w:rPr>
              <w:t>后背板、侧板、支撑座、梁需要在厂内进行加工。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①下料工序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按照产品要求对所需原料下料（钢板等使用激光切割机、等离子切割机下料，槽钢、角钢、钢管等使用带锯床进行切割）得到所需尺寸规格，切割产生的颗粒物收集后引入脉冲布袋除尘器处理。带锯床使用切削液润滑冷却，切削液为乳化液：水=2:98配置而成，设备自带切削液箱内循环利用，定期清渣。</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red"/>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w:t>
            </w:r>
            <w:r>
              <w:rPr>
                <w:rFonts w:hint="default" w:ascii="Times New Roman" w:hAnsi="Times New Roman" w:eastAsia="宋体" w:cs="Times New Roman"/>
                <w:b/>
                <w:bCs/>
                <w:color w:val="auto"/>
                <w:kern w:val="0"/>
                <w:sz w:val="21"/>
                <w:szCs w:val="21"/>
                <w:highlight w:val="none"/>
                <w:lang w:val="en-US" w:eastAsia="zh-CN" w:bidi="ar"/>
              </w:rPr>
              <w:t>激光切割机</w:t>
            </w:r>
            <w:r>
              <w:rPr>
                <w:rFonts w:hint="default" w:ascii="Times New Roman" w:hAnsi="Times New Roman" w:cs="Times New Roman"/>
                <w:b/>
                <w:bCs/>
                <w:color w:val="auto"/>
                <w:kern w:val="0"/>
                <w:sz w:val="21"/>
                <w:szCs w:val="21"/>
                <w:highlight w:val="none"/>
                <w:lang w:val="en-US" w:eastAsia="zh-CN" w:bidi="ar"/>
              </w:rPr>
              <w:t>废气G1</w:t>
            </w:r>
            <w:r>
              <w:rPr>
                <w:rFonts w:hint="default" w:ascii="Times New Roman" w:hAnsi="Times New Roman" w:eastAsia="宋体" w:cs="Times New Roman"/>
                <w:b/>
                <w:bCs/>
                <w:color w:val="auto"/>
                <w:kern w:val="0"/>
                <w:sz w:val="21"/>
                <w:szCs w:val="21"/>
                <w:highlight w:val="none"/>
                <w:lang w:val="en-US" w:eastAsia="zh-CN" w:bidi="ar"/>
              </w:rPr>
              <w:t>、等离子切割机</w:t>
            </w:r>
            <w:r>
              <w:rPr>
                <w:rFonts w:hint="default" w:ascii="Times New Roman" w:hAnsi="Times New Roman" w:cs="Times New Roman"/>
                <w:b/>
                <w:bCs/>
                <w:color w:val="auto"/>
                <w:kern w:val="0"/>
                <w:sz w:val="21"/>
                <w:szCs w:val="21"/>
                <w:highlight w:val="none"/>
                <w:lang w:val="en-US" w:eastAsia="zh-CN" w:bidi="ar"/>
              </w:rPr>
              <w:t>废气G2，激光切割机、等离子切割机、带锯床</w:t>
            </w:r>
            <w:r>
              <w:rPr>
                <w:rFonts w:hint="default" w:ascii="Times New Roman" w:hAnsi="Times New Roman" w:eastAsia="宋体" w:cs="Times New Roman"/>
                <w:b/>
                <w:bCs/>
                <w:color w:val="auto"/>
                <w:kern w:val="0"/>
                <w:sz w:val="21"/>
                <w:szCs w:val="21"/>
                <w:highlight w:val="none"/>
                <w:lang w:val="en-US" w:eastAsia="zh-CN" w:bidi="ar"/>
              </w:rPr>
              <w:t>设备噪声</w:t>
            </w:r>
            <w:r>
              <w:rPr>
                <w:rFonts w:hint="default" w:ascii="Times New Roman" w:hAnsi="Times New Roman" w:cs="Times New Roman"/>
                <w:b/>
                <w:bCs/>
                <w:color w:val="auto"/>
                <w:kern w:val="0"/>
                <w:sz w:val="21"/>
                <w:szCs w:val="21"/>
                <w:highlight w:val="none"/>
                <w:lang w:val="en-US" w:eastAsia="zh-CN" w:bidi="ar"/>
              </w:rPr>
              <w:t>N1~N3</w:t>
            </w:r>
            <w:r>
              <w:rPr>
                <w:rFonts w:hint="default" w:ascii="Times New Roman" w:hAnsi="Times New Roman" w:eastAsia="宋体" w:cs="Times New Roman"/>
                <w:b/>
                <w:bCs/>
                <w:color w:val="auto"/>
                <w:kern w:val="0"/>
                <w:sz w:val="21"/>
                <w:szCs w:val="21"/>
                <w:highlight w:val="none"/>
                <w:lang w:val="en-US" w:eastAsia="zh-CN" w:bidi="ar"/>
              </w:rPr>
              <w:t>；固体废物主要为切割过程中产生的边角料</w:t>
            </w:r>
            <w:r>
              <w:rPr>
                <w:rFonts w:hint="default" w:ascii="Times New Roman" w:hAnsi="Times New Roman" w:cs="Times New Roman"/>
                <w:b/>
                <w:bCs/>
                <w:color w:val="auto"/>
                <w:kern w:val="0"/>
                <w:sz w:val="21"/>
                <w:szCs w:val="21"/>
                <w:highlight w:val="none"/>
                <w:lang w:val="en-US" w:eastAsia="zh-CN" w:bidi="ar"/>
              </w:rPr>
              <w:t>S1、含油金属屑S2</w:t>
            </w:r>
            <w:r>
              <w:rPr>
                <w:rFonts w:hint="default" w:ascii="Times New Roman" w:hAnsi="Times New Roman" w:eastAsia="宋体" w:cs="Times New Roman"/>
                <w:b/>
                <w:bCs/>
                <w:color w:val="auto"/>
                <w:kern w:val="0"/>
                <w:sz w:val="21"/>
                <w:szCs w:val="21"/>
                <w:highlight w:val="none"/>
                <w:lang w:val="en-US" w:eastAsia="zh-CN" w:bidi="ar"/>
              </w:rPr>
              <w:t>、机械设备运行与维护过程中产生的废润滑油</w:t>
            </w:r>
            <w:r>
              <w:rPr>
                <w:rFonts w:hint="default" w:ascii="Times New Roman" w:hAnsi="Times New Roman" w:cs="Times New Roman"/>
                <w:b/>
                <w:bCs/>
                <w:color w:val="auto"/>
                <w:kern w:val="0"/>
                <w:sz w:val="21"/>
                <w:szCs w:val="21"/>
                <w:highlight w:val="none"/>
                <w:lang w:val="en-US" w:eastAsia="zh-CN" w:bidi="ar"/>
              </w:rPr>
              <w:t>S3、废切削液S4及废油桶S5，布袋除尘器除尘灰S6</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②机加工工序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通过折弯机将产品按照所需规格进行折弯处理；按照设计要求将原料进行机加工处理后得到所需工件形状。</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机加工工序主要包括车床加工、铣床加工、钻床加工、镗床加工等工艺过程。所用设备为普通车床、数控车床、立式升降台铣床、台式钻床等。生产时将需要加工的工件通过叉车运至加工工序，按照图纸设计要求，利用机加工将工件加工成所需要的尺寸及规格。</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为防止机加工设备泄漏润滑油、液压油，项目在机加工设备下方设置托盘，用于收集泄漏的润滑油、液压油。</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w:t>
            </w:r>
            <w:r>
              <w:rPr>
                <w:rFonts w:hint="default" w:ascii="Times New Roman" w:hAnsi="Times New Roman" w:eastAsia="宋体" w:cs="Times New Roman"/>
                <w:b/>
                <w:bCs/>
                <w:color w:val="auto"/>
                <w:kern w:val="0"/>
                <w:sz w:val="21"/>
                <w:szCs w:val="21"/>
                <w:highlight w:val="none"/>
                <w:lang w:val="en-US" w:eastAsia="zh-CN" w:bidi="ar"/>
              </w:rPr>
              <w:t>折弯机</w:t>
            </w:r>
            <w:r>
              <w:rPr>
                <w:rFonts w:hint="default" w:ascii="Times New Roman" w:hAnsi="Times New Roman" w:cs="Times New Roman"/>
                <w:b/>
                <w:bCs/>
                <w:color w:val="auto"/>
                <w:kern w:val="0"/>
                <w:sz w:val="21"/>
                <w:szCs w:val="21"/>
                <w:highlight w:val="none"/>
                <w:lang w:val="en-US" w:eastAsia="zh-CN" w:bidi="ar"/>
              </w:rPr>
              <w:t>、车床、铣床、钻床</w:t>
            </w:r>
            <w:r>
              <w:rPr>
                <w:rFonts w:hint="default" w:ascii="Times New Roman" w:hAnsi="Times New Roman" w:eastAsia="宋体" w:cs="Times New Roman"/>
                <w:b/>
                <w:bCs/>
                <w:color w:val="auto"/>
                <w:kern w:val="0"/>
                <w:sz w:val="21"/>
                <w:szCs w:val="21"/>
                <w:highlight w:val="none"/>
                <w:lang w:val="en-US" w:eastAsia="zh-CN" w:bidi="ar"/>
              </w:rPr>
              <w:t>设备噪声</w:t>
            </w:r>
            <w:r>
              <w:rPr>
                <w:rFonts w:hint="default" w:ascii="Times New Roman" w:hAnsi="Times New Roman" w:cs="Times New Roman"/>
                <w:b/>
                <w:bCs/>
                <w:color w:val="auto"/>
                <w:kern w:val="0"/>
                <w:sz w:val="21"/>
                <w:szCs w:val="21"/>
                <w:highlight w:val="none"/>
                <w:lang w:val="en-US" w:eastAsia="zh-CN" w:bidi="ar"/>
              </w:rPr>
              <w:t>N4~N7</w:t>
            </w:r>
            <w:r>
              <w:rPr>
                <w:rFonts w:hint="default" w:ascii="Times New Roman" w:hAnsi="Times New Roman" w:eastAsia="宋体" w:cs="Times New Roman"/>
                <w:b/>
                <w:bCs/>
                <w:color w:val="auto"/>
                <w:kern w:val="0"/>
                <w:sz w:val="21"/>
                <w:szCs w:val="21"/>
                <w:highlight w:val="none"/>
                <w:lang w:val="en-US" w:eastAsia="zh-CN" w:bidi="ar"/>
              </w:rPr>
              <w:t>；固体废物主要</w:t>
            </w:r>
            <w:r>
              <w:rPr>
                <w:rFonts w:hint="default" w:ascii="Times New Roman" w:hAnsi="Times New Roman" w:cs="Times New Roman"/>
                <w:b/>
                <w:bCs/>
                <w:color w:val="auto"/>
                <w:kern w:val="0"/>
                <w:sz w:val="21"/>
                <w:szCs w:val="21"/>
                <w:highlight w:val="none"/>
                <w:lang w:val="en-US" w:eastAsia="zh-CN" w:bidi="ar"/>
              </w:rPr>
              <w:t>为机加工</w:t>
            </w:r>
            <w:r>
              <w:rPr>
                <w:rFonts w:hint="default" w:ascii="Times New Roman" w:hAnsi="Times New Roman" w:eastAsia="宋体" w:cs="Times New Roman"/>
                <w:b/>
                <w:bCs/>
                <w:color w:val="auto"/>
                <w:kern w:val="0"/>
                <w:sz w:val="21"/>
                <w:szCs w:val="21"/>
                <w:highlight w:val="none"/>
                <w:lang w:val="en-US" w:eastAsia="zh-CN" w:bidi="ar"/>
              </w:rPr>
              <w:t>过程中产生的边角料S1、机械设备运行与维护过程中产生的废润滑油S3及废油桶S5。</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③组对、焊接工序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kern w:val="0"/>
                <w:sz w:val="24"/>
                <w:szCs w:val="24"/>
                <w:highlight w:val="red"/>
                <w:lang w:val="en-US" w:eastAsia="zh-CN" w:bidi="ar"/>
              </w:rPr>
            </w:pPr>
            <w:r>
              <w:rPr>
                <w:rFonts w:hint="default" w:ascii="Times New Roman" w:hAnsi="Times New Roman" w:cs="Times New Roman"/>
                <w:color w:val="auto"/>
                <w:sz w:val="21"/>
                <w:szCs w:val="21"/>
                <w:highlight w:val="none"/>
                <w:lang w:val="en-US" w:eastAsia="zh-CN"/>
              </w:rPr>
              <w:t>经过机加工之后的零部件部分使用高强螺栓组装，部分采用二氧化碳保护焊、焊接机器人（二保焊）等设备进行焊接（15个焊接平台，5台焊接机器人）。</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二保焊产生的废气G3、焊接机器人产生的废气G4；</w:t>
            </w:r>
            <w:r>
              <w:rPr>
                <w:rFonts w:hint="default" w:ascii="Times New Roman" w:hAnsi="Times New Roman" w:eastAsia="宋体" w:cs="Times New Roman"/>
                <w:b/>
                <w:bCs/>
                <w:color w:val="auto"/>
                <w:kern w:val="0"/>
                <w:sz w:val="21"/>
                <w:szCs w:val="21"/>
                <w:highlight w:val="none"/>
                <w:lang w:val="en-US" w:eastAsia="zh-CN" w:bidi="ar"/>
              </w:rPr>
              <w:t>焊接过程中产生的噪声</w:t>
            </w:r>
            <w:r>
              <w:rPr>
                <w:rFonts w:hint="default" w:ascii="Times New Roman" w:hAnsi="Times New Roman" w:cs="Times New Roman"/>
                <w:b/>
                <w:bCs/>
                <w:color w:val="auto"/>
                <w:kern w:val="0"/>
                <w:sz w:val="21"/>
                <w:szCs w:val="21"/>
                <w:highlight w:val="none"/>
                <w:lang w:val="en-US" w:eastAsia="zh-CN" w:bidi="ar"/>
              </w:rPr>
              <w:t>N8</w:t>
            </w:r>
            <w:r>
              <w:rPr>
                <w:rFonts w:hint="default" w:ascii="Times New Roman" w:hAnsi="Times New Roman" w:eastAsia="宋体" w:cs="Times New Roman"/>
                <w:b/>
                <w:bCs/>
                <w:color w:val="auto"/>
                <w:kern w:val="0"/>
                <w:sz w:val="21"/>
                <w:szCs w:val="21"/>
                <w:highlight w:val="none"/>
                <w:lang w:val="en-US" w:eastAsia="zh-CN" w:bidi="ar"/>
              </w:rPr>
              <w:t>；固体废物主要为</w:t>
            </w:r>
            <w:r>
              <w:rPr>
                <w:rFonts w:hint="default" w:ascii="Times New Roman" w:hAnsi="Times New Roman" w:cs="Times New Roman"/>
                <w:b/>
                <w:bCs/>
                <w:color w:val="auto"/>
                <w:kern w:val="0"/>
                <w:sz w:val="21"/>
                <w:szCs w:val="21"/>
                <w:highlight w:val="none"/>
                <w:lang w:val="en-US" w:eastAsia="zh-CN" w:bidi="ar"/>
              </w:rPr>
              <w:t>布袋除尘器除尘灰S6、</w:t>
            </w:r>
            <w:r>
              <w:rPr>
                <w:rFonts w:hint="default" w:ascii="Times New Roman" w:hAnsi="Times New Roman" w:eastAsia="宋体" w:cs="Times New Roman"/>
                <w:b/>
                <w:bCs/>
                <w:color w:val="auto"/>
                <w:kern w:val="0"/>
                <w:sz w:val="21"/>
                <w:szCs w:val="21"/>
                <w:highlight w:val="none"/>
                <w:lang w:val="en-US" w:eastAsia="zh-CN" w:bidi="ar"/>
              </w:rPr>
              <w:t>焊接过程中产生的废焊丝</w:t>
            </w:r>
            <w:r>
              <w:rPr>
                <w:rFonts w:hint="default" w:ascii="Times New Roman" w:hAnsi="Times New Roman" w:cs="Times New Roman"/>
                <w:b/>
                <w:bCs/>
                <w:color w:val="auto"/>
                <w:kern w:val="0"/>
                <w:sz w:val="21"/>
                <w:szCs w:val="21"/>
                <w:highlight w:val="none"/>
                <w:lang w:val="en-US" w:eastAsia="zh-CN" w:bidi="ar"/>
              </w:rPr>
              <w:t>S7</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三、激振器组装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项目所用激振器原料为外购铸件、轴承、齿轮等。在外协厂家已经按照产品要求规格尺寸进行制作。进厂后仅需人工使用角磨机将毛边打磨后，使用高强螺栓进行组装。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w:t>
            </w:r>
            <w:r>
              <w:rPr>
                <w:rFonts w:hint="default" w:ascii="Times New Roman" w:hAnsi="Times New Roman" w:cs="Times New Roman"/>
                <w:b/>
                <w:bCs/>
                <w:color w:val="auto"/>
                <w:kern w:val="0"/>
                <w:sz w:val="21"/>
                <w:szCs w:val="21"/>
                <w:highlight w:val="none"/>
                <w:lang w:val="en-US" w:eastAsia="zh-CN" w:bidi="ar"/>
              </w:rPr>
              <w:t>主要为打磨粉尘G5；角磨机噪声N9；固体废物主要为打磨过程产生的金属屑S1。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四、表面处理工序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经过组装之后的工件，准备进入表面处理工序，其中底梁为喷涂防腐耐磨材料，其余后背板、侧板、支撑座、激振器需要进行喷漆。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本项目的产品根据客户需求大致分为两种，第一种为出口产品，约占总产能5</w:t>
            </w:r>
            <w:r>
              <w:rPr>
                <w:rFonts w:hint="eastAsia"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%，出口产品对表面处理工艺要求较高，喷漆及喷涂工艺在本厂进行；剩余</w:t>
            </w:r>
            <w:r>
              <w:rPr>
                <w:rFonts w:hint="eastAsia" w:cs="Times New Roman"/>
                <w:color w:val="auto"/>
                <w:sz w:val="21"/>
                <w:szCs w:val="21"/>
                <w:highlight w:val="none"/>
                <w:lang w:val="en-US" w:eastAsia="zh-CN"/>
              </w:rPr>
              <w:t>50</w:t>
            </w:r>
            <w:r>
              <w:rPr>
                <w:rFonts w:hint="default" w:ascii="Times New Roman" w:hAnsi="Times New Roman" w:cs="Times New Roman"/>
                <w:color w:val="auto"/>
                <w:sz w:val="21"/>
                <w:szCs w:val="21"/>
                <w:highlight w:val="none"/>
                <w:lang w:val="en-US" w:eastAsia="zh-CN"/>
              </w:rPr>
              <w:t>%为国内销售产品，为提高生产效率，这部分产品喷漆及喷涂工艺委托其他厂家进行。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①抛丸工序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用抛丸机对工件表面进行清理。清除工件表面的污染物，提供一个增加涂层的附着力表面轮廓，以保证后续喷漆质量。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抛丸是用电动机带动叶轮体旋转，靠离心力的作用，将不锈钢丸抛向工件的表面，使工件的表面获得一定的清洁度和不同的粗糙度，使工件表面的机械性能得到改善，因此提高了工件的抗疲劳性，增加了它和涂层之间的附着力，延长了涂膜的耐久性，也有利于涂料的流平和装饰。</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抛丸使用1台抛丸机，为通过式抛丸机。通过式抛丸机是将工件吊放在输送辊道上，辊道将工件向前输送，当工件进入清理室时，抛丸器开始顺序工作（抛丸机进出口设有橡胶挡板，减少粉尘外溢）。经过抛丸处理后，钢材表面的氧化皮、污物及其它附着物被清理干净。抛丸机的工作方式是连续循环进行，抛丸时间达到要求后，抛丸器自动停止工作。抛丸器抛出的丸粒经过循环处理系统收集、处理，继续供抛丸器使用。循环系统的工作方式为：散落的弹丸经过下部纵向螺旋输送机和横向螺旋输送机输送至斗式提升机，斗式提升机将丸料及杂物提升至清理室上部，由上横向螺旋输送机输送至高效BE分离器，经过BE分离器处理后，灰尘和杂物与好的丸料分离，好的丸料进入储料斗储存，待供抛丸器使用。为了处理抛丸除锈时产生的大量粉尘，抛丸机自带1套除尘器。抛丸机产生的粉尘经自带旋风+布袋除尘器处理后再经脉冲布袋除尘器除尘，通过15m高排气筒排放。</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本项目抛丸设备使用不锈钢丸，平均约一个月补充1次钢丸，一次补充钢丸量为1000kg，年补充钢丸量10t。抛丸设备内设有分离器，将破损的钢丸分离，符合要求的钢丸继续使用。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本工序污染源主要为：抛丸废气G</w:t>
            </w:r>
            <w:r>
              <w:rPr>
                <w:rFonts w:hint="default" w:ascii="Times New Roman" w:hAnsi="Times New Roman" w:cs="Times New Roman"/>
                <w:b/>
                <w:bCs/>
                <w:color w:val="auto"/>
                <w:kern w:val="0"/>
                <w:sz w:val="21"/>
                <w:szCs w:val="21"/>
                <w:highlight w:val="none"/>
                <w:lang w:val="en-US" w:eastAsia="zh-CN" w:bidi="ar"/>
              </w:rPr>
              <w:t>6</w:t>
            </w:r>
            <w:r>
              <w:rPr>
                <w:rFonts w:hint="default" w:ascii="Times New Roman" w:hAnsi="Times New Roman" w:eastAsia="宋体" w:cs="Times New Roman"/>
                <w:b/>
                <w:bCs/>
                <w:color w:val="auto"/>
                <w:kern w:val="0"/>
                <w:sz w:val="21"/>
                <w:szCs w:val="21"/>
                <w:highlight w:val="none"/>
                <w:lang w:val="en-US" w:eastAsia="zh-CN" w:bidi="ar"/>
              </w:rPr>
              <w:t>；抛丸机噪声N1</w:t>
            </w:r>
            <w:r>
              <w:rPr>
                <w:rFonts w:hint="default" w:ascii="Times New Roman" w:hAnsi="Times New Roman" w:cs="Times New Roman"/>
                <w:b/>
                <w:bCs/>
                <w:color w:val="auto"/>
                <w:kern w:val="0"/>
                <w:sz w:val="21"/>
                <w:szCs w:val="21"/>
                <w:highlight w:val="none"/>
                <w:lang w:val="en-US" w:eastAsia="zh-CN" w:bidi="ar"/>
              </w:rPr>
              <w:t>0；抛丸过程产生的废金属屑S1、除尘器除尘灰S6、</w:t>
            </w:r>
            <w:r>
              <w:rPr>
                <w:rFonts w:hint="default" w:ascii="Times New Roman" w:hAnsi="Times New Roman" w:eastAsia="宋体" w:cs="Times New Roman"/>
                <w:b/>
                <w:bCs/>
                <w:color w:val="auto"/>
                <w:kern w:val="0"/>
                <w:sz w:val="21"/>
                <w:szCs w:val="21"/>
                <w:highlight w:val="none"/>
                <w:lang w:val="en-US" w:eastAsia="zh-CN" w:bidi="ar"/>
              </w:rPr>
              <w:t>废钢丸S</w:t>
            </w:r>
            <w:r>
              <w:rPr>
                <w:rFonts w:hint="default" w:ascii="Times New Roman" w:hAnsi="Times New Roman" w:cs="Times New Roman"/>
                <w:b/>
                <w:bCs/>
                <w:color w:val="auto"/>
                <w:kern w:val="0"/>
                <w:sz w:val="21"/>
                <w:szCs w:val="21"/>
                <w:highlight w:val="none"/>
                <w:lang w:val="en-US" w:eastAsia="zh-CN" w:bidi="ar"/>
              </w:rPr>
              <w:t>8</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②喷漆工序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后背板、侧板、支撑座、激振器经过抛丸之后运至喷漆间内进行喷漆。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由于部件为较大型的工件，利用天车起吊工件落于喷漆房的预留工位，喷漆房为密闭式，喷漆房尺寸为15m×8m×</w:t>
            </w:r>
            <w:r>
              <w:rPr>
                <w:rFonts w:hint="eastAsia" w:cs="Times New Roman"/>
                <w:color w:val="auto"/>
                <w:sz w:val="21"/>
                <w:szCs w:val="21"/>
                <w:highlight w:val="none"/>
                <w:lang w:val="en-US" w:eastAsia="zh-CN"/>
              </w:rPr>
              <w:t>6.5</w:t>
            </w:r>
            <w:r>
              <w:rPr>
                <w:rFonts w:hint="default" w:ascii="Times New Roman" w:hAnsi="Times New Roman" w:cs="Times New Roman"/>
                <w:color w:val="auto"/>
                <w:sz w:val="21"/>
                <w:szCs w:val="21"/>
                <w:highlight w:val="none"/>
                <w:lang w:val="en-US" w:eastAsia="zh-CN"/>
              </w:rPr>
              <w:t>m，喷涂工艺采用高压无气喷涂法，高压无气喷涂法是使用高压柱塞泵，直接将油漆加压，形成高压力的油漆，喷出枪口形成雾化气流作用于物体表面的一种喷涂方式，高压无气喷涂法具有涂装效率高、涂料粘度适应性广、涂膜质量好等优点。</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喷漆房采用顶部送风、下部排风的通过式喷漆方式，其基本原理是顶部设送风机送入的新鲜空气，把扬起的喷漆雾进行下压，同时在漆房的下部，通过回风机用气体层流压抑的方式使漆雾自工件周围落入下面地坪格栅板，通过排风系统将喷漆过程中产生的喷漆雾带到地面格栅下的T型空气导流室，然后通过</w:t>
            </w:r>
            <w:r>
              <w:rPr>
                <w:rFonts w:hint="eastAsia" w:cs="Times New Roman"/>
                <w:color w:val="auto"/>
                <w:sz w:val="21"/>
                <w:szCs w:val="21"/>
                <w:highlight w:val="none"/>
                <w:lang w:val="en-US" w:eastAsia="zh-CN"/>
              </w:rPr>
              <w:t>管道</w:t>
            </w:r>
            <w:r>
              <w:rPr>
                <w:rFonts w:hint="default" w:ascii="Times New Roman" w:hAnsi="Times New Roman" w:cs="Times New Roman"/>
                <w:color w:val="auto"/>
                <w:sz w:val="21"/>
                <w:szCs w:val="21"/>
                <w:highlight w:val="none"/>
                <w:lang w:val="en-US" w:eastAsia="zh-CN"/>
              </w:rPr>
              <w:t>进入喷淋塔+过滤棉，废气最后进入活性炭吸附装置，吸附有机废气，脱附产生的废气进入催化燃烧装置，吸附净化后的废气和燃烧产生的废气混合后经排气筒排放。</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送入风量略小于排风量，漆房内部微负压。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eastAsia="宋体" w:cs="Times New Roman"/>
                <w:b/>
                <w:bCs/>
                <w:color w:val="auto"/>
                <w:kern w:val="0"/>
                <w:sz w:val="21"/>
                <w:szCs w:val="21"/>
                <w:highlight w:val="none"/>
                <w:lang w:val="en-US" w:eastAsia="zh-CN" w:bidi="ar"/>
              </w:rPr>
              <w:t>本工序污染源主要为：喷漆工序的主要排污节点为喷漆废气G</w:t>
            </w:r>
            <w:r>
              <w:rPr>
                <w:rFonts w:hint="default" w:ascii="Times New Roman" w:hAnsi="Times New Roman" w:cs="Times New Roman"/>
                <w:b/>
                <w:bCs/>
                <w:color w:val="auto"/>
                <w:kern w:val="0"/>
                <w:sz w:val="21"/>
                <w:szCs w:val="21"/>
                <w:highlight w:val="none"/>
                <w:lang w:val="en-US" w:eastAsia="zh-CN" w:bidi="ar"/>
              </w:rPr>
              <w:t>7</w:t>
            </w:r>
            <w:r>
              <w:rPr>
                <w:rFonts w:hint="default" w:ascii="Times New Roman" w:hAnsi="Times New Roman" w:eastAsia="宋体" w:cs="Times New Roman"/>
                <w:b/>
                <w:bCs/>
                <w:color w:val="auto"/>
                <w:kern w:val="0"/>
                <w:sz w:val="21"/>
                <w:szCs w:val="21"/>
                <w:highlight w:val="none"/>
                <w:lang w:val="en-US" w:eastAsia="zh-CN" w:bidi="ar"/>
              </w:rPr>
              <w:t>、主要污染物为</w:t>
            </w:r>
            <w:r>
              <w:rPr>
                <w:rFonts w:hint="default" w:ascii="Times New Roman" w:hAnsi="Times New Roman" w:cs="Times New Roman"/>
                <w:b/>
                <w:bCs/>
                <w:color w:val="auto"/>
                <w:kern w:val="0"/>
                <w:sz w:val="21"/>
                <w:szCs w:val="21"/>
                <w:highlight w:val="none"/>
                <w:lang w:val="en-US" w:eastAsia="zh-CN" w:bidi="ar"/>
              </w:rPr>
              <w:t>颗粒物</w:t>
            </w:r>
            <w:r>
              <w:rPr>
                <w:rFonts w:hint="default" w:ascii="Times New Roman" w:hAnsi="Times New Roman" w:eastAsia="宋体" w:cs="Times New Roman"/>
                <w:b/>
                <w:bCs/>
                <w:color w:val="auto"/>
                <w:kern w:val="0"/>
                <w:sz w:val="21"/>
                <w:szCs w:val="21"/>
                <w:highlight w:val="none"/>
                <w:lang w:val="en-US" w:eastAsia="zh-CN" w:bidi="ar"/>
              </w:rPr>
              <w:t>、苯、甲苯、二甲苯；漆渣S</w:t>
            </w:r>
            <w:r>
              <w:rPr>
                <w:rFonts w:hint="default" w:ascii="Times New Roman" w:hAnsi="Times New Roman" w:cs="Times New Roman"/>
                <w:b/>
                <w:bCs/>
                <w:color w:val="auto"/>
                <w:kern w:val="0"/>
                <w:sz w:val="21"/>
                <w:szCs w:val="21"/>
                <w:highlight w:val="none"/>
                <w:lang w:val="en-US" w:eastAsia="zh-CN" w:bidi="ar"/>
              </w:rPr>
              <w:t>9</w:t>
            </w:r>
            <w:r>
              <w:rPr>
                <w:rFonts w:hint="default" w:ascii="Times New Roman" w:hAnsi="Times New Roman" w:eastAsia="宋体" w:cs="Times New Roman"/>
                <w:b/>
                <w:bCs/>
                <w:color w:val="auto"/>
                <w:kern w:val="0"/>
                <w:sz w:val="21"/>
                <w:szCs w:val="21"/>
                <w:highlight w:val="none"/>
                <w:lang w:val="en-US" w:eastAsia="zh-CN" w:bidi="ar"/>
              </w:rPr>
              <w:t>、喷漆设备噪声N</w:t>
            </w:r>
            <w:r>
              <w:rPr>
                <w:rFonts w:hint="default" w:ascii="Times New Roman" w:hAnsi="Times New Roman" w:cs="Times New Roman"/>
                <w:b/>
                <w:bCs/>
                <w:color w:val="auto"/>
                <w:kern w:val="0"/>
                <w:sz w:val="21"/>
                <w:szCs w:val="21"/>
                <w:highlight w:val="none"/>
                <w:lang w:val="en-US" w:eastAsia="zh-CN" w:bidi="ar"/>
              </w:rPr>
              <w:t>11</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喷漆之后工件由工位小车送入晾干间（12m×8m×</w:t>
            </w:r>
            <w:r>
              <w:rPr>
                <w:rFonts w:hint="eastAsia" w:cs="Times New Roman"/>
                <w:color w:val="auto"/>
                <w:sz w:val="21"/>
                <w:szCs w:val="21"/>
                <w:highlight w:val="none"/>
                <w:lang w:val="en-US" w:eastAsia="zh-CN"/>
              </w:rPr>
              <w:t>6.5</w:t>
            </w:r>
            <w:r>
              <w:rPr>
                <w:rFonts w:hint="default" w:ascii="Times New Roman" w:hAnsi="Times New Roman" w:cs="Times New Roman"/>
                <w:color w:val="auto"/>
                <w:sz w:val="21"/>
                <w:szCs w:val="21"/>
                <w:highlight w:val="none"/>
                <w:lang w:val="en-US" w:eastAsia="zh-CN"/>
              </w:rPr>
              <w:t>m），在自然条件下晾干，不需烘干。</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晾干</w:t>
            </w:r>
            <w:r>
              <w:rPr>
                <w:rFonts w:hint="default" w:ascii="Times New Roman" w:hAnsi="Times New Roman" w:eastAsia="宋体" w:cs="Times New Roman"/>
                <w:b/>
                <w:bCs/>
                <w:color w:val="auto"/>
                <w:kern w:val="0"/>
                <w:sz w:val="21"/>
                <w:szCs w:val="21"/>
                <w:highlight w:val="none"/>
                <w:lang w:val="en-US" w:eastAsia="zh-CN" w:bidi="ar"/>
              </w:rPr>
              <w:t>废气G</w:t>
            </w:r>
            <w:r>
              <w:rPr>
                <w:rFonts w:hint="default" w:ascii="Times New Roman" w:hAnsi="Times New Roman" w:cs="Times New Roman"/>
                <w:b/>
                <w:bCs/>
                <w:color w:val="auto"/>
                <w:kern w:val="0"/>
                <w:sz w:val="21"/>
                <w:szCs w:val="21"/>
                <w:highlight w:val="none"/>
                <w:lang w:val="en-US" w:eastAsia="zh-CN" w:bidi="ar"/>
              </w:rPr>
              <w:t>8，</w:t>
            </w:r>
            <w:r>
              <w:rPr>
                <w:rFonts w:hint="default" w:ascii="Times New Roman" w:hAnsi="Times New Roman" w:eastAsia="宋体" w:cs="Times New Roman"/>
                <w:b/>
                <w:bCs/>
                <w:color w:val="auto"/>
                <w:kern w:val="0"/>
                <w:sz w:val="21"/>
                <w:szCs w:val="21"/>
                <w:highlight w:val="none"/>
                <w:lang w:val="en-US" w:eastAsia="zh-CN" w:bidi="ar"/>
              </w:rPr>
              <w:t>主要污染物苯、甲苯、二甲苯。</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底漆喷涂完毕晾干之后，地面链带动工位小车上摆渡车返回喷漆房，对工件进行面漆喷涂，喷涂工艺与底漆完全相同。面漆喷涂完毕之后工件送入晾干间自然晾干。</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本项目调漆在各自的漆喷涂室进行，不单设调漆间。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喷枪需每天清洗，油性漆喷枪清洗溶剂为稀释剂，清洗完喷枪的溶剂用作油漆调漆，不外排，喷枪清洗在喷漆房内进行。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③喷涂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底梁经过抛丸之后运至喷涂间内进行喷涂防腐耐磨涂料。设置两个喷涂间，尺寸为8m×8m×7m。</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防腐耐磨涂料为AB型涂料。外购A料和B料分别置于原料桶内，储存于原料堆存区，生产前将两种原料桶内的原料通过上料泵分别加到混料机内，通过自动化控制，将两种原料按比例加到2000L保温罐内。通过电加热的方式加热混料，加热温度约为60℃。保温罐配有温控装置，以保证保温罐的温度。将加热掺混好的防腐耐磨涂料通过输送管输送到喷枪内，由喷枪喷涂于工件底梁上，人工控制喷涂位置和喷敷厚度，待涂料涂层自然凝固后，进入下一工序。喷涂间采用侧向送风、侧向排风的废气收集方式，将喷涂有机废气收集至废气处理装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喷涂</w:t>
            </w:r>
            <w:r>
              <w:rPr>
                <w:rFonts w:hint="default" w:ascii="Times New Roman" w:hAnsi="Times New Roman" w:eastAsia="宋体" w:cs="Times New Roman"/>
                <w:b/>
                <w:bCs/>
                <w:color w:val="auto"/>
                <w:kern w:val="0"/>
                <w:sz w:val="21"/>
                <w:szCs w:val="21"/>
                <w:highlight w:val="none"/>
                <w:lang w:val="en-US" w:eastAsia="zh-CN" w:bidi="ar"/>
              </w:rPr>
              <w:t>废气G</w:t>
            </w:r>
            <w:r>
              <w:rPr>
                <w:rFonts w:hint="default" w:ascii="Times New Roman" w:hAnsi="Times New Roman" w:cs="Times New Roman"/>
                <w:b/>
                <w:bCs/>
                <w:color w:val="auto"/>
                <w:kern w:val="0"/>
                <w:sz w:val="21"/>
                <w:szCs w:val="21"/>
                <w:highlight w:val="none"/>
                <w:lang w:val="en-US" w:eastAsia="zh-CN" w:bidi="ar"/>
              </w:rPr>
              <w:t>9</w:t>
            </w:r>
            <w:r>
              <w:rPr>
                <w:rFonts w:hint="default" w:ascii="Times New Roman" w:hAnsi="Times New Roman" w:eastAsia="宋体" w:cs="Times New Roman"/>
                <w:b/>
                <w:bCs/>
                <w:color w:val="auto"/>
                <w:kern w:val="0"/>
                <w:sz w:val="21"/>
                <w:szCs w:val="21"/>
                <w:highlight w:val="none"/>
                <w:lang w:val="en-US" w:eastAsia="zh-CN" w:bidi="ar"/>
              </w:rPr>
              <w:t>、主要污染物为</w:t>
            </w:r>
            <w:r>
              <w:rPr>
                <w:rFonts w:hint="default" w:ascii="Times New Roman" w:hAnsi="Times New Roman" w:cs="Times New Roman"/>
                <w:b/>
                <w:bCs/>
                <w:color w:val="auto"/>
                <w:kern w:val="0"/>
                <w:sz w:val="21"/>
                <w:szCs w:val="21"/>
                <w:highlight w:val="none"/>
                <w:lang w:val="en-US" w:eastAsia="zh-CN" w:bidi="ar"/>
              </w:rPr>
              <w:t>颗粒物</w:t>
            </w:r>
            <w:r>
              <w:rPr>
                <w:rFonts w:hint="default" w:ascii="Times New Roman" w:hAnsi="Times New Roman" w:eastAsia="宋体" w:cs="Times New Roman"/>
                <w:b/>
                <w:bCs/>
                <w:color w:val="auto"/>
                <w:kern w:val="0"/>
                <w:sz w:val="21"/>
                <w:szCs w:val="21"/>
                <w:highlight w:val="none"/>
                <w:lang w:val="en-US" w:eastAsia="zh-CN" w:bidi="ar"/>
              </w:rPr>
              <w:t>、非甲烷总烃、甲苯、二甲苯；漆渣S</w:t>
            </w:r>
            <w:r>
              <w:rPr>
                <w:rFonts w:hint="default" w:ascii="Times New Roman" w:hAnsi="Times New Roman" w:cs="Times New Roman"/>
                <w:b/>
                <w:bCs/>
                <w:color w:val="auto"/>
                <w:kern w:val="0"/>
                <w:sz w:val="21"/>
                <w:szCs w:val="21"/>
                <w:highlight w:val="none"/>
                <w:lang w:val="en-US" w:eastAsia="zh-CN" w:bidi="ar"/>
              </w:rPr>
              <w:t>9</w:t>
            </w:r>
            <w:r>
              <w:rPr>
                <w:rFonts w:hint="default" w:ascii="Times New Roman" w:hAnsi="Times New Roman" w:eastAsia="宋体" w:cs="Times New Roman"/>
                <w:b/>
                <w:bCs/>
                <w:color w:val="auto"/>
                <w:kern w:val="0"/>
                <w:sz w:val="21"/>
                <w:szCs w:val="21"/>
                <w:highlight w:val="none"/>
                <w:lang w:val="en-US" w:eastAsia="zh-CN" w:bidi="ar"/>
              </w:rPr>
              <w:t>、喷涂设备噪声N</w:t>
            </w:r>
            <w:r>
              <w:rPr>
                <w:rFonts w:hint="default" w:ascii="Times New Roman" w:hAnsi="Times New Roman" w:cs="Times New Roman"/>
                <w:b/>
                <w:bCs/>
                <w:color w:val="auto"/>
                <w:kern w:val="0"/>
                <w:sz w:val="21"/>
                <w:szCs w:val="21"/>
                <w:highlight w:val="none"/>
                <w:lang w:val="en-US" w:eastAsia="zh-CN" w:bidi="ar"/>
              </w:rPr>
              <w:t>12</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五、制作筛网或耐磨橡胶件</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项目使用天然橡胶制作筛网或耐磨橡胶件，制品全部用于本厂内矿山机械设备组装配件，不单独外售。筛网和耐磨胶件有关橡胶工序生产工艺相同，区别在于筛网内部辅设钢制埋件，项目所用钢制埋件为外购成品，不在厂内加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橡胶、炭黑</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硫磺、氧化锌等原料均由汽车运至厂区生产车间内，存于配料间内。本项目使用的固态原料均在密闭的配料室进行称量配料。采用手动称量的方式，由人工利用不同规格的舀子将包装袋中粉料慢慢转移至高压聚乙烯塑料袋中，在电子称上称量，称量完毕后系好袋子，备用。称量完成的块状天然橡胶，人工拿到切胶机处，切成较小的块状</w:t>
            </w:r>
            <w:r>
              <w:rPr>
                <w:rFonts w:hint="eastAsia" w:cs="Times New Roman"/>
                <w:color w:val="auto"/>
                <w:sz w:val="21"/>
                <w:szCs w:val="21"/>
                <w:highlight w:val="none"/>
                <w:lang w:val="en-US" w:eastAsia="zh-CN"/>
              </w:rPr>
              <w:t>，之后</w:t>
            </w:r>
            <w:r>
              <w:rPr>
                <w:rFonts w:hint="default" w:ascii="Times New Roman" w:hAnsi="Times New Roman" w:cs="Times New Roman"/>
                <w:color w:val="auto"/>
                <w:sz w:val="21"/>
                <w:szCs w:val="21"/>
                <w:highlight w:val="none"/>
                <w:lang w:val="en-US" w:eastAsia="zh-CN"/>
              </w:rPr>
              <w:t>放入捏炼机中进行捏炼，并将已经称量完成的粉料（主要为炭黑、白炭黑、氧化锌、硫磺等粉状原料）连同高压聚乙烯塑料袋一同直接放入捏炼机中进行捏炼，捏炼过程中使粉料和橡胶在捏炼机内充分搅拌，使混合剂均匀地分散在生胶中，形成混炼胶。捏炼温度为110℃，捏炼时间为10min。为防止捏炼温度过高，捏炼机</w:t>
            </w:r>
            <w:r>
              <w:rPr>
                <w:rFonts w:hint="eastAsia" w:cs="Times New Roman"/>
                <w:color w:val="auto"/>
                <w:sz w:val="21"/>
                <w:szCs w:val="21"/>
                <w:highlight w:val="none"/>
                <w:lang w:val="en-US" w:eastAsia="zh-CN"/>
              </w:rPr>
              <w:t>冷却采用内循环水冷</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捏炼完成的</w:t>
            </w:r>
            <w:r>
              <w:rPr>
                <w:rFonts w:hint="eastAsia" w:cs="Times New Roman"/>
                <w:color w:val="auto"/>
                <w:sz w:val="21"/>
                <w:szCs w:val="21"/>
                <w:highlight w:val="none"/>
                <w:lang w:val="en-US" w:eastAsia="zh-CN"/>
              </w:rPr>
              <w:t>混炼胶</w:t>
            </w:r>
            <w:r>
              <w:rPr>
                <w:rFonts w:hint="default" w:ascii="Times New Roman" w:hAnsi="Times New Roman" w:cs="Times New Roman"/>
                <w:color w:val="auto"/>
                <w:sz w:val="21"/>
                <w:szCs w:val="21"/>
                <w:highlight w:val="none"/>
                <w:lang w:val="en-US" w:eastAsia="zh-CN"/>
              </w:rPr>
              <w:t>由人工放入开</w:t>
            </w:r>
            <w:r>
              <w:rPr>
                <w:rFonts w:hint="eastAsia" w:cs="Times New Roman"/>
                <w:color w:val="auto"/>
                <w:sz w:val="21"/>
                <w:szCs w:val="21"/>
                <w:highlight w:val="none"/>
                <w:lang w:val="en-US" w:eastAsia="zh-CN"/>
              </w:rPr>
              <w:t>胶</w:t>
            </w:r>
            <w:r>
              <w:rPr>
                <w:rFonts w:hint="default" w:ascii="Times New Roman" w:hAnsi="Times New Roman" w:cs="Times New Roman"/>
                <w:color w:val="auto"/>
                <w:sz w:val="21"/>
                <w:szCs w:val="21"/>
                <w:highlight w:val="none"/>
                <w:lang w:val="en-US" w:eastAsia="zh-CN"/>
              </w:rPr>
              <w:t>机中，并向开炼机中人工加入硫磺，然后进行开炼，通过开炼机的机械挤压和摩擦力的作用，将块状的原料由高弹性状态转变为可塑状态，完成生胶的塑炼过程。开炼温度为55℃左右，开炼时间为20min。为防止开炼温度过高，开</w:t>
            </w:r>
            <w:r>
              <w:rPr>
                <w:rFonts w:hint="eastAsia" w:cs="Times New Roman"/>
                <w:color w:val="auto"/>
                <w:sz w:val="21"/>
                <w:szCs w:val="21"/>
                <w:highlight w:val="none"/>
                <w:lang w:val="en-US" w:eastAsia="zh-CN"/>
              </w:rPr>
              <w:t>胶</w:t>
            </w:r>
            <w:r>
              <w:rPr>
                <w:rFonts w:hint="default" w:ascii="Times New Roman" w:hAnsi="Times New Roman" w:cs="Times New Roman"/>
                <w:color w:val="auto"/>
                <w:sz w:val="21"/>
                <w:szCs w:val="21"/>
                <w:highlight w:val="none"/>
                <w:lang w:val="en-US" w:eastAsia="zh-CN"/>
              </w:rPr>
              <w:t>机</w:t>
            </w:r>
            <w:r>
              <w:rPr>
                <w:rFonts w:hint="eastAsia" w:cs="Times New Roman"/>
                <w:color w:val="auto"/>
                <w:sz w:val="21"/>
                <w:szCs w:val="21"/>
                <w:highlight w:val="none"/>
                <w:lang w:val="en-US" w:eastAsia="zh-CN"/>
              </w:rPr>
              <w:t>冷却采用内循环水冷</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开炼完成的混炼胶由人工转移至晾片、晾卷区，进行晾置，晾置时间为</w:t>
            </w:r>
            <w:r>
              <w:rPr>
                <w:rFonts w:hint="eastAsia" w:cs="Times New Roman"/>
                <w:color w:val="auto"/>
                <w:sz w:val="21"/>
                <w:szCs w:val="21"/>
                <w:highlight w:val="none"/>
                <w:lang w:val="en-US" w:eastAsia="zh-CN"/>
              </w:rPr>
              <w:t>16-24</w:t>
            </w:r>
            <w:r>
              <w:rPr>
                <w:rFonts w:hint="default" w:ascii="Times New Roman" w:hAnsi="Times New Roman" w:cs="Times New Roman"/>
                <w:color w:val="auto"/>
                <w:sz w:val="21"/>
                <w:szCs w:val="21"/>
                <w:highlight w:val="none"/>
                <w:lang w:val="en-US" w:eastAsia="zh-CN"/>
              </w:rPr>
              <w:t>h。</w:t>
            </w:r>
            <w:r>
              <w:rPr>
                <w:rFonts w:hint="eastAsia" w:cs="Times New Roman"/>
                <w:color w:val="auto"/>
                <w:sz w:val="21"/>
                <w:szCs w:val="21"/>
                <w:highlight w:val="none"/>
                <w:lang w:val="en-US" w:eastAsia="zh-CN"/>
              </w:rPr>
              <w:t>晾置完成的</w:t>
            </w:r>
            <w:r>
              <w:rPr>
                <w:rFonts w:hint="default" w:ascii="Times New Roman" w:hAnsi="Times New Roman" w:cs="Times New Roman"/>
                <w:color w:val="auto"/>
                <w:sz w:val="21"/>
                <w:szCs w:val="21"/>
                <w:highlight w:val="none"/>
                <w:lang w:val="en-US" w:eastAsia="zh-CN"/>
              </w:rPr>
              <w:t>混炼胶运至开炼机处再次进行精炼，精炼时需要添加硫磺，精炼温度为 55℃左右，精炼时间为20min。精炼完成后即为塑性橡胶。为防止精炼温度过高，设备</w:t>
            </w:r>
            <w:r>
              <w:rPr>
                <w:rFonts w:hint="eastAsia" w:cs="Times New Roman"/>
                <w:color w:val="auto"/>
                <w:sz w:val="21"/>
                <w:szCs w:val="21"/>
                <w:highlight w:val="none"/>
                <w:lang w:val="en-US" w:eastAsia="zh-CN"/>
              </w:rPr>
              <w:t>冷却采用风冷</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精炼完成的胶由挤出机进行挤出，挤出温度为70℃~80℃，挤出成片状的塑性橡胶，运至硫化机处待用。将塑性橡胶放入相应的橡胶件模具或胶板模具内，借助成型的阴阳模具、热压成型，保温一定时间后，完成塑性橡胶的熟化，得到高弹耐磨的橡胶件或橡胶胶板。将外购的骨架涂开姆洛克胶（涂胶工序位于刷胶间内）后放入相应的筛板模具内，然后再填充塑性橡胶，使塑性橡胶均匀的包裹在骨架外部，借助成型的阴阳模具、将塑性橡胶与骨架压制成一体，将模具加热保温一定时间后，完成塑性橡胶的熟化，得到高弹耐磨的橡胶筛板。</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产排污节点：</w:t>
            </w:r>
            <w:r>
              <w:rPr>
                <w:rFonts w:hint="eastAsia" w:cs="Times New Roman"/>
                <w:b/>
                <w:bCs/>
                <w:color w:val="auto"/>
                <w:sz w:val="21"/>
                <w:szCs w:val="21"/>
                <w:highlight w:val="none"/>
                <w:lang w:val="en-US" w:eastAsia="zh-CN"/>
              </w:rPr>
              <w:t>配料、捏炼、开炼、精炼</w:t>
            </w:r>
            <w:r>
              <w:rPr>
                <w:rFonts w:hint="default" w:ascii="Times New Roman" w:hAnsi="Times New Roman" w:cs="Times New Roman"/>
                <w:b/>
                <w:bCs/>
                <w:color w:val="auto"/>
                <w:sz w:val="21"/>
                <w:szCs w:val="21"/>
                <w:highlight w:val="none"/>
                <w:lang w:val="en-US" w:eastAsia="zh-CN"/>
              </w:rPr>
              <w:t>产生</w:t>
            </w:r>
            <w:r>
              <w:rPr>
                <w:rFonts w:hint="eastAsia" w:cs="Times New Roman"/>
                <w:b/>
                <w:bCs/>
                <w:color w:val="auto"/>
                <w:sz w:val="21"/>
                <w:szCs w:val="21"/>
                <w:highlight w:val="none"/>
                <w:lang w:val="en-US" w:eastAsia="zh-CN"/>
              </w:rPr>
              <w:t>的废气G13</w:t>
            </w:r>
            <w:r>
              <w:rPr>
                <w:rFonts w:hint="default" w:ascii="Times New Roman" w:hAnsi="Times New Roman" w:cs="Times New Roman"/>
                <w:b/>
                <w:bCs/>
                <w:color w:val="auto"/>
                <w:sz w:val="21"/>
                <w:szCs w:val="21"/>
                <w:highlight w:val="none"/>
                <w:lang w:val="en-US" w:eastAsia="zh-CN"/>
              </w:rPr>
              <w:t>、捏炼机运行过程中产生的噪声</w:t>
            </w:r>
            <w:r>
              <w:rPr>
                <w:rFonts w:hint="eastAsia" w:cs="Times New Roman"/>
                <w:b/>
                <w:bCs/>
                <w:color w:val="auto"/>
                <w:sz w:val="21"/>
                <w:szCs w:val="21"/>
                <w:highlight w:val="none"/>
                <w:lang w:val="en-US" w:eastAsia="zh-CN"/>
              </w:rPr>
              <w:t>N17，</w:t>
            </w:r>
            <w:r>
              <w:rPr>
                <w:rFonts w:hint="default" w:ascii="Times New Roman" w:hAnsi="Times New Roman" w:cs="Times New Roman"/>
                <w:b/>
                <w:bCs/>
                <w:color w:val="auto"/>
                <w:sz w:val="21"/>
                <w:szCs w:val="21"/>
                <w:highlight w:val="none"/>
                <w:lang w:val="en-US" w:eastAsia="zh-CN"/>
              </w:rPr>
              <w:t>开炼</w:t>
            </w:r>
            <w:r>
              <w:rPr>
                <w:rFonts w:hint="eastAsia" w:cs="Times New Roman"/>
                <w:b/>
                <w:bCs/>
                <w:color w:val="auto"/>
                <w:sz w:val="21"/>
                <w:szCs w:val="21"/>
                <w:highlight w:val="none"/>
                <w:lang w:val="en-US" w:eastAsia="zh-CN"/>
              </w:rPr>
              <w:t>、精炼、挤出</w:t>
            </w:r>
            <w:r>
              <w:rPr>
                <w:rFonts w:hint="default" w:ascii="Times New Roman" w:hAnsi="Times New Roman" w:cs="Times New Roman"/>
                <w:b/>
                <w:bCs/>
                <w:color w:val="auto"/>
                <w:sz w:val="21"/>
                <w:szCs w:val="21"/>
                <w:highlight w:val="none"/>
                <w:lang w:val="en-US" w:eastAsia="zh-CN"/>
              </w:rPr>
              <w:t>过程中产生的噪声</w:t>
            </w:r>
            <w:r>
              <w:rPr>
                <w:rFonts w:hint="eastAsia" w:cs="Times New Roman"/>
                <w:b/>
                <w:bCs/>
                <w:color w:val="auto"/>
                <w:sz w:val="21"/>
                <w:szCs w:val="21"/>
                <w:highlight w:val="none"/>
                <w:lang w:val="en-US" w:eastAsia="zh-CN"/>
              </w:rPr>
              <w:t>N18、19，硫化过程产生的废气G14，硫化机产生的噪声N20。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六</w:t>
            </w:r>
            <w:r>
              <w:rPr>
                <w:rFonts w:hint="default" w:ascii="Times New Roman" w:hAnsi="Times New Roman" w:cs="Times New Roman"/>
                <w:color w:val="auto"/>
                <w:sz w:val="21"/>
                <w:szCs w:val="21"/>
                <w:highlight w:val="none"/>
                <w:lang w:val="en-US" w:eastAsia="zh-CN"/>
              </w:rPr>
              <w:t>、粘胶工序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经过调试合格之后的产品，进入粘胶工序，将设备内部后期使用时需要与物料接触的部分粘橡胶板，提高设备耐磨性能。在胶板打磨间内（6m×5m×3m）内，首先使用小型电动气动设备先将外购的橡胶板进行打磨增加其比表面积，之后将橡胶板送入粘胶板间（2座，每座尺寸为24m×8m×5m），将外购的粘合剂、固化剂、活化剂等按比例调和后，人工涂抹在粘合侧的表面将橡胶板与设备表面进行粘接。粘好橡胶板的工件放在粘胶板间自然晾干。</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打磨胶板产生的颗粒物G10，粘胶工序产生的废气G11（</w:t>
            </w:r>
            <w:r>
              <w:rPr>
                <w:rFonts w:hint="default" w:ascii="Times New Roman" w:hAnsi="Times New Roman" w:eastAsia="宋体" w:cs="Times New Roman"/>
                <w:b/>
                <w:bCs/>
                <w:color w:val="auto"/>
                <w:kern w:val="0"/>
                <w:sz w:val="21"/>
                <w:szCs w:val="21"/>
                <w:highlight w:val="none"/>
                <w:lang w:val="en-US" w:eastAsia="zh-CN" w:bidi="ar"/>
              </w:rPr>
              <w:t>主要污染物为VOCs（含苯、甲苯、二甲苯）</w:t>
            </w:r>
            <w:r>
              <w:rPr>
                <w:rFonts w:hint="default" w:ascii="Times New Roman" w:hAnsi="Times New Roman" w:cs="Times New Roman"/>
                <w:b/>
                <w:bCs/>
                <w:color w:val="auto"/>
                <w:kern w:val="0"/>
                <w:sz w:val="21"/>
                <w:szCs w:val="21"/>
                <w:highlight w:val="none"/>
                <w:lang w:val="en-US" w:eastAsia="zh-CN" w:bidi="ar"/>
              </w:rPr>
              <w:t>），打磨噪声</w:t>
            </w:r>
            <w:r>
              <w:rPr>
                <w:rFonts w:hint="default" w:ascii="Times New Roman" w:hAnsi="Times New Roman" w:eastAsia="宋体" w:cs="Times New Roman"/>
                <w:b/>
                <w:bCs/>
                <w:color w:val="auto"/>
                <w:kern w:val="0"/>
                <w:sz w:val="21"/>
                <w:szCs w:val="21"/>
                <w:highlight w:val="none"/>
                <w:lang w:val="en-US" w:eastAsia="zh-CN" w:bidi="ar"/>
              </w:rPr>
              <w:t>N</w:t>
            </w:r>
            <w:r>
              <w:rPr>
                <w:rFonts w:hint="default" w:ascii="Times New Roman" w:hAnsi="Times New Roman" w:cs="Times New Roman"/>
                <w:b/>
                <w:bCs/>
                <w:color w:val="auto"/>
                <w:kern w:val="0"/>
                <w:sz w:val="21"/>
                <w:szCs w:val="21"/>
                <w:highlight w:val="none"/>
                <w:lang w:val="en-US" w:eastAsia="zh-CN" w:bidi="ar"/>
              </w:rPr>
              <w:t>14</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七</w:t>
            </w:r>
            <w:r>
              <w:rPr>
                <w:rFonts w:hint="default" w:ascii="Times New Roman" w:hAnsi="Times New Roman" w:cs="Times New Roman"/>
                <w:color w:val="auto"/>
                <w:sz w:val="21"/>
                <w:szCs w:val="21"/>
                <w:highlight w:val="none"/>
                <w:lang w:val="en-US" w:eastAsia="zh-CN"/>
              </w:rPr>
              <w:t>、组装工序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经过表面处理工序之后的半成品工件由人工进行组装，组装方式为高强螺栓或铆钉，经过组装之后即为半成品。</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八</w:t>
            </w:r>
            <w:r>
              <w:rPr>
                <w:rFonts w:hint="default" w:ascii="Times New Roman" w:hAnsi="Times New Roman" w:cs="Times New Roman"/>
                <w:color w:val="auto"/>
                <w:sz w:val="21"/>
                <w:szCs w:val="21"/>
                <w:highlight w:val="none"/>
                <w:lang w:val="en-US" w:eastAsia="zh-CN"/>
              </w:rPr>
              <w:t>、调试</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组装之后对产品振动等性能进行测试，合格产品进入下一步工序，不合格产品重新进行组装。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本工序污染源主要为：</w:t>
            </w:r>
            <w:r>
              <w:rPr>
                <w:rFonts w:hint="default" w:ascii="Times New Roman" w:hAnsi="Times New Roman" w:cs="Times New Roman"/>
                <w:b/>
                <w:bCs/>
                <w:color w:val="auto"/>
                <w:kern w:val="0"/>
                <w:sz w:val="21"/>
                <w:szCs w:val="21"/>
                <w:highlight w:val="none"/>
                <w:lang w:val="en-US" w:eastAsia="zh-CN" w:bidi="ar"/>
              </w:rPr>
              <w:t>调试</w:t>
            </w:r>
            <w:r>
              <w:rPr>
                <w:rFonts w:hint="default" w:ascii="Times New Roman" w:hAnsi="Times New Roman" w:eastAsia="宋体" w:cs="Times New Roman"/>
                <w:b/>
                <w:bCs/>
                <w:color w:val="auto"/>
                <w:kern w:val="0"/>
                <w:sz w:val="21"/>
                <w:szCs w:val="21"/>
                <w:highlight w:val="none"/>
                <w:lang w:val="en-US" w:eastAsia="zh-CN" w:bidi="ar"/>
              </w:rPr>
              <w:t>设备噪声N</w:t>
            </w:r>
            <w:r>
              <w:rPr>
                <w:rFonts w:hint="default" w:ascii="Times New Roman" w:hAnsi="Times New Roman" w:cs="Times New Roman"/>
                <w:b/>
                <w:bCs/>
                <w:color w:val="auto"/>
                <w:kern w:val="0"/>
                <w:sz w:val="21"/>
                <w:szCs w:val="21"/>
                <w:highlight w:val="none"/>
                <w:lang w:val="en-US" w:eastAsia="zh-CN" w:bidi="ar"/>
              </w:rPr>
              <w:t>13</w:t>
            </w:r>
            <w:r>
              <w:rPr>
                <w:rFonts w:hint="default" w:ascii="Times New Roman" w:hAnsi="Times New Roman" w:eastAsia="宋体" w:cs="Times New Roman"/>
                <w:b/>
                <w:bCs/>
                <w:color w:val="auto"/>
                <w:kern w:val="0"/>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九</w:t>
            </w:r>
            <w:r>
              <w:rPr>
                <w:rFonts w:hint="default" w:ascii="Times New Roman" w:hAnsi="Times New Roman" w:cs="Times New Roman"/>
                <w:color w:val="auto"/>
                <w:sz w:val="21"/>
                <w:szCs w:val="21"/>
                <w:highlight w:val="none"/>
                <w:lang w:val="en-US" w:eastAsia="zh-CN"/>
              </w:rPr>
              <w:t>、组装工序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经过粘胶工序之后的产品，向齿轮中加入齿轮油，与外购各配件组装成智能化细粒分级装备，智能化中、粗粒筛分装备成品，并入库待销。</w:t>
            </w:r>
          </w:p>
          <w:p>
            <w:pPr>
              <w:pStyle w:val="45"/>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highlight w:val="none"/>
                <w:lang w:val="en-US" w:eastAsia="zh-CN"/>
              </w:rPr>
              <w:object>
                <v:shape id="_x0000_i1027" o:spt="75" alt="" type="#_x0000_t75" style="height:492.6pt;width:459.35pt;" o:ole="t" filled="f" o:preferrelative="t" stroked="f" coordsize="21600,21600">
                  <v:path/>
                  <v:fill on="f" focussize="0,0"/>
                  <v:stroke on="f"/>
                  <v:imagedata r:id="rId13" o:title=""/>
                  <o:lock v:ext="edit" aspectratio="f"/>
                  <w10:wrap type="none"/>
                  <w10:anchorlock/>
                </v:shape>
                <o:OLEObject Type="Embed" ProgID="Visio.Drawing.11" ShapeID="_x0000_i1027" DrawAspect="Content" ObjectID="_1468075727" r:id="rId12">
                  <o:LockedField>false</o:LockedField>
                </o:OLEObject>
              </w:objec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图</w:t>
            </w:r>
            <w:r>
              <w:rPr>
                <w:rFonts w:hint="default" w:ascii="Times New Roman" w:hAnsi="Times New Roman" w:cs="Times New Roman"/>
                <w:b/>
                <w:bCs/>
                <w:color w:val="auto"/>
                <w:spacing w:val="0"/>
                <w:sz w:val="21"/>
                <w:szCs w:val="21"/>
                <w:highlight w:val="none"/>
                <w:lang w:val="en-US" w:eastAsia="zh-CN"/>
              </w:rPr>
              <w:t>2</w:t>
            </w:r>
            <w:r>
              <w:rPr>
                <w:rFonts w:hint="default" w:ascii="Times New Roman" w:hAnsi="Times New Roman" w:eastAsia="宋体" w:cs="Times New Roman"/>
                <w:b/>
                <w:bCs/>
                <w:color w:val="auto"/>
                <w:spacing w:val="0"/>
                <w:sz w:val="21"/>
                <w:szCs w:val="21"/>
                <w:highlight w:val="none"/>
                <w:lang w:val="en-US" w:eastAsia="zh-CN"/>
              </w:rPr>
              <w:t xml:space="preserve">  生产工艺及排污节点图</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辅助工段排污节点为：环保设备风机噪声N1</w:t>
            </w:r>
            <w:r>
              <w:rPr>
                <w:rFonts w:hint="default" w:ascii="Times New Roman" w:hAnsi="Times New Roman" w:cs="Times New Roman"/>
                <w:b/>
                <w:bCs/>
                <w:color w:val="auto"/>
                <w:kern w:val="0"/>
                <w:sz w:val="21"/>
                <w:szCs w:val="21"/>
                <w:highlight w:val="none"/>
                <w:lang w:val="en-US" w:eastAsia="zh-CN" w:bidi="ar"/>
              </w:rPr>
              <w:t>5、空压机噪声N16</w:t>
            </w:r>
            <w:r>
              <w:rPr>
                <w:rFonts w:hint="default" w:ascii="Times New Roman" w:hAnsi="Times New Roman" w:eastAsia="宋体" w:cs="Times New Roman"/>
                <w:b/>
                <w:bCs/>
                <w:color w:val="auto"/>
                <w:kern w:val="0"/>
                <w:sz w:val="21"/>
                <w:szCs w:val="21"/>
                <w:highlight w:val="none"/>
                <w:lang w:val="en-US" w:eastAsia="zh-CN" w:bidi="ar"/>
              </w:rPr>
              <w:t>，废气治理设备产生费废布袋S10、废活性炭S11、废催化剂S12、废过滤棉S13，</w:t>
            </w:r>
            <w:r>
              <w:rPr>
                <w:rFonts w:hint="default" w:ascii="Times New Roman" w:hAnsi="Times New Roman" w:cs="Times New Roman"/>
                <w:b/>
                <w:bCs/>
                <w:color w:val="auto"/>
                <w:kern w:val="0"/>
                <w:sz w:val="21"/>
                <w:szCs w:val="21"/>
                <w:highlight w:val="none"/>
                <w:lang w:val="en-US" w:eastAsia="zh-CN" w:bidi="ar"/>
              </w:rPr>
              <w:t>食堂油烟G12，</w:t>
            </w:r>
            <w:r>
              <w:rPr>
                <w:rFonts w:hint="default" w:ascii="Times New Roman" w:hAnsi="Times New Roman" w:eastAsia="宋体" w:cs="Times New Roman"/>
                <w:b/>
                <w:bCs/>
                <w:color w:val="auto"/>
                <w:kern w:val="0"/>
                <w:sz w:val="21"/>
                <w:szCs w:val="21"/>
                <w:highlight w:val="none"/>
                <w:lang w:val="en-US" w:eastAsia="zh-CN" w:bidi="ar"/>
              </w:rPr>
              <w:t>生活垃圾S14；生活污水W1。</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b/>
                <w:bCs/>
                <w:color w:val="auto"/>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b/>
                <w:bCs/>
                <w:color w:val="auto"/>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b/>
                <w:bCs/>
                <w:color w:val="auto"/>
                <w:sz w:val="21"/>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2-10</w:t>
            </w:r>
            <w:r>
              <w:rPr>
                <w:rFonts w:hint="default" w:ascii="Times New Roman" w:hAnsi="Times New Roman" w:eastAsia="宋体" w:cs="Times New Roman"/>
                <w:b/>
                <w:bCs/>
                <w:color w:val="auto"/>
                <w:sz w:val="21"/>
                <w:szCs w:val="21"/>
                <w:highlight w:val="none"/>
              </w:rPr>
              <w:t xml:space="preserve">    主要污染源及排污点一览表</w:t>
            </w:r>
          </w:p>
          <w:tbl>
            <w:tblPr>
              <w:tblStyle w:val="3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2"/>
              <w:gridCol w:w="542"/>
              <w:gridCol w:w="1591"/>
              <w:gridCol w:w="1871"/>
              <w:gridCol w:w="2972"/>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类别</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污染源</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主要污染物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rPr>
                    <w:t>防治措施</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废气</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G1</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激光切割机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集气罩+1#脉冲布袋除尘器+15m排气筒P1排放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G2</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等离子切割机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集气罩+2#脉冲布袋除尘器+15m排气筒P2排放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G3</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焊接废气（二保焊机固定工位）</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集气罩</w:t>
                  </w:r>
                  <w:r>
                    <w:rPr>
                      <w:rFonts w:hint="default" w:ascii="Times New Roman" w:hAnsi="Times New Roman" w:cs="Times New Roman"/>
                      <w:b w:val="0"/>
                      <w:bCs/>
                      <w:snapToGrid w:val="0"/>
                      <w:color w:val="auto"/>
                      <w:kern w:val="2"/>
                      <w:sz w:val="18"/>
                      <w:szCs w:val="18"/>
                      <w:highlight w:val="none"/>
                      <w:lang w:val="en-US" w:eastAsia="zh-CN" w:bidi="ar-SA"/>
                    </w:rPr>
                    <w:t>+3#脉冲布袋除尘器+15m排气筒P3排放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焊接废气（焊接机器人）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移动式集气罩+4#移动式焊接烟尘净化器+车间内无组织排放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G5</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打磨粉尘</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移动式集气罩+5#移动式焊接烟尘净化器+车间内无组织排放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G6</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抛丸废气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封闭间+旋风除尘器+6#脉冲布袋除尘器+15m排气筒P4排放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G7</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喷漆废气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r>
                    <w:rPr>
                      <w:rFonts w:hint="default" w:ascii="Times New Roman" w:hAnsi="Times New Roman" w:cs="Times New Roman"/>
                      <w:b w:val="0"/>
                      <w:bCs/>
                      <w:snapToGrid w:val="0"/>
                      <w:color w:val="auto"/>
                      <w:kern w:val="2"/>
                      <w:sz w:val="18"/>
                      <w:szCs w:val="18"/>
                      <w:highlight w:val="none"/>
                      <w:lang w:val="en-US" w:eastAsia="zh-CN" w:bidi="ar-SA"/>
                    </w:rPr>
                    <w:t>非甲烷总烃、</w:t>
                  </w:r>
                  <w:r>
                    <w:rPr>
                      <w:rFonts w:hint="default" w:ascii="Times New Roman" w:hAnsi="Times New Roman" w:eastAsia="宋体" w:cs="Times New Roman"/>
                      <w:b w:val="0"/>
                      <w:bCs/>
                      <w:snapToGrid w:val="0"/>
                      <w:color w:val="auto"/>
                      <w:kern w:val="2"/>
                      <w:sz w:val="18"/>
                      <w:szCs w:val="18"/>
                      <w:highlight w:val="none"/>
                      <w:lang w:val="en-US" w:eastAsia="zh-CN" w:bidi="ar-SA"/>
                    </w:rPr>
                    <w:t>苯、甲苯、二甲苯</w:t>
                  </w:r>
                </w:p>
              </w:tc>
              <w:tc>
                <w:tcPr>
                  <w:tcW w:w="1765"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color w:val="auto"/>
                      <w:sz w:val="18"/>
                      <w:szCs w:val="18"/>
                      <w:lang w:val="en-US" w:eastAsia="zh-CN"/>
                    </w:rPr>
                    <w:t>喷淋塔+过滤棉</w:t>
                  </w:r>
                  <w:r>
                    <w:rPr>
                      <w:rFonts w:hint="default" w:ascii="Times New Roman" w:hAnsi="Times New Roman" w:cs="Times New Roman"/>
                      <w:b w:val="0"/>
                      <w:bCs/>
                      <w:snapToGrid w:val="0"/>
                      <w:color w:val="auto"/>
                      <w:kern w:val="2"/>
                      <w:sz w:val="18"/>
                      <w:szCs w:val="18"/>
                      <w:highlight w:val="none"/>
                      <w:lang w:val="en-US" w:eastAsia="zh-CN" w:bidi="ar-SA"/>
                    </w:rPr>
                    <w:t>+活性炭吸附/脱附+7#催化燃烧+15m排气筒P5排放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w:t>
                  </w:r>
                  <w:r>
                    <w:rPr>
                      <w:rFonts w:hint="default" w:ascii="Times New Roman" w:hAnsi="Times New Roman" w:cs="Times New Roman"/>
                      <w:b w:val="0"/>
                      <w:bCs/>
                      <w:snapToGrid w:val="0"/>
                      <w:color w:val="auto"/>
                      <w:kern w:val="2"/>
                      <w:sz w:val="18"/>
                      <w:szCs w:val="18"/>
                      <w:highlight w:val="none"/>
                      <w:lang w:val="en-US" w:eastAsia="zh-CN" w:bidi="ar-SA"/>
                    </w:rPr>
                    <w:t>8</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晾干废气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苯、甲苯、二甲苯</w:t>
                  </w:r>
                </w:p>
              </w:tc>
              <w:tc>
                <w:tcPr>
                  <w:tcW w:w="1765"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w:t>
                  </w:r>
                  <w:r>
                    <w:rPr>
                      <w:rFonts w:hint="default" w:ascii="Times New Roman" w:hAnsi="Times New Roman" w:cs="Times New Roman"/>
                      <w:b w:val="0"/>
                      <w:bCs/>
                      <w:snapToGrid w:val="0"/>
                      <w:color w:val="auto"/>
                      <w:kern w:val="2"/>
                      <w:sz w:val="18"/>
                      <w:szCs w:val="18"/>
                      <w:highlight w:val="none"/>
                      <w:lang w:val="en-US" w:eastAsia="zh-CN" w:bidi="ar-SA"/>
                    </w:rPr>
                    <w:t>9</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喷涂废气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green"/>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r>
                    <w:rPr>
                      <w:rFonts w:hint="default" w:ascii="Times New Roman" w:hAnsi="Times New Roman" w:cs="Times New Roman"/>
                      <w:b w:val="0"/>
                      <w:bCs/>
                      <w:snapToGrid w:val="0"/>
                      <w:color w:val="auto"/>
                      <w:kern w:val="2"/>
                      <w:sz w:val="18"/>
                      <w:szCs w:val="18"/>
                      <w:highlight w:val="none"/>
                      <w:lang w:val="en-US" w:eastAsia="zh-CN" w:bidi="ar-SA"/>
                    </w:rPr>
                    <w:t>非甲烷总烃、</w:t>
                  </w:r>
                  <w:r>
                    <w:rPr>
                      <w:rFonts w:hint="default" w:ascii="Times New Roman" w:hAnsi="Times New Roman" w:eastAsia="宋体" w:cs="Times New Roman"/>
                      <w:b w:val="0"/>
                      <w:bCs/>
                      <w:snapToGrid w:val="0"/>
                      <w:color w:val="auto"/>
                      <w:kern w:val="2"/>
                      <w:sz w:val="18"/>
                      <w:szCs w:val="18"/>
                      <w:highlight w:val="none"/>
                      <w:lang w:val="en-US" w:eastAsia="zh-CN" w:bidi="ar-SA"/>
                    </w:rPr>
                    <w:t>苯、甲苯、二甲苯</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green"/>
                      <w:lang w:val="en-US" w:eastAsia="zh-CN" w:bidi="ar-SA"/>
                    </w:rPr>
                  </w:pPr>
                  <w:r>
                    <w:rPr>
                      <w:rFonts w:hint="eastAsia"/>
                      <w:color w:val="auto"/>
                      <w:sz w:val="18"/>
                      <w:szCs w:val="18"/>
                      <w:lang w:val="en-US" w:eastAsia="zh-CN"/>
                    </w:rPr>
                    <w:t>喷淋塔+过滤棉</w:t>
                  </w:r>
                  <w:r>
                    <w:rPr>
                      <w:rFonts w:hint="default" w:ascii="Times New Roman" w:hAnsi="Times New Roman" w:cs="Times New Roman"/>
                      <w:b w:val="0"/>
                      <w:bCs/>
                      <w:snapToGrid w:val="0"/>
                      <w:color w:val="auto"/>
                      <w:kern w:val="2"/>
                      <w:sz w:val="18"/>
                      <w:szCs w:val="18"/>
                      <w:highlight w:val="none"/>
                      <w:lang w:val="en-US" w:eastAsia="zh-CN" w:bidi="ar-SA"/>
                    </w:rPr>
                    <w:t>+活性炭吸附/脱附+8#催化燃烧+15m排气筒P6排放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w:t>
                  </w:r>
                  <w:r>
                    <w:rPr>
                      <w:rFonts w:hint="default" w:ascii="Times New Roman" w:hAnsi="Times New Roman" w:cs="Times New Roman"/>
                      <w:b w:val="0"/>
                      <w:bCs/>
                      <w:snapToGrid w:val="0"/>
                      <w:color w:val="auto"/>
                      <w:kern w:val="2"/>
                      <w:sz w:val="18"/>
                      <w:szCs w:val="18"/>
                      <w:highlight w:val="none"/>
                      <w:lang w:val="en-US" w:eastAsia="zh-CN" w:bidi="ar-SA"/>
                    </w:rPr>
                    <w:t>10</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打磨胶板废气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颗粒物</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封闭间+9#脉冲布袋除尘器+15m排气筒P7排放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G1</w:t>
                  </w:r>
                  <w:r>
                    <w:rPr>
                      <w:rFonts w:hint="default" w:ascii="Times New Roman" w:hAnsi="Times New Roman" w:cs="Times New Roman"/>
                      <w:b w:val="0"/>
                      <w:bCs/>
                      <w:snapToGrid w:val="0"/>
                      <w:color w:val="auto"/>
                      <w:kern w:val="2"/>
                      <w:sz w:val="18"/>
                      <w:szCs w:val="18"/>
                      <w:highlight w:val="none"/>
                      <w:lang w:val="en-US" w:eastAsia="zh-CN" w:bidi="ar-SA"/>
                    </w:rPr>
                    <w:t>1</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粘胶工序产生的废气</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非甲烷总烃、</w:t>
                  </w:r>
                  <w:r>
                    <w:rPr>
                      <w:rFonts w:hint="default" w:ascii="Times New Roman" w:hAnsi="Times New Roman" w:eastAsia="宋体" w:cs="Times New Roman"/>
                      <w:b w:val="0"/>
                      <w:bCs/>
                      <w:snapToGrid w:val="0"/>
                      <w:color w:val="auto"/>
                      <w:kern w:val="2"/>
                      <w:sz w:val="18"/>
                      <w:szCs w:val="18"/>
                      <w:highlight w:val="none"/>
                      <w:lang w:val="en-US" w:eastAsia="zh-CN" w:bidi="ar-SA"/>
                    </w:rPr>
                    <w:t>苯、甲苯、二甲苯</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共两套：活性炭吸附/脱附+10~11#催化燃烧+15m排气筒P8~9排放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G1</w:t>
                  </w:r>
                  <w:r>
                    <w:rPr>
                      <w:rFonts w:hint="default" w:ascii="Times New Roman" w:hAnsi="Times New Roman" w:cs="Times New Roman"/>
                      <w:b w:val="0"/>
                      <w:bCs/>
                      <w:snapToGrid w:val="0"/>
                      <w:color w:val="auto"/>
                      <w:kern w:val="2"/>
                      <w:sz w:val="18"/>
                      <w:szCs w:val="18"/>
                      <w:highlight w:val="none"/>
                      <w:lang w:val="en-US" w:eastAsia="zh-CN" w:bidi="ar-SA"/>
                    </w:rPr>
                    <w:t>2</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食堂</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油烟</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油烟净化器</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G13</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配料、</w:t>
                  </w:r>
                  <w:r>
                    <w:rPr>
                      <w:rFonts w:hint="default" w:ascii="Times New Roman" w:hAnsi="Times New Roman" w:cs="Times New Roman"/>
                      <w:b w:val="0"/>
                      <w:bCs/>
                      <w:snapToGrid w:val="0"/>
                      <w:color w:val="auto"/>
                      <w:kern w:val="2"/>
                      <w:sz w:val="18"/>
                      <w:szCs w:val="18"/>
                      <w:highlight w:val="none"/>
                      <w:lang w:val="en-US" w:eastAsia="zh-CN" w:bidi="ar-SA"/>
                    </w:rPr>
                    <w:t>开炼、精炼、挤出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颗粒物、</w:t>
                  </w:r>
                  <w:r>
                    <w:rPr>
                      <w:rFonts w:hint="default" w:ascii="Times New Roman" w:hAnsi="Times New Roman" w:cs="Times New Roman"/>
                      <w:b w:val="0"/>
                      <w:bCs/>
                      <w:snapToGrid w:val="0"/>
                      <w:color w:val="auto"/>
                      <w:kern w:val="2"/>
                      <w:sz w:val="18"/>
                      <w:szCs w:val="18"/>
                      <w:highlight w:val="none"/>
                      <w:lang w:val="en-US" w:eastAsia="zh-CN" w:bidi="ar-SA"/>
                    </w:rPr>
                    <w:t>非甲烷总烃、</w:t>
                  </w:r>
                  <w:r>
                    <w:rPr>
                      <w:rFonts w:hint="eastAsia" w:cs="Times New Roman"/>
                      <w:b w:val="0"/>
                      <w:bCs/>
                      <w:snapToGrid w:val="0"/>
                      <w:color w:val="auto"/>
                      <w:kern w:val="2"/>
                      <w:sz w:val="18"/>
                      <w:szCs w:val="18"/>
                      <w:highlight w:val="none"/>
                      <w:lang w:val="en-US" w:eastAsia="zh-CN" w:bidi="ar-SA"/>
                    </w:rPr>
                    <w:t>硫化氢、臭气浓度</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集气罩+</w:t>
                  </w:r>
                  <w:r>
                    <w:rPr>
                      <w:rFonts w:hint="eastAsia" w:cs="Times New Roman"/>
                      <w:b w:val="0"/>
                      <w:bCs/>
                      <w:snapToGrid w:val="0"/>
                      <w:color w:val="auto"/>
                      <w:kern w:val="2"/>
                      <w:sz w:val="18"/>
                      <w:szCs w:val="18"/>
                      <w:highlight w:val="none"/>
                      <w:lang w:val="en-US" w:eastAsia="zh-CN" w:bidi="ar-SA"/>
                    </w:rPr>
                    <w:t>1</w:t>
                  </w:r>
                  <w:r>
                    <w:rPr>
                      <w:rFonts w:hint="default" w:ascii="Times New Roman" w:hAnsi="Times New Roman" w:cs="Times New Roman"/>
                      <w:b w:val="0"/>
                      <w:bCs/>
                      <w:snapToGrid w:val="0"/>
                      <w:color w:val="auto"/>
                      <w:kern w:val="2"/>
                      <w:sz w:val="18"/>
                      <w:szCs w:val="18"/>
                      <w:highlight w:val="none"/>
                      <w:lang w:val="en-US" w:eastAsia="zh-CN" w:bidi="ar-SA"/>
                    </w:rPr>
                    <w:t>1</w:t>
                  </w:r>
                  <w:r>
                    <w:rPr>
                      <w:rFonts w:hint="eastAsia" w:cs="Times New Roman"/>
                      <w:b w:val="0"/>
                      <w:bCs/>
                      <w:snapToGrid w:val="0"/>
                      <w:color w:val="auto"/>
                      <w:kern w:val="2"/>
                      <w:sz w:val="18"/>
                      <w:szCs w:val="18"/>
                      <w:highlight w:val="none"/>
                      <w:lang w:val="en-US" w:eastAsia="zh-CN" w:bidi="ar-SA"/>
                    </w:rPr>
                    <w:t>~12</w:t>
                  </w:r>
                  <w:r>
                    <w:rPr>
                      <w:rFonts w:hint="default" w:ascii="Times New Roman" w:hAnsi="Times New Roman" w:cs="Times New Roman"/>
                      <w:b w:val="0"/>
                      <w:bCs/>
                      <w:snapToGrid w:val="0"/>
                      <w:color w:val="auto"/>
                      <w:kern w:val="2"/>
                      <w:sz w:val="18"/>
                      <w:szCs w:val="18"/>
                      <w:highlight w:val="none"/>
                      <w:lang w:val="en-US" w:eastAsia="zh-CN" w:bidi="ar-SA"/>
                    </w:rPr>
                    <w:t>#脉冲布袋除尘器+15m排气筒P1</w:t>
                  </w:r>
                  <w:r>
                    <w:rPr>
                      <w:rFonts w:hint="eastAsia" w:cs="Times New Roman"/>
                      <w:b w:val="0"/>
                      <w:bCs/>
                      <w:snapToGrid w:val="0"/>
                      <w:color w:val="auto"/>
                      <w:kern w:val="2"/>
                      <w:sz w:val="18"/>
                      <w:szCs w:val="18"/>
                      <w:highlight w:val="none"/>
                      <w:lang w:val="en-US" w:eastAsia="zh-CN" w:bidi="ar-SA"/>
                    </w:rPr>
                    <w:t>1</w:t>
                  </w:r>
                  <w:r>
                    <w:rPr>
                      <w:rFonts w:hint="default" w:ascii="Times New Roman" w:hAnsi="Times New Roman" w:cs="Times New Roman"/>
                      <w:b w:val="0"/>
                      <w:bCs/>
                      <w:snapToGrid w:val="0"/>
                      <w:color w:val="auto"/>
                      <w:kern w:val="2"/>
                      <w:sz w:val="18"/>
                      <w:szCs w:val="18"/>
                      <w:highlight w:val="none"/>
                      <w:lang w:val="en-US" w:eastAsia="zh-CN" w:bidi="ar-SA"/>
                    </w:rPr>
                    <w:t>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G14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硫化</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非甲烷总烃、</w:t>
                  </w:r>
                  <w:r>
                    <w:rPr>
                      <w:rFonts w:hint="eastAsia" w:cs="Times New Roman"/>
                      <w:b w:val="0"/>
                      <w:bCs/>
                      <w:snapToGrid w:val="0"/>
                      <w:color w:val="auto"/>
                      <w:kern w:val="2"/>
                      <w:sz w:val="18"/>
                      <w:szCs w:val="18"/>
                      <w:highlight w:val="none"/>
                      <w:lang w:val="en-US" w:eastAsia="zh-CN" w:bidi="ar-SA"/>
                    </w:rPr>
                    <w:t>硫化氢、臭气浓度</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cs="Times New Roman"/>
                      <w:color w:val="auto"/>
                      <w:sz w:val="18"/>
                      <w:szCs w:val="18"/>
                      <w:highlight w:val="none"/>
                      <w:lang w:val="en-US" w:eastAsia="zh-CN"/>
                    </w:rPr>
                    <w:t>集气罩+13~15#</w:t>
                  </w:r>
                  <w:r>
                    <w:rPr>
                      <w:rFonts w:hint="default" w:ascii="Times New Roman" w:hAnsi="Times New Roman" w:cs="Times New Roman"/>
                      <w:b w:val="0"/>
                      <w:bCs/>
                      <w:snapToGrid w:val="0"/>
                      <w:color w:val="auto"/>
                      <w:kern w:val="2"/>
                      <w:sz w:val="18"/>
                      <w:szCs w:val="18"/>
                      <w:highlight w:val="none"/>
                      <w:lang w:val="en-US" w:eastAsia="zh-CN" w:bidi="ar-SA"/>
                    </w:rPr>
                    <w:t>活性炭吸附/脱附+催化燃烧+15m排气筒P</w:t>
                  </w:r>
                  <w:r>
                    <w:rPr>
                      <w:rFonts w:hint="eastAsia" w:cs="Times New Roman"/>
                      <w:b w:val="0"/>
                      <w:bCs/>
                      <w:snapToGrid w:val="0"/>
                      <w:color w:val="auto"/>
                      <w:kern w:val="2"/>
                      <w:sz w:val="18"/>
                      <w:szCs w:val="18"/>
                      <w:highlight w:val="none"/>
                      <w:lang w:val="en-US" w:eastAsia="zh-CN" w:bidi="ar-SA"/>
                    </w:rPr>
                    <w:t>13~15</w:t>
                  </w:r>
                  <w:r>
                    <w:rPr>
                      <w:rFonts w:hint="default" w:ascii="Times New Roman" w:hAnsi="Times New Roman" w:cs="Times New Roman"/>
                      <w:b w:val="0"/>
                      <w:bCs/>
                      <w:snapToGrid w:val="0"/>
                      <w:color w:val="auto"/>
                      <w:kern w:val="2"/>
                      <w:sz w:val="18"/>
                      <w:szCs w:val="18"/>
                      <w:highlight w:val="none"/>
                      <w:lang w:val="en-US" w:eastAsia="zh-CN" w:bidi="ar-SA"/>
                    </w:rPr>
                    <w:t>排放</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噪声</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N1</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激光切割机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N2</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等离子切割机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N3</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带锯床</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折弯机</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N5</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车床</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6</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铣床</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7</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钻床</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8</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焊接</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9</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角磨机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10</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抛丸机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11</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喷漆设备</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12</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喷涂设备</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13</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调试设备</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胶板打磨</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15</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风机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16</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空压机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w:t>
                  </w:r>
                  <w:r>
                    <w:rPr>
                      <w:rFonts w:hint="eastAsia" w:cs="Times New Roman"/>
                      <w:b w:val="0"/>
                      <w:bCs/>
                      <w:snapToGrid w:val="0"/>
                      <w:color w:val="auto"/>
                      <w:kern w:val="2"/>
                      <w:sz w:val="18"/>
                      <w:szCs w:val="18"/>
                      <w:highlight w:val="none"/>
                      <w:lang w:val="en-US" w:eastAsia="zh-CN" w:bidi="ar-SA"/>
                    </w:rPr>
                    <w:t>7</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捏炼机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w:t>
                  </w:r>
                  <w:r>
                    <w:rPr>
                      <w:rFonts w:hint="eastAsia" w:cs="Times New Roman"/>
                      <w:b w:val="0"/>
                      <w:bCs/>
                      <w:snapToGrid w:val="0"/>
                      <w:color w:val="auto"/>
                      <w:kern w:val="2"/>
                      <w:sz w:val="18"/>
                      <w:szCs w:val="18"/>
                      <w:highlight w:val="none"/>
                      <w:lang w:val="en-US" w:eastAsia="zh-CN" w:bidi="ar-SA"/>
                    </w:rPr>
                    <w:t>8</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开炼机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bCs/>
                      <w:snapToGrid w:val="0"/>
                      <w:color w:val="auto"/>
                      <w:kern w:val="2"/>
                      <w:sz w:val="18"/>
                      <w:szCs w:val="18"/>
                      <w:highlight w:val="none"/>
                      <w:lang w:val="en-US" w:eastAsia="zh-CN" w:bidi="ar-SA"/>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default" w:ascii="Times New Roman" w:hAnsi="Times New Roman" w:cs="Times New Roman"/>
                      <w:b w:val="0"/>
                      <w:bCs/>
                      <w:snapToGrid w:val="0"/>
                      <w:color w:val="auto"/>
                      <w:kern w:val="2"/>
                      <w:sz w:val="18"/>
                      <w:szCs w:val="18"/>
                      <w:highlight w:val="none"/>
                      <w:lang w:val="en-US" w:eastAsia="zh-CN" w:bidi="ar-SA"/>
                    </w:rPr>
                    <w:t>1</w:t>
                  </w:r>
                  <w:r>
                    <w:rPr>
                      <w:rFonts w:hint="eastAsia" w:cs="Times New Roman"/>
                      <w:b w:val="0"/>
                      <w:bCs/>
                      <w:snapToGrid w:val="0"/>
                      <w:color w:val="auto"/>
                      <w:kern w:val="2"/>
                      <w:sz w:val="18"/>
                      <w:szCs w:val="18"/>
                      <w:highlight w:val="none"/>
                      <w:lang w:val="en-US" w:eastAsia="zh-CN" w:bidi="ar-SA"/>
                    </w:rPr>
                    <w:t>9</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挤出机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N</w:t>
                  </w:r>
                  <w:r>
                    <w:rPr>
                      <w:rFonts w:hint="eastAsia" w:cs="Times New Roman"/>
                      <w:b w:val="0"/>
                      <w:bCs/>
                      <w:snapToGrid w:val="0"/>
                      <w:color w:val="auto"/>
                      <w:kern w:val="2"/>
                      <w:sz w:val="18"/>
                      <w:szCs w:val="18"/>
                      <w:highlight w:val="none"/>
                      <w:lang w:val="en-US" w:eastAsia="zh-CN" w:bidi="ar-SA"/>
                    </w:rPr>
                    <w:t>20</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硫化机</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噪声</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基础减震、厂房隔声</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连续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废水</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W1</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员工生活</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生活污水</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通过管网排入园区污水处理厂处理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固废</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S1</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下料</w:t>
                  </w:r>
                  <w:r>
                    <w:rPr>
                      <w:rFonts w:hint="default" w:ascii="Times New Roman" w:hAnsi="Times New Roman" w:cs="Times New Roman"/>
                      <w:b w:val="0"/>
                      <w:bCs/>
                      <w:snapToGrid w:val="0"/>
                      <w:color w:val="auto"/>
                      <w:kern w:val="2"/>
                      <w:sz w:val="18"/>
                      <w:szCs w:val="18"/>
                      <w:highlight w:val="none"/>
                      <w:lang w:val="en-US" w:eastAsia="zh-CN" w:bidi="ar-SA"/>
                    </w:rPr>
                    <w:t>、打磨</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废料</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一般固废区暂存，统一外售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S2</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下料</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含油金属屑</w:t>
                  </w:r>
                </w:p>
              </w:tc>
              <w:tc>
                <w:tcPr>
                  <w:tcW w:w="176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含油金属屑通过甩油机甩油后，静置无滴漏，金属屑和滤出切削液分别放置不同容器中；暂存危废间，金属屑定期外售铸造厂用于金属冶炼，滤出切削液委托有资质单位定期收集处置。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S3</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设备</w:t>
                  </w:r>
                  <w:r>
                    <w:rPr>
                      <w:rFonts w:hint="default" w:ascii="Times New Roman" w:hAnsi="Times New Roman" w:cs="Times New Roman"/>
                      <w:b w:val="0"/>
                      <w:bCs/>
                      <w:snapToGrid w:val="0"/>
                      <w:color w:val="auto"/>
                      <w:kern w:val="2"/>
                      <w:sz w:val="18"/>
                      <w:szCs w:val="18"/>
                      <w:highlight w:val="none"/>
                      <w:lang w:val="en-US" w:eastAsia="zh-CN" w:bidi="ar-SA"/>
                    </w:rPr>
                    <w:t>检修</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废润滑油</w:t>
                  </w:r>
                </w:p>
              </w:tc>
              <w:tc>
                <w:tcPr>
                  <w:tcW w:w="176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下料</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废切削液</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5</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废油桶</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废油桶</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6</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除尘器</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除尘灰</w:t>
                  </w:r>
                </w:p>
              </w:tc>
              <w:tc>
                <w:tcPr>
                  <w:tcW w:w="176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一般固废区暂存，统一外售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7</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焊接</w:t>
                  </w:r>
                </w:p>
              </w:tc>
              <w:tc>
                <w:tcPr>
                  <w:tcW w:w="1111"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废焊丝</w:t>
                  </w:r>
                </w:p>
              </w:tc>
              <w:tc>
                <w:tcPr>
                  <w:tcW w:w="176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一般固废区暂存，统一外售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8</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抛丸</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废钢球</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一般固废区暂存，统一外售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9</w:t>
                  </w:r>
                </w:p>
              </w:tc>
              <w:tc>
                <w:tcPr>
                  <w:tcW w:w="94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喷漆、喷涂漆渣</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漆渣</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10</w:t>
                  </w:r>
                </w:p>
              </w:tc>
              <w:tc>
                <w:tcPr>
                  <w:tcW w:w="945" w:type="pct"/>
                  <w:vMerge w:val="restar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废气治理设备</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废布袋</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 w:val="0"/>
                      <w:bCs/>
                      <w:snapToGrid w:val="0"/>
                      <w:color w:val="auto"/>
                      <w:kern w:val="2"/>
                      <w:sz w:val="18"/>
                      <w:szCs w:val="18"/>
                      <w:highlight w:val="none"/>
                      <w:lang w:val="en-US" w:eastAsia="zh-CN" w:bidi="ar-SA"/>
                    </w:rPr>
                    <w:t>一般固废区暂存，统一外售</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11</w:t>
                  </w:r>
                </w:p>
              </w:tc>
              <w:tc>
                <w:tcPr>
                  <w:tcW w:w="945" w:type="pct"/>
                  <w:vMerge w:val="continue"/>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废活性炭</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12</w:t>
                  </w:r>
                </w:p>
              </w:tc>
              <w:tc>
                <w:tcPr>
                  <w:tcW w:w="945" w:type="pct"/>
                  <w:vMerge w:val="continue"/>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废催化剂</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13</w:t>
                  </w:r>
                </w:p>
              </w:tc>
              <w:tc>
                <w:tcPr>
                  <w:tcW w:w="945" w:type="pct"/>
                  <w:vMerge w:val="continue"/>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废过滤棉</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 w:val="0"/>
                      <w:bCs/>
                      <w:snapToGrid w:val="0"/>
                      <w:color w:val="auto"/>
                      <w:kern w:val="2"/>
                      <w:sz w:val="18"/>
                      <w:szCs w:val="18"/>
                      <w:highlight w:val="none"/>
                      <w:lang w:val="en-US" w:eastAsia="zh-CN" w:bidi="ar-SA"/>
                    </w:rPr>
                    <w:t>危废间暂存，委托有资质单位处理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2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S</w:t>
                  </w:r>
                  <w:r>
                    <w:rPr>
                      <w:rFonts w:hint="default" w:ascii="Times New Roman" w:hAnsi="Times New Roman" w:cs="Times New Roman"/>
                      <w:color w:val="auto"/>
                      <w:sz w:val="18"/>
                      <w:szCs w:val="18"/>
                      <w:highlight w:val="none"/>
                      <w:lang w:val="en-US" w:eastAsia="zh-CN"/>
                    </w:rPr>
                    <w:t>14</w:t>
                  </w:r>
                </w:p>
              </w:tc>
              <w:tc>
                <w:tcPr>
                  <w:tcW w:w="945" w:type="pct"/>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办公生活</w:t>
                  </w:r>
                </w:p>
              </w:tc>
              <w:tc>
                <w:tcPr>
                  <w:tcW w:w="1111"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生活垃圾</w:t>
                  </w:r>
                </w:p>
              </w:tc>
              <w:tc>
                <w:tcPr>
                  <w:tcW w:w="176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环卫部门统一处理</w:t>
                  </w:r>
                </w:p>
              </w:tc>
              <w:tc>
                <w:tcPr>
                  <w:tcW w:w="5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间断</w:t>
                  </w:r>
                </w:p>
              </w:tc>
            </w:tr>
          </w:tbl>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Cs/>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7" w:type="dxa"/>
            <w:gridSpan w:val="2"/>
            <w:noWrap w:val="0"/>
            <w:vAlign w:val="center"/>
          </w:tcPr>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kern w:val="2"/>
                <w:sz w:val="18"/>
                <w:szCs w:val="18"/>
                <w:highlight w:val="none"/>
              </w:rPr>
              <w:t>与项目有关的原有环境污染问题</w:t>
            </w:r>
          </w:p>
        </w:tc>
        <w:tc>
          <w:tcPr>
            <w:tcW w:w="7924" w:type="dxa"/>
            <w:noWrap w:val="0"/>
            <w:vAlign w:val="top"/>
          </w:tcPr>
          <w:p>
            <w:pPr>
              <w:keepNext w:val="0"/>
              <w:keepLines w:val="0"/>
              <w:pageBreakBefore w:val="0"/>
              <w:widowControl w:val="0"/>
              <w:kinsoku/>
              <w:wordWrap/>
              <w:overflowPunct/>
              <w:topLinePunct w:val="0"/>
              <w:bidi w:val="0"/>
              <w:adjustRightInd w:val="0"/>
              <w:snapToGrid w:val="0"/>
              <w:spacing w:beforeAutospacing="0" w:afterAutospacing="0" w:line="400" w:lineRule="exact"/>
              <w:ind w:left="0" w:leftChars="0" w:right="0" w:rightChars="0" w:firstLine="420" w:firstLineChars="200"/>
              <w:textAlignment w:val="auto"/>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21"/>
                <w:szCs w:val="21"/>
                <w:highlight w:val="none"/>
                <w:lang w:val="en-US" w:eastAsia="zh-CN"/>
              </w:rPr>
              <w:t>本项目为新建项目，无现有环境问题。</w:t>
            </w:r>
          </w:p>
        </w:tc>
      </w:tr>
    </w:tbl>
    <w:p>
      <w:pPr>
        <w:pStyle w:val="31"/>
        <w:pageBreakBefore w:val="0"/>
        <w:kinsoku/>
        <w:wordWrap/>
        <w:overflowPunct/>
        <w:bidi w:val="0"/>
        <w:adjustRightInd w:val="0"/>
        <w:snapToGrid w:val="0"/>
        <w:spacing w:before="0" w:beforeAutospacing="0" w:after="0" w:afterAutospacing="0"/>
        <w:ind w:left="0" w:leftChars="0" w:right="0" w:rightChars="0"/>
        <w:jc w:val="center"/>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0"/>
          <w:szCs w:val="30"/>
          <w:highlight w:val="none"/>
        </w:rPr>
        <w:br w:type="page"/>
      </w:r>
      <w:r>
        <w:rPr>
          <w:rFonts w:hint="default" w:ascii="Times New Roman" w:hAnsi="Times New Roman" w:eastAsia="宋体" w:cs="Times New Roman"/>
          <w:snapToGrid w:val="0"/>
          <w:color w:val="auto"/>
          <w:sz w:val="30"/>
          <w:szCs w:val="30"/>
          <w:highlight w:val="none"/>
        </w:rPr>
        <w:t>三、区域环境质量现状、环境保护目标及评价标准</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85" w:hRule="atLeast"/>
          <w:jc w:val="center"/>
        </w:trPr>
        <w:tc>
          <w:tcPr>
            <w:tcW w:w="800" w:type="dxa"/>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区域</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环境</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质量</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现状</w:t>
            </w:r>
          </w:p>
        </w:tc>
        <w:tc>
          <w:tcPr>
            <w:tcW w:w="81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olor w:val="auto"/>
                <w:spacing w:val="4"/>
                <w:kern w:val="0"/>
                <w:sz w:val="21"/>
                <w:szCs w:val="21"/>
                <w:highlight w:val="none"/>
              </w:rPr>
            </w:pPr>
            <w:r>
              <w:rPr>
                <w:rFonts w:hint="default" w:ascii="Times New Roman" w:hAnsi="Times New Roman" w:eastAsia="宋体" w:cs="Times New Roman"/>
                <w:color w:val="auto"/>
                <w:spacing w:val="4"/>
                <w:kern w:val="0"/>
                <w:sz w:val="21"/>
                <w:szCs w:val="21"/>
                <w:highlight w:val="none"/>
              </w:rPr>
              <w:t>根据唐山市环境功能区划和拟建项目所在位置，建设项目位于环境空气质量二类区和环境噪声3类区。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olor w:val="auto"/>
                <w:spacing w:val="4"/>
                <w:kern w:val="0"/>
                <w:sz w:val="21"/>
                <w:szCs w:val="21"/>
                <w:highlight w:val="none"/>
              </w:rPr>
            </w:pPr>
            <w:r>
              <w:rPr>
                <w:rFonts w:hint="default" w:ascii="Times New Roman" w:hAnsi="Times New Roman" w:eastAsia="宋体" w:cs="Times New Roman"/>
                <w:color w:val="auto"/>
                <w:spacing w:val="4"/>
                <w:kern w:val="0"/>
                <w:sz w:val="21"/>
                <w:szCs w:val="21"/>
                <w:highlight w:val="none"/>
              </w:rPr>
              <w:t>（1）空气环境质量现状</w:t>
            </w:r>
          </w:p>
          <w:p>
            <w:pPr>
              <w:pStyle w:val="61"/>
              <w:keepNext w:val="0"/>
              <w:keepLines w:val="0"/>
              <w:pageBreakBefore w:val="0"/>
              <w:kinsoku/>
              <w:wordWrap/>
              <w:overflowPunct/>
              <w:topLinePunct w:val="0"/>
              <w:bidi w:val="0"/>
              <w:adjustRightInd w:val="0"/>
              <w:snapToGrid w:val="0"/>
              <w:spacing w:before="0" w:beforeAutospacing="0" w:after="0" w:afterAutospacing="0" w:line="360" w:lineRule="auto"/>
              <w:ind w:left="0" w:leftChars="0" w:right="0" w:rightChars="0" w:firstLine="496"/>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①达标区判定及区域环境质量现状</w:t>
            </w:r>
          </w:p>
          <w:p>
            <w:pPr>
              <w:pStyle w:val="61"/>
              <w:keepNext w:val="0"/>
              <w:keepLines w:val="0"/>
              <w:pageBreakBefore w:val="0"/>
              <w:kinsoku/>
              <w:wordWrap/>
              <w:overflowPunct/>
              <w:topLinePunct w:val="0"/>
              <w:bidi w:val="0"/>
              <w:adjustRightInd w:val="0"/>
              <w:snapToGrid w:val="0"/>
              <w:spacing w:before="0" w:beforeAutospacing="0" w:after="0" w:afterAutospacing="0" w:line="360" w:lineRule="auto"/>
              <w:ind w:left="0" w:leftChars="0" w:right="0" w:rightChars="0" w:firstLine="496"/>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lang w:eastAsia="zh-CN"/>
              </w:rPr>
              <w:t>根据《20</w:t>
            </w:r>
            <w:r>
              <w:rPr>
                <w:rFonts w:hint="default" w:ascii="Times New Roman" w:hAnsi="Times New Roman" w:cs="Times New Roman"/>
                <w:color w:val="auto"/>
                <w:sz w:val="21"/>
                <w:szCs w:val="21"/>
                <w:lang w:val="en-US" w:eastAsia="zh-CN"/>
              </w:rPr>
              <w:t>21</w:t>
            </w:r>
            <w:r>
              <w:rPr>
                <w:rFonts w:hint="default" w:ascii="Times New Roman" w:hAnsi="Times New Roman" w:cs="Times New Roman"/>
                <w:color w:val="auto"/>
                <w:sz w:val="21"/>
                <w:szCs w:val="21"/>
                <w:lang w:eastAsia="zh-CN"/>
              </w:rPr>
              <w:t>年唐山市环境状况公报》，2021年全市优良天数256天，同比增加7天，达标天数比例为70.1%，同比提高2.1个百分点。重度污染以上天数8天，占比2.2%，同比减少1天。全市空气质量综合指数为5.00，同比下降14.8%。</w:t>
            </w:r>
          </w:p>
          <w:p>
            <w:pPr>
              <w:keepNext w:val="0"/>
              <w:keepLines w:val="0"/>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w:t>
            </w:r>
            <w:r>
              <w:rPr>
                <w:rFonts w:hint="default" w:ascii="Times New Roman" w:hAnsi="Times New Roman" w:eastAsia="宋体" w:cs="Times New Roman"/>
                <w:b/>
                <w:bCs w:val="0"/>
                <w:color w:val="auto"/>
                <w:sz w:val="21"/>
                <w:szCs w:val="21"/>
                <w:highlight w:val="none"/>
                <w:lang w:val="en-US" w:eastAsia="zh-CN"/>
              </w:rPr>
              <w:t>3-1</w:t>
            </w:r>
            <w:r>
              <w:rPr>
                <w:rFonts w:hint="default" w:ascii="Times New Roman" w:hAnsi="Times New Roman" w:eastAsia="宋体" w:cs="Times New Roman"/>
                <w:b/>
                <w:bCs w:val="0"/>
                <w:color w:val="auto"/>
                <w:sz w:val="21"/>
                <w:szCs w:val="21"/>
                <w:highlight w:val="none"/>
              </w:rPr>
              <w:t xml:space="preserve"> </w:t>
            </w:r>
            <w:r>
              <w:rPr>
                <w:rFonts w:hint="default" w:ascii="Times New Roman" w:hAnsi="Times New Roman" w:eastAsia="宋体" w:cs="Times New Roman"/>
                <w:b/>
                <w:bCs w:val="0"/>
                <w:color w:val="auto"/>
                <w:sz w:val="21"/>
                <w:szCs w:val="21"/>
                <w:highlight w:val="none"/>
                <w:lang w:val="en-US" w:eastAsia="zh-CN"/>
              </w:rPr>
              <w:t xml:space="preserve">  </w:t>
            </w:r>
            <w:r>
              <w:rPr>
                <w:rFonts w:hint="default" w:ascii="Times New Roman" w:hAnsi="Times New Roman" w:eastAsia="宋体" w:cs="Times New Roman"/>
                <w:b/>
                <w:bCs w:val="0"/>
                <w:color w:val="auto"/>
                <w:sz w:val="21"/>
                <w:szCs w:val="21"/>
                <w:highlight w:val="none"/>
              </w:rPr>
              <w:t xml:space="preserve"> 20</w:t>
            </w:r>
            <w:r>
              <w:rPr>
                <w:rFonts w:hint="default" w:ascii="Times New Roman" w:hAnsi="Times New Roman" w:eastAsia="宋体" w:cs="Times New Roman"/>
                <w:b/>
                <w:bCs w:val="0"/>
                <w:color w:val="auto"/>
                <w:sz w:val="21"/>
                <w:szCs w:val="21"/>
                <w:highlight w:val="none"/>
                <w:lang w:val="en-US" w:eastAsia="zh-CN"/>
              </w:rPr>
              <w:t>2</w:t>
            </w:r>
            <w:r>
              <w:rPr>
                <w:rFonts w:hint="default" w:ascii="Times New Roman" w:hAnsi="Times New Roman" w:cs="Times New Roman"/>
                <w:b/>
                <w:bCs w:val="0"/>
                <w:color w:val="auto"/>
                <w:sz w:val="21"/>
                <w:szCs w:val="21"/>
                <w:highlight w:val="none"/>
                <w:lang w:val="en-US" w:eastAsia="zh-CN"/>
              </w:rPr>
              <w:t>1</w:t>
            </w:r>
            <w:r>
              <w:rPr>
                <w:rFonts w:hint="default" w:ascii="Times New Roman" w:hAnsi="Times New Roman" w:eastAsia="宋体" w:cs="Times New Roman"/>
                <w:b/>
                <w:bCs w:val="0"/>
                <w:color w:val="auto"/>
                <w:sz w:val="21"/>
                <w:szCs w:val="21"/>
                <w:highlight w:val="none"/>
              </w:rPr>
              <w:t>年唐山市环境空气质量年均浓度值情况一览表</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7"/>
              <w:gridCol w:w="1095"/>
              <w:gridCol w:w="908"/>
              <w:gridCol w:w="1163"/>
              <w:gridCol w:w="1244"/>
              <w:gridCol w:w="671"/>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733"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指标</w:t>
                  </w:r>
                </w:p>
              </w:tc>
              <w:tc>
                <w:tcPr>
                  <w:tcW w:w="687"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vertAlign w:val="subscript"/>
                    </w:rPr>
                  </w:pPr>
                  <w:r>
                    <w:rPr>
                      <w:rFonts w:hint="default" w:ascii="Times New Roman" w:hAnsi="Times New Roman" w:eastAsia="宋体" w:cs="Times New Roman"/>
                      <w:color w:val="auto"/>
                      <w:sz w:val="18"/>
                      <w:szCs w:val="18"/>
                      <w:highlight w:val="none"/>
                    </w:rPr>
                    <w:t>SO</w:t>
                  </w:r>
                  <w:r>
                    <w:rPr>
                      <w:rFonts w:hint="default" w:ascii="Times New Roman" w:hAnsi="Times New Roman" w:eastAsia="宋体" w:cs="Times New Roman"/>
                      <w:color w:val="auto"/>
                      <w:sz w:val="18"/>
                      <w:szCs w:val="18"/>
                      <w:highlight w:val="none"/>
                      <w:vertAlign w:val="subscript"/>
                    </w:rPr>
                    <w:t>2</w:t>
                  </w:r>
                </w:p>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μg/m</w:t>
                  </w:r>
                  <w:r>
                    <w:rPr>
                      <w:rFonts w:hint="default" w:ascii="Times New Roman" w:hAnsi="Times New Roman" w:eastAsia="宋体" w:cs="Times New Roman"/>
                      <w:color w:val="auto"/>
                      <w:sz w:val="18"/>
                      <w:szCs w:val="18"/>
                      <w:highlight w:val="none"/>
                      <w:vertAlign w:val="superscript"/>
                    </w:rPr>
                    <w:t>3</w:t>
                  </w:r>
                </w:p>
              </w:tc>
              <w:tc>
                <w:tcPr>
                  <w:tcW w:w="570"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vertAlign w:val="subscript"/>
                    </w:rPr>
                  </w:pPr>
                  <w:r>
                    <w:rPr>
                      <w:rFonts w:hint="default" w:ascii="Times New Roman" w:hAnsi="Times New Roman" w:eastAsia="宋体" w:cs="Times New Roman"/>
                      <w:color w:val="auto"/>
                      <w:sz w:val="18"/>
                      <w:szCs w:val="18"/>
                      <w:highlight w:val="none"/>
                    </w:rPr>
                    <w:t>NO</w:t>
                  </w:r>
                  <w:r>
                    <w:rPr>
                      <w:rFonts w:hint="default" w:ascii="Times New Roman" w:hAnsi="Times New Roman" w:eastAsia="宋体" w:cs="Times New Roman"/>
                      <w:color w:val="auto"/>
                      <w:sz w:val="18"/>
                      <w:szCs w:val="18"/>
                      <w:highlight w:val="none"/>
                      <w:vertAlign w:val="subscript"/>
                    </w:rPr>
                    <w:t>2</w:t>
                  </w:r>
                </w:p>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μg/m</w:t>
                  </w:r>
                  <w:r>
                    <w:rPr>
                      <w:rFonts w:hint="default" w:ascii="Times New Roman" w:hAnsi="Times New Roman" w:eastAsia="宋体" w:cs="Times New Roman"/>
                      <w:color w:val="auto"/>
                      <w:sz w:val="18"/>
                      <w:szCs w:val="18"/>
                      <w:highlight w:val="none"/>
                      <w:vertAlign w:val="superscript"/>
                    </w:rPr>
                    <w:t>3</w:t>
                  </w:r>
                </w:p>
              </w:tc>
              <w:tc>
                <w:tcPr>
                  <w:tcW w:w="730"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vertAlign w:val="subscript"/>
                    </w:rPr>
                  </w:pPr>
                  <w:r>
                    <w:rPr>
                      <w:rFonts w:hint="default" w:ascii="Times New Roman" w:hAnsi="Times New Roman" w:eastAsia="宋体" w:cs="Times New Roman"/>
                      <w:color w:val="auto"/>
                      <w:sz w:val="18"/>
                      <w:szCs w:val="18"/>
                      <w:highlight w:val="none"/>
                    </w:rPr>
                    <w:t>PM</w:t>
                  </w:r>
                  <w:r>
                    <w:rPr>
                      <w:rFonts w:hint="default" w:ascii="Times New Roman" w:hAnsi="Times New Roman" w:eastAsia="宋体" w:cs="Times New Roman"/>
                      <w:color w:val="auto"/>
                      <w:sz w:val="18"/>
                      <w:szCs w:val="18"/>
                      <w:highlight w:val="none"/>
                      <w:vertAlign w:val="subscript"/>
                    </w:rPr>
                    <w:t>10</w:t>
                  </w:r>
                </w:p>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μg/m</w:t>
                  </w:r>
                  <w:r>
                    <w:rPr>
                      <w:rFonts w:hint="default" w:ascii="Times New Roman" w:hAnsi="Times New Roman" w:eastAsia="宋体" w:cs="Times New Roman"/>
                      <w:color w:val="auto"/>
                      <w:sz w:val="18"/>
                      <w:szCs w:val="18"/>
                      <w:highlight w:val="none"/>
                      <w:vertAlign w:val="superscript"/>
                    </w:rPr>
                    <w:t>3</w:t>
                  </w:r>
                </w:p>
              </w:tc>
              <w:tc>
                <w:tcPr>
                  <w:tcW w:w="781"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vertAlign w:val="subscript"/>
                    </w:rPr>
                  </w:pPr>
                  <w:r>
                    <w:rPr>
                      <w:rFonts w:hint="default" w:ascii="Times New Roman" w:hAnsi="Times New Roman" w:eastAsia="宋体" w:cs="Times New Roman"/>
                      <w:color w:val="auto"/>
                      <w:sz w:val="18"/>
                      <w:szCs w:val="18"/>
                      <w:highlight w:val="none"/>
                    </w:rPr>
                    <w:t>PM</w:t>
                  </w:r>
                  <w:r>
                    <w:rPr>
                      <w:rFonts w:hint="default" w:ascii="Times New Roman" w:hAnsi="Times New Roman" w:eastAsia="宋体" w:cs="Times New Roman"/>
                      <w:color w:val="auto"/>
                      <w:sz w:val="18"/>
                      <w:szCs w:val="18"/>
                      <w:highlight w:val="none"/>
                      <w:vertAlign w:val="subscript"/>
                    </w:rPr>
                    <w:t>2.5</w:t>
                  </w:r>
                </w:p>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μg/m</w:t>
                  </w:r>
                  <w:r>
                    <w:rPr>
                      <w:rFonts w:hint="default" w:ascii="Times New Roman" w:hAnsi="Times New Roman" w:eastAsia="宋体" w:cs="Times New Roman"/>
                      <w:color w:val="auto"/>
                      <w:sz w:val="18"/>
                      <w:szCs w:val="18"/>
                      <w:highlight w:val="none"/>
                      <w:vertAlign w:val="superscript"/>
                    </w:rPr>
                    <w:t>3</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CO日均值第95百分位浓度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lang w:val="en-US" w:eastAsia="zh-CN"/>
                    </w:rPr>
                    <w:t>m</w:t>
                  </w:r>
                  <w:r>
                    <w:rPr>
                      <w:rFonts w:hint="default" w:ascii="Times New Roman" w:hAnsi="Times New Roman" w:eastAsia="宋体" w:cs="Times New Roman"/>
                      <w:color w:val="auto"/>
                      <w:sz w:val="18"/>
                      <w:szCs w:val="18"/>
                    </w:rPr>
                    <w:t>g/m</w:t>
                  </w:r>
                  <w:r>
                    <w:rPr>
                      <w:rFonts w:hint="default" w:ascii="Times New Roman" w:hAnsi="Times New Roman" w:eastAsia="宋体" w:cs="Times New Roman"/>
                      <w:color w:val="auto"/>
                      <w:sz w:val="18"/>
                      <w:szCs w:val="18"/>
                      <w:vertAlign w:val="superscript"/>
                    </w:rPr>
                    <w:t>3</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O</w:t>
                  </w:r>
                  <w:r>
                    <w:rPr>
                      <w:rFonts w:hint="default" w:ascii="Times New Roman" w:hAnsi="Times New Roman" w:eastAsia="宋体" w:cs="Times New Roman"/>
                      <w:color w:val="auto"/>
                      <w:sz w:val="18"/>
                      <w:szCs w:val="18"/>
                      <w:vertAlign w:val="subscript"/>
                    </w:rPr>
                    <w:t>3</w:t>
                  </w:r>
                  <w:r>
                    <w:rPr>
                      <w:rFonts w:hint="default" w:ascii="Times New Roman" w:hAnsi="Times New Roman" w:eastAsia="宋体" w:cs="Times New Roman"/>
                      <w:color w:val="auto"/>
                      <w:sz w:val="18"/>
                      <w:szCs w:val="18"/>
                    </w:rPr>
                    <w:t>（日最大8小时平均第90百分位浓度）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μg/m</w:t>
                  </w:r>
                  <w:r>
                    <w:rPr>
                      <w:rFonts w:hint="default" w:ascii="Times New Roman" w:hAnsi="Times New Roman" w:eastAsia="宋体" w:cs="Times New Roman"/>
                      <w:color w:val="auto"/>
                      <w:sz w:val="18"/>
                      <w:szCs w:val="18"/>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20</w:t>
                  </w:r>
                  <w:r>
                    <w:rPr>
                      <w:rFonts w:hint="default" w:ascii="Times New Roman" w:hAnsi="Times New Roman" w:eastAsia="宋体" w:cs="Times New Roman"/>
                      <w:color w:val="auto"/>
                      <w:sz w:val="18"/>
                      <w:szCs w:val="18"/>
                      <w:lang w:val="en-US" w:eastAsia="zh-CN"/>
                    </w:rPr>
                    <w:t>21</w:t>
                  </w:r>
                  <w:r>
                    <w:rPr>
                      <w:rFonts w:hint="default" w:ascii="Times New Roman" w:hAnsi="Times New Roman" w:eastAsia="宋体" w:cs="Times New Roman"/>
                      <w:color w:val="auto"/>
                      <w:sz w:val="18"/>
                      <w:szCs w:val="18"/>
                    </w:rPr>
                    <w:t>平均值</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10</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39</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79</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43</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1.9</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年均值标准</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60</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40</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70</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35</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达标情况</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达标</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达标</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超标</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超标</w:t>
                  </w:r>
                </w:p>
              </w:tc>
              <w:tc>
                <w:tcPr>
                  <w:tcW w:w="6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7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超标百分数</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lang w:val="en-US" w:eastAsia="zh-CN"/>
                    </w:rPr>
                    <w:t>12.9%</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lang w:val="en-US" w:eastAsia="zh-CN"/>
                    </w:rPr>
                    <w:t>22.86%</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日均值标准</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150</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80</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150</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75</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4</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达标情况</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达标</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超标百分数</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lang w:val="en-US" w:eastAsia="zh-CN"/>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11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20</w:t>
                  </w:r>
                  <w:r>
                    <w:rPr>
                      <w:rFonts w:hint="default" w:ascii="Times New Roman" w:hAnsi="Times New Roman" w:eastAsia="宋体" w:cs="Times New Roman"/>
                      <w:color w:val="auto"/>
                      <w:sz w:val="18"/>
                      <w:szCs w:val="18"/>
                      <w:lang w:val="en-US" w:eastAsia="zh-CN"/>
                    </w:rPr>
                    <w:t>20</w:t>
                  </w:r>
                  <w:r>
                    <w:rPr>
                      <w:rFonts w:hint="default" w:ascii="Times New Roman" w:hAnsi="Times New Roman" w:eastAsia="宋体" w:cs="Times New Roman"/>
                      <w:color w:val="auto"/>
                      <w:sz w:val="18"/>
                      <w:szCs w:val="18"/>
                    </w:rPr>
                    <w:t>年与上年相比</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下降</w:t>
                  </w:r>
                  <w:r>
                    <w:rPr>
                      <w:rFonts w:hint="default" w:ascii="Times New Roman" w:hAnsi="Times New Roman" w:eastAsia="宋体" w:cs="Times New Roman"/>
                      <w:color w:val="auto"/>
                      <w:sz w:val="18"/>
                      <w:szCs w:val="18"/>
                      <w:lang w:val="en-US" w:eastAsia="zh-CN"/>
                    </w:rPr>
                    <w:t>44.4</w:t>
                  </w:r>
                  <w:r>
                    <w:rPr>
                      <w:rFonts w:hint="default" w:ascii="Times New Roman" w:hAnsi="Times New Roman" w:eastAsia="宋体" w:cs="Times New Roman"/>
                      <w:color w:val="auto"/>
                      <w:sz w:val="18"/>
                      <w:szCs w:val="18"/>
                    </w:rPr>
                    <w:t>%</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lang w:val="en-US" w:eastAsia="zh-CN"/>
                    </w:rPr>
                    <w:t>下降15.2</w:t>
                  </w:r>
                  <w:r>
                    <w:rPr>
                      <w:rFonts w:hint="default" w:ascii="Times New Roman" w:hAnsi="Times New Roman" w:eastAsia="宋体" w:cs="Times New Roman"/>
                      <w:color w:val="auto"/>
                      <w:sz w:val="18"/>
                      <w:szCs w:val="18"/>
                    </w:rPr>
                    <w:t>%</w:t>
                  </w:r>
                </w:p>
              </w:tc>
              <w:tc>
                <w:tcPr>
                  <w:tcW w:w="11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下降</w:t>
                  </w:r>
                  <w:r>
                    <w:rPr>
                      <w:rFonts w:hint="default" w:ascii="Times New Roman" w:hAnsi="Times New Roman" w:eastAsia="宋体" w:cs="Times New Roman"/>
                      <w:color w:val="auto"/>
                      <w:sz w:val="18"/>
                      <w:szCs w:val="18"/>
                      <w:lang w:val="en-US" w:eastAsia="zh-CN"/>
                    </w:rPr>
                    <w:t>10.2</w:t>
                  </w:r>
                  <w:r>
                    <w:rPr>
                      <w:rFonts w:hint="default" w:ascii="Times New Roman" w:hAnsi="Times New Roman" w:eastAsia="宋体" w:cs="Times New Roman"/>
                      <w:color w:val="auto"/>
                      <w:sz w:val="18"/>
                      <w:szCs w:val="18"/>
                    </w:rPr>
                    <w:t>%</w:t>
                  </w:r>
                </w:p>
              </w:tc>
              <w:tc>
                <w:tcPr>
                  <w:tcW w:w="12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下降</w:t>
                  </w:r>
                  <w:r>
                    <w:rPr>
                      <w:rFonts w:hint="default" w:ascii="Times New Roman" w:hAnsi="Times New Roman" w:eastAsia="宋体" w:cs="Times New Roman"/>
                      <w:color w:val="auto"/>
                      <w:sz w:val="18"/>
                      <w:szCs w:val="18"/>
                      <w:lang w:val="en-US" w:eastAsia="zh-CN"/>
                    </w:rPr>
                    <w:t>12.2</w:t>
                  </w:r>
                  <w:r>
                    <w:rPr>
                      <w:rFonts w:hint="default" w:ascii="Times New Roman" w:hAnsi="Times New Roman" w:eastAsia="宋体" w:cs="Times New Roman"/>
                      <w:color w:val="auto"/>
                      <w:sz w:val="18"/>
                      <w:szCs w:val="18"/>
                    </w:rPr>
                    <w:t>%</w:t>
                  </w:r>
                </w:p>
              </w:tc>
              <w:tc>
                <w:tcPr>
                  <w:tcW w:w="6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rPr>
                    <w:t>下降</w:t>
                  </w:r>
                  <w:r>
                    <w:rPr>
                      <w:rFonts w:hint="default" w:ascii="Times New Roman" w:hAnsi="Times New Roman" w:eastAsia="宋体" w:cs="Times New Roman"/>
                      <w:color w:val="auto"/>
                      <w:sz w:val="18"/>
                      <w:szCs w:val="18"/>
                      <w:lang w:val="en-US" w:eastAsia="zh-CN"/>
                    </w:rPr>
                    <w:t>24</w:t>
                  </w:r>
                  <w:r>
                    <w:rPr>
                      <w:rFonts w:hint="default" w:ascii="Times New Roman" w:hAnsi="Times New Roman" w:eastAsia="宋体" w:cs="Times New Roman"/>
                      <w:color w:val="auto"/>
                      <w:sz w:val="18"/>
                      <w:szCs w:val="18"/>
                    </w:rPr>
                    <w:t>%</w:t>
                  </w:r>
                </w:p>
              </w:tc>
              <w:tc>
                <w:tcPr>
                  <w:tcW w:w="17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lang w:val="en-US" w:eastAsia="zh-CN"/>
                    </w:rPr>
                    <w:t>下降11.5</w:t>
                  </w:r>
                  <w:r>
                    <w:rPr>
                      <w:rFonts w:hint="default" w:ascii="Times New Roman" w:hAnsi="Times New Roman" w:eastAsia="宋体" w:cs="Times New Roman"/>
                      <w:color w:val="auto"/>
                      <w:sz w:val="18"/>
                      <w:szCs w:val="18"/>
                    </w:rPr>
                    <w:t>%</w:t>
                  </w:r>
                </w:p>
              </w:tc>
            </w:tr>
          </w:tbl>
          <w:p>
            <w:pPr>
              <w:pStyle w:val="61"/>
              <w:keepNext w:val="0"/>
              <w:keepLines w:val="0"/>
              <w:pageBreakBefore w:val="0"/>
              <w:kinsoku/>
              <w:wordWrap/>
              <w:overflowPunct/>
              <w:topLinePunct w:val="0"/>
              <w:bidi w:val="0"/>
              <w:adjustRightInd w:val="0"/>
              <w:snapToGrid w:val="0"/>
              <w:spacing w:before="0" w:beforeAutospacing="0" w:after="0" w:afterAutospacing="0" w:line="360" w:lineRule="auto"/>
              <w:ind w:left="0" w:leftChars="0" w:right="0" w:rightChars="0" w:firstLine="496"/>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cs="Times New Roman"/>
                <w:color w:val="auto"/>
                <w:sz w:val="21"/>
                <w:szCs w:val="21"/>
              </w:rPr>
              <w:t>由表</w:t>
            </w:r>
            <w:r>
              <w:rPr>
                <w:rFonts w:hint="default" w:ascii="Times New Roman" w:hAnsi="Times New Roman" w:cs="Times New Roman"/>
                <w:color w:val="auto"/>
                <w:sz w:val="21"/>
                <w:szCs w:val="21"/>
                <w:lang w:val="en-US" w:eastAsia="zh-CN"/>
              </w:rPr>
              <w:t>3-1</w:t>
            </w:r>
            <w:r>
              <w:rPr>
                <w:rFonts w:hint="default" w:ascii="Times New Roman" w:hAnsi="Times New Roman" w:cs="Times New Roman"/>
                <w:color w:val="auto"/>
                <w:sz w:val="21"/>
                <w:szCs w:val="21"/>
              </w:rPr>
              <w:t>可知，项目所在区域一氧化碳、二氧化硫</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二氧化氮</w:t>
            </w:r>
            <w:r>
              <w:rPr>
                <w:rFonts w:hint="default" w:ascii="Times New Roman" w:hAnsi="Times New Roman" w:cs="Times New Roman"/>
                <w:color w:val="auto"/>
                <w:sz w:val="21"/>
                <w:szCs w:val="21"/>
              </w:rPr>
              <w:t>浓度值满足空气质量标准要求；臭氧日最大8小时浓度值、PM</w:t>
            </w:r>
            <w:r>
              <w:rPr>
                <w:rFonts w:hint="default" w:ascii="Times New Roman" w:hAnsi="Times New Roman" w:cs="Times New Roman"/>
                <w:color w:val="auto"/>
                <w:sz w:val="21"/>
                <w:szCs w:val="21"/>
                <w:vertAlign w:val="subscript"/>
              </w:rPr>
              <w:t>2.5</w:t>
            </w: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r>
              <w:rPr>
                <w:rFonts w:hint="default" w:ascii="Times New Roman" w:hAnsi="Times New Roman" w:cs="Times New Roman"/>
                <w:color w:val="auto"/>
                <w:sz w:val="21"/>
                <w:szCs w:val="21"/>
              </w:rPr>
              <w:t>超过环境质量标准要求，即项目所在区域为不达标区。</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唐山市“退出后十”大气污染防治工作实施方案》可知，通过调整优化产业结构、能源结构，深入开展大气污染治理攻坚行动，切实改善环境空气质量，通过控制扬尘污染、削减燃煤总量、控制机动车污染和严把燃煤质量关等方面的行动，项目所在区域环境空气质量将会逐步得到改善。</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（2）项目所在区域污染物环境质量现状</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①基本污染物环境质量现状评价</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本次评价对项目所在区域附近例行监测点常规污染物监测数据进行了统计分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根据《环境空气质量评价技术规范（试行）》（HJ663-2013）中的统计方法进行统计，统计结果见下表。</w:t>
            </w:r>
          </w:p>
          <w:p>
            <w:pPr>
              <w:keepNext w:val="0"/>
              <w:keepLines w:val="0"/>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w:t>
            </w:r>
            <w:r>
              <w:rPr>
                <w:rFonts w:hint="default" w:ascii="Times New Roman" w:hAnsi="Times New Roman" w:eastAsia="宋体" w:cs="Times New Roman"/>
                <w:b/>
                <w:bCs w:val="0"/>
                <w:color w:val="auto"/>
                <w:sz w:val="21"/>
                <w:szCs w:val="21"/>
                <w:highlight w:val="none"/>
                <w:lang w:val="en-US" w:eastAsia="zh-CN"/>
              </w:rPr>
              <w:t xml:space="preserve">3-2  </w:t>
            </w:r>
            <w:r>
              <w:rPr>
                <w:rFonts w:hint="default" w:ascii="Times New Roman" w:hAnsi="Times New Roman" w:eastAsia="宋体" w:cs="Times New Roman"/>
                <w:b/>
                <w:bCs w:val="0"/>
                <w:color w:val="auto"/>
                <w:sz w:val="21"/>
                <w:szCs w:val="21"/>
                <w:highlight w:val="none"/>
              </w:rPr>
              <w:t>基本污染物环境质量现状</w:t>
            </w:r>
            <w:r>
              <w:rPr>
                <w:rFonts w:hint="default" w:ascii="Times New Roman" w:hAnsi="Times New Roman" w:eastAsia="宋体" w:cs="Times New Roman"/>
                <w:b/>
                <w:bCs w:val="0"/>
                <w:color w:val="auto"/>
                <w:sz w:val="21"/>
                <w:szCs w:val="21"/>
                <w:highlight w:val="none"/>
                <w:lang w:val="en-US" w:eastAsia="zh-CN"/>
              </w:rPr>
              <w:t>一览表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7"/>
              <w:gridCol w:w="765"/>
              <w:gridCol w:w="1494"/>
              <w:gridCol w:w="842"/>
              <w:gridCol w:w="954"/>
              <w:gridCol w:w="1056"/>
              <w:gridCol w:w="588"/>
              <w:gridCol w:w="809"/>
              <w:gridCol w:w="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点位名称</w:t>
                  </w:r>
                </w:p>
              </w:tc>
              <w:tc>
                <w:tcPr>
                  <w:tcW w:w="78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污染物</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年评价指标</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评价标准(μg/m</w:t>
                  </w:r>
                  <w:r>
                    <w:rPr>
                      <w:rFonts w:hint="default" w:ascii="Times New Roman" w:hAnsi="Times New Roman" w:eastAsia="宋体" w:cs="Times New Roman"/>
                      <w:color w:val="auto"/>
                      <w:kern w:val="2"/>
                      <w:sz w:val="18"/>
                      <w:szCs w:val="18"/>
                      <w:highlight w:val="none"/>
                      <w:vertAlign w:val="superscript"/>
                      <w:lang w:val="en-US" w:eastAsia="zh-CN" w:bidi="ar-SA"/>
                    </w:rPr>
                    <w:t>3</w:t>
                  </w:r>
                  <w:r>
                    <w:rPr>
                      <w:rFonts w:hint="default" w:ascii="Times New Roman" w:hAnsi="Times New Roman" w:eastAsia="宋体" w:cs="Times New Roman"/>
                      <w:color w:val="auto"/>
                      <w:kern w:val="2"/>
                      <w:sz w:val="18"/>
                      <w:szCs w:val="18"/>
                      <w:highlight w:val="none"/>
                      <w:lang w:val="en-US" w:eastAsia="zh-CN" w:bidi="ar-SA"/>
                    </w:rPr>
                    <w:t>)</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现状浓度（μg/m</w:t>
                  </w:r>
                  <w:r>
                    <w:rPr>
                      <w:rFonts w:hint="default" w:ascii="Times New Roman" w:hAnsi="Times New Roman" w:eastAsia="宋体" w:cs="Times New Roman"/>
                      <w:color w:val="auto"/>
                      <w:kern w:val="2"/>
                      <w:sz w:val="18"/>
                      <w:szCs w:val="18"/>
                      <w:highlight w:val="none"/>
                      <w:vertAlign w:val="superscript"/>
                      <w:lang w:val="en-US" w:eastAsia="zh-CN" w:bidi="ar-SA"/>
                    </w:rPr>
                    <w:t>3</w:t>
                  </w:r>
                  <w:r>
                    <w:rPr>
                      <w:rFonts w:hint="default" w:ascii="Times New Roman" w:hAnsi="Times New Roman" w:eastAsia="宋体" w:cs="Times New Roman"/>
                      <w:color w:val="auto"/>
                      <w:kern w:val="2"/>
                      <w:sz w:val="18"/>
                      <w:szCs w:val="18"/>
                      <w:highlight w:val="none"/>
                      <w:lang w:val="en-US" w:eastAsia="zh-CN" w:bidi="ar-SA"/>
                    </w:rPr>
                    <w:t>）</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最大浓度占标率（%）</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超标倍数</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超标频率（%）</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高新区环境空气质量例行监测点（监测点坐标2116，-2404）</w:t>
                  </w:r>
                </w:p>
              </w:tc>
              <w:tc>
                <w:tcPr>
                  <w:tcW w:w="78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SO</w:t>
                  </w:r>
                  <w:r>
                    <w:rPr>
                      <w:rFonts w:hint="default" w:ascii="Times New Roman" w:hAnsi="Times New Roman" w:eastAsia="宋体" w:cs="Times New Roman"/>
                      <w:color w:val="auto"/>
                      <w:kern w:val="2"/>
                      <w:sz w:val="18"/>
                      <w:szCs w:val="18"/>
                      <w:highlight w:val="none"/>
                      <w:vertAlign w:val="subscript"/>
                      <w:lang w:val="en-US" w:eastAsia="zh-CN" w:bidi="ar-SA"/>
                    </w:rPr>
                    <w:t>2</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年平均质量浓度</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60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20.4</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34.06</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60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24小时平均第98百分位数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150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53.0</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35.33</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w:t>
                  </w:r>
                </w:p>
              </w:tc>
              <w:tc>
                <w:tcPr>
                  <w:tcW w:w="60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CO</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24小时平均第95百分位数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4000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2742.8</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68.57</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NO</w:t>
                  </w:r>
                  <w:r>
                    <w:rPr>
                      <w:rFonts w:hint="default" w:ascii="Times New Roman" w:hAnsi="Times New Roman" w:eastAsia="宋体" w:cs="Times New Roman"/>
                      <w:color w:val="auto"/>
                      <w:kern w:val="2"/>
                      <w:sz w:val="18"/>
                      <w:szCs w:val="18"/>
                      <w:highlight w:val="none"/>
                      <w:vertAlign w:val="subscript"/>
                      <w:lang w:val="en-US" w:eastAsia="zh-CN" w:bidi="ar-SA"/>
                    </w:rPr>
                    <w:t>2</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年平均质量浓度</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40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45.2</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113.08</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0.13</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60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24小时平均第98百分位数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80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97.6</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122.00</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0.22</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5.6</w:t>
                  </w:r>
                </w:p>
              </w:tc>
              <w:tc>
                <w:tcPr>
                  <w:tcW w:w="60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O</w:t>
                  </w:r>
                  <w:r>
                    <w:rPr>
                      <w:rFonts w:hint="default" w:ascii="Times New Roman" w:hAnsi="Times New Roman" w:eastAsia="宋体" w:cs="Times New Roman"/>
                      <w:color w:val="auto"/>
                      <w:kern w:val="2"/>
                      <w:sz w:val="18"/>
                      <w:szCs w:val="18"/>
                      <w:highlight w:val="none"/>
                      <w:vertAlign w:val="subscript"/>
                      <w:lang w:val="en-US" w:eastAsia="zh-CN" w:bidi="ar-SA"/>
                    </w:rPr>
                    <w:t>3</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日最大8小时平均值的第90百分位数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160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194.6</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121.63</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0.22</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10.06</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PM</w:t>
                  </w:r>
                  <w:r>
                    <w:rPr>
                      <w:rFonts w:hint="default" w:ascii="Times New Roman" w:hAnsi="Times New Roman" w:eastAsia="宋体" w:cs="Times New Roman"/>
                      <w:color w:val="auto"/>
                      <w:kern w:val="2"/>
                      <w:sz w:val="18"/>
                      <w:szCs w:val="18"/>
                      <w:highlight w:val="none"/>
                      <w:vertAlign w:val="subscript"/>
                      <w:lang w:val="en-US" w:eastAsia="zh-CN" w:bidi="ar-SA"/>
                    </w:rPr>
                    <w:t>10</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年平均质量浓度</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70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115.8</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165.36</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0.65</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60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24小时平均第95百分位数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150</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234.4</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156.27</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0.56</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18.21</w:t>
                  </w:r>
                </w:p>
              </w:tc>
              <w:tc>
                <w:tcPr>
                  <w:tcW w:w="60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p>
              </w:tc>
              <w:tc>
                <w:tcPr>
                  <w:tcW w:w="78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PM</w:t>
                  </w:r>
                  <w:r>
                    <w:rPr>
                      <w:rFonts w:hint="default" w:ascii="Times New Roman" w:hAnsi="Times New Roman" w:eastAsia="宋体" w:cs="Times New Roman"/>
                      <w:color w:val="auto"/>
                      <w:kern w:val="2"/>
                      <w:sz w:val="18"/>
                      <w:szCs w:val="18"/>
                      <w:highlight w:val="none"/>
                      <w:vertAlign w:val="subscript"/>
                      <w:lang w:val="en-US" w:eastAsia="zh-CN" w:bidi="ar-SA"/>
                    </w:rPr>
                    <w:t>2.5</w:t>
                  </w: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年平均质量浓度</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35</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62.8</w:t>
                  </w:r>
                </w:p>
              </w:tc>
              <w:tc>
                <w:tcPr>
                  <w:tcW w:w="1077"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179.46</w:t>
                  </w:r>
                </w:p>
              </w:tc>
              <w:tc>
                <w:tcPr>
                  <w:tcW w:w="600"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0.79</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c>
                <w:tcPr>
                  <w:tcW w:w="600" w:type="dxa"/>
                  <w:vMerge w:val="restart"/>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18"/>
                      <w:szCs w:val="18"/>
                      <w:highlight w:val="none"/>
                    </w:rPr>
                  </w:pPr>
                </w:p>
              </w:tc>
              <w:tc>
                <w:tcPr>
                  <w:tcW w:w="780" w:type="dxa"/>
                  <w:vMerge w:val="continue"/>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18"/>
                      <w:szCs w:val="18"/>
                      <w:highlight w:val="none"/>
                    </w:rPr>
                  </w:pPr>
                </w:p>
              </w:tc>
              <w:tc>
                <w:tcPr>
                  <w:tcW w:w="1524"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24小时平均第95百分位数</w:t>
                  </w:r>
                </w:p>
              </w:tc>
              <w:tc>
                <w:tcPr>
                  <w:tcW w:w="859"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973"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166.6</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222.13</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1.22</w:t>
                  </w:r>
                </w:p>
              </w:tc>
              <w:tc>
                <w:tcPr>
                  <w:tcW w:w="825" w:type="dxa"/>
                  <w:tcBorders>
                    <w:tl2br w:val="nil"/>
                    <w:tr2bl w:val="nil"/>
                  </w:tcBorders>
                  <w:noWrap w:val="0"/>
                  <w:vAlign w:val="center"/>
                </w:tcPr>
                <w:p>
                  <w:pPr>
                    <w:pStyle w:val="64"/>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20.23</w:t>
                  </w:r>
                </w:p>
              </w:tc>
              <w:tc>
                <w:tcPr>
                  <w:tcW w:w="60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18"/>
                      <w:szCs w:val="18"/>
                      <w:highlight w:val="none"/>
                      <w:lang w:val="en-US" w:eastAsia="zh-CN" w:bidi="ar"/>
                    </w:rPr>
                  </w:pP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由上表可知，唐山市高新区环境空气例行监测点年评价指标中SO</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2</w:t>
            </w:r>
            <w:r>
              <w:rPr>
                <w:rFonts w:hint="default" w:ascii="Times New Roman" w:hAnsi="Times New Roman" w:eastAsia="宋体" w:cs="Times New Roman"/>
                <w:caps w:val="0"/>
                <w:smallCaps w:val="0"/>
                <w:color w:val="auto"/>
                <w:spacing w:val="6"/>
                <w:kern w:val="0"/>
                <w:sz w:val="21"/>
                <w:szCs w:val="21"/>
                <w:highlight w:val="none"/>
                <w:lang w:val="en-US" w:eastAsia="zh-CN" w:bidi="ar-SA"/>
              </w:rPr>
              <w:t>年均值及24小时平均第98百分位数值、CO 24小时平均第95百分位数值满足《环境空气质量标准》(GB3095－2012)中二级标准及修改单(环境保护部公告2018年第29号)要求；NO</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2</w:t>
            </w:r>
            <w:r>
              <w:rPr>
                <w:rFonts w:hint="default" w:ascii="Times New Roman" w:hAnsi="Times New Roman" w:eastAsia="宋体" w:cs="Times New Roman"/>
                <w:caps w:val="0"/>
                <w:smallCaps w:val="0"/>
                <w:color w:val="auto"/>
                <w:spacing w:val="6"/>
                <w:kern w:val="0"/>
                <w:sz w:val="21"/>
                <w:szCs w:val="21"/>
                <w:highlight w:val="none"/>
                <w:lang w:val="en-US" w:eastAsia="zh-CN" w:bidi="ar-SA"/>
              </w:rPr>
              <w:t>年均值及24小时平均第98百分位数值、PM</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10</w:t>
            </w:r>
            <w:r>
              <w:rPr>
                <w:rFonts w:hint="default" w:ascii="Times New Roman" w:hAnsi="Times New Roman" w:eastAsia="宋体" w:cs="Times New Roman"/>
                <w:caps w:val="0"/>
                <w:smallCaps w:val="0"/>
                <w:color w:val="auto"/>
                <w:spacing w:val="6"/>
                <w:kern w:val="0"/>
                <w:sz w:val="21"/>
                <w:szCs w:val="21"/>
                <w:highlight w:val="none"/>
                <w:lang w:val="en-US" w:eastAsia="zh-CN" w:bidi="ar-SA"/>
              </w:rPr>
              <w:t>和PM</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2.5</w:t>
            </w:r>
            <w:r>
              <w:rPr>
                <w:rFonts w:hint="default" w:ascii="Times New Roman" w:hAnsi="Times New Roman" w:eastAsia="宋体" w:cs="Times New Roman"/>
                <w:caps w:val="0"/>
                <w:smallCaps w:val="0"/>
                <w:color w:val="auto"/>
                <w:spacing w:val="6"/>
                <w:kern w:val="0"/>
                <w:sz w:val="21"/>
                <w:szCs w:val="21"/>
                <w:highlight w:val="none"/>
                <w:lang w:val="en-US" w:eastAsia="zh-CN" w:bidi="ar-SA"/>
              </w:rPr>
              <w:t>年平均值及24小时平均第95百分位数值、O</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日最大8小时滑动平均值的第90百分位数值超过了《环境空气质量标准》(GB3095－2012)及修改单(环境保护部公告2018年第29号)中二级标准要求，O</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、NO</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2</w:t>
            </w:r>
            <w:r>
              <w:rPr>
                <w:rFonts w:hint="default" w:ascii="Times New Roman" w:hAnsi="Times New Roman" w:eastAsia="宋体" w:cs="Times New Roman"/>
                <w:caps w:val="0"/>
                <w:smallCaps w:val="0"/>
                <w:color w:val="auto"/>
                <w:spacing w:val="6"/>
                <w:kern w:val="0"/>
                <w:sz w:val="21"/>
                <w:szCs w:val="21"/>
                <w:highlight w:val="none"/>
                <w:lang w:val="en-US" w:eastAsia="zh-CN" w:bidi="ar-SA"/>
              </w:rPr>
              <w:t>、PM</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10</w:t>
            </w:r>
            <w:r>
              <w:rPr>
                <w:rFonts w:hint="default" w:ascii="Times New Roman" w:hAnsi="Times New Roman" w:eastAsia="宋体" w:cs="Times New Roman"/>
                <w:caps w:val="0"/>
                <w:smallCaps w:val="0"/>
                <w:color w:val="auto"/>
                <w:spacing w:val="6"/>
                <w:kern w:val="0"/>
                <w:sz w:val="21"/>
                <w:szCs w:val="21"/>
                <w:highlight w:val="none"/>
                <w:lang w:val="en-US" w:eastAsia="zh-CN" w:bidi="ar-SA"/>
              </w:rPr>
              <w:t>、PM</w:t>
            </w:r>
            <w:r>
              <w:rPr>
                <w:rFonts w:hint="default" w:ascii="Times New Roman" w:hAnsi="Times New Roman" w:eastAsia="宋体" w:cs="Times New Roman"/>
                <w:caps w:val="0"/>
                <w:smallCaps w:val="0"/>
                <w:color w:val="auto"/>
                <w:spacing w:val="6"/>
                <w:kern w:val="0"/>
                <w:sz w:val="21"/>
                <w:szCs w:val="21"/>
                <w:highlight w:val="none"/>
                <w:vertAlign w:val="subscript"/>
                <w:lang w:val="en-US" w:eastAsia="zh-CN" w:bidi="ar-SA"/>
              </w:rPr>
              <w:t>2.5</w:t>
            </w:r>
            <w:r>
              <w:rPr>
                <w:rFonts w:hint="default" w:ascii="Times New Roman" w:hAnsi="Times New Roman" w:eastAsia="宋体" w:cs="Times New Roman"/>
                <w:caps w:val="0"/>
                <w:smallCaps w:val="0"/>
                <w:color w:val="auto"/>
                <w:spacing w:val="6"/>
                <w:kern w:val="0"/>
                <w:sz w:val="21"/>
                <w:szCs w:val="21"/>
                <w:highlight w:val="none"/>
                <w:lang w:val="en-US" w:eastAsia="zh-CN" w:bidi="ar-SA"/>
              </w:rPr>
              <w:t>为超标因子。</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②其他污染物环境质量现状评价</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非甲烷总烃、苯、甲苯、二甲苯、TSP。</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TW"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非甲烷总烃、苯、甲苯、二甲苯、TSP</w:t>
            </w:r>
            <w:r>
              <w:rPr>
                <w:rFonts w:hint="default" w:ascii="Times New Roman" w:hAnsi="Times New Roman" w:eastAsia="宋体" w:cs="Times New Roman"/>
                <w:caps w:val="0"/>
                <w:smallCaps w:val="0"/>
                <w:color w:val="auto"/>
                <w:spacing w:val="6"/>
                <w:kern w:val="0"/>
                <w:sz w:val="21"/>
                <w:szCs w:val="21"/>
                <w:highlight w:val="none"/>
                <w:lang w:val="en-US" w:eastAsia="zh-TW" w:bidi="ar-SA"/>
              </w:rPr>
              <w:t>环境质量现状</w:t>
            </w:r>
            <w:r>
              <w:rPr>
                <w:rFonts w:hint="default" w:ascii="Times New Roman" w:hAnsi="Times New Roman" w:eastAsia="宋体" w:cs="Times New Roman"/>
                <w:caps w:val="0"/>
                <w:smallCaps w:val="0"/>
                <w:color w:val="auto"/>
                <w:spacing w:val="6"/>
                <w:kern w:val="0"/>
                <w:sz w:val="21"/>
                <w:szCs w:val="21"/>
                <w:highlight w:val="none"/>
                <w:lang w:val="en-US" w:eastAsia="zh-CN" w:bidi="ar-SA"/>
              </w:rPr>
              <w:t>检测</w:t>
            </w:r>
            <w:r>
              <w:rPr>
                <w:rFonts w:hint="default" w:ascii="Times New Roman" w:hAnsi="Times New Roman" w:eastAsia="宋体" w:cs="Times New Roman"/>
                <w:caps w:val="0"/>
                <w:smallCaps w:val="0"/>
                <w:color w:val="auto"/>
                <w:spacing w:val="6"/>
                <w:kern w:val="0"/>
                <w:sz w:val="21"/>
                <w:szCs w:val="21"/>
                <w:highlight w:val="none"/>
                <w:lang w:val="en-US" w:eastAsia="zh-TW" w:bidi="ar-SA"/>
              </w:rPr>
              <w:t>数据</w:t>
            </w:r>
            <w:r>
              <w:rPr>
                <w:rFonts w:hint="default" w:ascii="Times New Roman" w:hAnsi="Times New Roman" w:eastAsia="宋体" w:cs="Times New Roman"/>
                <w:caps w:val="0"/>
                <w:smallCaps w:val="0"/>
                <w:color w:val="auto"/>
                <w:spacing w:val="6"/>
                <w:kern w:val="0"/>
                <w:sz w:val="21"/>
                <w:szCs w:val="21"/>
                <w:highlight w:val="none"/>
                <w:lang w:val="en-US" w:eastAsia="zh-CN" w:bidi="ar-SA"/>
              </w:rPr>
              <w:t>委托</w:t>
            </w:r>
            <w:r>
              <w:rPr>
                <w:rFonts w:hint="default" w:ascii="Times New Roman" w:hAnsi="Times New Roman" w:cs="Times New Roman"/>
                <w:caps w:val="0"/>
                <w:smallCaps w:val="0"/>
                <w:color w:val="auto"/>
                <w:spacing w:val="6"/>
                <w:kern w:val="0"/>
                <w:sz w:val="21"/>
                <w:szCs w:val="21"/>
                <w:highlight w:val="none"/>
                <w:lang w:val="en-US" w:eastAsia="zh-CN" w:bidi="ar-SA"/>
              </w:rPr>
              <w:t>唐山市冀唐德普环境检测有限公司</w:t>
            </w:r>
            <w:r>
              <w:rPr>
                <w:rFonts w:hint="default" w:ascii="Times New Roman" w:hAnsi="Times New Roman" w:eastAsia="宋体" w:cs="Times New Roman"/>
                <w:caps w:val="0"/>
                <w:smallCaps w:val="0"/>
                <w:color w:val="auto"/>
                <w:spacing w:val="6"/>
                <w:kern w:val="0"/>
                <w:sz w:val="21"/>
                <w:szCs w:val="21"/>
                <w:highlight w:val="none"/>
                <w:lang w:val="en-US" w:eastAsia="zh-CN" w:bidi="ar-SA"/>
              </w:rPr>
              <w:t>于2022年5月10日-2022年5月1</w:t>
            </w:r>
            <w:r>
              <w:rPr>
                <w:rFonts w:hint="default" w:ascii="Times New Roman" w:hAnsi="Times New Roman" w:cs="Times New Roman"/>
                <w:caps w:val="0"/>
                <w:smallCaps w:val="0"/>
                <w:color w:val="auto"/>
                <w:spacing w:val="6"/>
                <w:kern w:val="0"/>
                <w:sz w:val="21"/>
                <w:szCs w:val="21"/>
                <w:highlight w:val="none"/>
                <w:lang w:val="en-US" w:eastAsia="zh-CN" w:bidi="ar-SA"/>
              </w:rPr>
              <w:t>2</w:t>
            </w:r>
            <w:r>
              <w:rPr>
                <w:rFonts w:hint="default" w:ascii="Times New Roman" w:hAnsi="Times New Roman" w:eastAsia="宋体" w:cs="Times New Roman"/>
                <w:caps w:val="0"/>
                <w:smallCaps w:val="0"/>
                <w:color w:val="auto"/>
                <w:spacing w:val="6"/>
                <w:kern w:val="0"/>
                <w:sz w:val="21"/>
                <w:szCs w:val="21"/>
                <w:highlight w:val="none"/>
                <w:lang w:val="en-US" w:eastAsia="zh-CN" w:bidi="ar-SA"/>
              </w:rPr>
              <w:t>日在本项目厂址进行监测，数据有效</w:t>
            </w:r>
            <w:r>
              <w:rPr>
                <w:rFonts w:hint="default" w:ascii="Times New Roman" w:hAnsi="Times New Roman" w:eastAsia="宋体" w:cs="Times New Roman"/>
                <w:caps w:val="0"/>
                <w:smallCaps w:val="0"/>
                <w:color w:val="auto"/>
                <w:spacing w:val="6"/>
                <w:kern w:val="0"/>
                <w:sz w:val="21"/>
                <w:szCs w:val="21"/>
                <w:highlight w:val="none"/>
                <w:lang w:val="en-US" w:eastAsia="zh-TW" w:bidi="ar-SA"/>
              </w:rPr>
              <w:t>。</w:t>
            </w:r>
          </w:p>
          <w:p>
            <w:pPr>
              <w:keepNext w:val="0"/>
              <w:keepLines w:val="0"/>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表3-3  其他污染物环境质量现状检测结果</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5"/>
              <w:gridCol w:w="510"/>
              <w:gridCol w:w="510"/>
              <w:gridCol w:w="937"/>
              <w:gridCol w:w="1365"/>
              <w:gridCol w:w="1020"/>
              <w:gridCol w:w="1005"/>
              <w:gridCol w:w="1272"/>
              <w:gridCol w:w="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检测</w:t>
                  </w:r>
                </w:p>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点位</w:t>
                  </w:r>
                </w:p>
              </w:tc>
              <w:tc>
                <w:tcPr>
                  <w:tcW w:w="1020" w:type="dxa"/>
                  <w:gridSpan w:val="2"/>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检测点坐标（m）</w:t>
                  </w:r>
                </w:p>
              </w:tc>
              <w:tc>
                <w:tcPr>
                  <w:tcW w:w="937"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污染物</w:t>
                  </w:r>
                </w:p>
              </w:tc>
              <w:tc>
                <w:tcPr>
                  <w:tcW w:w="1365"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类别</w:t>
                  </w:r>
                </w:p>
              </w:tc>
              <w:tc>
                <w:tcPr>
                  <w:tcW w:w="1020"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监测值</w:t>
                  </w:r>
                </w:p>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w:t>
                  </w:r>
                </w:p>
              </w:tc>
              <w:tc>
                <w:tcPr>
                  <w:tcW w:w="1005"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标准值</w:t>
                  </w:r>
                </w:p>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w:t>
                  </w:r>
                </w:p>
              </w:tc>
              <w:tc>
                <w:tcPr>
                  <w:tcW w:w="1272"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标准指数</w:t>
                  </w:r>
                </w:p>
              </w:tc>
              <w:tc>
                <w:tcPr>
                  <w:tcW w:w="647"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51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X</w:t>
                  </w:r>
                </w:p>
              </w:tc>
              <w:tc>
                <w:tcPr>
                  <w:tcW w:w="51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Y</w:t>
                  </w:r>
                </w:p>
              </w:tc>
              <w:tc>
                <w:tcPr>
                  <w:tcW w:w="937"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1365"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1020"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1005"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1272"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647" w:type="dxa"/>
                  <w:vMerge w:val="continue"/>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厂区</w:t>
                  </w:r>
                </w:p>
              </w:tc>
              <w:tc>
                <w:tcPr>
                  <w:tcW w:w="510"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510"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937"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TSP</w:t>
                  </w:r>
                </w:p>
              </w:tc>
              <w:tc>
                <w:tcPr>
                  <w:tcW w:w="136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24小时平均</w:t>
                  </w:r>
                </w:p>
              </w:tc>
              <w:tc>
                <w:tcPr>
                  <w:tcW w:w="102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0.07~0.138</w:t>
                  </w:r>
                </w:p>
              </w:tc>
              <w:tc>
                <w:tcPr>
                  <w:tcW w:w="100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0.3</w:t>
                  </w:r>
                </w:p>
              </w:tc>
              <w:tc>
                <w:tcPr>
                  <w:tcW w:w="1272"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0.233~0.46</w:t>
                  </w:r>
                </w:p>
              </w:tc>
              <w:tc>
                <w:tcPr>
                  <w:tcW w:w="647" w:type="dxa"/>
                  <w:vMerge w:val="restart"/>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136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1小时平均</w:t>
                  </w:r>
                </w:p>
              </w:tc>
              <w:tc>
                <w:tcPr>
                  <w:tcW w:w="102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0.52~0.76</w:t>
                  </w:r>
                </w:p>
              </w:tc>
              <w:tc>
                <w:tcPr>
                  <w:tcW w:w="100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w:t>
                  </w:r>
                </w:p>
              </w:tc>
              <w:tc>
                <w:tcPr>
                  <w:tcW w:w="1272"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0.26~0.38</w:t>
                  </w:r>
                </w:p>
              </w:tc>
              <w:tc>
                <w:tcPr>
                  <w:tcW w:w="647"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18"/>
                      <w:szCs w:val="18"/>
                      <w:highlight w:val="green"/>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苯</w:t>
                  </w:r>
                </w:p>
              </w:tc>
              <w:tc>
                <w:tcPr>
                  <w:tcW w:w="136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1小时平均</w:t>
                  </w:r>
                </w:p>
              </w:tc>
              <w:tc>
                <w:tcPr>
                  <w:tcW w:w="102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未检出</w:t>
                  </w:r>
                </w:p>
              </w:tc>
              <w:tc>
                <w:tcPr>
                  <w:tcW w:w="100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0.11</w:t>
                  </w:r>
                </w:p>
              </w:tc>
              <w:tc>
                <w:tcPr>
                  <w:tcW w:w="1272"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647"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green"/>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w:t>
                  </w:r>
                </w:p>
              </w:tc>
              <w:tc>
                <w:tcPr>
                  <w:tcW w:w="136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1小时平均</w:t>
                  </w:r>
                </w:p>
              </w:tc>
              <w:tc>
                <w:tcPr>
                  <w:tcW w:w="102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未检出</w:t>
                  </w:r>
                </w:p>
              </w:tc>
              <w:tc>
                <w:tcPr>
                  <w:tcW w:w="100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1272"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647"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green"/>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二甲苯</w:t>
                  </w:r>
                </w:p>
              </w:tc>
              <w:tc>
                <w:tcPr>
                  <w:tcW w:w="136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1小时平均</w:t>
                  </w:r>
                </w:p>
              </w:tc>
              <w:tc>
                <w:tcPr>
                  <w:tcW w:w="1020"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未检出</w:t>
                  </w:r>
                </w:p>
              </w:tc>
              <w:tc>
                <w:tcPr>
                  <w:tcW w:w="1005"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w:t>
                  </w:r>
                </w:p>
              </w:tc>
              <w:tc>
                <w:tcPr>
                  <w:tcW w:w="1272"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647" w:type="dxa"/>
                  <w:vMerge w:val="continue"/>
                  <w:noWrap w:val="0"/>
                  <w:vAlign w:val="center"/>
                </w:tcPr>
                <w:p>
                  <w:pPr>
                    <w:pStyle w:val="77"/>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green"/>
                      <w:shd w:val="clear" w:color="auto" w:fill="auto"/>
                      <w:lang w:val="en-US" w:eastAsia="zh-CN"/>
                    </w:rPr>
                  </w:pP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注：以项目厂区中心为坐标原点。</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监测期间监测点TSP的24小时平均浓度标满足《环境空气质量标准》（GB3095-2012）中的二级标准；非甲烷总烃1小时平均浓度满足河北省地方标准《环境空气质量 非甲烷总烃限值》（DB13/1577-2012）表1二级标准：2.0mg/m</w:t>
            </w:r>
            <w:r>
              <w:rPr>
                <w:rFonts w:hint="default" w:ascii="Times New Roman" w:hAnsi="Times New Roman" w:eastAsia="宋体" w:cs="Times New Roman"/>
                <w:caps w:val="0"/>
                <w:smallCaps w:val="0"/>
                <w:color w:val="auto"/>
                <w:spacing w:val="6"/>
                <w:kern w:val="0"/>
                <w:sz w:val="21"/>
                <w:szCs w:val="21"/>
                <w:highlight w:val="none"/>
                <w:vertAlign w:val="super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；苯、甲苯、二甲苯1小时平均浓度满足《环境影响评价技术导则 大气环境》（HJ2.2-2018）附录中标准：苯110μg/m</w:t>
            </w:r>
            <w:r>
              <w:rPr>
                <w:rFonts w:hint="default" w:ascii="Times New Roman" w:hAnsi="Times New Roman" w:eastAsia="宋体" w:cs="Times New Roman"/>
                <w:caps w:val="0"/>
                <w:smallCaps w:val="0"/>
                <w:color w:val="auto"/>
                <w:spacing w:val="6"/>
                <w:kern w:val="0"/>
                <w:sz w:val="21"/>
                <w:szCs w:val="21"/>
                <w:highlight w:val="none"/>
                <w:vertAlign w:val="super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、甲苯200μg/m</w:t>
            </w:r>
            <w:r>
              <w:rPr>
                <w:rFonts w:hint="default" w:ascii="Times New Roman" w:hAnsi="Times New Roman" w:eastAsia="宋体" w:cs="Times New Roman"/>
                <w:caps w:val="0"/>
                <w:smallCaps w:val="0"/>
                <w:color w:val="auto"/>
                <w:spacing w:val="6"/>
                <w:kern w:val="0"/>
                <w:sz w:val="21"/>
                <w:szCs w:val="21"/>
                <w:highlight w:val="none"/>
                <w:vertAlign w:val="super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、二甲苯200μg/m</w:t>
            </w:r>
            <w:r>
              <w:rPr>
                <w:rFonts w:hint="default" w:ascii="Times New Roman" w:hAnsi="Times New Roman" w:eastAsia="宋体" w:cs="Times New Roman"/>
                <w:caps w:val="0"/>
                <w:smallCaps w:val="0"/>
                <w:color w:val="auto"/>
                <w:spacing w:val="6"/>
                <w:kern w:val="0"/>
                <w:sz w:val="21"/>
                <w:szCs w:val="21"/>
                <w:highlight w:val="none"/>
                <w:vertAlign w:val="superscript"/>
                <w:lang w:val="en-US" w:eastAsia="zh-CN" w:bidi="ar-SA"/>
              </w:rPr>
              <w:t>3</w:t>
            </w:r>
            <w:r>
              <w:rPr>
                <w:rFonts w:hint="default" w:ascii="Times New Roman" w:hAnsi="Times New Roman" w:eastAsia="宋体" w:cs="Times New Roman"/>
                <w:caps w:val="0"/>
                <w:smallCaps w:val="0"/>
                <w:color w:val="auto"/>
                <w:spacing w:val="6"/>
                <w:kern w:val="0"/>
                <w:sz w:val="21"/>
                <w:szCs w:val="21"/>
                <w:highlight w:val="none"/>
                <w:lang w:val="en-US" w:eastAsia="zh-CN" w:bidi="ar-SA"/>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olor w:val="auto"/>
                <w:spacing w:val="4"/>
                <w:kern w:val="0"/>
                <w:sz w:val="21"/>
                <w:szCs w:val="21"/>
                <w:highlight w:val="none"/>
              </w:rPr>
            </w:pP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olor w:val="auto"/>
                <w:spacing w:val="4"/>
                <w:kern w:val="0"/>
                <w:sz w:val="21"/>
                <w:szCs w:val="21"/>
                <w:highlight w:val="none"/>
                <w:lang w:val="en-US" w:eastAsia="zh-CN"/>
              </w:rPr>
              <w:t>2</w:t>
            </w:r>
            <w:r>
              <w:rPr>
                <w:rFonts w:hint="default" w:ascii="Times New Roman" w:hAnsi="Times New Roman" w:eastAsia="宋体" w:cs="Times New Roman"/>
                <w:color w:val="auto"/>
                <w:spacing w:val="4"/>
                <w:kern w:val="0"/>
                <w:sz w:val="21"/>
                <w:szCs w:val="21"/>
                <w:highlight w:val="none"/>
              </w:rPr>
              <w:t>）声环境质量现状</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olor w:val="auto"/>
                <w:spacing w:val="4"/>
                <w:kern w:val="0"/>
                <w:sz w:val="21"/>
                <w:szCs w:val="21"/>
                <w:highlight w:val="none"/>
                <w:lang w:val="en-US" w:eastAsia="zh-CN"/>
              </w:rPr>
            </w:pPr>
            <w:r>
              <w:rPr>
                <w:rFonts w:hint="default" w:ascii="Times New Roman" w:hAnsi="Times New Roman" w:eastAsia="宋体" w:cs="Times New Roman"/>
                <w:color w:val="auto"/>
                <w:spacing w:val="4"/>
                <w:kern w:val="0"/>
                <w:sz w:val="21"/>
                <w:szCs w:val="21"/>
                <w:highlight w:val="none"/>
                <w:lang w:val="en-US" w:eastAsia="zh-CN"/>
              </w:rPr>
              <w:t>本项目周边50m范围内无声环境保护目标，声环境质量较好。</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olor w:val="auto"/>
                <w:spacing w:val="4"/>
                <w:kern w:val="0"/>
                <w:sz w:val="21"/>
                <w:szCs w:val="21"/>
                <w:highlight w:val="none"/>
                <w:lang w:val="en-US" w:eastAsia="zh-CN"/>
              </w:rPr>
              <w:t>3</w:t>
            </w: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aps w:val="0"/>
                <w:smallCaps w:val="0"/>
                <w:color w:val="auto"/>
                <w:spacing w:val="6"/>
                <w:kern w:val="0"/>
                <w:sz w:val="21"/>
                <w:szCs w:val="21"/>
                <w:highlight w:val="none"/>
                <w:lang w:val="en-US" w:eastAsia="zh-CN" w:bidi="ar-SA"/>
              </w:rPr>
              <w:t>地表水</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项目所在区域地表水环境质量现状数据采用唐山市生态环境局公开发布的</w:t>
            </w:r>
            <w:r>
              <w:rPr>
                <w:rFonts w:hint="default" w:ascii="Times New Roman" w:hAnsi="Times New Roman" w:eastAsia="宋体" w:cs="Times New Roman"/>
                <w:caps w:val="0"/>
                <w:smallCaps w:val="0"/>
                <w:color w:val="auto"/>
                <w:spacing w:val="6"/>
                <w:kern w:val="0"/>
                <w:sz w:val="21"/>
                <w:szCs w:val="21"/>
                <w:highlight w:val="none"/>
                <w:lang w:val="zh-CN" w:eastAsia="zh-CN" w:bidi="ar-SA"/>
              </w:rPr>
              <w:t>《20</w:t>
            </w:r>
            <w:r>
              <w:rPr>
                <w:rFonts w:hint="default" w:ascii="Times New Roman" w:hAnsi="Times New Roman" w:eastAsia="宋体" w:cs="Times New Roman"/>
                <w:caps w:val="0"/>
                <w:smallCaps w:val="0"/>
                <w:color w:val="auto"/>
                <w:spacing w:val="6"/>
                <w:kern w:val="0"/>
                <w:sz w:val="21"/>
                <w:szCs w:val="21"/>
                <w:highlight w:val="none"/>
                <w:lang w:val="en-US" w:eastAsia="zh-CN" w:bidi="ar-SA"/>
              </w:rPr>
              <w:t>20</w:t>
            </w:r>
            <w:r>
              <w:rPr>
                <w:rFonts w:hint="default" w:ascii="Times New Roman" w:hAnsi="Times New Roman" w:eastAsia="宋体" w:cs="Times New Roman"/>
                <w:caps w:val="0"/>
                <w:smallCaps w:val="0"/>
                <w:color w:val="auto"/>
                <w:spacing w:val="6"/>
                <w:kern w:val="0"/>
                <w:sz w:val="21"/>
                <w:szCs w:val="21"/>
                <w:highlight w:val="none"/>
                <w:lang w:val="zh-CN" w:eastAsia="zh-CN" w:bidi="ar-SA"/>
              </w:rPr>
              <w:t>年唐山市环境状况公报》中</w:t>
            </w:r>
            <w:r>
              <w:rPr>
                <w:rFonts w:hint="default" w:ascii="Times New Roman" w:hAnsi="Times New Roman" w:eastAsia="宋体" w:cs="Times New Roman"/>
                <w:caps w:val="0"/>
                <w:smallCaps w:val="0"/>
                <w:color w:val="auto"/>
                <w:spacing w:val="6"/>
                <w:kern w:val="0"/>
                <w:sz w:val="21"/>
                <w:szCs w:val="21"/>
                <w:highlight w:val="none"/>
                <w:lang w:val="en-US" w:eastAsia="zh-CN" w:bidi="ar-SA"/>
              </w:rPr>
              <w:t>地表水环境</w:t>
            </w:r>
            <w:r>
              <w:rPr>
                <w:rFonts w:hint="default" w:ascii="Times New Roman" w:hAnsi="Times New Roman" w:eastAsia="宋体" w:cs="Times New Roman"/>
                <w:caps w:val="0"/>
                <w:smallCaps w:val="0"/>
                <w:color w:val="auto"/>
                <w:spacing w:val="6"/>
                <w:kern w:val="0"/>
                <w:sz w:val="21"/>
                <w:szCs w:val="21"/>
                <w:highlight w:val="none"/>
                <w:lang w:val="zh-CN" w:eastAsia="zh-CN" w:bidi="ar-SA"/>
              </w:rPr>
              <w:t>质量数据。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唐山市境内共有大小河流70余条。其中共有国家和河北省控制河流6条，分别为陡河、滦河、黎河、淋河、沙河、还乡河，共设有（国、省控）河流监测断面9个。按照《地表水环境质量标准》（GB3838-2002）进行监测，监测频次每月1次，全年共监测12次，监测项目25项。按照《地表水环境质量标准》（GB3838-2002）进行评价，评价方法采用单因子评价法进行。国控断面采用国家地表水采测分离监测数据进行评价；省控断面采用河北省唐山生态环境监测中心监测数据进行评价。</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陡河设置一个监测断面为涧河口，还乡河设置一个监测断面为丰北闸，全年各断面水质监测结果见下表。</w:t>
            </w:r>
          </w:p>
          <w:p>
            <w:pPr>
              <w:keepNext w:val="0"/>
              <w:keepLines w:val="0"/>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表3-4  还乡河及陡河各监测断面水质类别一览表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7"/>
              <w:gridCol w:w="785"/>
              <w:gridCol w:w="464"/>
              <w:gridCol w:w="440"/>
              <w:gridCol w:w="419"/>
              <w:gridCol w:w="407"/>
              <w:gridCol w:w="407"/>
              <w:gridCol w:w="419"/>
              <w:gridCol w:w="428"/>
              <w:gridCol w:w="419"/>
              <w:gridCol w:w="429"/>
              <w:gridCol w:w="452"/>
              <w:gridCol w:w="462"/>
              <w:gridCol w:w="500"/>
              <w:gridCol w:w="505"/>
              <w:gridCol w:w="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1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月份</w:t>
                  </w:r>
                </w:p>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断面</w:t>
                  </w:r>
                </w:p>
              </w:tc>
              <w:tc>
                <w:tcPr>
                  <w:tcW w:w="464"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1月</w:t>
                  </w:r>
                </w:p>
              </w:tc>
              <w:tc>
                <w:tcPr>
                  <w:tcW w:w="44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2月</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3月</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4月</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5月</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6月</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7月</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8月</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9月</w:t>
                  </w:r>
                </w:p>
              </w:tc>
              <w:tc>
                <w:tcPr>
                  <w:tcW w:w="45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10月</w:t>
                  </w:r>
                </w:p>
              </w:tc>
              <w:tc>
                <w:tcPr>
                  <w:tcW w:w="46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11月</w:t>
                  </w:r>
                </w:p>
              </w:tc>
              <w:tc>
                <w:tcPr>
                  <w:tcW w:w="50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12月</w:t>
                  </w:r>
                </w:p>
              </w:tc>
              <w:tc>
                <w:tcPr>
                  <w:tcW w:w="505"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年均</w:t>
                  </w:r>
                </w:p>
              </w:tc>
              <w:tc>
                <w:tcPr>
                  <w:tcW w:w="58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水质目标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陡河</w:t>
                  </w:r>
                </w:p>
              </w:tc>
              <w:tc>
                <w:tcPr>
                  <w:tcW w:w="785"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涧河口</w:t>
                  </w:r>
                </w:p>
              </w:tc>
              <w:tc>
                <w:tcPr>
                  <w:tcW w:w="464"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4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Ⅲ</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5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6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50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505"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Ⅳ</w:t>
                  </w:r>
                </w:p>
              </w:tc>
              <w:tc>
                <w:tcPr>
                  <w:tcW w:w="58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2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还乡河</w:t>
                  </w:r>
                </w:p>
              </w:tc>
              <w:tc>
                <w:tcPr>
                  <w:tcW w:w="785"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丰北闸</w:t>
                  </w:r>
                </w:p>
              </w:tc>
              <w:tc>
                <w:tcPr>
                  <w:tcW w:w="464"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Ⅲ</w:t>
                  </w:r>
                </w:p>
              </w:tc>
              <w:tc>
                <w:tcPr>
                  <w:tcW w:w="44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0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c>
                <w:tcPr>
                  <w:tcW w:w="41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劣</w:t>
                  </w:r>
                  <w:r>
                    <w:rPr>
                      <w:rFonts w:hint="default" w:ascii="Times New Roman" w:hAnsi="Times New Roman" w:eastAsia="宋体" w:cs="Times New Roman"/>
                      <w:color w:val="auto"/>
                      <w:sz w:val="18"/>
                      <w:szCs w:val="18"/>
                      <w:highlight w:val="none"/>
                    </w:rPr>
                    <w:t>Ⅴ</w:t>
                  </w:r>
                </w:p>
              </w:tc>
              <w:tc>
                <w:tcPr>
                  <w:tcW w:w="45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462"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500"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505"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Ⅳ</w:t>
                  </w:r>
                </w:p>
              </w:tc>
              <w:tc>
                <w:tcPr>
                  <w:tcW w:w="587"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Ⅴ</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由上表可知，监测断面丰北闸年均水质为Ⅳ类水质，达到还乡河目标水质要求；涧河口年均水质为Ⅳ类水质，达到陡河目标水质要求。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olor w:val="auto"/>
                <w:spacing w:val="4"/>
                <w:kern w:val="0"/>
                <w:sz w:val="21"/>
                <w:szCs w:val="21"/>
                <w:highlight w:val="none"/>
                <w:lang w:val="en-US" w:eastAsia="zh-CN"/>
              </w:rPr>
              <w:t>4</w:t>
            </w: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aps w:val="0"/>
                <w:smallCaps w:val="0"/>
                <w:color w:val="auto"/>
                <w:spacing w:val="6"/>
                <w:kern w:val="0"/>
                <w:sz w:val="21"/>
                <w:szCs w:val="21"/>
                <w:highlight w:val="none"/>
                <w:lang w:val="en-US" w:eastAsia="zh-CN" w:bidi="ar-SA"/>
              </w:rPr>
              <w:t>地下水环境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本项目润滑油、切削液、液压油、漆料等均为桶装，且储存时油桶下设铁质托盘，储存区地面进行硬化、防腐防渗处理。废润滑油等危险废物储存在危废间内，使用专用容器承装，下设铁质托盘；危废间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综上所述，本项目无地下水环境污染途径，且无地下水环境保护目标，故不开展地下水环境质量现状调查。</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olor w:val="auto"/>
                <w:spacing w:val="4"/>
                <w:kern w:val="0"/>
                <w:sz w:val="21"/>
                <w:szCs w:val="21"/>
                <w:highlight w:val="none"/>
                <w:lang w:val="en-US" w:eastAsia="zh-CN"/>
              </w:rPr>
              <w:t>5</w:t>
            </w: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aps w:val="0"/>
                <w:smallCaps w:val="0"/>
                <w:color w:val="auto"/>
                <w:spacing w:val="6"/>
                <w:kern w:val="0"/>
                <w:sz w:val="21"/>
                <w:szCs w:val="21"/>
                <w:highlight w:val="none"/>
                <w:lang w:val="en-US" w:eastAsia="zh-CN" w:bidi="ar-SA"/>
              </w:rPr>
              <w:t>生态环境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项目所在区域内生态环境以城市环境为主，地表植被主要是人工植被，主要农作物有玉米、小麦、花生、棉花。树种主要以杨、柳、槐树为主，动物种类主要为农村饲养的家禽、家畜。区域内无名胜古迹和重点文物。</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36"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olor w:val="auto"/>
                <w:spacing w:val="4"/>
                <w:kern w:val="0"/>
                <w:sz w:val="21"/>
                <w:szCs w:val="21"/>
                <w:highlight w:val="none"/>
                <w:lang w:val="en-US" w:eastAsia="zh-CN"/>
              </w:rPr>
              <w:t>6</w:t>
            </w:r>
            <w:r>
              <w:rPr>
                <w:rFonts w:hint="default" w:ascii="Times New Roman" w:hAnsi="Times New Roman" w:eastAsia="宋体" w:cs="Times New Roman"/>
                <w:color w:val="auto"/>
                <w:spacing w:val="4"/>
                <w:kern w:val="0"/>
                <w:sz w:val="21"/>
                <w:szCs w:val="21"/>
                <w:highlight w:val="none"/>
              </w:rPr>
              <w:t>）</w:t>
            </w:r>
            <w:r>
              <w:rPr>
                <w:rFonts w:hint="default" w:ascii="Times New Roman" w:hAnsi="Times New Roman" w:eastAsia="宋体" w:cs="Times New Roman"/>
                <w:caps w:val="0"/>
                <w:smallCaps w:val="0"/>
                <w:color w:val="auto"/>
                <w:spacing w:val="6"/>
                <w:kern w:val="0"/>
                <w:sz w:val="21"/>
                <w:szCs w:val="21"/>
                <w:highlight w:val="none"/>
                <w:lang w:val="en-US" w:eastAsia="zh-CN" w:bidi="ar-SA"/>
              </w:rPr>
              <w:t>土壤环境</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aps w:val="0"/>
                <w:smallCaps w:val="0"/>
                <w:color w:val="auto"/>
                <w:spacing w:val="6"/>
                <w:kern w:val="0"/>
                <w:sz w:val="21"/>
                <w:szCs w:val="21"/>
                <w:highlight w:val="none"/>
                <w:lang w:val="en-US" w:eastAsia="zh-CN" w:bidi="ar-SA"/>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本项目润滑油、切削液、液压油、漆料等均为桶装，且储存时油桶下设铁质托盘，储存区地面进行硬化、防腐防渗处理。废润滑油等危险废物储存在危废间内，使用专用容器承装，下设铁质托盘；危废间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综上所述，本项目无土壤环境污染途径，且无土壤环境保护目标，故不开展土壤环境质量现状调查。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环境</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保护</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目标</w:t>
            </w:r>
          </w:p>
        </w:tc>
        <w:tc>
          <w:tcPr>
            <w:tcW w:w="81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44" w:firstLineChars="200"/>
              <w:jc w:val="left"/>
              <w:textAlignment w:val="auto"/>
              <w:rPr>
                <w:rFonts w:hint="default" w:ascii="Times New Roman" w:hAnsi="Times New Roman" w:eastAsia="宋体" w:cs="Times New Roman"/>
                <w:color w:val="auto"/>
                <w:spacing w:val="4"/>
                <w:kern w:val="0"/>
                <w:sz w:val="21"/>
                <w:szCs w:val="21"/>
                <w:highlight w:val="none"/>
              </w:rPr>
            </w:pPr>
            <w:r>
              <w:rPr>
                <w:rFonts w:hint="default" w:ascii="Times New Roman" w:hAnsi="Times New Roman" w:eastAsia="宋体" w:cs="Times New Roman"/>
                <w:caps w:val="0"/>
                <w:smallCaps w:val="0"/>
                <w:color w:val="auto"/>
                <w:spacing w:val="6"/>
                <w:kern w:val="0"/>
                <w:sz w:val="21"/>
                <w:szCs w:val="21"/>
                <w:highlight w:val="none"/>
                <w:lang w:val="en-US" w:eastAsia="zh-CN" w:bidi="ar-SA"/>
              </w:rPr>
              <w:t>①厂区周边500m范围内主要为厂房、空地、耕地，</w:t>
            </w:r>
            <w:r>
              <w:rPr>
                <w:rFonts w:hint="default" w:ascii="Times New Roman" w:hAnsi="Times New Roman" w:eastAsia="宋体" w:cs="Times New Roman"/>
                <w:color w:val="auto"/>
                <w:kern w:val="24"/>
                <w:sz w:val="21"/>
                <w:szCs w:val="21"/>
                <w:highlight w:val="none"/>
              </w:rPr>
              <w:t>项目厂址周围无饮用水水源地保护区、自然保护区、风景名胜区</w:t>
            </w:r>
            <w:r>
              <w:rPr>
                <w:rFonts w:hint="default" w:ascii="Times New Roman" w:hAnsi="Times New Roman" w:eastAsia="宋体" w:cs="Times New Roman"/>
                <w:color w:val="auto"/>
                <w:sz w:val="21"/>
                <w:szCs w:val="21"/>
                <w:highlight w:val="none"/>
              </w:rPr>
              <w:t>、生态功能保护区、文物保护地等法律、法规规定的环境敏感区</w:t>
            </w:r>
            <w:r>
              <w:rPr>
                <w:rFonts w:hint="default" w:ascii="Times New Roman" w:hAnsi="Times New Roman" w:eastAsia="宋体" w:cs="Times New Roman"/>
                <w:caps w:val="0"/>
                <w:smallCaps w:val="0"/>
                <w:color w:val="auto"/>
                <w:spacing w:val="6"/>
                <w:kern w:val="0"/>
                <w:sz w:val="21"/>
                <w:szCs w:val="21"/>
                <w:highlight w:val="none"/>
                <w:lang w:val="en-US" w:eastAsia="zh-CN" w:bidi="ar-SA"/>
              </w:rPr>
              <w:t>；②厂界外50m范围内无声环境保护目标；③根据现场踏勘，厂界外500米范围内无地下水集中式饮用水水源和热水、矿泉水、温泉等特殊地下水资源；④本项目位于产业园区内，不涉及生态环境保护目标。</w:t>
            </w:r>
          </w:p>
          <w:p>
            <w:pPr>
              <w:keepNext w:val="0"/>
              <w:keepLines w:val="0"/>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表3-5 环境保护目标一览表</w:t>
            </w:r>
          </w:p>
          <w:tbl>
            <w:tblPr>
              <w:tblStyle w:val="35"/>
              <w:tblW w:w="5000"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03"/>
              <w:gridCol w:w="690"/>
              <w:gridCol w:w="1137"/>
              <w:gridCol w:w="1060"/>
              <w:gridCol w:w="689"/>
              <w:gridCol w:w="403"/>
              <w:gridCol w:w="714"/>
              <w:gridCol w:w="1948"/>
              <w:gridCol w:w="406"/>
              <w:gridCol w:w="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9" w:hRule="atLeast"/>
              </w:trPr>
              <w:tc>
                <w:tcPr>
                  <w:tcW w:w="253"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类别</w:t>
                  </w:r>
                </w:p>
              </w:tc>
              <w:tc>
                <w:tcPr>
                  <w:tcW w:w="433"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1378"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坐标</w:t>
                  </w:r>
                </w:p>
              </w:tc>
              <w:tc>
                <w:tcPr>
                  <w:tcW w:w="432"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保护对象</w:t>
                  </w:r>
                </w:p>
              </w:tc>
              <w:tc>
                <w:tcPr>
                  <w:tcW w:w="253"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保护内容</w:t>
                  </w:r>
                </w:p>
              </w:tc>
              <w:tc>
                <w:tcPr>
                  <w:tcW w:w="44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人口</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rPr>
                    <w:t>人</w:t>
                  </w:r>
                </w:p>
              </w:tc>
              <w:tc>
                <w:tcPr>
                  <w:tcW w:w="1222"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环境功能区</w:t>
                  </w:r>
                </w:p>
              </w:tc>
              <w:tc>
                <w:tcPr>
                  <w:tcW w:w="254"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相对厂址方位</w:t>
                  </w:r>
                </w:p>
              </w:tc>
              <w:tc>
                <w:tcPr>
                  <w:tcW w:w="322"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相对厂址距离/m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12" w:hRule="atLeast"/>
              </w:trPr>
              <w:tc>
                <w:tcPr>
                  <w:tcW w:w="25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43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71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经度(°)</w:t>
                  </w:r>
                </w:p>
              </w:tc>
              <w:tc>
                <w:tcPr>
                  <w:tcW w:w="66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纬度(°)</w:t>
                  </w:r>
                </w:p>
              </w:tc>
              <w:tc>
                <w:tcPr>
                  <w:tcW w:w="43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25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44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122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254"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c>
                <w:tcPr>
                  <w:tcW w:w="322"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25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地下水</w:t>
                  </w:r>
                </w:p>
              </w:tc>
              <w:tc>
                <w:tcPr>
                  <w:tcW w:w="43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厂区周围地下水</w:t>
                  </w:r>
                </w:p>
              </w:tc>
              <w:tc>
                <w:tcPr>
                  <w:tcW w:w="71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6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4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25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地下水</w:t>
                  </w:r>
                </w:p>
              </w:tc>
              <w:tc>
                <w:tcPr>
                  <w:tcW w:w="4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12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《地下水环境质量标准》(GB/T14848-2017）</w:t>
                  </w:r>
                  <w:r>
                    <w:rPr>
                      <w:rFonts w:hint="default" w:ascii="Times New Roman" w:hAnsi="Times New Roman" w:eastAsia="宋体" w:cs="Times New Roman"/>
                      <w:color w:val="auto"/>
                      <w:sz w:val="18"/>
                      <w:szCs w:val="18"/>
                      <w:highlight w:val="none"/>
                    </w:rPr>
                    <w:fldChar w:fldCharType="begin"/>
                  </w:r>
                  <w:r>
                    <w:rPr>
                      <w:rFonts w:hint="default" w:ascii="Times New Roman" w:hAnsi="Times New Roman" w:eastAsia="宋体" w:cs="Times New Roman"/>
                      <w:color w:val="auto"/>
                      <w:sz w:val="18"/>
                      <w:szCs w:val="18"/>
                      <w:highlight w:val="none"/>
                    </w:rPr>
                    <w:instrText xml:space="preserve"> = 3 \* ROMAN \* MERGEFORMAT </w:instrText>
                  </w:r>
                  <w:r>
                    <w:rPr>
                      <w:rFonts w:hint="default" w:ascii="Times New Roman" w:hAnsi="Times New Roman" w:eastAsia="宋体" w:cs="Times New Roman"/>
                      <w:color w:val="auto"/>
                      <w:sz w:val="18"/>
                      <w:szCs w:val="18"/>
                      <w:highlight w:val="none"/>
                    </w:rPr>
                    <w:fldChar w:fldCharType="separate"/>
                  </w:r>
                  <w:r>
                    <w:rPr>
                      <w:rFonts w:hint="default" w:ascii="Times New Roman" w:hAnsi="Times New Roman" w:eastAsia="宋体" w:cs="Times New Roman"/>
                      <w:color w:val="auto"/>
                      <w:sz w:val="18"/>
                      <w:szCs w:val="18"/>
                      <w:highlight w:val="none"/>
                    </w:rPr>
                    <w:t>III</w:t>
                  </w:r>
                  <w:r>
                    <w:rPr>
                      <w:rFonts w:hint="default" w:ascii="Times New Roman" w:hAnsi="Times New Roman" w:eastAsia="宋体" w:cs="Times New Roman"/>
                      <w:color w:val="auto"/>
                      <w:sz w:val="18"/>
                      <w:szCs w:val="18"/>
                      <w:highlight w:val="none"/>
                    </w:rPr>
                    <w:fldChar w:fldCharType="end"/>
                  </w:r>
                  <w:r>
                    <w:rPr>
                      <w:rFonts w:hint="default" w:ascii="Times New Roman" w:hAnsi="Times New Roman" w:eastAsia="宋体" w:cs="Times New Roman"/>
                      <w:color w:val="auto"/>
                      <w:sz w:val="18"/>
                      <w:szCs w:val="18"/>
                      <w:highlight w:val="none"/>
                    </w:rPr>
                    <w:t>类标准</w:t>
                  </w:r>
                </w:p>
              </w:tc>
              <w:tc>
                <w:tcPr>
                  <w:tcW w:w="25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lang w:bidi="ar"/>
                    </w:rPr>
                  </w:pPr>
                  <w:r>
                    <w:rPr>
                      <w:rFonts w:hint="default" w:ascii="Times New Roman" w:hAnsi="Times New Roman" w:eastAsia="宋体" w:cs="Times New Roman"/>
                      <w:color w:val="auto"/>
                      <w:sz w:val="18"/>
                      <w:szCs w:val="18"/>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bidi="ar"/>
                    </w:rPr>
                    <w:t>噪声</w:t>
                  </w:r>
                </w:p>
              </w:tc>
              <w:tc>
                <w:tcPr>
                  <w:tcW w:w="43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厂界</w:t>
                  </w:r>
                </w:p>
              </w:tc>
              <w:tc>
                <w:tcPr>
                  <w:tcW w:w="71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w:t>
                  </w:r>
                </w:p>
              </w:tc>
              <w:tc>
                <w:tcPr>
                  <w:tcW w:w="66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w:t>
                  </w:r>
                </w:p>
              </w:tc>
              <w:tc>
                <w:tcPr>
                  <w:tcW w:w="43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厂界外1m</w:t>
                  </w:r>
                </w:p>
              </w:tc>
              <w:tc>
                <w:tcPr>
                  <w:tcW w:w="25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w:t>
                  </w:r>
                </w:p>
              </w:tc>
              <w:tc>
                <w:tcPr>
                  <w:tcW w:w="4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w:t>
                  </w:r>
                </w:p>
              </w:tc>
              <w:tc>
                <w:tcPr>
                  <w:tcW w:w="12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《声环境质量标准》</w:t>
                  </w:r>
                </w:p>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(GB3096-2008)3类</w:t>
                  </w:r>
                  <w:r>
                    <w:rPr>
                      <w:rFonts w:hint="default" w:ascii="Times New Roman" w:hAnsi="Times New Roman" w:eastAsia="宋体" w:cs="Times New Roman"/>
                      <w:color w:val="auto"/>
                      <w:sz w:val="18"/>
                      <w:szCs w:val="18"/>
                      <w:highlight w:val="none"/>
                      <w:lang w:val="en-US" w:eastAsia="zh-CN"/>
                    </w:rPr>
                    <w:t>标准</w:t>
                  </w:r>
                </w:p>
              </w:tc>
              <w:tc>
                <w:tcPr>
                  <w:tcW w:w="25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w:t>
                  </w:r>
                </w:p>
              </w:tc>
              <w:tc>
                <w:tcPr>
                  <w:tcW w:w="32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
                    </w:rPr>
                  </w:pPr>
                  <w:r>
                    <w:rPr>
                      <w:rFonts w:hint="default" w:ascii="Times New Roman" w:hAnsi="Times New Roman" w:eastAsia="宋体" w:cs="Times New Roman"/>
                      <w:color w:val="auto"/>
                      <w:sz w:val="18"/>
                      <w:szCs w:val="18"/>
                      <w:highlight w:val="none"/>
                    </w:rPr>
                    <w:t>—</w:t>
                  </w:r>
                </w:p>
              </w:tc>
            </w:tr>
          </w:tbl>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
                <w:bCs/>
                <w:color w:val="auto"/>
                <w:sz w:val="21"/>
                <w:szCs w:val="21"/>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
                <w:bCs/>
                <w:color w:val="auto"/>
                <w:sz w:val="21"/>
                <w:szCs w:val="21"/>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
                <w:bCs/>
                <w:color w:val="auto"/>
                <w:sz w:val="21"/>
                <w:szCs w:val="21"/>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Style w:val="2"/>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
                <w:bCs/>
                <w:color w:val="auto"/>
                <w:sz w:val="21"/>
                <w:szCs w:val="21"/>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90" w:hRule="atLeast"/>
          <w:jc w:val="center"/>
        </w:trPr>
        <w:tc>
          <w:tcPr>
            <w:tcW w:w="800" w:type="dxa"/>
            <w:noWrap w:val="0"/>
            <w:tcMar>
              <w:left w:w="28" w:type="dxa"/>
              <w:right w:w="28"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污染</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物排</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放控</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制标</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准</w:t>
            </w:r>
          </w:p>
        </w:tc>
        <w:tc>
          <w:tcPr>
            <w:tcW w:w="8190" w:type="dxa"/>
            <w:noWrap w:val="0"/>
            <w:vAlign w:val="center"/>
          </w:tcPr>
          <w:p>
            <w:pPr>
              <w:pageBreakBefore w:val="0"/>
              <w:kinsoku/>
              <w:wordWrap/>
              <w:overflowPunct/>
              <w:bidi w:val="0"/>
              <w:adjustRightInd w:val="0"/>
              <w:snapToGrid w:val="0"/>
              <w:spacing w:beforeAutospacing="0" w:afterAutospacing="0" w:line="360" w:lineRule="auto"/>
              <w:ind w:left="0" w:leftChars="0" w:right="0" w:rightChars="0" w:firstLine="416" w:firstLineChars="200"/>
              <w:rPr>
                <w:rFonts w:hint="default" w:ascii="Times New Roman" w:hAnsi="Times New Roman" w:eastAsia="宋体" w:cs="Times New Roman"/>
                <w:color w:val="auto"/>
                <w:spacing w:val="-1"/>
                <w:sz w:val="21"/>
                <w:szCs w:val="21"/>
                <w:highlight w:val="none"/>
              </w:rPr>
            </w:pPr>
            <w:bookmarkStart w:id="2" w:name="_Toc170808254"/>
            <w:r>
              <w:rPr>
                <w:rFonts w:hint="default" w:ascii="Times New Roman" w:hAnsi="Times New Roman" w:eastAsia="宋体" w:cs="Times New Roman"/>
                <w:color w:val="auto"/>
                <w:spacing w:val="-1"/>
                <w:sz w:val="21"/>
                <w:szCs w:val="21"/>
                <w:highlight w:val="none"/>
              </w:rPr>
              <w:t>1、</w:t>
            </w:r>
            <w:r>
              <w:rPr>
                <w:rFonts w:hint="default" w:ascii="Times New Roman" w:hAnsi="Times New Roman" w:eastAsia="宋体" w:cs="Times New Roman"/>
                <w:color w:val="auto"/>
                <w:sz w:val="21"/>
                <w:szCs w:val="21"/>
                <w:highlight w:val="none"/>
              </w:rPr>
              <w:t>施工期废气污染物排放执行《施工场地扬尘排放标准》（DB13/2934-2019）排放限值要求</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pacing w:val="-1"/>
                <w:sz w:val="21"/>
                <w:szCs w:val="21"/>
                <w:highlight w:val="none"/>
              </w:rPr>
              <w:t>施工期噪声执行《建筑施工场界环境噪声排放标准》(GB12523-2011)标准值，见表</w:t>
            </w:r>
            <w:r>
              <w:rPr>
                <w:rFonts w:hint="default" w:ascii="Times New Roman" w:hAnsi="Times New Roman" w:eastAsia="宋体" w:cs="Times New Roman"/>
                <w:color w:val="auto"/>
                <w:spacing w:val="-1"/>
                <w:sz w:val="21"/>
                <w:szCs w:val="21"/>
                <w:highlight w:val="none"/>
                <w:lang w:val="en-US" w:eastAsia="zh-CN"/>
              </w:rPr>
              <w:t>3-</w:t>
            </w:r>
            <w:r>
              <w:rPr>
                <w:rFonts w:hint="default" w:ascii="Times New Roman" w:hAnsi="Times New Roman" w:cs="Times New Roman"/>
                <w:color w:val="auto"/>
                <w:spacing w:val="-1"/>
                <w:sz w:val="21"/>
                <w:szCs w:val="21"/>
                <w:highlight w:val="none"/>
                <w:lang w:val="en-US" w:eastAsia="zh-CN"/>
              </w:rPr>
              <w:t>6</w:t>
            </w:r>
            <w:r>
              <w:rPr>
                <w:rFonts w:hint="default" w:ascii="Times New Roman" w:hAnsi="Times New Roman" w:eastAsia="宋体" w:cs="Times New Roman"/>
                <w:color w:val="auto"/>
                <w:spacing w:val="-1"/>
                <w:sz w:val="21"/>
                <w:szCs w:val="21"/>
                <w:highlight w:val="none"/>
                <w:lang w:val="en-US" w:eastAsia="zh-CN"/>
              </w:rPr>
              <w:t>、表3-</w:t>
            </w:r>
            <w:r>
              <w:rPr>
                <w:rFonts w:hint="default" w:ascii="Times New Roman" w:hAnsi="Times New Roman" w:cs="Times New Roman"/>
                <w:color w:val="auto"/>
                <w:spacing w:val="-1"/>
                <w:sz w:val="21"/>
                <w:szCs w:val="21"/>
                <w:highlight w:val="none"/>
                <w:lang w:val="en-US" w:eastAsia="zh-CN"/>
              </w:rPr>
              <w:t>7</w:t>
            </w:r>
            <w:r>
              <w:rPr>
                <w:rFonts w:hint="default" w:ascii="Times New Roman" w:hAnsi="Times New Roman" w:eastAsia="宋体" w:cs="Times New Roman"/>
                <w:color w:val="auto"/>
                <w:spacing w:val="-1"/>
                <w:sz w:val="21"/>
                <w:szCs w:val="21"/>
                <w:highlight w:val="none"/>
              </w:rPr>
              <w:t>。</w:t>
            </w:r>
          </w:p>
          <w:p>
            <w:pPr>
              <w:pStyle w:val="7"/>
              <w:pageBreakBefore w:val="0"/>
              <w:kinsoku/>
              <w:wordWrap/>
              <w:overflowPunct/>
              <w:bidi w:val="0"/>
              <w:adjustRightInd w:val="0"/>
              <w:snapToGrid w:val="0"/>
              <w:spacing w:beforeAutospacing="0" w:afterAutospacing="0" w:line="360" w:lineRule="auto"/>
              <w:ind w:left="0" w:leftChars="0" w:right="0" w:rightChars="0" w:firstLine="422" w:firstLineChars="20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3-</w:t>
            </w:r>
            <w:r>
              <w:rPr>
                <w:rFonts w:hint="default" w:ascii="Times New Roman" w:hAnsi="Times New Roman" w:cs="Times New Roman"/>
                <w:b/>
                <w:color w:val="auto"/>
                <w:sz w:val="21"/>
                <w:szCs w:val="21"/>
                <w:highlight w:val="none"/>
                <w:lang w:val="en-US" w:eastAsia="zh-CN"/>
              </w:rPr>
              <w:t>6</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eastAsia="宋体" w:cs="Times New Roman"/>
                <w:b/>
                <w:bCs/>
                <w:color w:val="auto"/>
                <w:spacing w:val="-1"/>
                <w:sz w:val="21"/>
                <w:szCs w:val="21"/>
                <w:highlight w:val="none"/>
              </w:rPr>
              <w:t>《建筑施工场界环境噪声排放标准》(GB12523-2011)</w:t>
            </w:r>
          </w:p>
          <w:tbl>
            <w:tblPr>
              <w:tblStyle w:val="3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0"/>
              <w:gridCol w:w="1370"/>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284" w:type="pct"/>
                  <w:tcBorders>
                    <w:tl2br w:val="nil"/>
                    <w:tr2bl w:val="nil"/>
                  </w:tcBorders>
                  <w:noWrap w:val="0"/>
                  <w:vAlign w:val="center"/>
                </w:tcPr>
                <w:p>
                  <w:pPr>
                    <w:pStyle w:val="21"/>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 xml:space="preserve">                   </w:t>
                  </w:r>
                  <w:r>
                    <w:rPr>
                      <w:rFonts w:hint="default" w:ascii="Times New Roman" w:hAnsi="Times New Roman" w:eastAsia="宋体" w:cs="Times New Roman"/>
                      <w:bCs/>
                      <w:snapToGrid w:val="0"/>
                      <w:color w:val="auto"/>
                      <w:spacing w:val="2"/>
                      <w:sz w:val="18"/>
                      <w:szCs w:val="18"/>
                      <w:highlight w:val="none"/>
                    </w:rPr>
                    <w:t>执行时段</w:t>
                  </w:r>
                </w:p>
                <w:p>
                  <w:pPr>
                    <w:pStyle w:val="21"/>
                    <w:pageBreakBefore w:val="0"/>
                    <w:kinsoku/>
                    <w:wordWrap/>
                    <w:overflowPunct/>
                    <w:bidi w:val="0"/>
                    <w:adjustRightInd w:val="0"/>
                    <w:snapToGrid w:val="0"/>
                    <w:spacing w:beforeAutospacing="0" w:afterAutospacing="0" w:line="360" w:lineRule="exact"/>
                    <w:ind w:left="0" w:leftChars="0" w:right="0" w:rightChars="0"/>
                    <w:rPr>
                      <w:rFonts w:hint="default" w:ascii="Times New Roman" w:hAnsi="Times New Roman" w:eastAsia="宋体" w:cs="Times New Roman"/>
                      <w:b/>
                      <w:bCs/>
                      <w:color w:val="auto"/>
                      <w:sz w:val="18"/>
                      <w:szCs w:val="18"/>
                      <w:highlight w:val="none"/>
                    </w:rPr>
                  </w:pPr>
                  <w:r>
                    <w:rPr>
                      <w:rFonts w:hint="default" w:ascii="Times New Roman" w:hAnsi="Times New Roman" w:eastAsia="宋体" w:cs="Times New Roman"/>
                      <w:bCs/>
                      <w:snapToGrid w:val="0"/>
                      <w:color w:val="auto"/>
                      <w:spacing w:val="2"/>
                      <w:sz w:val="18"/>
                      <w:szCs w:val="18"/>
                      <w:highlight w:val="none"/>
                    </w:rPr>
                    <w:t>标准类别</w:t>
                  </w:r>
                </w:p>
              </w:tc>
              <w:tc>
                <w:tcPr>
                  <w:tcW w:w="860"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昼间(</w:t>
                  </w:r>
                  <w:r>
                    <w:rPr>
                      <w:rFonts w:hint="default" w:ascii="Times New Roman" w:hAnsi="Times New Roman" w:eastAsia="宋体" w:cs="Times New Roman"/>
                      <w:color w:val="auto"/>
                      <w:sz w:val="18"/>
                      <w:szCs w:val="18"/>
                      <w:highlight w:val="none"/>
                    </w:rPr>
                    <w:t>dB(A)</w:t>
                  </w:r>
                  <w:r>
                    <w:rPr>
                      <w:rFonts w:hint="default" w:ascii="Times New Roman" w:hAnsi="Times New Roman" w:eastAsia="宋体" w:cs="Times New Roman"/>
                      <w:bCs/>
                      <w:color w:val="auto"/>
                      <w:sz w:val="18"/>
                      <w:szCs w:val="18"/>
                      <w:highlight w:val="none"/>
                    </w:rPr>
                    <w:t>)</w:t>
                  </w:r>
                </w:p>
              </w:tc>
              <w:tc>
                <w:tcPr>
                  <w:tcW w:w="855"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夜间(</w:t>
                  </w:r>
                  <w:r>
                    <w:rPr>
                      <w:rFonts w:hint="default" w:ascii="Times New Roman" w:hAnsi="Times New Roman" w:eastAsia="宋体" w:cs="Times New Roman"/>
                      <w:color w:val="auto"/>
                      <w:sz w:val="18"/>
                      <w:szCs w:val="18"/>
                      <w:highlight w:val="none"/>
                    </w:rPr>
                    <w:t>dB(A)</w:t>
                  </w:r>
                  <w:r>
                    <w:rPr>
                      <w:rFonts w:hint="default" w:ascii="Times New Roman" w:hAnsi="Times New Roman" w:eastAsia="宋体" w:cs="Times New Roman"/>
                      <w:bCs/>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84"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z w:val="18"/>
                      <w:szCs w:val="18"/>
                      <w:highlight w:val="none"/>
                    </w:rPr>
                    <w:t>《建筑施工场界环境噪声排放标准》(GB12523-2011)</w:t>
                  </w:r>
                </w:p>
              </w:tc>
              <w:tc>
                <w:tcPr>
                  <w:tcW w:w="860"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70</w:t>
                  </w:r>
                </w:p>
              </w:tc>
              <w:tc>
                <w:tcPr>
                  <w:tcW w:w="855" w:type="pct"/>
                  <w:tcBorders>
                    <w:tl2br w:val="nil"/>
                    <w:tr2bl w:val="nil"/>
                  </w:tcBorders>
                  <w:noWrap w:val="0"/>
                  <w:vAlign w:val="center"/>
                </w:tcPr>
                <w:p>
                  <w:pPr>
                    <w:pageBreakBefore w:val="0"/>
                    <w:kinsoku/>
                    <w:wordWrap/>
                    <w:overflowPunct/>
                    <w:bidi w:val="0"/>
                    <w:adjustRightInd w:val="0"/>
                    <w:snapToGrid w:val="0"/>
                    <w:spacing w:beforeAutospacing="0" w:afterAutospacing="0" w:line="360" w:lineRule="exact"/>
                    <w:ind w:left="0" w:leftChars="0" w:right="0" w:right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55</w:t>
                  </w:r>
                </w:p>
              </w:tc>
            </w:tr>
          </w:tbl>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3-</w:t>
            </w:r>
            <w:r>
              <w:rPr>
                <w:rFonts w:hint="default" w:ascii="Times New Roman" w:hAnsi="Times New Roman" w:cs="Times New Roman"/>
                <w:b/>
                <w:color w:val="auto"/>
                <w:sz w:val="21"/>
                <w:szCs w:val="21"/>
                <w:highlight w:val="none"/>
                <w:lang w:val="en-US" w:eastAsia="zh-CN"/>
              </w:rPr>
              <w:t>7</w:t>
            </w:r>
            <w:r>
              <w:rPr>
                <w:rFonts w:hint="default" w:ascii="Times New Roman" w:hAnsi="Times New Roman" w:eastAsia="宋体" w:cs="Times New Roman"/>
                <w:b/>
                <w:color w:val="auto"/>
                <w:sz w:val="21"/>
                <w:szCs w:val="21"/>
                <w:highlight w:val="none"/>
              </w:rPr>
              <w:t xml:space="preserve">    施工期扬尘污染物排放标准</w:t>
            </w:r>
          </w:p>
          <w:tbl>
            <w:tblPr>
              <w:tblStyle w:val="3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3"/>
              <w:gridCol w:w="794"/>
              <w:gridCol w:w="1634"/>
              <w:gridCol w:w="1502"/>
              <w:gridCol w:w="33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447"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类别</w:t>
                  </w:r>
                </w:p>
              </w:tc>
              <w:tc>
                <w:tcPr>
                  <w:tcW w:w="498"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控制</w:t>
                  </w:r>
                </w:p>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w:t>
                  </w:r>
                </w:p>
              </w:tc>
              <w:tc>
                <w:tcPr>
                  <w:tcW w:w="1025"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监测点浓度限值*（μg/m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w:t>
                  </w:r>
                </w:p>
              </w:tc>
              <w:tc>
                <w:tcPr>
                  <w:tcW w:w="942"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达标判定依据（次/天）</w:t>
                  </w:r>
                </w:p>
              </w:tc>
              <w:tc>
                <w:tcPr>
                  <w:tcW w:w="2085"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执行标准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447"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施工</w:t>
                  </w:r>
                </w:p>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扬尘</w:t>
                  </w:r>
                </w:p>
              </w:tc>
              <w:tc>
                <w:tcPr>
                  <w:tcW w:w="498"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PM</w:t>
                  </w:r>
                  <w:r>
                    <w:rPr>
                      <w:rFonts w:hint="default" w:ascii="Times New Roman" w:hAnsi="Times New Roman" w:eastAsia="宋体" w:cs="Times New Roman"/>
                      <w:color w:val="auto"/>
                      <w:sz w:val="18"/>
                      <w:szCs w:val="18"/>
                      <w:highlight w:val="none"/>
                      <w:vertAlign w:val="subscript"/>
                    </w:rPr>
                    <w:t>10</w:t>
                  </w:r>
                </w:p>
              </w:tc>
              <w:tc>
                <w:tcPr>
                  <w:tcW w:w="1025"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80</w:t>
                  </w:r>
                </w:p>
              </w:tc>
              <w:tc>
                <w:tcPr>
                  <w:tcW w:w="942"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2085" w:type="pct"/>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《施工场地扬尘排放标准》（DB13/2934-2019）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000" w:type="pct"/>
                  <w:gridSpan w:val="5"/>
                  <w:tcBorders>
                    <w:tl2br w:val="nil"/>
                    <w:tr2bl w:val="nil"/>
                  </w:tcBorders>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*指监测点PM</w:t>
                  </w:r>
                  <w:r>
                    <w:rPr>
                      <w:rFonts w:hint="default" w:ascii="Times New Roman" w:hAnsi="Times New Roman" w:eastAsia="宋体" w:cs="Times New Roman"/>
                      <w:color w:val="auto"/>
                      <w:sz w:val="18"/>
                      <w:szCs w:val="18"/>
                      <w:highlight w:val="none"/>
                      <w:vertAlign w:val="subscript"/>
                    </w:rPr>
                    <w:t>10</w:t>
                  </w:r>
                  <w:r>
                    <w:rPr>
                      <w:rFonts w:hint="default" w:ascii="Times New Roman" w:hAnsi="Times New Roman" w:eastAsia="宋体" w:cs="Times New Roman"/>
                      <w:color w:val="auto"/>
                      <w:sz w:val="18"/>
                      <w:szCs w:val="18"/>
                      <w:highlight w:val="none"/>
                    </w:rPr>
                    <w:t>小时平均浓度实测值与同时段所属县（市、区）PM</w:t>
                  </w:r>
                  <w:r>
                    <w:rPr>
                      <w:rFonts w:hint="default" w:ascii="Times New Roman" w:hAnsi="Times New Roman" w:eastAsia="宋体" w:cs="Times New Roman"/>
                      <w:color w:val="auto"/>
                      <w:sz w:val="18"/>
                      <w:szCs w:val="18"/>
                      <w:highlight w:val="none"/>
                      <w:vertAlign w:val="subscript"/>
                    </w:rPr>
                    <w:t>10</w:t>
                  </w:r>
                  <w:r>
                    <w:rPr>
                      <w:rFonts w:hint="default" w:ascii="Times New Roman" w:hAnsi="Times New Roman" w:eastAsia="宋体" w:cs="Times New Roman"/>
                      <w:color w:val="auto"/>
                      <w:sz w:val="18"/>
                      <w:szCs w:val="18"/>
                      <w:highlight w:val="none"/>
                    </w:rPr>
                    <w:t>小时平均浓度的差值。当县（市、区）PM</w:t>
                  </w:r>
                  <w:r>
                    <w:rPr>
                      <w:rFonts w:hint="default" w:ascii="Times New Roman" w:hAnsi="Times New Roman" w:eastAsia="宋体" w:cs="Times New Roman"/>
                      <w:color w:val="auto"/>
                      <w:sz w:val="18"/>
                      <w:szCs w:val="18"/>
                      <w:highlight w:val="none"/>
                      <w:vertAlign w:val="subscript"/>
                    </w:rPr>
                    <w:t>10</w:t>
                  </w:r>
                  <w:r>
                    <w:rPr>
                      <w:rFonts w:hint="default" w:ascii="Times New Roman" w:hAnsi="Times New Roman" w:eastAsia="宋体" w:cs="Times New Roman"/>
                      <w:color w:val="auto"/>
                      <w:sz w:val="18"/>
                      <w:szCs w:val="18"/>
                      <w:highlight w:val="none"/>
                    </w:rPr>
                    <w:t>小时平均浓度值大于150μg/m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时，以150μg/m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计。</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360" w:lineRule="auto"/>
              <w:ind w:leftChars="0" w:right="0" w:rightChars="0" w:firstLine="420" w:firstLineChars="20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2、废气</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16" w:firstLineChars="200"/>
              <w:textAlignment w:val="auto"/>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eastAsia="宋体" w:cs="Times New Roman"/>
                <w:color w:val="auto"/>
                <w:spacing w:val="-1"/>
                <w:sz w:val="21"/>
                <w:szCs w:val="21"/>
                <w:highlight w:val="none"/>
                <w:lang w:val="en-US" w:eastAsia="zh-CN"/>
              </w:rPr>
              <w:t>下料、</w:t>
            </w:r>
            <w:r>
              <w:rPr>
                <w:rFonts w:hint="default" w:ascii="Times New Roman" w:hAnsi="Times New Roman" w:eastAsia="宋体" w:cs="Times New Roman"/>
                <w:color w:val="auto"/>
                <w:spacing w:val="-1"/>
                <w:sz w:val="21"/>
                <w:szCs w:val="21"/>
                <w:highlight w:val="none"/>
              </w:rPr>
              <w:t>抛丸</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lang w:val="en-US" w:eastAsia="zh-CN"/>
              </w:rPr>
              <w:t>打磨、焊接</w:t>
            </w:r>
            <w:r>
              <w:rPr>
                <w:rFonts w:hint="default" w:ascii="Times New Roman" w:hAnsi="Times New Roman" w:eastAsia="宋体" w:cs="Times New Roman"/>
                <w:color w:val="auto"/>
                <w:spacing w:val="-1"/>
                <w:sz w:val="21"/>
                <w:szCs w:val="21"/>
                <w:highlight w:val="none"/>
              </w:rPr>
              <w:t>工序产生的颗粒物</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轧钢工序标准要求</w:t>
            </w:r>
            <w:r>
              <w:rPr>
                <w:rFonts w:hint="default" w:ascii="Times New Roman" w:hAnsi="Times New Roman" w:eastAsia="宋体" w:cs="Times New Roman"/>
                <w:color w:val="auto"/>
                <w:spacing w:val="-1"/>
                <w:sz w:val="21"/>
                <w:szCs w:val="21"/>
                <w:highlight w:val="none"/>
              </w:rPr>
              <w:t>；</w:t>
            </w:r>
            <w:r>
              <w:rPr>
                <w:rFonts w:hint="default" w:ascii="Times New Roman" w:hAnsi="Times New Roman" w:eastAsia="宋体" w:cs="Times New Roman"/>
                <w:color w:val="auto"/>
                <w:spacing w:val="-1"/>
                <w:sz w:val="21"/>
                <w:szCs w:val="21"/>
                <w:highlight w:val="none"/>
                <w:lang w:val="en-US" w:eastAsia="zh-CN"/>
              </w:rPr>
              <w:t>喷漆、晾干及喷涂、粘胶</w:t>
            </w:r>
            <w:r>
              <w:rPr>
                <w:rFonts w:hint="default" w:ascii="Times New Roman" w:hAnsi="Times New Roman" w:eastAsia="宋体" w:cs="Times New Roman"/>
                <w:color w:val="auto"/>
                <w:spacing w:val="-1"/>
                <w:sz w:val="21"/>
                <w:szCs w:val="21"/>
                <w:highlight w:val="none"/>
              </w:rPr>
              <w:t>工序产生的有机废气满足</w:t>
            </w:r>
            <w:r>
              <w:rPr>
                <w:rFonts w:hint="default" w:ascii="Times New Roman" w:hAnsi="Times New Roman" w:eastAsia="宋体" w:cs="Times New Roman"/>
                <w:color w:val="auto"/>
                <w:spacing w:val="-1"/>
                <w:sz w:val="21"/>
                <w:szCs w:val="21"/>
                <w:highlight w:val="none"/>
                <w:lang w:val="en-US" w:eastAsia="zh-CN"/>
              </w:rPr>
              <w:t>《工业企业挥发性有机物排放控制标准》（DB13/2322-2016）表1大气污染物排放限值（表面涂装业）</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cs="Times New Roman"/>
                <w:color w:val="auto"/>
                <w:spacing w:val="-1"/>
                <w:sz w:val="21"/>
                <w:szCs w:val="21"/>
                <w:highlight w:val="none"/>
                <w:lang w:val="en-US" w:eastAsia="zh-CN"/>
              </w:rPr>
              <w:t>食堂油烟执行</w:t>
            </w:r>
            <w:r>
              <w:rPr>
                <w:rFonts w:hint="default" w:ascii="Times New Roman" w:hAnsi="Times New Roman" w:eastAsia="宋体" w:cs="Times New Roman"/>
                <w:color w:val="auto"/>
                <w:highlight w:val="none"/>
                <w:lang w:val="en-US" w:eastAsia="zh-CN"/>
              </w:rPr>
              <w:t>《饮食业油烟排放标准（试行）》（GB18483-2001）中型规模排放限值要求（排放浓度小于 2.0mg/m</w:t>
            </w:r>
            <w:r>
              <w:rPr>
                <w:rFonts w:hint="default" w:ascii="Times New Roman" w:hAnsi="Times New Roman" w:eastAsia="宋体" w:cs="Times New Roman"/>
                <w:color w:val="auto"/>
                <w:highlight w:val="none"/>
                <w:vertAlign w:val="superscript"/>
                <w:lang w:val="en-US" w:eastAsia="zh-CN"/>
              </w:rPr>
              <w:t xml:space="preserve"> 3</w:t>
            </w:r>
            <w:r>
              <w:rPr>
                <w:rFonts w:hint="default" w:ascii="Times New Roman" w:hAnsi="Times New Roman" w:eastAsia="宋体" w:cs="Times New Roman"/>
                <w:color w:val="auto"/>
                <w:highlight w:val="none"/>
                <w:vertAlign w:val="baseline"/>
                <w:lang w:val="en-US" w:eastAsia="zh-CN"/>
              </w:rPr>
              <w:t>，</w:t>
            </w:r>
            <w:r>
              <w:rPr>
                <w:rFonts w:hint="default" w:ascii="Times New Roman" w:hAnsi="Times New Roman" w:eastAsia="宋体" w:cs="Times New Roman"/>
                <w:color w:val="auto"/>
                <w:highlight w:val="none"/>
                <w:lang w:val="en-US" w:eastAsia="zh-CN"/>
              </w:rPr>
              <w:t>去除率大于75%）</w:t>
            </w:r>
            <w:r>
              <w:rPr>
                <w:rFonts w:hint="eastAsia" w:cs="Times New Roman"/>
                <w:color w:val="auto"/>
                <w:highlight w:val="none"/>
                <w:lang w:val="en-US" w:eastAsia="zh-CN"/>
              </w:rPr>
              <w:t>；橡胶捏炼、开炼、挤出、硫化过程产生的颗粒物、非甲烷总烃执行《橡胶制品工业污染物排放标准》(GB27632-2011)表5中的排放浓度限值相关要求：颗粒物12mg/m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 xml:space="preserve"> ，非甲烷总烃10mg/m</w:t>
            </w:r>
            <w:r>
              <w:rPr>
                <w:rFonts w:hint="eastAsia" w:cs="Times New Roman"/>
                <w:color w:val="auto"/>
                <w:highlight w:val="none"/>
                <w:vertAlign w:val="superscript"/>
                <w:lang w:val="en-US" w:eastAsia="zh-CN"/>
              </w:rPr>
              <w:t>3</w:t>
            </w:r>
            <w:r>
              <w:rPr>
                <w:rFonts w:hint="eastAsia" w:cs="Times New Roman"/>
                <w:color w:val="auto"/>
                <w:highlight w:val="none"/>
                <w:lang w:val="en-US" w:eastAsia="zh-CN"/>
              </w:rPr>
              <w:t>，H</w:t>
            </w:r>
            <w:r>
              <w:rPr>
                <w:rFonts w:hint="eastAsia" w:cs="Times New Roman"/>
                <w:color w:val="auto"/>
                <w:highlight w:val="none"/>
                <w:vertAlign w:val="subscript"/>
                <w:lang w:val="en-US" w:eastAsia="zh-CN"/>
              </w:rPr>
              <w:t>2</w:t>
            </w:r>
            <w:r>
              <w:rPr>
                <w:rFonts w:hint="eastAsia" w:cs="Times New Roman"/>
                <w:color w:val="auto"/>
                <w:highlight w:val="none"/>
                <w:lang w:val="en-US" w:eastAsia="zh-CN"/>
              </w:rPr>
              <w:t>S执行《恶臭污染物排放标准》（GB14554-93）表2相关要求：H</w:t>
            </w:r>
            <w:r>
              <w:rPr>
                <w:rFonts w:hint="eastAsia" w:cs="Times New Roman"/>
                <w:color w:val="auto"/>
                <w:highlight w:val="none"/>
                <w:vertAlign w:val="subscript"/>
                <w:lang w:val="en-US" w:eastAsia="zh-CN"/>
              </w:rPr>
              <w:t>2</w:t>
            </w:r>
            <w:r>
              <w:rPr>
                <w:rFonts w:hint="eastAsia" w:cs="Times New Roman"/>
                <w:color w:val="auto"/>
                <w:highlight w:val="none"/>
                <w:lang w:val="en-US" w:eastAsia="zh-CN"/>
              </w:rPr>
              <w:t>S：15m排气筒排放速率0.33kg/h。臭气浓度执行《恶臭污染物排放标准》（GB14554-93）表 2 相关要求：臭气浓度：2000。</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16" w:firstLineChars="200"/>
              <w:textAlignment w:val="auto"/>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eastAsia="宋体" w:cs="Times New Roman"/>
                <w:color w:val="auto"/>
                <w:spacing w:val="-1"/>
                <w:sz w:val="21"/>
                <w:szCs w:val="21"/>
                <w:highlight w:val="none"/>
                <w:lang w:val="en-US" w:eastAsia="zh-CN"/>
              </w:rPr>
              <w:t>厂界无组织颗粒物满足</w:t>
            </w:r>
            <w:r>
              <w:rPr>
                <w:rFonts w:hint="default" w:ascii="Times New Roman" w:hAnsi="Times New Roman" w:eastAsia="宋体" w:cs="Times New Roman"/>
                <w:color w:val="auto"/>
                <w:spacing w:val="-1"/>
                <w:sz w:val="21"/>
                <w:szCs w:val="21"/>
                <w:highlight w:val="none"/>
              </w:rPr>
              <w:t>《大气污染物综合排放标准》（GB16297-1996）</w:t>
            </w:r>
            <w:r>
              <w:rPr>
                <w:rFonts w:hint="default" w:ascii="Times New Roman" w:hAnsi="Times New Roman" w:eastAsia="宋体" w:cs="Times New Roman"/>
                <w:color w:val="auto"/>
                <w:spacing w:val="-1"/>
                <w:sz w:val="21"/>
                <w:szCs w:val="21"/>
                <w:highlight w:val="none"/>
                <w:lang w:val="en-US" w:eastAsia="zh-CN"/>
              </w:rPr>
              <w:t>，厂界无组织非甲烷总烃、苯、甲苯</w:t>
            </w:r>
            <w:r>
              <w:rPr>
                <w:rFonts w:hint="default" w:ascii="Times New Roman" w:hAnsi="Times New Roman" w:cs="Times New Roman"/>
                <w:color w:val="auto"/>
                <w:spacing w:val="-1"/>
                <w:sz w:val="21"/>
                <w:szCs w:val="21"/>
                <w:highlight w:val="none"/>
                <w:lang w:val="en-US" w:eastAsia="zh-CN"/>
              </w:rPr>
              <w:t>、</w:t>
            </w:r>
            <w:r>
              <w:rPr>
                <w:rFonts w:hint="default" w:ascii="Times New Roman" w:hAnsi="Times New Roman" w:eastAsia="宋体" w:cs="Times New Roman"/>
                <w:color w:val="auto"/>
                <w:spacing w:val="-1"/>
                <w:sz w:val="21"/>
                <w:szCs w:val="21"/>
                <w:highlight w:val="none"/>
                <w:lang w:val="en-US" w:eastAsia="zh-CN"/>
              </w:rPr>
              <w:t>二甲苯满足</w:t>
            </w:r>
            <w:r>
              <w:rPr>
                <w:rFonts w:hint="default" w:ascii="Times New Roman" w:hAnsi="Times New Roman" w:eastAsia="宋体" w:cs="Times New Roman"/>
                <w:color w:val="auto"/>
                <w:spacing w:val="-1"/>
                <w:sz w:val="21"/>
                <w:szCs w:val="21"/>
                <w:highlight w:val="none"/>
              </w:rPr>
              <w:t>《工业企业挥发性有机物排放控制标准》（DB13/2322-2016）</w:t>
            </w:r>
            <w:r>
              <w:rPr>
                <w:rFonts w:hint="default" w:ascii="Times New Roman" w:hAnsi="Times New Roman" w:cs="Times New Roman"/>
                <w:color w:val="auto"/>
                <w:spacing w:val="-1"/>
                <w:sz w:val="21"/>
                <w:szCs w:val="21"/>
                <w:highlight w:val="none"/>
                <w:lang w:val="en-US" w:eastAsia="zh-CN"/>
              </w:rPr>
              <w:t>限值要求</w:t>
            </w:r>
            <w:r>
              <w:rPr>
                <w:rFonts w:hint="default" w:ascii="Times New Roman" w:hAnsi="Times New Roman" w:eastAsia="宋体" w:cs="Times New Roman"/>
                <w:color w:val="auto"/>
                <w:spacing w:val="-1"/>
                <w:sz w:val="21"/>
                <w:szCs w:val="21"/>
                <w:highlight w:val="none"/>
                <w:lang w:eastAsia="zh-CN"/>
              </w:rPr>
              <w:t>；</w:t>
            </w: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color w:val="auto"/>
                <w:sz w:val="21"/>
                <w:szCs w:val="21"/>
                <w:highlight w:val="none"/>
              </w:rPr>
            </w:pPr>
          </w:p>
          <w:p>
            <w:pPr>
              <w:keepNext w:val="0"/>
              <w:keepLines w:val="0"/>
              <w:pageBreakBefore w:val="0"/>
              <w:widowControl w:val="0"/>
              <w:numPr>
                <w:ilvl w:val="0"/>
                <w:numId w:val="0"/>
              </w:numPr>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3-</w:t>
            </w:r>
            <w:r>
              <w:rPr>
                <w:rFonts w:hint="default" w:ascii="Times New Roman" w:hAnsi="Times New Roman" w:cs="Times New Roman"/>
                <w:b/>
                <w:color w:val="auto"/>
                <w:sz w:val="21"/>
                <w:szCs w:val="21"/>
                <w:highlight w:val="none"/>
                <w:lang w:val="en-US" w:eastAsia="zh-CN"/>
              </w:rPr>
              <w:t>8</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eastAsia="宋体" w:cs="Times New Roman"/>
                <w:b/>
                <w:color w:val="auto"/>
                <w:sz w:val="21"/>
                <w:szCs w:val="21"/>
                <w:highlight w:val="none"/>
                <w:lang w:val="en-US" w:eastAsia="zh-CN"/>
              </w:rPr>
              <w:t>运营期大气</w:t>
            </w:r>
            <w:r>
              <w:rPr>
                <w:rFonts w:hint="default" w:ascii="Times New Roman" w:hAnsi="Times New Roman" w:eastAsia="宋体" w:cs="Times New Roman"/>
                <w:b/>
                <w:color w:val="auto"/>
                <w:sz w:val="21"/>
                <w:szCs w:val="21"/>
                <w:highlight w:val="none"/>
              </w:rPr>
              <w:t>染物排放标准</w:t>
            </w:r>
          </w:p>
          <w:tbl>
            <w:tblPr>
              <w:tblStyle w:val="35"/>
              <w:tblW w:w="5000"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978"/>
              <w:gridCol w:w="1177"/>
              <w:gridCol w:w="1729"/>
              <w:gridCol w:w="3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类别</w:t>
                  </w:r>
                </w:p>
              </w:tc>
              <w:tc>
                <w:tcPr>
                  <w:tcW w:w="614"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排污节点</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标准限值</w:t>
                  </w:r>
                </w:p>
              </w:tc>
              <w:tc>
                <w:tcPr>
                  <w:tcW w:w="2232"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有组织废气</w:t>
                  </w:r>
                </w:p>
              </w:tc>
              <w:tc>
                <w:tcPr>
                  <w:tcW w:w="614"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下料、</w:t>
                  </w:r>
                  <w:r>
                    <w:rPr>
                      <w:rFonts w:hint="default" w:ascii="Times New Roman" w:hAnsi="Times New Roman" w:eastAsia="宋体" w:cs="Times New Roman"/>
                      <w:color w:val="auto"/>
                      <w:sz w:val="18"/>
                      <w:szCs w:val="18"/>
                      <w:highlight w:val="none"/>
                    </w:rPr>
                    <w:t>抛丸</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打磨、焊接</w:t>
                  </w:r>
                  <w:r>
                    <w:rPr>
                      <w:rFonts w:hint="default" w:ascii="Times New Roman" w:hAnsi="Times New Roman" w:eastAsia="宋体" w:cs="Times New Roman"/>
                      <w:color w:val="auto"/>
                      <w:sz w:val="18"/>
                      <w:szCs w:val="18"/>
                      <w:highlight w:val="none"/>
                    </w:rPr>
                    <w:t>工序</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颗粒物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 mg/m</w:t>
                  </w:r>
                  <w:r>
                    <w:rPr>
                      <w:rFonts w:hint="default" w:ascii="Times New Roman" w:hAnsi="Times New Roman" w:eastAsia="宋体" w:cs="Times New Roman"/>
                      <w:color w:val="auto"/>
                      <w:sz w:val="18"/>
                      <w:szCs w:val="18"/>
                      <w:highlight w:val="none"/>
                      <w:vertAlign w:val="superscript"/>
                    </w:rPr>
                    <w:t>3</w:t>
                  </w:r>
                </w:p>
              </w:tc>
              <w:tc>
                <w:tcPr>
                  <w:tcW w:w="2232"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参照执行</w:t>
                  </w:r>
                  <w:r>
                    <w:rPr>
                      <w:rFonts w:hint="default" w:ascii="Times New Roman" w:hAnsi="Times New Roman" w:eastAsia="宋体" w:cs="Times New Roman"/>
                      <w:color w:val="auto"/>
                      <w:sz w:val="18"/>
                      <w:szCs w:val="18"/>
                      <w:highlight w:val="none"/>
                    </w:rPr>
                    <w:t>《钢铁工业大气污染物超低排放标准》（DB13/2169-2018）表1轧钢工业标准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p>
              </w:tc>
              <w:tc>
                <w:tcPr>
                  <w:tcW w:w="614"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rPr>
                    <w:t>喷漆</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晾干</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喷涂</w:t>
                  </w:r>
                  <w:r>
                    <w:rPr>
                      <w:rFonts w:hint="default" w:ascii="Times New Roman" w:hAnsi="Times New Roman" w:cs="Times New Roman"/>
                      <w:color w:val="auto"/>
                      <w:sz w:val="18"/>
                      <w:szCs w:val="18"/>
                      <w:highlight w:val="none"/>
                      <w:lang w:val="en-US" w:eastAsia="zh-CN"/>
                    </w:rPr>
                    <w:t>、粘胶</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eastAsia" w:ascii="Times New Roman" w:cs="Times New Roman"/>
                      <w:color w:val="auto"/>
                      <w:sz w:val="18"/>
                      <w:szCs w:val="18"/>
                      <w:lang w:val="en-US" w:eastAsia="zh-CN"/>
                    </w:rPr>
                    <w:t>1</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2232"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《唐山市生态环境局关于开展涉挥发性有机物企业提标改造的通知》（唐环气〔2022〕1号）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614"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甲苯与二甲苯合计</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20mg/m</w:t>
                  </w:r>
                  <w:r>
                    <w:rPr>
                      <w:rFonts w:hint="default" w:ascii="Times New Roman" w:hAnsi="Times New Roman" w:eastAsia="宋体" w:cs="Times New Roman"/>
                      <w:color w:val="auto"/>
                      <w:sz w:val="18"/>
                      <w:szCs w:val="18"/>
                      <w:highlight w:val="none"/>
                      <w:vertAlign w:val="superscript"/>
                    </w:rPr>
                    <w:t>3</w:t>
                  </w:r>
                </w:p>
              </w:tc>
              <w:tc>
                <w:tcPr>
                  <w:tcW w:w="2232"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《工业企业挥发性有机物排放控制标准》（DB13/2322-2016）表1表面涂装业标准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continue"/>
                  <w:noWrap w:val="0"/>
                  <w:vAlign w:val="center"/>
                </w:tcPr>
                <w:p>
                  <w:pPr>
                    <w:spacing w:line="300" w:lineRule="exact"/>
                    <w:jc w:val="center"/>
                    <w:rPr>
                      <w:rFonts w:hint="default" w:ascii="Times New Roman" w:hAnsi="Times New Roman" w:cs="Times New Roman"/>
                      <w:color w:val="auto"/>
                      <w:sz w:val="18"/>
                      <w:szCs w:val="18"/>
                    </w:rPr>
                  </w:pPr>
                </w:p>
              </w:tc>
              <w:tc>
                <w:tcPr>
                  <w:tcW w:w="738" w:type="pct"/>
                  <w:noWrap w:val="0"/>
                  <w:vAlign w:val="center"/>
                </w:tcPr>
                <w:p>
                  <w:pPr>
                    <w:spacing w:line="3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苯</w:t>
                  </w:r>
                </w:p>
              </w:tc>
              <w:tc>
                <w:tcPr>
                  <w:tcW w:w="1085" w:type="pct"/>
                  <w:noWrap w:val="0"/>
                  <w:vAlign w:val="center"/>
                </w:tcPr>
                <w:p>
                  <w:pPr>
                    <w:pStyle w:val="81"/>
                    <w:spacing w:line="30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spacing w:line="300" w:lineRule="exact"/>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continue"/>
                  <w:noWrap w:val="0"/>
                  <w:vAlign w:val="center"/>
                </w:tcPr>
                <w:p>
                  <w:pPr>
                    <w:spacing w:line="300" w:lineRule="exact"/>
                    <w:jc w:val="center"/>
                    <w:rPr>
                      <w:rFonts w:hint="default" w:ascii="Times New Roman" w:hAnsi="Times New Roman" w:cs="Times New Roman"/>
                      <w:color w:val="auto"/>
                      <w:sz w:val="18"/>
                      <w:szCs w:val="18"/>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非甲烷总烃</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60mg/m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，最低去除效率70%</w:t>
                  </w:r>
                </w:p>
              </w:tc>
              <w:tc>
                <w:tcPr>
                  <w:tcW w:w="2232" w:type="pct"/>
                  <w:vMerge w:val="continue"/>
                  <w:noWrap w:val="0"/>
                  <w:vAlign w:val="center"/>
                </w:tcPr>
                <w:p>
                  <w:pPr>
                    <w:spacing w:line="300" w:lineRule="exact"/>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noWrap w:val="0"/>
                  <w:vAlign w:val="center"/>
                </w:tcPr>
                <w:p>
                  <w:pPr>
                    <w:spacing w:line="300" w:lineRule="exact"/>
                    <w:jc w:val="center"/>
                    <w:rPr>
                      <w:rFonts w:hint="eastAsia"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配料</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颗粒物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eastAsia" w:ascii="Times New Roman" w:cs="Times New Roman"/>
                      <w:color w:val="auto"/>
                      <w:sz w:val="18"/>
                      <w:szCs w:val="18"/>
                      <w:highlight w:val="none"/>
                      <w:lang w:val="en-US" w:eastAsia="zh-CN"/>
                    </w:rPr>
                    <w:t>12</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2232" w:type="pct"/>
                  <w:vMerge w:val="restart"/>
                  <w:noWrap w:val="0"/>
                  <w:vAlign w:val="center"/>
                </w:tcPr>
                <w:p>
                  <w:pPr>
                    <w:spacing w:line="30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《橡胶制品工业污染物排放标准》(GB27632-2011)表5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restart"/>
                  <w:noWrap w:val="0"/>
                  <w:vAlign w:val="center"/>
                </w:tcPr>
                <w:p>
                  <w:pPr>
                    <w:spacing w:line="3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捏炼、开炼、挤出、硫化</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eastAsia"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颗粒物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eastAsia" w:ascii="Times New Roman" w:cs="Times New Roman"/>
                      <w:color w:val="auto"/>
                      <w:sz w:val="18"/>
                      <w:szCs w:val="18"/>
                      <w:highlight w:val="none"/>
                      <w:lang w:val="en-US" w:eastAsia="zh-CN"/>
                    </w:rPr>
                    <w:t>12</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spacing w:line="300" w:lineRule="exact"/>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continue"/>
                  <w:noWrap w:val="0"/>
                  <w:vAlign w:val="center"/>
                </w:tcPr>
                <w:p>
                  <w:pPr>
                    <w:spacing w:line="300" w:lineRule="exact"/>
                    <w:jc w:val="center"/>
                    <w:rPr>
                      <w:rFonts w:hint="default" w:ascii="Times New Roman" w:hAnsi="Times New Roman" w:cs="Times New Roman"/>
                      <w:color w:val="auto"/>
                      <w:sz w:val="18"/>
                      <w:szCs w:val="18"/>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非甲烷总烃</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eastAsia" w:ascii="Times New Roman" w:cs="Times New Roman"/>
                      <w:color w:val="auto"/>
                      <w:sz w:val="18"/>
                      <w:szCs w:val="18"/>
                      <w:highlight w:val="none"/>
                      <w:lang w:val="en-US" w:eastAsia="zh-CN"/>
                    </w:rPr>
                    <w:t>10</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spacing w:line="300" w:lineRule="exact"/>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continue"/>
                  <w:noWrap w:val="0"/>
                  <w:vAlign w:val="center"/>
                </w:tcPr>
                <w:p>
                  <w:pPr>
                    <w:spacing w:line="300" w:lineRule="exact"/>
                    <w:jc w:val="center"/>
                    <w:rPr>
                      <w:rFonts w:hint="default" w:ascii="Times New Roman" w:hAnsi="Times New Roman" w:cs="Times New Roman"/>
                      <w:color w:val="auto"/>
                      <w:sz w:val="18"/>
                      <w:szCs w:val="18"/>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eastAsia"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硫化氢</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15m排气筒排放速率0.33kg/h</w:t>
                  </w:r>
                </w:p>
              </w:tc>
              <w:tc>
                <w:tcPr>
                  <w:tcW w:w="2232" w:type="pct"/>
                  <w:vMerge w:val="restart"/>
                  <w:noWrap w:val="0"/>
                  <w:vAlign w:val="center"/>
                </w:tcPr>
                <w:p>
                  <w:pPr>
                    <w:spacing w:line="300" w:lineRule="exact"/>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《恶臭污染物排放标准》（GB14554-93）表2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200" w:lineRule="atLeast"/>
                    <w:rPr>
                      <w:rFonts w:hint="default" w:ascii="Times New Roman" w:hAnsi="Times New Roman" w:cs="Times New Roman"/>
                      <w:color w:val="auto"/>
                      <w:sz w:val="18"/>
                      <w:szCs w:val="18"/>
                    </w:rPr>
                  </w:pPr>
                </w:p>
              </w:tc>
              <w:tc>
                <w:tcPr>
                  <w:tcW w:w="614" w:type="pct"/>
                  <w:vMerge w:val="continue"/>
                  <w:noWrap w:val="0"/>
                  <w:vAlign w:val="center"/>
                </w:tcPr>
                <w:p>
                  <w:pPr>
                    <w:spacing w:line="300" w:lineRule="exact"/>
                    <w:jc w:val="center"/>
                    <w:rPr>
                      <w:rFonts w:hint="default" w:ascii="Times New Roman" w:hAnsi="Times New Roman" w:cs="Times New Roman"/>
                      <w:color w:val="auto"/>
                      <w:sz w:val="18"/>
                      <w:szCs w:val="18"/>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eastAsia"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臭气浓度</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2000</w:t>
                  </w:r>
                </w:p>
              </w:tc>
              <w:tc>
                <w:tcPr>
                  <w:tcW w:w="2232" w:type="pct"/>
                  <w:vMerge w:val="continue"/>
                  <w:noWrap w:val="0"/>
                  <w:vAlign w:val="center"/>
                </w:tcPr>
                <w:p>
                  <w:pPr>
                    <w:spacing w:line="300" w:lineRule="exact"/>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spacing w:line="140" w:lineRule="atLeast"/>
                    <w:rPr>
                      <w:rFonts w:hint="default" w:ascii="Times New Roman" w:hAnsi="Times New Roman" w:cs="Times New Roman"/>
                      <w:color w:val="auto"/>
                      <w:sz w:val="18"/>
                      <w:szCs w:val="18"/>
                    </w:rPr>
                  </w:pPr>
                </w:p>
              </w:tc>
              <w:tc>
                <w:tcPr>
                  <w:tcW w:w="614"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食堂</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油烟</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2.0mg/m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rPr>
                    <w:t xml:space="preserve"> ，净化</w:t>
                  </w:r>
                  <w:r>
                    <w:rPr>
                      <w:rFonts w:hint="default" w:ascii="Times New Roman" w:hAnsi="Times New Roman" w:cs="Times New Roman"/>
                      <w:color w:val="auto"/>
                      <w:sz w:val="18"/>
                      <w:szCs w:val="18"/>
                      <w:highlight w:val="none"/>
                      <w:lang w:val="en-US" w:eastAsia="zh-CN"/>
                    </w:rPr>
                    <w:t>措</w:t>
                  </w:r>
                  <w:r>
                    <w:rPr>
                      <w:rFonts w:hint="default" w:ascii="Times New Roman" w:hAnsi="Times New Roman" w:eastAsia="宋体" w:cs="Times New Roman"/>
                      <w:color w:val="auto"/>
                      <w:sz w:val="18"/>
                      <w:szCs w:val="18"/>
                      <w:highlight w:val="none"/>
                    </w:rPr>
                    <w:t>施最低去除效率</w:t>
                  </w:r>
                  <w:r>
                    <w:rPr>
                      <w:rFonts w:hint="default" w:ascii="Times New Roman" w:hAnsi="Times New Roman" w:cs="Times New Roman"/>
                      <w:color w:val="auto"/>
                      <w:sz w:val="18"/>
                      <w:szCs w:val="18"/>
                      <w:highlight w:val="none"/>
                      <w:lang w:val="en-US" w:eastAsia="zh-CN"/>
                    </w:rPr>
                    <w:t>75</w:t>
                  </w:r>
                  <w:r>
                    <w:rPr>
                      <w:rFonts w:hint="default" w:ascii="Times New Roman" w:hAnsi="Times New Roman" w:eastAsia="宋体" w:cs="Times New Roman"/>
                      <w:color w:val="auto"/>
                      <w:sz w:val="18"/>
                      <w:szCs w:val="18"/>
                      <w:highlight w:val="none"/>
                    </w:rPr>
                    <w:t>%</w:t>
                  </w:r>
                </w:p>
              </w:tc>
              <w:tc>
                <w:tcPr>
                  <w:tcW w:w="2232"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《饮食业油烟排放标准（试行）》（GB18483-2001）表 2 中的</w:t>
                  </w:r>
                  <w:r>
                    <w:rPr>
                      <w:rFonts w:hint="default" w:ascii="Times New Roman" w:hAnsi="Times New Roman" w:cs="Times New Roman"/>
                      <w:color w:val="auto"/>
                      <w:sz w:val="18"/>
                      <w:szCs w:val="18"/>
                      <w:highlight w:val="none"/>
                      <w:lang w:val="en-US" w:eastAsia="zh-CN"/>
                    </w:rPr>
                    <w:t>中</w:t>
                  </w:r>
                  <w:r>
                    <w:rPr>
                      <w:rFonts w:hint="default" w:ascii="Times New Roman" w:hAnsi="Times New Roman" w:eastAsia="宋体" w:cs="Times New Roman"/>
                      <w:color w:val="auto"/>
                      <w:sz w:val="18"/>
                      <w:szCs w:val="18"/>
                      <w:highlight w:val="none"/>
                    </w:rPr>
                    <w:t>型规模标准要求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无组织废</w:t>
                  </w:r>
                </w:p>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气</w:t>
                  </w:r>
                </w:p>
              </w:tc>
              <w:tc>
                <w:tcPr>
                  <w:tcW w:w="614"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 xml:space="preserve">厂界 </w:t>
                  </w: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颗粒物</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 mg/m</w:t>
                  </w:r>
                  <w:r>
                    <w:rPr>
                      <w:rFonts w:hint="default" w:ascii="Times New Roman" w:hAnsi="Times New Roman" w:eastAsia="宋体" w:cs="Times New Roman"/>
                      <w:color w:val="auto"/>
                      <w:sz w:val="18"/>
                      <w:szCs w:val="18"/>
                      <w:highlight w:val="none"/>
                      <w:vertAlign w:val="superscript"/>
                    </w:rPr>
                    <w:t>3</w:t>
                  </w:r>
                </w:p>
              </w:tc>
              <w:tc>
                <w:tcPr>
                  <w:tcW w:w="2232"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《钢铁工业大气污染物超低排放标准》（DB13/2169-2018）表5厂界标准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614"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苯</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0.1mg/m</w:t>
                  </w:r>
                  <w:r>
                    <w:rPr>
                      <w:rFonts w:hint="default" w:ascii="Times New Roman" w:hAnsi="Times New Roman" w:eastAsia="宋体" w:cs="Times New Roman"/>
                      <w:color w:val="auto"/>
                      <w:sz w:val="18"/>
                      <w:szCs w:val="18"/>
                      <w:highlight w:val="none"/>
                      <w:vertAlign w:val="superscript"/>
                    </w:rPr>
                    <w:t>3</w:t>
                  </w:r>
                </w:p>
              </w:tc>
              <w:tc>
                <w:tcPr>
                  <w:tcW w:w="2232" w:type="pct"/>
                  <w:vMerge w:val="restar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《挥发性有机物无组织排放控制标准》（GB37822-2019）表A.1</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同时执行</w:t>
                  </w:r>
                  <w:r>
                    <w:rPr>
                      <w:rFonts w:hint="default" w:ascii="Times New Roman" w:hAnsi="Times New Roman" w:eastAsia="宋体" w:cs="Times New Roman"/>
                      <w:color w:val="auto"/>
                      <w:sz w:val="18"/>
                      <w:szCs w:val="18"/>
                      <w:highlight w:val="none"/>
                    </w:rPr>
                    <w:t>《工业企业挥发性有机物排放控制标准》（DB13/2322-2016）表2其他企业边界大气污染物浓度限值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614"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甲苯</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0.6mg/m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614"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二甲苯</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0.2mg/m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8"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614"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c>
                <w:tcPr>
                  <w:tcW w:w="738"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非甲烷总烃</w:t>
                  </w:r>
                </w:p>
              </w:tc>
              <w:tc>
                <w:tcPr>
                  <w:tcW w:w="1085" w:type="pct"/>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2.0mg/m</w:t>
                  </w:r>
                  <w:r>
                    <w:rPr>
                      <w:rFonts w:hint="default" w:ascii="Times New Roman" w:hAnsi="Times New Roman" w:eastAsia="宋体" w:cs="Times New Roman"/>
                      <w:color w:val="auto"/>
                      <w:sz w:val="18"/>
                      <w:szCs w:val="18"/>
                      <w:highlight w:val="none"/>
                      <w:vertAlign w:val="superscript"/>
                    </w:rPr>
                    <w:t>3</w:t>
                  </w:r>
                </w:p>
              </w:tc>
              <w:tc>
                <w:tcPr>
                  <w:tcW w:w="2232" w:type="pct"/>
                  <w:vMerge w:val="continue"/>
                  <w:noWrap w:val="0"/>
                  <w:vAlign w:val="center"/>
                </w:tcPr>
                <w:p>
                  <w:pPr>
                    <w:pStyle w:val="59"/>
                    <w:keepNext w:val="0"/>
                    <w:keepLines w:val="0"/>
                    <w:pageBreakBefore w:val="0"/>
                    <w:suppressLineNumbers w:val="0"/>
                    <w:kinsoku/>
                    <w:wordWrap/>
                    <w:overflowPunct/>
                    <w:bidi w:val="0"/>
                    <w:adjustRightInd w:val="0"/>
                    <w:snapToGrid w:val="0"/>
                    <w:spacing w:beforeLines="0" w:beforeAutospacing="0" w:afterLines="0" w:afterAutospacing="0"/>
                    <w:ind w:left="0" w:leftChars="0" w:right="0" w:rightChars="0" w:firstLine="0"/>
                    <w:rPr>
                      <w:rFonts w:hint="default" w:ascii="Times New Roman" w:hAnsi="Times New Roman" w:eastAsia="宋体" w:cs="Times New Roman"/>
                      <w:color w:val="auto"/>
                      <w:sz w:val="18"/>
                      <w:szCs w:val="18"/>
                      <w:highlight w:val="none"/>
                    </w:rPr>
                  </w:pP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rPr>
              <w:t>、厂界噪声执行</w:t>
            </w: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eastAsia="宋体" w:cs="Times New Roman"/>
                <w:bCs/>
                <w:color w:val="auto"/>
                <w:sz w:val="21"/>
                <w:szCs w:val="21"/>
                <w:highlight w:val="none"/>
              </w:rPr>
              <w:t>中3类标准</w:t>
            </w:r>
            <w:bookmarkEnd w:id="2"/>
            <w:r>
              <w:rPr>
                <w:rFonts w:hint="default" w:ascii="Times New Roman" w:hAnsi="Times New Roman" w:eastAsia="宋体" w:cs="Times New Roman"/>
                <w:bCs/>
                <w:color w:val="auto"/>
                <w:sz w:val="21"/>
                <w:szCs w:val="21"/>
                <w:highlight w:val="none"/>
              </w:rPr>
              <w:t>；</w:t>
            </w:r>
          </w:p>
          <w:p>
            <w:pPr>
              <w:pStyle w:val="2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3类：昼间65dB(A)，夜间55dB(A)</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4、废水：废水排放执行《污水综合排放标准》（GB8978-1996）的三级标准、《污水排入城镇下水道水质标准》（GB/T31962-2015）中限值要求，同时满足</w:t>
            </w:r>
            <w:r>
              <w:rPr>
                <w:rFonts w:hint="default" w:ascii="Times New Roman" w:hAnsi="Times New Roman" w:cs="Times New Roman"/>
                <w:bCs/>
                <w:color w:val="auto"/>
                <w:sz w:val="21"/>
                <w:szCs w:val="21"/>
                <w:highlight w:val="none"/>
                <w:lang w:val="en-US" w:eastAsia="zh-CN"/>
              </w:rPr>
              <w:t>园区</w:t>
            </w:r>
            <w:r>
              <w:rPr>
                <w:rFonts w:hint="default" w:ascii="Times New Roman" w:hAnsi="Times New Roman" w:eastAsia="宋体" w:cs="Times New Roman"/>
                <w:bCs/>
                <w:color w:val="auto"/>
                <w:sz w:val="21"/>
                <w:szCs w:val="21"/>
                <w:highlight w:val="none"/>
                <w:lang w:val="en-US" w:eastAsia="zh-CN"/>
              </w:rPr>
              <w:t>污水处理厂进水水质要求。标准限值见下表。</w:t>
            </w:r>
          </w:p>
          <w:p>
            <w:pPr>
              <w:pStyle w:val="9"/>
              <w:pageBreakBefore w:val="0"/>
              <w:kinsoku/>
              <w:wordWrap/>
              <w:overflowPunct/>
              <w:topLinePunct/>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b/>
                <w:color w:val="auto"/>
                <w:sz w:val="21"/>
                <w:szCs w:val="21"/>
                <w:highlight w:val="none"/>
              </w:rPr>
            </w:pPr>
          </w:p>
          <w:p>
            <w:pPr>
              <w:pStyle w:val="9"/>
              <w:pageBreakBefore w:val="0"/>
              <w:kinsoku/>
              <w:wordWrap/>
              <w:overflowPunct/>
              <w:topLinePunct/>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b/>
                <w:color w:val="auto"/>
                <w:sz w:val="21"/>
                <w:szCs w:val="21"/>
                <w:highlight w:val="none"/>
              </w:rPr>
            </w:pPr>
          </w:p>
          <w:p>
            <w:pPr>
              <w:pStyle w:val="9"/>
              <w:pageBreakBefore w:val="0"/>
              <w:kinsoku/>
              <w:wordWrap/>
              <w:overflowPunct/>
              <w:topLinePunct/>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b/>
                <w:color w:val="auto"/>
                <w:sz w:val="21"/>
                <w:szCs w:val="21"/>
                <w:highlight w:val="none"/>
              </w:rPr>
            </w:pPr>
          </w:p>
          <w:p>
            <w:pPr>
              <w:pStyle w:val="9"/>
              <w:pageBreakBefore w:val="0"/>
              <w:kinsoku/>
              <w:wordWrap/>
              <w:overflowPunct/>
              <w:topLinePunct/>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b/>
                <w:color w:val="auto"/>
                <w:sz w:val="21"/>
                <w:szCs w:val="21"/>
                <w:highlight w:val="none"/>
              </w:rPr>
            </w:pPr>
          </w:p>
          <w:p>
            <w:pPr>
              <w:pStyle w:val="9"/>
              <w:pageBreakBefore w:val="0"/>
              <w:kinsoku/>
              <w:wordWrap/>
              <w:overflowPunct/>
              <w:topLinePunct/>
              <w:bidi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rPr>
              <w:t>-</w:t>
            </w:r>
            <w:r>
              <w:rPr>
                <w:rFonts w:hint="default" w:ascii="Times New Roman" w:hAnsi="Times New Roman" w:cs="Times New Roman"/>
                <w:b/>
                <w:color w:val="auto"/>
                <w:sz w:val="21"/>
                <w:szCs w:val="21"/>
                <w:highlight w:val="none"/>
                <w:lang w:val="en-US" w:eastAsia="zh-CN"/>
              </w:rPr>
              <w:t>9</w:t>
            </w:r>
            <w:r>
              <w:rPr>
                <w:rFonts w:hint="default" w:ascii="Times New Roman" w:hAnsi="Times New Roman" w:eastAsia="宋体" w:cs="Times New Roman"/>
                <w:b/>
                <w:color w:val="auto"/>
                <w:sz w:val="21"/>
                <w:szCs w:val="21"/>
                <w:highlight w:val="none"/>
              </w:rPr>
              <w:t xml:space="preserve">    废水排放标准</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564"/>
              <w:gridCol w:w="1564"/>
              <w:gridCol w:w="1564"/>
              <w:gridCol w:w="1007"/>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《污水综合排放标准》</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《污水排入城镇下水道水质标准》（GB/T31962-2015）</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园区污水处理厂的收水水质标准</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单位</w:t>
                  </w:r>
                </w:p>
              </w:tc>
              <w:tc>
                <w:tcPr>
                  <w:tcW w:w="768"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本项目废水执行标准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pH</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6～9</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6.5-9.5</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pacing w:val="0"/>
                      <w:sz w:val="18"/>
                      <w:szCs w:val="18"/>
                      <w:highlight w:val="none"/>
                      <w:lang w:val="en-US" w:eastAsia="zh-CN"/>
                    </w:rPr>
                    <w:t>6.5-8.5</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无量纲</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green"/>
                    </w:rPr>
                  </w:pPr>
                  <w:r>
                    <w:rPr>
                      <w:rFonts w:hint="default" w:ascii="Times New Roman" w:hAnsi="Times New Roman" w:eastAsia="宋体" w:cs="Times New Roman"/>
                      <w:color w:val="auto"/>
                      <w:spacing w:val="0"/>
                      <w:sz w:val="18"/>
                      <w:szCs w:val="18"/>
                      <w:highlight w:val="none"/>
                      <w:lang w:val="en-US" w:eastAsia="zh-CN"/>
                    </w:rPr>
                    <w:t>6.5-8.5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COD</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500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500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350</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z w:val="18"/>
                      <w:szCs w:val="18"/>
                      <w:highlight w:val="none"/>
                    </w:rPr>
                    <w:t>BOD</w:t>
                  </w:r>
                  <w:r>
                    <w:rPr>
                      <w:rFonts w:hint="default" w:ascii="Times New Roman" w:hAnsi="Times New Roman" w:eastAsia="宋体" w:cs="Times New Roman"/>
                      <w:color w:val="auto"/>
                      <w:sz w:val="18"/>
                      <w:szCs w:val="18"/>
                      <w:highlight w:val="none"/>
                      <w:vertAlign w:val="subscript"/>
                    </w:rPr>
                    <w:t>5</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300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350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300</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SS</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400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400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250</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氨氮</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45</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总氮</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70</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40</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1214" w:type="dxa"/>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0"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pacing w:val="-10"/>
                      <w:sz w:val="18"/>
                      <w:szCs w:val="18"/>
                      <w:highlight w:val="none"/>
                    </w:rPr>
                  </w:pPr>
                  <w:r>
                    <w:rPr>
                      <w:rFonts w:hint="default" w:ascii="Times New Roman" w:hAnsi="Times New Roman" w:eastAsia="宋体" w:cs="Times New Roman"/>
                      <w:color w:val="auto"/>
                      <w:spacing w:val="-10"/>
                      <w:sz w:val="18"/>
                      <w:szCs w:val="18"/>
                      <w:highlight w:val="none"/>
                    </w:rPr>
                    <w:t>总磷</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8</w:t>
                  </w:r>
                </w:p>
              </w:tc>
              <w:tc>
                <w:tcPr>
                  <w:tcW w:w="98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w:t>
                  </w:r>
                </w:p>
              </w:tc>
              <w:tc>
                <w:tcPr>
                  <w:tcW w:w="632"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mg/L</w:t>
                  </w:r>
                </w:p>
              </w:tc>
              <w:tc>
                <w:tcPr>
                  <w:tcW w:w="768" w:type="pct"/>
                  <w:noWrap w:val="0"/>
                  <w:vAlign w:val="center"/>
                </w:tcPr>
                <w:p>
                  <w:pPr>
                    <w:pageBreakBefore w:val="0"/>
                    <w:kinsoku/>
                    <w:wordWrap/>
                    <w:overflowPunct/>
                    <w:topLinePunct/>
                    <w:bidi w:val="0"/>
                    <w:adjustRightInd w:val="0"/>
                    <w:snapToGrid w:val="0"/>
                    <w:spacing w:beforeAutospacing="0" w:afterAutospacing="0" w:line="36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8</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420" w:lineRule="exact"/>
              <w:ind w:left="0" w:leftChars="0" w:right="0" w:rightChars="0" w:firstLine="420" w:firstLineChars="200"/>
              <w:jc w:val="left"/>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sz w:val="21"/>
                <w:szCs w:val="21"/>
                <w:highlight w:val="none"/>
              </w:rPr>
              <w:t>危险废物执行《危险废物贮存污染控制标准》(</w:t>
            </w:r>
            <w:r>
              <w:rPr>
                <w:rFonts w:hint="eastAsia" w:cs="Times New Roman"/>
                <w:color w:val="auto"/>
                <w:sz w:val="21"/>
                <w:szCs w:val="21"/>
                <w:highlight w:val="none"/>
                <w:lang w:eastAsia="zh-CN"/>
              </w:rPr>
              <w:t>GB18597-2023</w:t>
            </w:r>
            <w:r>
              <w:rPr>
                <w:rFonts w:hint="default" w:ascii="Times New Roman" w:hAnsi="Times New Roman" w:eastAsia="宋体" w:cs="Times New Roman"/>
                <w:color w:val="auto"/>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20" w:hRule="atLeast"/>
          <w:jc w:val="center"/>
        </w:trPr>
        <w:tc>
          <w:tcPr>
            <w:tcW w:w="800" w:type="dxa"/>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总量</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控制</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指标</w:t>
            </w:r>
          </w:p>
        </w:tc>
        <w:tc>
          <w:tcPr>
            <w:tcW w:w="8190" w:type="dxa"/>
            <w:noWrap w:val="0"/>
            <w:vAlign w:val="center"/>
          </w:tcPr>
          <w:p>
            <w:pPr>
              <w:pageBreakBefore w:val="0"/>
              <w:kinsoku/>
              <w:wordWrap/>
              <w:overflowPunct/>
              <w:bidi w:val="0"/>
              <w:adjustRightInd w:val="0"/>
              <w:snapToGrid w:val="0"/>
              <w:spacing w:beforeAutospacing="0" w:afterAutospacing="0" w:line="420" w:lineRule="exact"/>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根据环境保护部《关于印发&lt;建设项目主要污染物排放总量指标审核及管理暂行办法&gt;的通知》（环发[2014]197号），总量控制指标按国家或地方污染物排放标准核定。</w:t>
            </w:r>
          </w:p>
          <w:p>
            <w:pPr>
              <w:pageBreakBefore w:val="0"/>
              <w:kinsoku/>
              <w:wordWrap/>
              <w:overflowPunct/>
              <w:bidi w:val="0"/>
              <w:adjustRightInd w:val="0"/>
              <w:snapToGrid w:val="0"/>
              <w:spacing w:beforeAutospacing="0" w:afterAutospacing="0" w:line="420" w:lineRule="exact"/>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（1）废气</w:t>
            </w:r>
          </w:p>
          <w:p>
            <w:pPr>
              <w:pageBreakBefore w:val="0"/>
              <w:kinsoku/>
              <w:wordWrap/>
              <w:overflowPunct/>
              <w:bidi w:val="0"/>
              <w:adjustRightInd w:val="0"/>
              <w:snapToGrid w:val="0"/>
              <w:spacing w:beforeAutospacing="0" w:afterAutospacing="0" w:line="420" w:lineRule="exact"/>
              <w:ind w:left="0" w:leftChars="0" w:right="0" w:rightChars="0" w:firstLine="420" w:firstLineChars="20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项目生产过程全部为电加热，不涉及燃料使用，无</w:t>
            </w: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r>
              <w:rPr>
                <w:rFonts w:hint="default" w:ascii="Times New Roman" w:hAnsi="Times New Roman" w:cs="Times New Roman"/>
                <w:color w:val="auto"/>
                <w:szCs w:val="21"/>
                <w:highlight w:val="none"/>
              </w:rPr>
              <w:t>、NOx：</w:t>
            </w:r>
            <w:r>
              <w:rPr>
                <w:rFonts w:hint="default" w:ascii="Times New Roman" w:hAnsi="Times New Roman" w:cs="Times New Roman"/>
                <w:color w:val="auto"/>
                <w:szCs w:val="21"/>
                <w:highlight w:val="none"/>
                <w:lang w:val="en-US" w:eastAsia="zh-CN"/>
              </w:rPr>
              <w:t>排放；根据预测可知，特征因子预测排放量为颗粒物</w:t>
            </w:r>
            <w:r>
              <w:rPr>
                <w:rFonts w:hint="eastAsia" w:cs="Times New Roman"/>
                <w:color w:val="auto"/>
                <w:szCs w:val="21"/>
                <w:highlight w:val="none"/>
                <w:lang w:val="en-US" w:eastAsia="zh-CN"/>
              </w:rPr>
              <w:t>1.833</w:t>
            </w:r>
            <w:r>
              <w:rPr>
                <w:rFonts w:hint="default" w:ascii="Times New Roman" w:hAnsi="Times New Roman" w:cs="Times New Roman"/>
                <w:color w:val="auto"/>
                <w:szCs w:val="21"/>
                <w:highlight w:val="none"/>
                <w:lang w:val="en-US" w:eastAsia="zh-CN"/>
              </w:rPr>
              <w:t>t/a，非甲烷总烃</w:t>
            </w:r>
            <w:r>
              <w:rPr>
                <w:rFonts w:hint="eastAsia" w:cs="Times New Roman"/>
                <w:color w:val="auto"/>
                <w:szCs w:val="21"/>
                <w:highlight w:val="none"/>
                <w:lang w:val="en-US" w:eastAsia="zh-CN"/>
              </w:rPr>
              <w:t>7.539</w:t>
            </w:r>
            <w:r>
              <w:rPr>
                <w:rFonts w:hint="default" w:ascii="Times New Roman" w:hAnsi="Times New Roman" w:cs="Times New Roman"/>
                <w:color w:val="auto"/>
                <w:szCs w:val="21"/>
                <w:highlight w:val="none"/>
                <w:lang w:val="en-US" w:eastAsia="zh-CN"/>
              </w:rPr>
              <w:t>t/a，苯0.0011t/a，甲苯与二甲苯合计0.259t/a</w:t>
            </w:r>
            <w:r>
              <w:rPr>
                <w:rFonts w:hint="eastAsia" w:cs="Times New Roman"/>
                <w:color w:val="auto"/>
                <w:szCs w:val="21"/>
                <w:highlight w:val="none"/>
                <w:lang w:val="en-US" w:eastAsia="zh-CN"/>
              </w:rPr>
              <w:t>，硫化氢0.395t/a</w:t>
            </w:r>
            <w:r>
              <w:rPr>
                <w:rFonts w:hint="default" w:ascii="Times New Roman" w:hAnsi="Times New Roman" w:cs="Times New Roman"/>
                <w:color w:val="auto"/>
                <w:szCs w:val="21"/>
                <w:highlight w:val="none"/>
                <w:lang w:val="en-US" w:eastAsia="zh-CN"/>
              </w:rPr>
              <w:t>。</w:t>
            </w:r>
          </w:p>
          <w:p>
            <w:pPr>
              <w:pageBreakBefore w:val="0"/>
              <w:kinsoku/>
              <w:wordWrap/>
              <w:overflowPunct/>
              <w:bidi w:val="0"/>
              <w:adjustRightInd w:val="0"/>
              <w:snapToGrid w:val="0"/>
              <w:spacing w:beforeAutospacing="0" w:afterAutospacing="0" w:line="420" w:lineRule="exact"/>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（2）废水</w:t>
            </w:r>
          </w:p>
          <w:p>
            <w:pPr>
              <w:pageBreakBefore w:val="0"/>
              <w:kinsoku/>
              <w:wordWrap/>
              <w:overflowPunct/>
              <w:bidi w:val="0"/>
              <w:adjustRightInd w:val="0"/>
              <w:snapToGrid w:val="0"/>
              <w:spacing w:beforeAutospacing="0" w:afterAutospacing="0" w:line="420" w:lineRule="exact"/>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项目无生产废水外排，职工生活污水经污水管网排入</w:t>
            </w:r>
            <w:r>
              <w:rPr>
                <w:rFonts w:hint="default" w:ascii="Times New Roman" w:hAnsi="Times New Roman" w:cs="Times New Roman"/>
                <w:color w:val="auto"/>
                <w:szCs w:val="21"/>
                <w:highlight w:val="none"/>
                <w:lang w:val="en-US" w:eastAsia="zh-CN"/>
              </w:rPr>
              <w:t>园区</w:t>
            </w:r>
            <w:r>
              <w:rPr>
                <w:rFonts w:hint="default" w:ascii="Times New Roman" w:hAnsi="Times New Roman" w:cs="Times New Roman"/>
                <w:color w:val="auto"/>
                <w:szCs w:val="21"/>
                <w:highlight w:val="none"/>
              </w:rPr>
              <w:t>污水处理厂统一处理。因此，COD、氨氮总量均为0t/a。</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420" w:lineRule="exact"/>
              <w:ind w:left="0" w:leftChars="0" w:right="0" w:rightChars="0" w:firstLine="420" w:firstLineChars="200"/>
              <w:textAlignment w:val="auto"/>
              <w:rPr>
                <w:rFonts w:hint="default" w:ascii="Times New Roman" w:hAnsi="Times New Roman" w:eastAsia="宋体" w:cs="Times New Roman"/>
                <w:bCs/>
                <w:color w:val="auto"/>
                <w:spacing w:val="10"/>
                <w:kern w:val="0"/>
                <w:sz w:val="21"/>
                <w:szCs w:val="21"/>
                <w:highlight w:val="none"/>
              </w:rPr>
            </w:pPr>
            <w:r>
              <w:rPr>
                <w:rFonts w:hint="default" w:ascii="Times New Roman" w:hAnsi="Times New Roman" w:cs="Times New Roman"/>
                <w:color w:val="auto"/>
                <w:sz w:val="21"/>
                <w:szCs w:val="21"/>
                <w:highlight w:val="none"/>
              </w:rPr>
              <w:t>综上所述计算，建议本项目污染物核算总量控制指标为：SO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：0t/a、NO</w:t>
            </w:r>
            <w:r>
              <w:rPr>
                <w:rFonts w:hint="default" w:ascii="Times New Roman" w:hAnsi="Times New Roman" w:cs="Times New Roman"/>
                <w:color w:val="auto"/>
                <w:sz w:val="21"/>
                <w:szCs w:val="21"/>
                <w:highlight w:val="none"/>
                <w:vertAlign w:val="subscript"/>
              </w:rPr>
              <w:t>x</w:t>
            </w:r>
            <w:r>
              <w:rPr>
                <w:rFonts w:hint="default" w:ascii="Times New Roman" w:hAnsi="Times New Roman" w:cs="Times New Roman"/>
                <w:color w:val="auto"/>
                <w:sz w:val="21"/>
                <w:szCs w:val="21"/>
                <w:highlight w:val="none"/>
              </w:rPr>
              <w:t>：0t/a、COD：0t/a、NH</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rPr>
              <w:t>-N：0t/a。</w:t>
            </w:r>
          </w:p>
          <w:p>
            <w:pPr>
              <w:keepNext w:val="0"/>
              <w:keepLines w:val="0"/>
              <w:pageBreakBefore w:val="0"/>
              <w:widowControl w:val="0"/>
              <w:kinsoku/>
              <w:wordWrap/>
              <w:overflowPunct/>
              <w:topLinePunct w:val="0"/>
              <w:bidi w:val="0"/>
              <w:adjustRightInd w:val="0"/>
              <w:snapToGrid w:val="0"/>
              <w:spacing w:beforeAutospacing="0" w:afterAutospacing="0" w:line="420" w:lineRule="exact"/>
              <w:ind w:left="0" w:leftChars="0" w:right="0" w:rightChars="0"/>
              <w:jc w:val="left"/>
              <w:rPr>
                <w:rFonts w:hint="default" w:ascii="Times New Roman" w:hAnsi="Times New Roman" w:eastAsia="宋体" w:cs="Times New Roman"/>
                <w:color w:val="auto"/>
                <w:kern w:val="0"/>
                <w:szCs w:val="21"/>
                <w:highlight w:val="none"/>
                <w:lang w:val="en-US"/>
              </w:rPr>
            </w:pPr>
          </w:p>
        </w:tc>
      </w:tr>
    </w:tbl>
    <w:p>
      <w:pPr>
        <w:pStyle w:val="31"/>
        <w:pageBreakBefore w:val="0"/>
        <w:kinsoku/>
        <w:wordWrap/>
        <w:overflowPunct/>
        <w:bidi w:val="0"/>
        <w:adjustRightInd w:val="0"/>
        <w:snapToGrid w:val="0"/>
        <w:spacing w:before="0" w:beforeAutospacing="0" w:after="0" w:afterAutospacing="0"/>
        <w:ind w:left="0" w:leftChars="0" w:right="0" w:rightChars="0"/>
        <w:jc w:val="center"/>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6"/>
          <w:szCs w:val="36"/>
          <w:highlight w:val="none"/>
        </w:rPr>
        <w:br w:type="page"/>
      </w:r>
      <w:r>
        <w:rPr>
          <w:rFonts w:hint="default" w:ascii="Times New Roman" w:hAnsi="Times New Roman" w:eastAsia="宋体" w:cs="Times New Roman"/>
          <w:snapToGrid w:val="0"/>
          <w:color w:val="auto"/>
          <w:sz w:val="30"/>
          <w:szCs w:val="30"/>
          <w:highlight w:val="none"/>
        </w:rPr>
        <w:t>四、主要环境影响和保护措施</w:t>
      </w:r>
    </w:p>
    <w:tbl>
      <w:tblPr>
        <w:tblStyle w:val="35"/>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84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7" w:type="dxa"/>
            <w:noWrap w:val="0"/>
            <w:tcMar>
              <w:left w:w="28" w:type="dxa"/>
              <w:right w:w="28" w:type="dxa"/>
            </w:tcMar>
            <w:vAlign w:val="center"/>
          </w:tcPr>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施工</w:t>
            </w:r>
          </w:p>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期环</w:t>
            </w:r>
          </w:p>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境保</w:t>
            </w:r>
          </w:p>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护措</w:t>
            </w:r>
          </w:p>
          <w:p>
            <w:pPr>
              <w:pStyle w:val="31"/>
              <w:pageBreakBefore w:val="0"/>
              <w:kinsoku/>
              <w:wordWrap/>
              <w:overflowPunct/>
              <w:bidi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color w:val="auto"/>
                <w:kern w:val="2"/>
                <w:sz w:val="21"/>
                <w:szCs w:val="21"/>
                <w:highlight w:val="none"/>
              </w:rPr>
              <w:t>施</w:t>
            </w:r>
          </w:p>
        </w:tc>
        <w:tc>
          <w:tcPr>
            <w:tcW w:w="8411" w:type="dxa"/>
            <w:noWrap w:val="0"/>
            <w:vAlign w:val="center"/>
          </w:tcPr>
          <w:p>
            <w:pPr>
              <w:pStyle w:val="2"/>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bookmarkStart w:id="3" w:name="_Toc13137"/>
            <w:bookmarkStart w:id="4" w:name="_Toc4790"/>
            <w:bookmarkStart w:id="5" w:name="_Toc20386"/>
            <w:bookmarkStart w:id="6" w:name="_Toc30049"/>
            <w:bookmarkStart w:id="7" w:name="_Toc20699"/>
            <w:bookmarkStart w:id="8" w:name="_Toc16485"/>
            <w:bookmarkStart w:id="9" w:name="_Toc22148"/>
            <w:bookmarkStart w:id="10" w:name="_Toc22605"/>
            <w:bookmarkStart w:id="11" w:name="_Toc8686"/>
            <w:bookmarkStart w:id="12" w:name="_Toc465411310"/>
            <w:r>
              <w:rPr>
                <w:rFonts w:hint="default" w:ascii="Times New Roman" w:hAnsi="Times New Roman" w:eastAsia="宋体" w:cs="Times New Roman"/>
                <w:color w:val="auto"/>
                <w:sz w:val="21"/>
                <w:szCs w:val="21"/>
                <w:highlight w:val="none"/>
                <w:lang w:val="en-US" w:eastAsia="zh-CN"/>
              </w:rPr>
              <w:t>1、施工期</w:t>
            </w:r>
            <w:r>
              <w:rPr>
                <w:rFonts w:hint="default" w:ascii="Times New Roman" w:hAnsi="Times New Roman" w:eastAsia="宋体" w:cs="Times New Roman"/>
                <w:color w:val="auto"/>
                <w:sz w:val="21"/>
                <w:szCs w:val="21"/>
                <w:highlight w:val="none"/>
              </w:rPr>
              <w:t>大气环境影响分析</w:t>
            </w:r>
            <w:bookmarkEnd w:id="3"/>
            <w:bookmarkEnd w:id="4"/>
            <w:bookmarkEnd w:id="5"/>
            <w:bookmarkEnd w:id="6"/>
            <w:bookmarkEnd w:id="7"/>
            <w:bookmarkEnd w:id="8"/>
            <w:bookmarkEnd w:id="9"/>
            <w:bookmarkEnd w:id="10"/>
            <w:bookmarkEnd w:id="11"/>
          </w:p>
          <w:bookmarkEnd w:id="12"/>
          <w:p>
            <w:pPr>
              <w:pStyle w:val="3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bookmarkStart w:id="13" w:name="_Toc480470967"/>
            <w:bookmarkStart w:id="14" w:name="_Toc17511"/>
            <w:bookmarkStart w:id="15" w:name="_Toc26497"/>
            <w:bookmarkStart w:id="16" w:name="_Toc4591"/>
            <w:bookmarkStart w:id="17" w:name="_Toc23757"/>
            <w:r>
              <w:rPr>
                <w:rFonts w:hint="default" w:ascii="Times New Roman" w:hAnsi="Times New Roman" w:eastAsia="宋体" w:cs="Times New Roman"/>
                <w:color w:val="auto"/>
                <w:sz w:val="21"/>
                <w:szCs w:val="21"/>
                <w:highlight w:val="none"/>
              </w:rPr>
              <w:t>施工期对大气环境的影响主要为建筑材料及地基挖掘弃土转运、临时堆存产生的二次扬尘和车辆运输进出工地所产生的二次扬尘。</w:t>
            </w:r>
          </w:p>
          <w:p>
            <w:pPr>
              <w:pStyle w:val="3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在工程施工中，地基挖掘产生的弃土将临时贮存在施工现场周围，地基浇注完毕后，大部分用于回填地基，其余用于厂区平整。临时堆存过程中，在一定风力条件下，易产生一定量的二次扬尘。</w:t>
            </w:r>
          </w:p>
          <w:p>
            <w:pPr>
              <w:pStyle w:val="3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从多家施工现场管理经验可知，施工期扬尘大小，与施工现场条件、管理水平、机械化程度以及气象条件等诸多因素有关，本评价根据施工现场扬尘实测资料，对其进行综合分析。表</w:t>
            </w:r>
            <w:r>
              <w:rPr>
                <w:rFonts w:hint="default" w:ascii="Times New Roman" w:hAnsi="Times New Roman" w:eastAsia="宋体" w:cs="Times New Roman"/>
                <w:color w:val="auto"/>
                <w:sz w:val="21"/>
                <w:szCs w:val="21"/>
                <w:highlight w:val="none"/>
                <w:lang w:val="en-US" w:eastAsia="zh-CN"/>
              </w:rPr>
              <w:t>4-1</w:t>
            </w:r>
            <w:r>
              <w:rPr>
                <w:rFonts w:hint="default" w:ascii="Times New Roman" w:hAnsi="Times New Roman" w:eastAsia="宋体" w:cs="Times New Roman"/>
                <w:color w:val="auto"/>
                <w:sz w:val="21"/>
                <w:szCs w:val="21"/>
                <w:highlight w:val="none"/>
              </w:rPr>
              <w:t>和表</w:t>
            </w:r>
            <w:r>
              <w:rPr>
                <w:rFonts w:hint="default" w:ascii="Times New Roman" w:hAnsi="Times New Roman" w:eastAsia="宋体"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rPr>
              <w:t>列出了北京环科所和石家庄市环境监测中心对不同施工场地扬尘情况的实测数据。</w:t>
            </w:r>
          </w:p>
          <w:p>
            <w:pPr>
              <w:pStyle w:val="55"/>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4-1</w:t>
            </w:r>
            <w:r>
              <w:rPr>
                <w:rFonts w:hint="default" w:ascii="Times New Roman" w:hAnsi="Times New Roman" w:eastAsia="宋体" w:cs="Times New Roman"/>
                <w:color w:val="auto"/>
                <w:sz w:val="21"/>
                <w:szCs w:val="21"/>
                <w:highlight w:val="none"/>
              </w:rPr>
              <w:t xml:space="preserve">    北京建筑施工工地扬尘监测结果     </w:t>
            </w:r>
            <w:r>
              <w:rPr>
                <w:rFonts w:hint="default" w:ascii="Times New Roman" w:hAnsi="Times New Roman" w:eastAsia="宋体" w:cs="Times New Roman"/>
                <w:b w:val="0"/>
                <w:bCs/>
                <w:color w:val="auto"/>
                <w:sz w:val="21"/>
                <w:szCs w:val="21"/>
                <w:highlight w:val="none"/>
              </w:rPr>
              <w:t>单位：mg/m</w:t>
            </w:r>
            <w:r>
              <w:rPr>
                <w:rFonts w:hint="default" w:ascii="Times New Roman" w:hAnsi="Times New Roman" w:eastAsia="宋体" w:cs="Times New Roman"/>
                <w:b w:val="0"/>
                <w:bCs/>
                <w:color w:val="auto"/>
                <w:sz w:val="21"/>
                <w:szCs w:val="21"/>
                <w:highlight w:val="none"/>
                <w:vertAlign w:val="superscript"/>
              </w:rPr>
              <w:t>3</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39"/>
              <w:gridCol w:w="999"/>
              <w:gridCol w:w="1328"/>
              <w:gridCol w:w="1328"/>
              <w:gridCol w:w="1328"/>
              <w:gridCol w:w="1330"/>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74"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监测位置</w:t>
                  </w:r>
                </w:p>
              </w:tc>
              <w:tc>
                <w:tcPr>
                  <w:tcW w:w="610"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工地上风向50m</w:t>
                  </w:r>
                </w:p>
              </w:tc>
              <w:tc>
                <w:tcPr>
                  <w:tcW w:w="811"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工地内</w:t>
                  </w:r>
                </w:p>
              </w:tc>
              <w:tc>
                <w:tcPr>
                  <w:tcW w:w="2434" w:type="pct"/>
                  <w:gridSpan w:val="3"/>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工地下风向</w:t>
                  </w:r>
                </w:p>
              </w:tc>
              <w:tc>
                <w:tcPr>
                  <w:tcW w:w="568"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c>
                <w:tcPr>
                  <w:tcW w:w="6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c>
                <w:tcPr>
                  <w:tcW w:w="81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50m</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100m</w:t>
                  </w:r>
                </w:p>
              </w:tc>
              <w:tc>
                <w:tcPr>
                  <w:tcW w:w="81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150m</w:t>
                  </w:r>
                </w:p>
              </w:tc>
              <w:tc>
                <w:tcPr>
                  <w:tcW w:w="5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7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范围值</w:t>
                  </w:r>
                </w:p>
              </w:tc>
              <w:tc>
                <w:tcPr>
                  <w:tcW w:w="610"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0.303-0.328</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0.409-0.759</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0.434-0.538</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0.356-0.465</w:t>
                  </w:r>
                </w:p>
              </w:tc>
              <w:tc>
                <w:tcPr>
                  <w:tcW w:w="81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0.309-0.336</w:t>
                  </w:r>
                </w:p>
              </w:tc>
              <w:tc>
                <w:tcPr>
                  <w:tcW w:w="568"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平均风速</w:t>
                  </w:r>
                </w:p>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2.5m/s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7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均值</w:t>
                  </w:r>
                </w:p>
              </w:tc>
              <w:tc>
                <w:tcPr>
                  <w:tcW w:w="610"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0.317</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0.596</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0.487</w:t>
                  </w:r>
                </w:p>
              </w:tc>
              <w:tc>
                <w:tcPr>
                  <w:tcW w:w="811"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0.390</w:t>
                  </w:r>
                </w:p>
              </w:tc>
              <w:tc>
                <w:tcPr>
                  <w:tcW w:w="81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0.322</w:t>
                  </w:r>
                </w:p>
              </w:tc>
              <w:tc>
                <w:tcPr>
                  <w:tcW w:w="5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r>
          </w:tbl>
          <w:p>
            <w:pPr>
              <w:pStyle w:val="55"/>
              <w:pageBreakBefore w:val="0"/>
              <w:kinsoku/>
              <w:wordWrap/>
              <w:overflowPunct/>
              <w:bidi w:val="0"/>
              <w:adjustRightInd w:val="0"/>
              <w:snapToGrid w:val="0"/>
              <w:spacing w:beforeAutospacing="0" w:afterAutospacing="0"/>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rPr>
            </w:pPr>
            <w:bookmarkStart w:id="18" w:name="_Ref437087217"/>
            <w:r>
              <w:rPr>
                <w:rFonts w:hint="default" w:ascii="Times New Roman" w:hAnsi="Times New Roman" w:eastAsia="宋体" w:cs="Times New Roman"/>
                <w:color w:val="auto"/>
                <w:sz w:val="21"/>
                <w:szCs w:val="21"/>
                <w:highlight w:val="none"/>
              </w:rPr>
              <w:t>表</w:t>
            </w:r>
            <w:bookmarkEnd w:id="18"/>
            <w:r>
              <w:rPr>
                <w:rFonts w:hint="default" w:ascii="Times New Roman" w:hAnsi="Times New Roman" w:eastAsia="宋体"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rPr>
              <w:t xml:space="preserve">    石家庄市施工现场扬尘监测结果     </w:t>
            </w:r>
            <w:r>
              <w:rPr>
                <w:rFonts w:hint="default" w:ascii="Times New Roman" w:hAnsi="Times New Roman" w:eastAsia="宋体" w:cs="Times New Roman"/>
                <w:b w:val="0"/>
                <w:bCs/>
                <w:color w:val="auto"/>
                <w:sz w:val="21"/>
                <w:szCs w:val="21"/>
                <w:highlight w:val="none"/>
              </w:rPr>
              <w:t>单位：mg/m</w:t>
            </w:r>
            <w:r>
              <w:rPr>
                <w:rFonts w:hint="default" w:ascii="Times New Roman" w:hAnsi="Times New Roman" w:eastAsia="宋体" w:cs="Times New Roman"/>
                <w:b w:val="0"/>
                <w:bCs/>
                <w:color w:val="auto"/>
                <w:sz w:val="21"/>
                <w:szCs w:val="21"/>
                <w:highlight w:val="none"/>
                <w:vertAlign w:val="superscript"/>
              </w:rPr>
              <w:t>3</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975"/>
              <w:gridCol w:w="920"/>
              <w:gridCol w:w="789"/>
              <w:gridCol w:w="789"/>
              <w:gridCol w:w="789"/>
              <w:gridCol w:w="789"/>
              <w:gridCol w:w="790"/>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0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距工地距离(m)</w:t>
                  </w:r>
                </w:p>
              </w:tc>
              <w:tc>
                <w:tcPr>
                  <w:tcW w:w="56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10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20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30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40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50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100</w:t>
                  </w:r>
                </w:p>
              </w:tc>
              <w:tc>
                <w:tcPr>
                  <w:tcW w:w="8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b w:val="0"/>
                      <w:bCs w:val="0"/>
                      <w:color w:val="auto"/>
                      <w:kern w:val="2"/>
                      <w:sz w:val="18"/>
                      <w:szCs w:val="18"/>
                      <w:highlight w:val="none"/>
                    </w:rPr>
                  </w:pPr>
                  <w:r>
                    <w:rPr>
                      <w:rFonts w:hint="default" w:ascii="Times New Roman" w:hAnsi="Times New Roman" w:eastAsia="宋体" w:cs="Times New Roman"/>
                      <w:b w:val="0"/>
                      <w:bCs w:val="0"/>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0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场地未洒水</w:t>
                  </w:r>
                </w:p>
              </w:tc>
              <w:tc>
                <w:tcPr>
                  <w:tcW w:w="56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1.75</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1.30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0.78</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0.365</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0.345</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0.330</w:t>
                  </w:r>
                </w:p>
              </w:tc>
              <w:tc>
                <w:tcPr>
                  <w:tcW w:w="816" w:type="pct"/>
                  <w:vMerge w:val="restar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春季测量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0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场地洒水</w:t>
                  </w:r>
                </w:p>
              </w:tc>
              <w:tc>
                <w:tcPr>
                  <w:tcW w:w="56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0.437</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0.350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0.310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0.265</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0.250</w:t>
                  </w:r>
                </w:p>
              </w:tc>
              <w:tc>
                <w:tcPr>
                  <w:tcW w:w="482"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kern w:val="2"/>
                      <w:sz w:val="18"/>
                      <w:szCs w:val="18"/>
                      <w:highlight w:val="none"/>
                    </w:rPr>
                  </w:pPr>
                  <w:r>
                    <w:rPr>
                      <w:rFonts w:hint="default" w:ascii="Times New Roman" w:hAnsi="Times New Roman" w:eastAsia="宋体" w:cs="Times New Roman"/>
                      <w:color w:val="auto"/>
                      <w:sz w:val="18"/>
                      <w:szCs w:val="18"/>
                      <w:highlight w:val="none"/>
                    </w:rPr>
                    <w:t>0.238</w:t>
                  </w:r>
                </w:p>
              </w:tc>
              <w:tc>
                <w:tcPr>
                  <w:tcW w:w="81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由表</w:t>
            </w:r>
            <w:r>
              <w:rPr>
                <w:rFonts w:hint="default" w:ascii="Times New Roman" w:hAnsi="Times New Roman" w:eastAsia="宋体" w:cs="Times New Roman"/>
                <w:color w:val="auto"/>
                <w:sz w:val="21"/>
                <w:szCs w:val="21"/>
                <w:highlight w:val="none"/>
                <w:lang w:val="en-US" w:eastAsia="zh-CN"/>
              </w:rPr>
              <w:t>4-1</w:t>
            </w:r>
            <w:r>
              <w:rPr>
                <w:rFonts w:hint="default" w:ascii="Times New Roman" w:hAnsi="Times New Roman" w:eastAsia="宋体" w:cs="Times New Roman"/>
                <w:color w:val="auto"/>
                <w:sz w:val="21"/>
                <w:szCs w:val="21"/>
                <w:highlight w:val="none"/>
              </w:rPr>
              <w:t>和表</w:t>
            </w:r>
            <w:r>
              <w:rPr>
                <w:rFonts w:hint="default" w:ascii="Times New Roman" w:hAnsi="Times New Roman" w:eastAsia="宋体" w:cs="Times New Roman"/>
                <w:color w:val="auto"/>
                <w:sz w:val="21"/>
                <w:szCs w:val="21"/>
                <w:highlight w:val="none"/>
                <w:lang w:val="en-US" w:eastAsia="zh-CN"/>
              </w:rPr>
              <w:t>4-2</w:t>
            </w:r>
            <w:r>
              <w:rPr>
                <w:rFonts w:hint="default" w:ascii="Times New Roman" w:hAnsi="Times New Roman" w:eastAsia="宋体" w:cs="Times New Roman"/>
                <w:color w:val="auto"/>
                <w:sz w:val="21"/>
                <w:szCs w:val="21"/>
                <w:highlight w:val="none"/>
              </w:rPr>
              <w:t>以看出，距离施工场地越近，空气中扬尘浓度越大，当风力条件在2.5m/s时，主要影响范围在150m范围内。同时也可以看出，施工现场采取场地洒水措施后，可明显地降低施工场地周围环境空气的粉尘浓度。</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为降低扬尘产生量，根据《河北省建筑施工扬尘防治强化措施18条》</w:t>
            </w:r>
            <w:r>
              <w:rPr>
                <w:rFonts w:hint="default" w:ascii="Times New Roman" w:hAnsi="Times New Roman" w:eastAsia="宋体" w:cs="Times New Roman"/>
                <w:color w:val="auto"/>
                <w:sz w:val="21"/>
                <w:szCs w:val="21"/>
                <w:highlight w:val="none"/>
                <w:lang w:val="en-US" w:eastAsia="zh-CN"/>
              </w:rPr>
              <w:t>、《河北省扬尘污染防治办法》（河北省人民政府令〔2020〕第1号）及《关于印发&lt;河北省2022年建筑施工扬尘污染防治工作方案&gt;的通知》(冀建质安函[2022]149号)</w:t>
            </w:r>
            <w:r>
              <w:rPr>
                <w:rFonts w:hint="default" w:ascii="Times New Roman" w:hAnsi="Times New Roman" w:eastAsia="宋体" w:cs="Times New Roman"/>
                <w:color w:val="auto"/>
                <w:sz w:val="21"/>
                <w:szCs w:val="21"/>
                <w:highlight w:val="none"/>
              </w:rPr>
              <w:t>，本次环评对施工扬尘提出具体的治理措施如下：</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（1）施工单位在施工现场出入口明显位置设置扬尘防治公示牌，内容包括建设、施工、监理及监管等单位名称、扬尘防治负责人的名称、联系电话、举报电话等。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（2）施工现场连续设置硬质围挡，围挡应坚固、美观，严禁围挡不严或敞开式施工。城区主干道两侧的围挡高度不低于2.5米，一般路段高度不低于1.8米。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（3）施工现场出入口和场内施工道路、材料加工堆放区、办公区、生活区采用混凝土硬化或用硬质砌块铺设，硬化后的地面应清扫整洁无浮土、积土，严禁使用其他软质材料铺设。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（4）施工现场出入口配备车辆冲洗设施，设置排水、泥浆沉淀池等设施，建立冲洗制度并设专人管理，严禁车辆带泥上路。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（5）施工现场出入口、加工区和主作业区等处安装视频监控系统，对施工扬尘实时监控。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（6）施工现场集中堆放的土方和裸露场地采取覆盖、固化或绿化等防尘措施，严禁裸露。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（7）拆除建筑物、构筑物时，四周使用围挡封闭施工，并采取</w:t>
            </w:r>
            <w:r>
              <w:rPr>
                <w:rFonts w:hint="default" w:ascii="Times New Roman" w:hAnsi="Times New Roman" w:eastAsia="宋体" w:cs="Times New Roman"/>
                <w:color w:val="auto"/>
                <w:sz w:val="21"/>
                <w:szCs w:val="21"/>
                <w:highlight w:val="none"/>
                <w:lang w:eastAsia="zh-CN"/>
              </w:rPr>
              <w:t>喷雾</w:t>
            </w:r>
            <w:r>
              <w:rPr>
                <w:rFonts w:hint="default" w:ascii="Times New Roman" w:hAnsi="Times New Roman" w:eastAsia="宋体" w:cs="Times New Roman"/>
                <w:color w:val="auto"/>
                <w:sz w:val="21"/>
                <w:szCs w:val="21"/>
                <w:highlight w:val="none"/>
              </w:rPr>
              <w:t xml:space="preserve">、洒水、喷雾等降尘措施，严禁敞开式拆除。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（8）基坑开挖作业过程中，四周应采取洒水、喷雾等降尘措施。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（9）施工现场易飞扬的细颗粒建筑材料密闭存放或严密覆盖，严禁露天放置；搬运时应有降尘措施，余料及时回收。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（10）施工现场使用商品混凝土、预拌砂浆，严禁现场搅拌。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（11）施工现场运送土方、渣土的车辆封闭或遮盖严密，严禁使用未办理相关手续的渣土等运输车辆，严禁沿路遗撒和随意倾倒。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（12）建筑物内应保持干净整洁，清扫垃圾时要洒水抑尘，施工层建筑垃圾采用封闭式管道或装袋用垂直升降机械清运，严禁凌空抛掷和焚烧垃圾。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（13）施工现场的建筑垃圾设置垃圾存放点,集中堆放并严密覆盖，及时清运。生活垃圾应用封闭式容器存放，日产日清，严禁随意丢弃。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（14）施工现场建立洒水清扫抑尘制度，配备洒水设备。非冰冻期每天洒水不少于2次，并有专人负责。重污染天气时相应增加洒水频次。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（15）建筑工程主体外侧脚手架及临边防护栏杆使用符合标准的密目式安全网封闭施工，并保持整洁、牢固、无破损。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（16）遇有4级以上大风或重污染天气预警时，采取扬尘防治应急措施，严禁土方开挖、土方回填、房屋拆除、材料切割、金属焊接、喷涂或其他有可能产生扬尘的作业。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（17）建设单位组织相关单位做好工程外管网及绿化施工阶段的扬尘防治工作。 </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（18）鼓励施工现场在道路、围墙、脚手架等部位安装</w:t>
            </w:r>
            <w:r>
              <w:rPr>
                <w:rFonts w:hint="default" w:ascii="Times New Roman" w:hAnsi="Times New Roman" w:eastAsia="宋体" w:cs="Times New Roman"/>
                <w:color w:val="auto"/>
                <w:sz w:val="21"/>
                <w:szCs w:val="21"/>
                <w:highlight w:val="none"/>
                <w:lang w:eastAsia="zh-CN"/>
              </w:rPr>
              <w:t>喷雾</w:t>
            </w:r>
            <w:r>
              <w:rPr>
                <w:rFonts w:hint="default" w:ascii="Times New Roman" w:hAnsi="Times New Roman" w:eastAsia="宋体" w:cs="Times New Roman"/>
                <w:color w:val="auto"/>
                <w:sz w:val="21"/>
                <w:szCs w:val="21"/>
                <w:highlight w:val="none"/>
              </w:rPr>
              <w:t>或喷雾等降尘装置；鼓励在施工现场安装空气质量检测仪等装置。</w:t>
            </w:r>
          </w:p>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19</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施工工地扬尘防治“六个百分之百”即施工工地100%围挡、物料堆放100%覆盖、出入车辆100%冲洗、施工现场地面100%硬化、拆迁工地100%湿法作业、渣土车辆100%密闭运输。</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在采取上述措施的前提下，施工扬尘对周围环境的影响可降至最低程度。建设单位在落实上述扬尘防治达标措施前，不得开工建设。</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采取上述措施后，颗粒物浓度能满足《大气污染物综合排放标准》(GB16297-1996)中的要求，不会对环境空气造成明显的影响。</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项目占地</w:t>
            </w:r>
            <w:r>
              <w:rPr>
                <w:rFonts w:hint="default" w:ascii="Times New Roman" w:hAnsi="Times New Roman" w:eastAsia="宋体" w:cs="Times New Roman"/>
                <w:color w:val="auto"/>
                <w:sz w:val="21"/>
                <w:szCs w:val="21"/>
                <w:highlight w:val="none"/>
                <w:lang w:val="en-US" w:eastAsia="zh-CN"/>
              </w:rPr>
              <w:t>73419.62</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，根据《</w:t>
            </w:r>
            <w:bookmarkStart w:id="19" w:name="OLE_LINK14"/>
            <w:r>
              <w:rPr>
                <w:rFonts w:hint="default" w:ascii="Times New Roman" w:hAnsi="Times New Roman" w:eastAsia="宋体" w:cs="Times New Roman"/>
                <w:color w:val="auto"/>
                <w:sz w:val="21"/>
                <w:szCs w:val="21"/>
                <w:highlight w:val="none"/>
              </w:rPr>
              <w:t>施工场地扬尘排放标准</w:t>
            </w:r>
            <w:bookmarkEnd w:id="19"/>
            <w:r>
              <w:rPr>
                <w:rFonts w:hint="default" w:ascii="Times New Roman" w:hAnsi="Times New Roman" w:eastAsia="宋体" w:cs="Times New Roman"/>
                <w:color w:val="auto"/>
                <w:sz w:val="21"/>
                <w:szCs w:val="21"/>
                <w:highlight w:val="none"/>
              </w:rPr>
              <w:t>》（DB13/2934-2019）在施工现场设置不少于</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个施工场地扬尘监测点</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监测点位优先设置于车辆进出口及工地下风向处，剩余监测点沿围挡内侧均匀设置。</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之，施工期间，通过对施工单位加强管理，清运多余土石方，对堆存土方采取表面夯实处理，对作业场地采取围挡，定期对施工场地洒水，运载建筑材料和建筑垃圾的车辆要加盖蓬布等措施，通过以上措施治理后，可有效控制施工扬尘对周围环境的影响，施工扬尘对环境的影响将会大大降低。经类比，预计厂界扬尘浓度0.5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，满足《施工场地扬尘排放标准》（DB13/2934-2019）排放限值要求，扬尘对环境的影响将随施工的结束而消失。</w:t>
            </w:r>
          </w:p>
          <w:p>
            <w:pPr>
              <w:pStyle w:val="2"/>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bookmarkStart w:id="20" w:name="_Toc7490"/>
            <w:bookmarkStart w:id="21" w:name="_Toc21236"/>
            <w:bookmarkStart w:id="22" w:name="_Toc10587"/>
            <w:bookmarkStart w:id="23" w:name="_Toc28751"/>
            <w:bookmarkStart w:id="24" w:name="_Toc2732"/>
            <w:bookmarkStart w:id="25" w:name="_Toc22348"/>
            <w:bookmarkStart w:id="26" w:name="_Toc15161"/>
            <w:r>
              <w:rPr>
                <w:rFonts w:hint="default" w:ascii="Times New Roman" w:hAnsi="Times New Roman" w:eastAsia="宋体" w:cs="Times New Roman"/>
                <w:b/>
                <w:bCs/>
                <w:color w:val="auto"/>
                <w:sz w:val="21"/>
                <w:szCs w:val="21"/>
                <w:highlight w:val="none"/>
                <w:lang w:val="en-US" w:eastAsia="zh-CN"/>
              </w:rPr>
              <w:t>2、施工噪声影响分析</w:t>
            </w:r>
            <w:bookmarkEnd w:id="13"/>
            <w:bookmarkEnd w:id="14"/>
            <w:bookmarkEnd w:id="15"/>
            <w:bookmarkEnd w:id="16"/>
            <w:bookmarkEnd w:id="17"/>
            <w:bookmarkEnd w:id="20"/>
            <w:bookmarkEnd w:id="21"/>
            <w:bookmarkEnd w:id="22"/>
            <w:bookmarkEnd w:id="23"/>
            <w:bookmarkEnd w:id="24"/>
            <w:bookmarkEnd w:id="25"/>
            <w:bookmarkEnd w:id="26"/>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bookmarkStart w:id="27" w:name="_Toc146506013"/>
            <w:bookmarkStart w:id="28" w:name="_Ref468431754"/>
            <w:r>
              <w:rPr>
                <w:rFonts w:hint="default" w:ascii="Times New Roman" w:hAnsi="Times New Roman" w:eastAsia="宋体" w:cs="Times New Roman"/>
                <w:color w:val="auto"/>
                <w:sz w:val="21"/>
                <w:szCs w:val="21"/>
                <w:highlight w:val="none"/>
              </w:rPr>
              <w:t>施工期机械噪声主要为装载机、挖掘机、运输车辆等机械噪声。施工机械选用低噪设备，其噪声源强见表</w:t>
            </w:r>
            <w:r>
              <w:rPr>
                <w:rFonts w:hint="default" w:ascii="Times New Roman" w:hAnsi="Times New Roman" w:eastAsia="宋体" w:cs="Times New Roman"/>
                <w:color w:val="auto"/>
                <w:sz w:val="21"/>
                <w:szCs w:val="21"/>
                <w:highlight w:val="none"/>
                <w:lang w:val="en-US" w:eastAsia="zh-CN"/>
              </w:rPr>
              <w:t>4-3</w:t>
            </w:r>
            <w:r>
              <w:rPr>
                <w:rFonts w:hint="default" w:ascii="Times New Roman" w:hAnsi="Times New Roman" w:eastAsia="宋体" w:cs="Times New Roman"/>
                <w:color w:val="auto"/>
                <w:sz w:val="21"/>
                <w:szCs w:val="21"/>
                <w:highlight w:val="none"/>
              </w:rPr>
              <w:t>。</w:t>
            </w:r>
          </w:p>
          <w:p>
            <w:pPr>
              <w:pStyle w:val="55"/>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4-3</w:t>
            </w:r>
            <w:r>
              <w:rPr>
                <w:rFonts w:hint="default" w:ascii="Times New Roman" w:hAnsi="Times New Roman" w:eastAsia="宋体" w:cs="Times New Roman"/>
                <w:color w:val="auto"/>
                <w:sz w:val="21"/>
                <w:szCs w:val="21"/>
                <w:highlight w:val="none"/>
              </w:rPr>
              <w:t xml:space="preserve">    施工期主要施工机械噪声表</w:t>
            </w:r>
          </w:p>
          <w:tbl>
            <w:tblPr>
              <w:tblStyle w:val="3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717"/>
              <w:gridCol w:w="1636"/>
              <w:gridCol w:w="163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95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施工机械名称</w:t>
                  </w:r>
                </w:p>
              </w:tc>
              <w:tc>
                <w:tcPr>
                  <w:tcW w:w="104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装载机</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挖掘机</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推土机</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运输车辆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5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噪声源强dB(A)</w:t>
                  </w:r>
                </w:p>
              </w:tc>
              <w:tc>
                <w:tcPr>
                  <w:tcW w:w="1049"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75</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9</w:t>
                  </w:r>
                  <w:r>
                    <w:rPr>
                      <w:rFonts w:hint="default" w:ascii="Times New Roman" w:hAnsi="Times New Roman" w:eastAsia="宋体" w:cs="Times New Roman"/>
                      <w:b w:val="0"/>
                      <w:bCs/>
                      <w:snapToGrid w:val="0"/>
                      <w:color w:val="auto"/>
                      <w:sz w:val="18"/>
                      <w:szCs w:val="18"/>
                      <w:highlight w:val="none"/>
                      <w:lang w:val="en-US" w:eastAsia="zh-CN"/>
                    </w:rPr>
                    <w:t>0</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80</w:t>
                  </w:r>
                </w:p>
              </w:tc>
              <w:tc>
                <w:tcPr>
                  <w:tcW w:w="1000" w:type="pc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70</w:t>
                  </w:r>
                </w:p>
              </w:tc>
            </w:tr>
          </w:tbl>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rPr>
            </w:pPr>
            <w:bookmarkStart w:id="29" w:name="_Toc343584556"/>
            <w:bookmarkStart w:id="30" w:name="_Toc2962"/>
            <w:bookmarkStart w:id="31" w:name="_Toc20535"/>
            <w:bookmarkStart w:id="32" w:name="_Toc380845011"/>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预测计算</w:t>
            </w:r>
            <w:bookmarkEnd w:id="27"/>
            <w:bookmarkEnd w:id="29"/>
            <w:bookmarkEnd w:id="30"/>
            <w:bookmarkEnd w:id="31"/>
            <w:bookmarkEnd w:id="32"/>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本次评价采用点源衰减模式，预测计算声源至受声点的几何发散衰减，计算中不考虑声屏障、空气吸收等衰减。预测公式如下：</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L</w:t>
            </w:r>
            <w:r>
              <w:rPr>
                <w:rFonts w:hint="default" w:ascii="Times New Roman" w:hAnsi="Times New Roman" w:eastAsia="宋体" w:cs="Times New Roman"/>
                <w:snapToGrid w:val="0"/>
                <w:color w:val="auto"/>
                <w:sz w:val="21"/>
                <w:szCs w:val="21"/>
                <w:highlight w:val="none"/>
                <w:vertAlign w:val="subscript"/>
              </w:rPr>
              <w:t>r</w:t>
            </w:r>
            <w:r>
              <w:rPr>
                <w:rFonts w:hint="default" w:ascii="Times New Roman" w:hAnsi="Times New Roman" w:eastAsia="宋体" w:cs="Times New Roman"/>
                <w:snapToGrid w:val="0"/>
                <w:color w:val="auto"/>
                <w:sz w:val="21"/>
                <w:szCs w:val="21"/>
                <w:highlight w:val="none"/>
              </w:rPr>
              <w:t>=L</w:t>
            </w:r>
            <w:r>
              <w:rPr>
                <w:rFonts w:hint="default" w:ascii="Times New Roman" w:hAnsi="Times New Roman" w:eastAsia="宋体" w:cs="Times New Roman"/>
                <w:snapToGrid w:val="0"/>
                <w:color w:val="auto"/>
                <w:sz w:val="21"/>
                <w:szCs w:val="21"/>
                <w:highlight w:val="none"/>
                <w:vertAlign w:val="subscript"/>
              </w:rPr>
              <w:t>ro</w:t>
            </w:r>
            <w:r>
              <w:rPr>
                <w:rFonts w:hint="default" w:ascii="Times New Roman" w:hAnsi="Times New Roman" w:eastAsia="宋体" w:cs="Times New Roman"/>
                <w:snapToGrid w:val="0"/>
                <w:color w:val="auto"/>
                <w:sz w:val="21"/>
                <w:szCs w:val="21"/>
                <w:highlight w:val="none"/>
              </w:rPr>
              <w:t>-20lg(r/r</w:t>
            </w:r>
            <w:r>
              <w:rPr>
                <w:rFonts w:hint="default" w:ascii="Times New Roman" w:hAnsi="Times New Roman" w:eastAsia="宋体" w:cs="Times New Roman"/>
                <w:snapToGrid w:val="0"/>
                <w:color w:val="auto"/>
                <w:sz w:val="21"/>
                <w:szCs w:val="21"/>
                <w:highlight w:val="none"/>
                <w:vertAlign w:val="subscript"/>
              </w:rPr>
              <w:t>o</w:t>
            </w:r>
            <w:r>
              <w:rPr>
                <w:rFonts w:hint="default" w:ascii="Times New Roman" w:hAnsi="Times New Roman" w:eastAsia="宋体" w:cs="Times New Roman"/>
                <w:snapToGrid w:val="0"/>
                <w:color w:val="auto"/>
                <w:sz w:val="21"/>
                <w:szCs w:val="21"/>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式中：L</w:t>
            </w:r>
            <w:r>
              <w:rPr>
                <w:rFonts w:hint="default" w:ascii="Times New Roman" w:hAnsi="Times New Roman" w:eastAsia="宋体" w:cs="Times New Roman"/>
                <w:snapToGrid w:val="0"/>
                <w:color w:val="auto"/>
                <w:sz w:val="21"/>
                <w:szCs w:val="21"/>
                <w:highlight w:val="none"/>
                <w:vertAlign w:val="subscript"/>
              </w:rPr>
              <w:t>r</w:t>
            </w:r>
            <w:r>
              <w:rPr>
                <w:rFonts w:hint="default" w:ascii="Times New Roman" w:hAnsi="Times New Roman" w:eastAsia="宋体" w:cs="Times New Roman"/>
                <w:snapToGrid w:val="0"/>
                <w:color w:val="auto"/>
                <w:sz w:val="21"/>
                <w:szCs w:val="21"/>
                <w:highlight w:val="none"/>
              </w:rPr>
              <w:t>——距声源r处的A声压级，dB(A)；</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 xml:space="preserve">      L</w:t>
            </w:r>
            <w:r>
              <w:rPr>
                <w:rFonts w:hint="default" w:ascii="Times New Roman" w:hAnsi="Times New Roman" w:eastAsia="宋体" w:cs="Times New Roman"/>
                <w:snapToGrid w:val="0"/>
                <w:color w:val="auto"/>
                <w:sz w:val="21"/>
                <w:szCs w:val="21"/>
                <w:highlight w:val="none"/>
                <w:vertAlign w:val="subscript"/>
              </w:rPr>
              <w:t>ro</w:t>
            </w:r>
            <w:r>
              <w:rPr>
                <w:rFonts w:hint="default" w:ascii="Times New Roman" w:hAnsi="Times New Roman" w:eastAsia="宋体" w:cs="Times New Roman"/>
                <w:snapToGrid w:val="0"/>
                <w:color w:val="auto"/>
                <w:sz w:val="21"/>
                <w:szCs w:val="21"/>
                <w:highlight w:val="none"/>
              </w:rPr>
              <w:t>——距声源r</w:t>
            </w:r>
            <w:r>
              <w:rPr>
                <w:rFonts w:hint="default" w:ascii="Times New Roman" w:hAnsi="Times New Roman" w:eastAsia="宋体" w:cs="Times New Roman"/>
                <w:snapToGrid w:val="0"/>
                <w:color w:val="auto"/>
                <w:sz w:val="21"/>
                <w:szCs w:val="21"/>
                <w:highlight w:val="none"/>
                <w:vertAlign w:val="subscript"/>
              </w:rPr>
              <w:t>o</w:t>
            </w:r>
            <w:r>
              <w:rPr>
                <w:rFonts w:hint="default" w:ascii="Times New Roman" w:hAnsi="Times New Roman" w:eastAsia="宋体" w:cs="Times New Roman"/>
                <w:snapToGrid w:val="0"/>
                <w:color w:val="auto"/>
                <w:sz w:val="21"/>
                <w:szCs w:val="21"/>
                <w:highlight w:val="none"/>
              </w:rPr>
              <w:t>处的A声压级，dB(A)；</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 xml:space="preserve">      r ——预测点与声源的距离，m；</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 xml:space="preserve">      r</w:t>
            </w:r>
            <w:r>
              <w:rPr>
                <w:rFonts w:hint="default" w:ascii="Times New Roman" w:hAnsi="Times New Roman" w:eastAsia="宋体" w:cs="Times New Roman"/>
                <w:snapToGrid w:val="0"/>
                <w:color w:val="auto"/>
                <w:sz w:val="21"/>
                <w:szCs w:val="21"/>
                <w:highlight w:val="none"/>
                <w:vertAlign w:val="subscript"/>
              </w:rPr>
              <w:t>o</w:t>
            </w:r>
            <w:r>
              <w:rPr>
                <w:rFonts w:hint="default" w:ascii="Times New Roman" w:hAnsi="Times New Roman" w:eastAsia="宋体" w:cs="Times New Roman"/>
                <w:snapToGrid w:val="0"/>
                <w:color w:val="auto"/>
                <w:sz w:val="21"/>
                <w:szCs w:val="21"/>
                <w:highlight w:val="none"/>
              </w:rPr>
              <w:t>——监测设备噪声时的距离，m。</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利用上述公式，预测计算主要施工机械在不同距离处的衰减值，预测计算结果见表</w:t>
            </w:r>
            <w:r>
              <w:rPr>
                <w:rFonts w:hint="default" w:ascii="Times New Roman" w:hAnsi="Times New Roman" w:eastAsia="宋体" w:cs="Times New Roman"/>
                <w:snapToGrid w:val="0"/>
                <w:color w:val="auto"/>
                <w:sz w:val="21"/>
                <w:szCs w:val="21"/>
                <w:highlight w:val="none"/>
                <w:lang w:val="en-US" w:eastAsia="zh-CN"/>
              </w:rPr>
              <w:t>4-4</w:t>
            </w:r>
            <w:r>
              <w:rPr>
                <w:rFonts w:hint="default" w:ascii="Times New Roman" w:hAnsi="Times New Roman" w:eastAsia="宋体" w:cs="Times New Roman"/>
                <w:snapToGrid w:val="0"/>
                <w:color w:val="auto"/>
                <w:sz w:val="21"/>
                <w:szCs w:val="21"/>
                <w:highlight w:val="none"/>
              </w:rPr>
              <w:t>。</w:t>
            </w:r>
          </w:p>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color w:val="auto"/>
                <w:sz w:val="21"/>
                <w:szCs w:val="21"/>
                <w:highlight w:val="none"/>
              </w:rPr>
            </w:pPr>
          </w:p>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color w:val="auto"/>
                <w:sz w:val="21"/>
                <w:szCs w:val="21"/>
                <w:highlight w:val="none"/>
              </w:rPr>
            </w:pPr>
          </w:p>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4-4</w:t>
            </w:r>
            <w:r>
              <w:rPr>
                <w:rFonts w:hint="default" w:ascii="Times New Roman" w:hAnsi="Times New Roman" w:eastAsia="宋体" w:cs="Times New Roman"/>
                <w:color w:val="auto"/>
                <w:sz w:val="21"/>
                <w:szCs w:val="21"/>
                <w:highlight w:val="none"/>
              </w:rPr>
              <w:t xml:space="preserve">    主要施工机械在不同距离处的噪声贡献值</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219"/>
              <w:gridCol w:w="993"/>
              <w:gridCol w:w="939"/>
              <w:gridCol w:w="871"/>
              <w:gridCol w:w="872"/>
              <w:gridCol w:w="1042"/>
              <w:gridCol w:w="860"/>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47" w:type="dxa"/>
                  <w:vMerge w:val="restart"/>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序号</w:t>
                  </w:r>
                </w:p>
              </w:tc>
              <w:tc>
                <w:tcPr>
                  <w:tcW w:w="1313" w:type="dxa"/>
                  <w:vMerge w:val="restart"/>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机械</w:t>
                  </w:r>
                </w:p>
              </w:tc>
              <w:tc>
                <w:tcPr>
                  <w:tcW w:w="6669" w:type="dxa"/>
                  <w:gridSpan w:val="7"/>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snapToGrid w:val="0"/>
                      <w:color w:val="auto"/>
                      <w:sz w:val="18"/>
                      <w:szCs w:val="18"/>
                      <w:highlight w:val="none"/>
                    </w:rPr>
                  </w:pPr>
                  <w:r>
                    <w:rPr>
                      <w:rFonts w:hint="default" w:ascii="Times New Roman" w:hAnsi="Times New Roman" w:eastAsia="宋体" w:cs="Times New Roman"/>
                      <w:b w:val="0"/>
                      <w:bCs/>
                      <w:snapToGrid w:val="0"/>
                      <w:color w:val="auto"/>
                      <w:sz w:val="18"/>
                      <w:szCs w:val="18"/>
                      <w:highlight w:val="none"/>
                    </w:rPr>
                    <w:t>不同距离处的噪声贡献值[dB(A)]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7" w:type="dxa"/>
                  <w:vMerge w:val="continue"/>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p>
              </w:tc>
              <w:tc>
                <w:tcPr>
                  <w:tcW w:w="1313" w:type="dxa"/>
                  <w:vMerge w:val="continue"/>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p>
              </w:tc>
              <w:tc>
                <w:tcPr>
                  <w:tcW w:w="103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40m</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50m</w:t>
                  </w:r>
                </w:p>
              </w:tc>
              <w:tc>
                <w:tcPr>
                  <w:tcW w:w="900"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60m</w:t>
                  </w:r>
                </w:p>
              </w:tc>
              <w:tc>
                <w:tcPr>
                  <w:tcW w:w="900"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100m</w:t>
                  </w:r>
                </w:p>
              </w:tc>
              <w:tc>
                <w:tcPr>
                  <w:tcW w:w="1089"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200m</w:t>
                  </w:r>
                </w:p>
              </w:tc>
              <w:tc>
                <w:tcPr>
                  <w:tcW w:w="88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300m</w:t>
                  </w:r>
                </w:p>
              </w:tc>
              <w:tc>
                <w:tcPr>
                  <w:tcW w:w="883"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131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snapToGrid w:val="0"/>
                      <w:color w:val="auto"/>
                      <w:sz w:val="18"/>
                      <w:szCs w:val="18"/>
                      <w:highlight w:val="none"/>
                    </w:rPr>
                    <w:t>装载机</w:t>
                  </w:r>
                </w:p>
              </w:tc>
              <w:tc>
                <w:tcPr>
                  <w:tcW w:w="1035"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42.9</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41.02</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39.4</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35.5</w:t>
                  </w:r>
                </w:p>
              </w:tc>
              <w:tc>
                <w:tcPr>
                  <w:tcW w:w="1089"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color w:val="auto"/>
                      <w:sz w:val="18"/>
                      <w:szCs w:val="18"/>
                      <w:highlight w:val="none"/>
                      <w:lang w:val="en-US" w:eastAsia="zh-CN"/>
                    </w:rPr>
                    <w:t>29.42</w:t>
                  </w:r>
                </w:p>
              </w:tc>
              <w:tc>
                <w:tcPr>
                  <w:tcW w:w="887"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25.5</w:t>
                  </w:r>
                </w:p>
              </w:tc>
              <w:tc>
                <w:tcPr>
                  <w:tcW w:w="88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31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snapToGrid w:val="0"/>
                      <w:color w:val="auto"/>
                      <w:sz w:val="18"/>
                      <w:szCs w:val="18"/>
                      <w:highlight w:val="none"/>
                    </w:rPr>
                    <w:t>挖掘机</w:t>
                  </w:r>
                </w:p>
              </w:tc>
              <w:tc>
                <w:tcPr>
                  <w:tcW w:w="1035"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lang w:val="en-US" w:eastAsia="zh-CN"/>
                    </w:rPr>
                    <w:t>57.9</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56.02</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lang w:val="en-US" w:eastAsia="zh-CN"/>
                    </w:rPr>
                    <w:t>54.4</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lang w:val="en-US" w:eastAsia="zh-CN"/>
                    </w:rPr>
                    <w:t>50.5</w:t>
                  </w:r>
                </w:p>
              </w:tc>
              <w:tc>
                <w:tcPr>
                  <w:tcW w:w="1089"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44.42</w:t>
                  </w:r>
                </w:p>
              </w:tc>
              <w:tc>
                <w:tcPr>
                  <w:tcW w:w="887"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lang w:val="en-US" w:eastAsia="zh-CN"/>
                    </w:rPr>
                    <w:t>40.5</w:t>
                  </w:r>
                </w:p>
              </w:tc>
              <w:tc>
                <w:tcPr>
                  <w:tcW w:w="88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lang w:val="en-US" w:eastAsia="zh-CN"/>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3</w:t>
                  </w:r>
                </w:p>
              </w:tc>
              <w:tc>
                <w:tcPr>
                  <w:tcW w:w="131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snapToGrid w:val="0"/>
                      <w:color w:val="auto"/>
                      <w:sz w:val="18"/>
                      <w:szCs w:val="18"/>
                      <w:highlight w:val="none"/>
                    </w:rPr>
                    <w:t>推土机</w:t>
                  </w:r>
                </w:p>
              </w:tc>
              <w:tc>
                <w:tcPr>
                  <w:tcW w:w="1035"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47.9</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46.02</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44.4</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40.5</w:t>
                  </w:r>
                </w:p>
              </w:tc>
              <w:tc>
                <w:tcPr>
                  <w:tcW w:w="1089"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34.</w:t>
                  </w:r>
                  <w:r>
                    <w:rPr>
                      <w:rFonts w:hint="default" w:ascii="Times New Roman" w:hAnsi="Times New Roman" w:eastAsia="宋体" w:cs="Times New Roman"/>
                      <w:color w:val="auto"/>
                      <w:sz w:val="18"/>
                      <w:szCs w:val="18"/>
                      <w:highlight w:val="none"/>
                      <w:lang w:val="en-US" w:eastAsia="zh-CN"/>
                    </w:rPr>
                    <w:t>42</w:t>
                  </w:r>
                </w:p>
              </w:tc>
              <w:tc>
                <w:tcPr>
                  <w:tcW w:w="887"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30.5</w:t>
                  </w:r>
                </w:p>
              </w:tc>
              <w:tc>
                <w:tcPr>
                  <w:tcW w:w="88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4</w:t>
                  </w:r>
                </w:p>
              </w:tc>
              <w:tc>
                <w:tcPr>
                  <w:tcW w:w="131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snapToGrid w:val="0"/>
                      <w:color w:val="auto"/>
                      <w:sz w:val="18"/>
                      <w:szCs w:val="18"/>
                      <w:highlight w:val="none"/>
                    </w:rPr>
                    <w:t>运输车辆</w:t>
                  </w:r>
                </w:p>
              </w:tc>
              <w:tc>
                <w:tcPr>
                  <w:tcW w:w="1035"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37.9</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b w:val="0"/>
                      <w:bCs/>
                      <w:color w:val="auto"/>
                      <w:sz w:val="18"/>
                      <w:szCs w:val="18"/>
                      <w:highlight w:val="none"/>
                      <w:vertAlign w:val="baseline"/>
                      <w:lang w:val="en-US" w:eastAsia="zh-CN"/>
                    </w:rPr>
                    <w:t>36.02</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34.4</w:t>
                  </w:r>
                </w:p>
              </w:tc>
              <w:tc>
                <w:tcPr>
                  <w:tcW w:w="90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30.5</w:t>
                  </w:r>
                </w:p>
              </w:tc>
              <w:tc>
                <w:tcPr>
                  <w:tcW w:w="1089"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24.</w:t>
                  </w:r>
                  <w:r>
                    <w:rPr>
                      <w:rFonts w:hint="default" w:ascii="Times New Roman" w:hAnsi="Times New Roman" w:eastAsia="宋体" w:cs="Times New Roman"/>
                      <w:color w:val="auto"/>
                      <w:sz w:val="18"/>
                      <w:szCs w:val="18"/>
                      <w:highlight w:val="none"/>
                      <w:lang w:val="en-US" w:eastAsia="zh-CN"/>
                    </w:rPr>
                    <w:t>42</w:t>
                  </w:r>
                </w:p>
              </w:tc>
              <w:tc>
                <w:tcPr>
                  <w:tcW w:w="887"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15.5</w:t>
                  </w:r>
                </w:p>
              </w:tc>
              <w:tc>
                <w:tcPr>
                  <w:tcW w:w="883"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jc w:val="center"/>
                    <w:outlineLvl w:val="9"/>
                    <w:rPr>
                      <w:rFonts w:hint="default" w:ascii="Times New Roman" w:hAnsi="Times New Roman" w:eastAsia="宋体" w:cs="Times New Roman"/>
                      <w:b w:val="0"/>
                      <w:bCs/>
                      <w:color w:val="auto"/>
                      <w:sz w:val="18"/>
                      <w:szCs w:val="18"/>
                      <w:highlight w:val="none"/>
                      <w:vertAlign w:val="baseline"/>
                    </w:rPr>
                  </w:pPr>
                  <w:r>
                    <w:rPr>
                      <w:rFonts w:hint="default" w:ascii="Times New Roman" w:hAnsi="Times New Roman" w:eastAsia="宋体" w:cs="Times New Roman"/>
                      <w:color w:val="auto"/>
                      <w:sz w:val="18"/>
                      <w:szCs w:val="18"/>
                      <w:highlight w:val="none"/>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60" w:type="dxa"/>
                  <w:gridSpan w:val="2"/>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eastAsia="zh-CN"/>
                    </w:rPr>
                  </w:pPr>
                  <w:r>
                    <w:rPr>
                      <w:rFonts w:hint="default" w:ascii="Times New Roman" w:hAnsi="Times New Roman" w:eastAsia="宋体" w:cs="Times New Roman"/>
                      <w:b w:val="0"/>
                      <w:bCs/>
                      <w:color w:val="auto"/>
                      <w:sz w:val="18"/>
                      <w:szCs w:val="18"/>
                      <w:highlight w:val="none"/>
                      <w:vertAlign w:val="baseline"/>
                      <w:lang w:eastAsia="zh-CN"/>
                    </w:rPr>
                    <w:t>叠加值</w:t>
                  </w:r>
                </w:p>
              </w:tc>
              <w:tc>
                <w:tcPr>
                  <w:tcW w:w="103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58.48</w:t>
                  </w:r>
                </w:p>
              </w:tc>
              <w:tc>
                <w:tcPr>
                  <w:tcW w:w="975"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56.6</w:t>
                  </w:r>
                </w:p>
              </w:tc>
              <w:tc>
                <w:tcPr>
                  <w:tcW w:w="900"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54.98</w:t>
                  </w:r>
                </w:p>
              </w:tc>
              <w:tc>
                <w:tcPr>
                  <w:tcW w:w="900"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51.08</w:t>
                  </w:r>
                </w:p>
              </w:tc>
              <w:tc>
                <w:tcPr>
                  <w:tcW w:w="1089"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45</w:t>
                  </w:r>
                </w:p>
              </w:tc>
              <w:tc>
                <w:tcPr>
                  <w:tcW w:w="887"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41.05</w:t>
                  </w:r>
                </w:p>
              </w:tc>
              <w:tc>
                <w:tcPr>
                  <w:tcW w:w="883" w:type="dxa"/>
                  <w:noWrap w:val="0"/>
                  <w:vAlign w:val="center"/>
                </w:tcPr>
                <w:p>
                  <w:pPr>
                    <w:pStyle w:val="55"/>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38.58</w:t>
                  </w:r>
                </w:p>
              </w:tc>
            </w:tr>
          </w:tbl>
          <w:p>
            <w:pPr>
              <w:pStyle w:val="4"/>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rPr>
            </w:pPr>
            <w:bookmarkStart w:id="33" w:name="_Toc343584557"/>
            <w:bookmarkStart w:id="34" w:name="_Toc13252"/>
            <w:bookmarkStart w:id="35" w:name="_Toc380845012"/>
            <w:bookmarkStart w:id="36" w:name="_Toc14175"/>
            <w:r>
              <w:rPr>
                <w:rFonts w:hint="default" w:ascii="Times New Roman" w:hAnsi="Times New Roman" w:eastAsia="宋体" w:cs="Times New Roman"/>
                <w:b/>
                <w:bCs/>
                <w:color w:val="auto"/>
                <w:sz w:val="21"/>
                <w:szCs w:val="21"/>
                <w:highlight w:val="none"/>
                <w:lang w:val="en-US" w:eastAsia="zh-CN"/>
              </w:rPr>
              <w:t>2、影响分析</w:t>
            </w:r>
            <w:bookmarkEnd w:id="33"/>
            <w:bookmarkEnd w:id="34"/>
            <w:bookmarkEnd w:id="35"/>
            <w:bookmarkEnd w:id="36"/>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sz w:val="21"/>
                <w:szCs w:val="21"/>
                <w:highlight w:val="none"/>
                <w:lang w:val="en-US" w:eastAsia="zh-CN"/>
              </w:rPr>
              <w:t>预测可知</w:t>
            </w:r>
            <w:r>
              <w:rPr>
                <w:rFonts w:hint="default" w:ascii="Times New Roman" w:hAnsi="Times New Roman" w:eastAsia="宋体" w:cs="Times New Roman"/>
                <w:color w:val="auto"/>
                <w:sz w:val="21"/>
                <w:szCs w:val="21"/>
                <w:highlight w:val="none"/>
              </w:rPr>
              <w:t>，昼间距工地40m，夜间距工地</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0m可满足《建筑施工场界环境噪声排放标准》(GB12523-2011)的要求。</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根据项目平面布置及周边关系，距</w:t>
            </w:r>
            <w:r>
              <w:rPr>
                <w:rFonts w:hint="default" w:ascii="Times New Roman" w:hAnsi="Times New Roman" w:eastAsia="宋体" w:cs="Times New Roman"/>
                <w:color w:val="auto"/>
                <w:sz w:val="21"/>
                <w:szCs w:val="21"/>
                <w:highlight w:val="none"/>
                <w:lang w:val="en-US" w:eastAsia="zh-CN"/>
              </w:rPr>
              <w:t>项目最近的环境敏感点为</w:t>
            </w:r>
            <w:r>
              <w:rPr>
                <w:rFonts w:hint="default" w:ascii="Times New Roman" w:hAnsi="Times New Roman" w:cs="Times New Roman"/>
                <w:color w:val="auto"/>
                <w:sz w:val="21"/>
                <w:szCs w:val="21"/>
                <w:highlight w:val="none"/>
                <w:lang w:val="en-US" w:eastAsia="zh-CN"/>
              </w:rPr>
              <w:t>西北</w:t>
            </w:r>
            <w:r>
              <w:rPr>
                <w:rFonts w:hint="default" w:ascii="Times New Roman" w:hAnsi="Times New Roman" w:eastAsia="宋体" w:cs="Times New Roman"/>
                <w:color w:val="auto"/>
                <w:sz w:val="21"/>
                <w:szCs w:val="21"/>
                <w:highlight w:val="none"/>
                <w:lang w:val="en-US" w:eastAsia="zh-CN"/>
              </w:rPr>
              <w:t>侧</w:t>
            </w:r>
            <w:r>
              <w:rPr>
                <w:rFonts w:hint="default" w:ascii="Times New Roman" w:hAnsi="Times New Roman" w:cs="Times New Roman"/>
                <w:color w:val="auto"/>
                <w:sz w:val="21"/>
                <w:szCs w:val="21"/>
                <w:highlight w:val="none"/>
                <w:lang w:val="en-US" w:eastAsia="zh-CN"/>
              </w:rPr>
              <w:t>550</w:t>
            </w:r>
            <w:r>
              <w:rPr>
                <w:rFonts w:hint="default" w:ascii="Times New Roman" w:hAnsi="Times New Roman" w:eastAsia="宋体" w:cs="Times New Roman"/>
                <w:color w:val="auto"/>
                <w:sz w:val="21"/>
                <w:szCs w:val="21"/>
                <w:highlight w:val="none"/>
              </w:rPr>
              <w:t>m</w:t>
            </w:r>
            <w:r>
              <w:rPr>
                <w:rFonts w:hint="default" w:ascii="Times New Roman" w:hAnsi="Times New Roman" w:cs="Times New Roman"/>
                <w:color w:val="auto"/>
                <w:sz w:val="21"/>
                <w:szCs w:val="21"/>
                <w:highlight w:val="none"/>
                <w:lang w:val="en-US" w:eastAsia="zh-CN"/>
              </w:rPr>
              <w:t>黄花港</w:t>
            </w:r>
            <w:r>
              <w:rPr>
                <w:rFonts w:hint="default" w:ascii="Times New Roman" w:hAnsi="Times New Roman" w:eastAsia="宋体" w:cs="Times New Roman"/>
                <w:color w:val="auto"/>
                <w:sz w:val="21"/>
                <w:szCs w:val="21"/>
                <w:highlight w:val="none"/>
              </w:rPr>
              <w:t>村。为最大限度避免和减轻施工及运输噪声对周围声环境的不利影响，本评价要求建设单位施工期采取以下噪声控制对策和措施：</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建设单位应要求施工单位选用低噪声机械设备，在施工中有专人对其进行维护保养，并对设备使用人员进行培训，严格按操作规范使用各类机械。</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尽可能利用距离衰减措施，在不影响施工情况下将强噪声设备移至距敏感点相对较远的位置。</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严禁在施工现场设置拌合站和混凝土搅拌站。</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在施工的结构阶段和装修阶段，对建筑物的外部采用围挡，减轻施工噪声对外环境的影响。</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(5)运输车辆按照指定路线行驶，避开敏感点，减少对敏感点的交通噪声影响。</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bidi="ar"/>
              </w:rPr>
              <w:t>在22:00-6:00和12:00-14:00禁止施工</w:t>
            </w:r>
            <w:r>
              <w:rPr>
                <w:rFonts w:hint="default" w:ascii="Times New Roman" w:hAnsi="Times New Roman" w:eastAsia="宋体" w:cs="Times New Roman"/>
                <w:color w:val="auto"/>
                <w:sz w:val="21"/>
                <w:szCs w:val="21"/>
                <w:highlight w:val="none"/>
                <w:lang w:val="en-US" w:eastAsia="zh-CN"/>
              </w:rPr>
              <w:t>。</w:t>
            </w:r>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采取以上措施后可有效控制噪声对周围环境的影响，不会对周围声环境质量产生影响。</w:t>
            </w:r>
          </w:p>
          <w:bookmarkEnd w:id="28"/>
          <w:p>
            <w:pPr>
              <w:pStyle w:val="2"/>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bookmarkStart w:id="37" w:name="_Toc7227"/>
            <w:bookmarkStart w:id="38" w:name="_Toc4965"/>
            <w:bookmarkStart w:id="39" w:name="_Toc8155"/>
            <w:bookmarkStart w:id="40" w:name="_Toc480470968"/>
            <w:bookmarkStart w:id="41" w:name="_Toc18256"/>
            <w:bookmarkStart w:id="42" w:name="_Toc6871"/>
            <w:bookmarkStart w:id="43" w:name="_Toc18807"/>
            <w:bookmarkStart w:id="44" w:name="_Toc692"/>
            <w:bookmarkStart w:id="45" w:name="_Toc25817"/>
            <w:bookmarkStart w:id="46" w:name="_Toc16649"/>
            <w:bookmarkStart w:id="47" w:name="_Toc28451"/>
            <w:bookmarkStart w:id="48" w:name="_Toc32369"/>
            <w:bookmarkStart w:id="49" w:name="_Toc26726"/>
            <w:bookmarkStart w:id="50" w:name="_Toc1032"/>
            <w:r>
              <w:rPr>
                <w:rFonts w:hint="default" w:ascii="Times New Roman" w:hAnsi="Times New Roman" w:eastAsia="宋体" w:cs="Times New Roman"/>
                <w:b/>
                <w:bCs/>
                <w:color w:val="auto"/>
                <w:sz w:val="21"/>
                <w:szCs w:val="21"/>
                <w:highlight w:val="none"/>
                <w:lang w:val="en-US" w:eastAsia="zh-CN"/>
              </w:rPr>
              <w:t>3、施工期废水影响分析</w:t>
            </w:r>
            <w:bookmarkEnd w:id="37"/>
            <w:bookmarkEnd w:id="38"/>
            <w:bookmarkEnd w:id="39"/>
            <w:bookmarkEnd w:id="40"/>
            <w:bookmarkEnd w:id="41"/>
            <w:bookmarkEnd w:id="42"/>
            <w:bookmarkEnd w:id="43"/>
            <w:bookmarkEnd w:id="44"/>
            <w:bookmarkEnd w:id="45"/>
            <w:bookmarkEnd w:id="46"/>
            <w:bookmarkEnd w:id="47"/>
            <w:bookmarkEnd w:id="48"/>
          </w:p>
          <w:p>
            <w:pPr>
              <w:pStyle w:val="66"/>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both"/>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施工期废水主要为施工人员</w:t>
            </w:r>
            <w:r>
              <w:rPr>
                <w:rFonts w:hint="default" w:ascii="Times New Roman" w:hAnsi="Times New Roman" w:eastAsia="宋体" w:cs="Times New Roman"/>
                <w:color w:val="auto"/>
                <w:sz w:val="21"/>
                <w:szCs w:val="21"/>
                <w:highlight w:val="none"/>
                <w:lang w:eastAsia="zh-CN"/>
              </w:rPr>
              <w:t>盥洗废水</w:t>
            </w:r>
            <w:r>
              <w:rPr>
                <w:rFonts w:hint="default" w:ascii="Times New Roman" w:hAnsi="Times New Roman" w:eastAsia="宋体" w:cs="Times New Roman"/>
                <w:color w:val="auto"/>
                <w:sz w:val="21"/>
                <w:szCs w:val="21"/>
                <w:highlight w:val="none"/>
              </w:rPr>
              <w:t>。施工期高峰时施工人员20人，每人每天产生的</w:t>
            </w:r>
            <w:r>
              <w:rPr>
                <w:rFonts w:hint="default" w:ascii="Times New Roman" w:hAnsi="Times New Roman" w:eastAsia="宋体" w:cs="Times New Roman"/>
                <w:color w:val="auto"/>
                <w:sz w:val="21"/>
                <w:szCs w:val="21"/>
                <w:highlight w:val="none"/>
                <w:lang w:eastAsia="zh-CN"/>
              </w:rPr>
              <w:t>盥洗废水</w:t>
            </w:r>
            <w:r>
              <w:rPr>
                <w:rFonts w:hint="default" w:ascii="Times New Roman" w:hAnsi="Times New Roman" w:eastAsia="宋体" w:cs="Times New Roman"/>
                <w:color w:val="auto"/>
                <w:sz w:val="21"/>
                <w:szCs w:val="21"/>
                <w:highlight w:val="none"/>
              </w:rPr>
              <w:t>量按20L计算，则</w:t>
            </w:r>
            <w:r>
              <w:rPr>
                <w:rFonts w:hint="default" w:ascii="Times New Roman" w:hAnsi="Times New Roman" w:eastAsia="宋体" w:cs="Times New Roman"/>
                <w:color w:val="auto"/>
                <w:sz w:val="21"/>
                <w:szCs w:val="21"/>
                <w:highlight w:val="none"/>
                <w:lang w:eastAsia="zh-CN"/>
              </w:rPr>
              <w:t>盥洗废水</w:t>
            </w:r>
            <w:r>
              <w:rPr>
                <w:rFonts w:hint="default" w:ascii="Times New Roman" w:hAnsi="Times New Roman" w:eastAsia="宋体" w:cs="Times New Roman"/>
                <w:color w:val="auto"/>
                <w:sz w:val="21"/>
                <w:szCs w:val="21"/>
                <w:highlight w:val="none"/>
              </w:rPr>
              <w:t>产生量0.4m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/d，排水水质COD、BOD、SS、氨氮浓度低、水质简单，且水量较小，泼洒场地抑尘，对水环境影响较小。</w:t>
            </w:r>
          </w:p>
          <w:p>
            <w:pPr>
              <w:pStyle w:val="2"/>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bookmarkStart w:id="51" w:name="_Toc22067"/>
            <w:bookmarkStart w:id="52" w:name="_Toc3095"/>
            <w:bookmarkStart w:id="53" w:name="_Toc10855"/>
            <w:bookmarkStart w:id="54" w:name="_Toc22449"/>
            <w:bookmarkStart w:id="55" w:name="_Toc31267"/>
            <w:bookmarkStart w:id="56" w:name="_Toc23140"/>
            <w:bookmarkStart w:id="57" w:name="_Toc22749"/>
            <w:bookmarkStart w:id="58" w:name="_Toc14609"/>
            <w:bookmarkStart w:id="59" w:name="_Toc24193"/>
            <w:bookmarkStart w:id="60" w:name="_Toc10020"/>
            <w:bookmarkStart w:id="61" w:name="_Toc866"/>
            <w:bookmarkStart w:id="62" w:name="_Toc480470969"/>
            <w:r>
              <w:rPr>
                <w:rFonts w:hint="default" w:ascii="Times New Roman" w:hAnsi="Times New Roman" w:eastAsia="宋体" w:cs="Times New Roman"/>
                <w:b/>
                <w:bCs/>
                <w:color w:val="auto"/>
                <w:sz w:val="21"/>
                <w:szCs w:val="21"/>
                <w:highlight w:val="none"/>
                <w:lang w:val="en-US" w:eastAsia="zh-CN"/>
              </w:rPr>
              <w:t>4、施工期固体废物影响分析</w:t>
            </w:r>
            <w:bookmarkEnd w:id="51"/>
            <w:bookmarkEnd w:id="52"/>
            <w:bookmarkEnd w:id="53"/>
            <w:bookmarkEnd w:id="54"/>
            <w:bookmarkEnd w:id="55"/>
            <w:bookmarkEnd w:id="56"/>
            <w:bookmarkEnd w:id="57"/>
            <w:bookmarkEnd w:id="58"/>
            <w:bookmarkEnd w:id="59"/>
            <w:bookmarkEnd w:id="60"/>
            <w:bookmarkEnd w:id="61"/>
            <w:bookmarkEnd w:id="62"/>
          </w:p>
          <w:p>
            <w:pPr>
              <w:pStyle w:val="66"/>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施工过程中产生的固体废物主要为场地平整及地基挖掘产生的弃土，施工过程中产生的固体废物属第Ⅰ类一般工业固体废物，除用于地基回填，其余全部用于厂区内平整，不外运，不会对周围环境产生不良影响。</w:t>
            </w:r>
          </w:p>
          <w:p>
            <w:pPr>
              <w:pStyle w:val="2"/>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bookmarkStart w:id="63" w:name="_Toc11899"/>
            <w:bookmarkStart w:id="64" w:name="_Toc5168"/>
            <w:bookmarkStart w:id="65" w:name="_Toc6186"/>
            <w:bookmarkStart w:id="66" w:name="_Toc9094"/>
            <w:bookmarkStart w:id="67" w:name="_Toc18965"/>
            <w:bookmarkStart w:id="68" w:name="_Toc11061"/>
            <w:bookmarkStart w:id="69" w:name="_Toc9646"/>
            <w:bookmarkStart w:id="70" w:name="_Toc18430"/>
            <w:r>
              <w:rPr>
                <w:rFonts w:hint="default" w:ascii="Times New Roman" w:hAnsi="Times New Roman" w:eastAsia="宋体" w:cs="Times New Roman"/>
                <w:b/>
                <w:bCs/>
                <w:color w:val="auto"/>
                <w:sz w:val="21"/>
                <w:szCs w:val="21"/>
                <w:highlight w:val="none"/>
                <w:lang w:val="en-US" w:eastAsia="zh-CN"/>
              </w:rPr>
              <w:t>5、施工期生态影响分析</w:t>
            </w:r>
            <w:bookmarkEnd w:id="49"/>
            <w:bookmarkEnd w:id="50"/>
            <w:bookmarkEnd w:id="63"/>
            <w:bookmarkEnd w:id="64"/>
            <w:bookmarkEnd w:id="65"/>
            <w:bookmarkEnd w:id="66"/>
            <w:bookmarkEnd w:id="67"/>
            <w:bookmarkEnd w:id="68"/>
            <w:bookmarkEnd w:id="69"/>
            <w:bookmarkEnd w:id="70"/>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bidi="ar"/>
              </w:rPr>
              <w:t xml:space="preserve">(1)影响分析 </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施工期主要生态影响途径包括：</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①施工期的生态影响主要体现在土地占用、破坏植被、景观影响、水土流失方面。</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w:t>
            </w:r>
            <w:r>
              <w:rPr>
                <w:rFonts w:hint="default" w:ascii="Times New Roman" w:hAnsi="Times New Roman" w:cs="Times New Roman"/>
                <w:color w:val="auto"/>
                <w:sz w:val="21"/>
                <w:szCs w:val="21"/>
                <w:highlight w:val="none"/>
                <w:lang w:val="en-US" w:eastAsia="zh-CN"/>
              </w:rPr>
              <w:t>生产车间</w:t>
            </w:r>
            <w:r>
              <w:rPr>
                <w:rFonts w:hint="default" w:ascii="Times New Roman" w:hAnsi="Times New Roman" w:eastAsia="宋体" w:cs="Times New Roman"/>
                <w:color w:val="auto"/>
                <w:sz w:val="21"/>
                <w:szCs w:val="21"/>
                <w:highlight w:val="none"/>
              </w:rPr>
              <w:t>会压占土地，减少区域植被覆盖率，影响周围景观；施工过程增加土地的扰动，会加重水土流失。</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(2)防治措施</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针对可能引发的生态环境问题，项目在建设过程中采取如下生态保护措施：</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①加强施工管理，控制施工作业区域、选择合理的运输线路，减小对地表的扰动。</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②建筑垃圾及时清运处置，减小在施工场地的堆存时间。</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③施工结束后对厂区进行</w:t>
            </w:r>
            <w:r>
              <w:rPr>
                <w:rFonts w:hint="default" w:ascii="Times New Roman" w:hAnsi="Times New Roman" w:eastAsia="宋体" w:cs="Times New Roman"/>
                <w:color w:val="auto"/>
                <w:sz w:val="21"/>
                <w:szCs w:val="21"/>
                <w:highlight w:val="none"/>
                <w:lang w:val="en-US" w:eastAsia="zh-CN"/>
              </w:rPr>
              <w:t>非硬即</w:t>
            </w:r>
            <w:r>
              <w:rPr>
                <w:rFonts w:hint="default" w:ascii="Times New Roman" w:hAnsi="Times New Roman" w:eastAsia="宋体" w:cs="Times New Roman"/>
                <w:color w:val="auto"/>
                <w:sz w:val="21"/>
                <w:szCs w:val="21"/>
                <w:highlight w:val="none"/>
              </w:rPr>
              <w:t>绿化，最大限度的减少项目施工造成的植被损失。</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④地面施工过程中，要避开在大风暴雨天气下作业，减少因施工扰动产生的水土流失量。</w:t>
            </w:r>
          </w:p>
          <w:p>
            <w:pPr>
              <w:pageBreakBefore w:val="0"/>
              <w:widowControl/>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⑤加强对施工人员环保意识教育，严禁在规定的施工作业范围外随意破坏植被。</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采取上述生态防治措施后，项目建设对生态环境影响是可接受的</w:t>
            </w:r>
            <w:r>
              <w:rPr>
                <w:rFonts w:hint="default" w:ascii="Times New Roman" w:hAnsi="Times New Roman" w:eastAsia="宋体" w:cs="Times New Roman"/>
                <w:color w:val="auto"/>
                <w:sz w:val="21"/>
                <w:szCs w:val="21"/>
                <w:highlight w:val="none"/>
                <w:lang w:eastAsia="zh-CN"/>
              </w:rPr>
              <w:t>。</w:t>
            </w:r>
          </w:p>
          <w:p>
            <w:pPr>
              <w:pageBreakBefore w:val="0"/>
              <w:kinsoku/>
              <w:wordWrap/>
              <w:overflowPunct/>
              <w:bidi w:val="0"/>
              <w:adjustRightInd w:val="0"/>
              <w:snapToGrid w:val="0"/>
              <w:spacing w:beforeAutospacing="0" w:afterAutospacing="0" w:line="500" w:lineRule="exact"/>
              <w:ind w:left="0" w:leftChars="0" w:right="0" w:rightChars="0" w:firstLine="420" w:firstLineChars="20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Style w:val="45"/>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bCs/>
                <w:color w:val="auto"/>
                <w:spacing w:val="-10"/>
                <w:szCs w:val="21"/>
                <w:highlight w:val="none"/>
              </w:rPr>
            </w:pPr>
          </w:p>
        </w:tc>
      </w:tr>
    </w:tbl>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highlight w:val="none"/>
        </w:rPr>
      </w:pP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78"/>
        <w:gridCol w:w="8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399" w:hRule="atLeast"/>
          <w:jc w:val="center"/>
        </w:trPr>
        <w:tc>
          <w:tcPr>
            <w:tcW w:w="278" w:type="dxa"/>
            <w:noWrap w:val="0"/>
            <w:tcMar>
              <w:left w:w="28" w:type="dxa"/>
              <w:right w:w="28" w:type="dxa"/>
            </w:tcMar>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运营</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期环</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境影</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响和</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保护</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措施</w:t>
            </w:r>
          </w:p>
        </w:tc>
        <w:tc>
          <w:tcPr>
            <w:tcW w:w="8703" w:type="dxa"/>
            <w:noWrap w:val="0"/>
            <w:vAlign w:val="center"/>
          </w:tcPr>
          <w:p>
            <w:pPr>
              <w:keepNext w:val="0"/>
              <w:keepLines w:val="0"/>
              <w:pageBreakBefore w:val="0"/>
              <w:widowControl w:val="0"/>
              <w:numPr>
                <w:ilvl w:val="0"/>
                <w:numId w:val="8"/>
              </w:numPr>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项目废气主要为激光切割机废气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等离子切割机废气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固定工位焊接废气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焊接机器人、打磨废气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抛丸废气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喷漆晾干废气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喷涂废气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打磨胶板废气</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粘胶工序废气</w:t>
            </w:r>
            <w:r>
              <w:rPr>
                <w:rFonts w:hint="default" w:ascii="Times New Roman" w:hAnsi="Times New Roman" w:cs="Times New Roman"/>
                <w:color w:val="auto"/>
                <w:sz w:val="21"/>
                <w:szCs w:val="21"/>
                <w:highlight w:val="none"/>
                <w:lang w:val="en-US" w:eastAsia="zh-CN"/>
              </w:rPr>
              <w:t>以及</w:t>
            </w:r>
            <w:r>
              <w:rPr>
                <w:rFonts w:hint="default" w:ascii="Times New Roman" w:hAnsi="Times New Roman" w:eastAsia="宋体" w:cs="Times New Roman"/>
                <w:color w:val="auto"/>
                <w:sz w:val="21"/>
                <w:szCs w:val="21"/>
                <w:highlight w:val="none"/>
                <w:lang w:val="en-US" w:eastAsia="zh-CN"/>
              </w:rPr>
              <w:t>职工食堂油烟</w:t>
            </w:r>
            <w:r>
              <w:rPr>
                <w:rFonts w:hint="default" w:ascii="Times New Roman" w:hAnsi="Times New Roman" w:cs="Times New Roman"/>
                <w:color w:val="auto"/>
                <w:sz w:val="21"/>
                <w:szCs w:val="21"/>
                <w:highlight w:val="none"/>
                <w:lang w:val="en-US" w:eastAsia="zh-CN"/>
              </w:rPr>
              <w:t>。</w:t>
            </w:r>
          </w:p>
          <w:p>
            <w:pPr>
              <w:pageBreakBefore w:val="0"/>
              <w:widowControl w:val="0"/>
              <w:numPr>
                <w:ilvl w:val="0"/>
                <w:numId w:val="0"/>
              </w:numPr>
              <w:kinsoku/>
              <w:wordWrap/>
              <w:overflowPunct/>
              <w:topLinePunct w:val="0"/>
              <w:bidi w:val="0"/>
              <w:adjustRightInd w:val="0"/>
              <w:snapToGrid w:val="0"/>
              <w:spacing w:beforeAutospacing="0" w:afterAutospacing="0" w:line="360" w:lineRule="auto"/>
              <w:ind w:leftChars="200" w:right="0" w:right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激光切割</w:t>
            </w:r>
            <w:r>
              <w:rPr>
                <w:rFonts w:hint="default" w:ascii="Times New Roman" w:hAnsi="Times New Roman" w:cs="Times New Roman"/>
                <w:b/>
                <w:bCs/>
                <w:color w:val="auto"/>
                <w:sz w:val="21"/>
                <w:szCs w:val="21"/>
                <w:highlight w:val="none"/>
                <w:lang w:val="en-US" w:eastAsia="zh-CN"/>
              </w:rPr>
              <w:t>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本项目利用激光切割机</w:t>
            </w:r>
            <w:r>
              <w:rPr>
                <w:rFonts w:hint="default" w:ascii="Times New Roman" w:hAnsi="Times New Roman" w:cs="Times New Roman"/>
                <w:color w:val="auto"/>
                <w:sz w:val="21"/>
                <w:szCs w:val="21"/>
                <w:highlight w:val="none"/>
                <w:lang w:val="en-US" w:eastAsia="zh-CN"/>
              </w:rPr>
              <w:t>对钢板等进行</w:t>
            </w:r>
            <w:r>
              <w:rPr>
                <w:rFonts w:hint="default" w:ascii="Times New Roman" w:hAnsi="Times New Roman" w:eastAsia="宋体" w:cs="Times New Roman"/>
                <w:color w:val="auto"/>
                <w:sz w:val="21"/>
                <w:szCs w:val="21"/>
                <w:highlight w:val="none"/>
                <w:lang w:val="en-US" w:eastAsia="zh-CN"/>
              </w:rPr>
              <w:t>下料，在切割过程中由于金属熔化与高速气体碰撞瞬间产生大量的烟尘，烟尘主要是颗粒物，</w:t>
            </w:r>
            <w:r>
              <w:rPr>
                <w:rFonts w:hint="default" w:ascii="Times New Roman" w:hAnsi="Times New Roman" w:cs="Times New Roman"/>
                <w:color w:val="auto"/>
                <w:sz w:val="21"/>
                <w:szCs w:val="21"/>
                <w:highlight w:val="none"/>
                <w:lang w:val="en-US" w:eastAsia="zh-CN"/>
              </w:rPr>
              <w:t>参考</w:t>
            </w:r>
            <w:r>
              <w:rPr>
                <w:rFonts w:hint="default" w:ascii="Times New Roman" w:hAnsi="Times New Roman" w:eastAsia="宋体" w:cs="Times New Roman"/>
                <w:color w:val="auto"/>
                <w:sz w:val="21"/>
                <w:szCs w:val="21"/>
                <w:highlight w:val="none"/>
                <w:lang w:val="en-US" w:eastAsia="zh-CN"/>
              </w:rPr>
              <w:t>国家生态环境部发布的《排放源统计调查产排污核算方法和系数手册》（环保部公告2021年第24号）中附表1中33-37，431-434机械行业系数手册中04下料工段表可知，</w:t>
            </w:r>
            <w:r>
              <w:rPr>
                <w:rFonts w:hint="default" w:ascii="Times New Roman" w:hAnsi="Times New Roman" w:cs="Times New Roman"/>
                <w:color w:val="auto"/>
                <w:sz w:val="21"/>
                <w:szCs w:val="21"/>
                <w:highlight w:val="none"/>
                <w:lang w:val="en-US" w:eastAsia="zh-CN"/>
              </w:rPr>
              <w:t>等离子</w:t>
            </w:r>
            <w:r>
              <w:rPr>
                <w:rFonts w:hint="default" w:ascii="Times New Roman" w:hAnsi="Times New Roman" w:eastAsia="宋体" w:cs="Times New Roman"/>
                <w:color w:val="auto"/>
                <w:sz w:val="21"/>
                <w:szCs w:val="21"/>
                <w:highlight w:val="none"/>
                <w:lang w:val="en-US" w:eastAsia="zh-CN"/>
              </w:rPr>
              <w:t>切割过程颗粒物产生系数为1.</w:t>
            </w:r>
            <w:r>
              <w:rPr>
                <w:rFonts w:hint="default" w:ascii="Times New Roman" w:hAnsi="Times New Roman"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千克/吨-原料，项目需要使用激光</w:t>
            </w:r>
            <w:r>
              <w:rPr>
                <w:rFonts w:hint="default" w:ascii="Times New Roman" w:hAnsi="Times New Roman" w:cs="Times New Roman"/>
                <w:color w:val="auto"/>
                <w:sz w:val="21"/>
                <w:szCs w:val="21"/>
                <w:highlight w:val="none"/>
                <w:lang w:val="en-US" w:eastAsia="zh-CN"/>
              </w:rPr>
              <w:t>切割</w:t>
            </w:r>
            <w:r>
              <w:rPr>
                <w:rFonts w:hint="default" w:ascii="Times New Roman" w:hAnsi="Times New Roman" w:eastAsia="宋体" w:cs="Times New Roman"/>
                <w:color w:val="auto"/>
                <w:sz w:val="21"/>
                <w:szCs w:val="21"/>
                <w:highlight w:val="none"/>
                <w:lang w:val="en-US" w:eastAsia="zh-CN"/>
              </w:rPr>
              <w:t>机切割原材料为</w:t>
            </w:r>
            <w:r>
              <w:rPr>
                <w:rFonts w:hint="default" w:ascii="Times New Roman" w:hAnsi="Times New Roman" w:cs="Times New Roman"/>
                <w:color w:val="auto"/>
                <w:sz w:val="21"/>
                <w:szCs w:val="21"/>
                <w:highlight w:val="none"/>
                <w:lang w:val="en-US" w:eastAsia="zh-CN"/>
              </w:rPr>
              <w:t>3680</w:t>
            </w:r>
            <w:r>
              <w:rPr>
                <w:rFonts w:hint="default" w:ascii="Times New Roman" w:hAnsi="Times New Roman" w:eastAsia="宋体" w:cs="Times New Roman"/>
                <w:color w:val="auto"/>
                <w:sz w:val="21"/>
                <w:szCs w:val="21"/>
                <w:highlight w:val="none"/>
                <w:lang w:val="en-US" w:eastAsia="zh-CN"/>
              </w:rPr>
              <w:t>t/a，则切割过程颗粒物产生量为</w:t>
            </w:r>
            <w:r>
              <w:rPr>
                <w:rFonts w:hint="default" w:ascii="Times New Roman" w:hAnsi="Times New Roman" w:cs="Times New Roman"/>
                <w:color w:val="auto"/>
                <w:sz w:val="21"/>
                <w:szCs w:val="21"/>
                <w:highlight w:val="none"/>
                <w:lang w:val="en-US" w:eastAsia="zh-CN"/>
              </w:rPr>
              <w:t>4.048</w:t>
            </w:r>
            <w:r>
              <w:rPr>
                <w:rFonts w:hint="default" w:ascii="Times New Roman" w:hAnsi="Times New Roman" w:eastAsia="宋体" w:cs="Times New Roman"/>
                <w:color w:val="auto"/>
                <w:sz w:val="21"/>
                <w:szCs w:val="21"/>
                <w:highlight w:val="none"/>
                <w:lang w:val="en-US" w:eastAsia="zh-CN"/>
              </w:rPr>
              <w:t>t/a，切割作业年工作时间为</w:t>
            </w:r>
            <w:r>
              <w:rPr>
                <w:rFonts w:hint="default" w:ascii="Times New Roman" w:hAnsi="Times New Roman" w:cs="Times New Roman"/>
                <w:color w:val="auto"/>
                <w:sz w:val="21"/>
                <w:szCs w:val="21"/>
                <w:highlight w:val="none"/>
                <w:lang w:val="en-US" w:eastAsia="zh-CN"/>
              </w:rPr>
              <w:t>2400</w:t>
            </w:r>
            <w:r>
              <w:rPr>
                <w:rFonts w:hint="default" w:ascii="Times New Roman" w:hAnsi="Times New Roman" w:eastAsia="宋体" w:cs="Times New Roman"/>
                <w:color w:val="auto"/>
                <w:sz w:val="21"/>
                <w:szCs w:val="21"/>
                <w:highlight w:val="none"/>
                <w:lang w:val="en-US" w:eastAsia="zh-CN"/>
              </w:rPr>
              <w:t>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本项目</w:t>
            </w:r>
            <w:r>
              <w:rPr>
                <w:rFonts w:hint="default" w:ascii="Times New Roman" w:hAnsi="Times New Roman" w:cs="Times New Roman"/>
                <w:color w:val="auto"/>
                <w:sz w:val="21"/>
                <w:szCs w:val="21"/>
                <w:highlight w:val="none"/>
                <w:lang w:val="en-US" w:eastAsia="zh-CN"/>
              </w:rPr>
              <w:t>设</w:t>
            </w:r>
            <w:r>
              <w:rPr>
                <w:rFonts w:hint="default" w:ascii="Times New Roman" w:hAnsi="Times New Roman" w:eastAsia="宋体" w:cs="Times New Roman"/>
                <w:color w:val="auto"/>
                <w:sz w:val="21"/>
                <w:szCs w:val="21"/>
                <w:highlight w:val="none"/>
                <w:lang w:val="zh-CN" w:eastAsia="zh-CN"/>
              </w:rPr>
              <w:t>激光</w:t>
            </w:r>
            <w:r>
              <w:rPr>
                <w:rFonts w:hint="default" w:ascii="Times New Roman" w:hAnsi="Times New Roman" w:cs="Times New Roman"/>
                <w:color w:val="auto"/>
                <w:sz w:val="21"/>
                <w:szCs w:val="21"/>
                <w:highlight w:val="none"/>
                <w:lang w:val="en-US" w:eastAsia="zh-CN"/>
              </w:rPr>
              <w:t>切割</w:t>
            </w:r>
            <w:r>
              <w:rPr>
                <w:rFonts w:hint="default" w:ascii="Times New Roman" w:hAnsi="Times New Roman" w:eastAsia="宋体" w:cs="Times New Roman"/>
                <w:color w:val="auto"/>
                <w:sz w:val="21"/>
                <w:szCs w:val="21"/>
                <w:highlight w:val="none"/>
                <w:lang w:val="en-US" w:eastAsia="zh-CN"/>
              </w:rPr>
              <w:t>机1台，切割设备有外壳封闭，并自带下吸风收集系统</w:t>
            </w:r>
            <w:r>
              <w:rPr>
                <w:rFonts w:hint="default" w:ascii="Times New Roman" w:hAnsi="Times New Roman" w:cs="Times New Roman"/>
                <w:color w:val="auto"/>
                <w:sz w:val="21"/>
                <w:szCs w:val="21"/>
                <w:highlight w:val="none"/>
                <w:lang w:val="en-US" w:eastAsia="zh-CN"/>
              </w:rPr>
              <w:t>（收集系统尺寸为2m×1.8m）</w:t>
            </w:r>
            <w:r>
              <w:rPr>
                <w:rFonts w:hint="default" w:ascii="Times New Roman" w:hAnsi="Times New Roman" w:eastAsia="宋体" w:cs="Times New Roman"/>
                <w:color w:val="auto"/>
                <w:sz w:val="21"/>
                <w:szCs w:val="21"/>
                <w:highlight w:val="none"/>
                <w:lang w:val="en-US" w:eastAsia="zh-CN"/>
              </w:rPr>
              <w:t>，且后侧设有排气口，</w:t>
            </w:r>
            <w:r>
              <w:rPr>
                <w:rFonts w:hint="default" w:ascii="Times New Roman" w:hAnsi="Times New Roman" w:cs="Times New Roman"/>
                <w:color w:val="auto"/>
                <w:sz w:val="21"/>
                <w:szCs w:val="21"/>
                <w:highlight w:val="none"/>
                <w:lang w:val="en-US" w:eastAsia="zh-CN"/>
              </w:rPr>
              <w:t>激光切割废气经</w:t>
            </w:r>
            <w:r>
              <w:rPr>
                <w:rFonts w:hint="default" w:ascii="Times New Roman" w:hAnsi="Times New Roman" w:eastAsia="宋体" w:cs="Times New Roman"/>
                <w:color w:val="auto"/>
                <w:sz w:val="21"/>
                <w:szCs w:val="21"/>
                <w:highlight w:val="none"/>
                <w:lang w:val="en-US" w:eastAsia="zh-CN"/>
              </w:rPr>
              <w:t>排气口集气管道引入</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脉冲布袋除尘器处理后经一根</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m高排气筒排放（</w:t>
            </w:r>
            <w:r>
              <w:rPr>
                <w:rFonts w:hint="default" w:ascii="Times New Roman" w:hAnsi="Times New Roman" w:cs="Times New Roman"/>
                <w:color w:val="auto"/>
                <w:sz w:val="21"/>
                <w:szCs w:val="21"/>
                <w:highlight w:val="none"/>
                <w:lang w:val="en-US" w:eastAsia="zh-CN"/>
              </w:rPr>
              <w:t>P</w:t>
            </w:r>
            <w:r>
              <w:rPr>
                <w:rFonts w:hint="default" w:ascii="Times New Roman" w:hAnsi="Times New Roman" w:eastAsia="宋体" w:cs="Times New Roman"/>
                <w:color w:val="auto"/>
                <w:sz w:val="21"/>
                <w:szCs w:val="21"/>
                <w:highlight w:val="none"/>
                <w:lang w:val="en-US" w:eastAsia="zh-CN"/>
              </w:rPr>
              <w:t>1），排气口与集气管道相连，收集效率按100%计算，去除效率为9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w w:val="100"/>
                <w:kern w:val="2"/>
                <w:sz w:val="21"/>
                <w:szCs w:val="21"/>
                <w:highlight w:val="none"/>
                <w:lang w:val="en-US" w:eastAsia="zh-CN" w:bidi="ar-SA"/>
              </w:rPr>
              <w:t>本项目激光切割废气所需风量计算公式为：集气罩面积×设计风速×3600s/h×风损；设计风速根据《唐山市生态环境局关于开展涉挥发性有机物企业提标改造的通知》（唐环气〔2022〕1号）文件中要求“采用半密闭罩或通风橱方式收集的……其余不小于0.6m/s”，本项目取</w:t>
            </w:r>
            <w:r>
              <w:rPr>
                <w:rFonts w:hint="default" w:ascii="Times New Roman" w:hAnsi="Times New Roman" w:cs="Times New Roman"/>
                <w:color w:val="auto"/>
                <w:w w:val="100"/>
                <w:kern w:val="2"/>
                <w:sz w:val="21"/>
                <w:szCs w:val="21"/>
                <w:highlight w:val="none"/>
                <w:lang w:val="en-US" w:eastAsia="zh-CN" w:bidi="ar-SA"/>
              </w:rPr>
              <w:t>0.8</w:t>
            </w:r>
            <w:r>
              <w:rPr>
                <w:rFonts w:hint="default" w:ascii="Times New Roman" w:hAnsi="Times New Roman" w:eastAsia="宋体" w:cs="Times New Roman"/>
                <w:color w:val="auto"/>
                <w:w w:val="100"/>
                <w:kern w:val="2"/>
                <w:sz w:val="21"/>
                <w:szCs w:val="21"/>
                <w:highlight w:val="none"/>
                <w:lang w:val="en-US" w:eastAsia="zh-CN" w:bidi="ar-SA"/>
              </w:rPr>
              <w:t>m/s；风损取值1.2，根据计算可知，激光切割废气所需风量为12441.6</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/h，除尘器</w:t>
            </w:r>
            <w:r>
              <w:rPr>
                <w:rFonts w:hint="default" w:ascii="Times New Roman" w:hAnsi="Times New Roman" w:cs="Times New Roman"/>
                <w:color w:val="auto"/>
                <w:sz w:val="21"/>
                <w:szCs w:val="21"/>
                <w:highlight w:val="none"/>
                <w:lang w:val="en-US" w:eastAsia="zh-CN"/>
              </w:rPr>
              <w:t>配备</w:t>
            </w:r>
            <w:r>
              <w:rPr>
                <w:rFonts w:hint="default" w:ascii="Times New Roman" w:hAnsi="Times New Roman" w:eastAsia="宋体" w:cs="Times New Roman"/>
                <w:color w:val="auto"/>
                <w:sz w:val="21"/>
                <w:szCs w:val="21"/>
                <w:highlight w:val="none"/>
                <w:lang w:val="en-US" w:eastAsia="zh-CN"/>
              </w:rPr>
              <w:t>风量为1</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则经过除尘器处理之后，激光切割废气排放量为0.202t/a，</w:t>
            </w:r>
            <w:r>
              <w:rPr>
                <w:rFonts w:hint="default" w:ascii="Times New Roman" w:hAnsi="Times New Roman" w:eastAsia="宋体" w:cs="Times New Roman"/>
                <w:color w:val="auto"/>
                <w:sz w:val="21"/>
                <w:szCs w:val="21"/>
                <w:highlight w:val="none"/>
                <w:lang w:val="en-US" w:eastAsia="zh-CN"/>
              </w:rPr>
              <w:t>排放速率为0.0</w:t>
            </w:r>
            <w:r>
              <w:rPr>
                <w:rFonts w:hint="default" w:ascii="Times New Roman" w:hAnsi="Times New Roman" w:cs="Times New Roman"/>
                <w:color w:val="auto"/>
                <w:sz w:val="21"/>
                <w:szCs w:val="21"/>
                <w:highlight w:val="none"/>
                <w:lang w:val="en-US" w:eastAsia="zh-CN"/>
              </w:rPr>
              <w:t>84</w:t>
            </w:r>
            <w:r>
              <w:rPr>
                <w:rFonts w:hint="default" w:ascii="Times New Roman" w:hAnsi="Times New Roman" w:eastAsia="宋体" w:cs="Times New Roman"/>
                <w:color w:val="auto"/>
                <w:sz w:val="21"/>
                <w:szCs w:val="21"/>
                <w:highlight w:val="none"/>
                <w:lang w:val="en-US" w:eastAsia="zh-CN"/>
              </w:rPr>
              <w:t>kg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h，排放浓度为</w:t>
            </w:r>
            <w:r>
              <w:rPr>
                <w:rFonts w:hint="default" w:ascii="Times New Roman" w:hAnsi="Times New Roman" w:cs="Times New Roman"/>
                <w:color w:val="auto"/>
                <w:sz w:val="21"/>
                <w:szCs w:val="21"/>
                <w:highlight w:val="none"/>
                <w:lang w:val="en-US" w:eastAsia="zh-CN"/>
              </w:rPr>
              <w:t>6.487</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，满足</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zh-CN" w:eastAsia="zh-CN"/>
              </w:rPr>
            </w:pPr>
            <w:r>
              <w:rPr>
                <w:rFonts w:hint="default" w:ascii="Times New Roman" w:hAnsi="Times New Roman"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等离子切割机废气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使用1台等离子切割机对钢板等进行下料。</w:t>
            </w:r>
            <w:r>
              <w:rPr>
                <w:rFonts w:hint="default" w:ascii="Times New Roman" w:hAnsi="Times New Roman" w:eastAsia="宋体" w:cs="Times New Roman"/>
                <w:color w:val="auto"/>
                <w:sz w:val="21"/>
                <w:szCs w:val="21"/>
                <w:highlight w:val="none"/>
                <w:lang w:val="en-US" w:eastAsia="zh-CN"/>
              </w:rPr>
              <w:t>切割工序进行时，等离子切割机产生高度电离气体，火焰切割机产生高温火焰，带来的高热量使工件局部熔化并吹掉</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金属原材料融化氧化过程中产生金属及其氧化物的粉尘和烟尘</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本项目所用等离子切割机操作平台</w:t>
            </w:r>
            <w:r>
              <w:rPr>
                <w:rFonts w:hint="default" w:ascii="Times New Roman" w:hAnsi="Times New Roman" w:cs="Times New Roman"/>
                <w:color w:val="auto"/>
                <w:sz w:val="21"/>
                <w:szCs w:val="21"/>
                <w:highlight w:val="none"/>
                <w:lang w:val="en-US" w:eastAsia="zh-CN"/>
              </w:rPr>
              <w:t>两侧各设置一个</w:t>
            </w:r>
            <w:r>
              <w:rPr>
                <w:rFonts w:hint="default" w:ascii="Times New Roman" w:hAnsi="Times New Roman" w:eastAsia="宋体" w:cs="Times New Roman"/>
                <w:color w:val="auto"/>
                <w:sz w:val="21"/>
                <w:szCs w:val="21"/>
                <w:highlight w:val="none"/>
                <w:lang w:val="en-US" w:eastAsia="zh-CN"/>
              </w:rPr>
              <w:t>集尘口</w:t>
            </w:r>
            <w:r>
              <w:rPr>
                <w:rFonts w:hint="default" w:ascii="Times New Roman" w:hAnsi="Times New Roman" w:cs="Times New Roman"/>
                <w:color w:val="auto"/>
                <w:sz w:val="21"/>
                <w:szCs w:val="21"/>
                <w:highlight w:val="none"/>
                <w:lang w:val="en-US" w:eastAsia="zh-CN"/>
              </w:rPr>
              <w:t>（尺寸为1m×1.6m）</w:t>
            </w:r>
            <w:r>
              <w:rPr>
                <w:rFonts w:hint="default" w:ascii="Times New Roman" w:hAnsi="Times New Roman" w:eastAsia="宋体" w:cs="Times New Roman"/>
                <w:color w:val="auto"/>
                <w:sz w:val="21"/>
                <w:szCs w:val="21"/>
                <w:highlight w:val="none"/>
                <w:lang w:val="en-US" w:eastAsia="zh-CN"/>
              </w:rPr>
              <w:t>，集尘口上方覆盖板，刀头移动时带动下方盖板开启产生的烟尘被收集至2#脉冲布袋除尘器处理后通过15m高的排气简</w:t>
            </w:r>
            <w:r>
              <w:rPr>
                <w:rFonts w:hint="default" w:ascii="Times New Roman" w:hAnsi="Times New Roman" w:cs="Times New Roman"/>
                <w:color w:val="auto"/>
                <w:sz w:val="21"/>
                <w:szCs w:val="21"/>
                <w:highlight w:val="none"/>
                <w:lang w:val="en-US" w:eastAsia="zh-CN"/>
              </w:rPr>
              <w:t>（P2）</w:t>
            </w:r>
            <w:r>
              <w:rPr>
                <w:rFonts w:hint="default" w:ascii="Times New Roman" w:hAnsi="Times New Roman" w:eastAsia="宋体" w:cs="Times New Roman"/>
                <w:color w:val="auto"/>
                <w:sz w:val="21"/>
                <w:szCs w:val="21"/>
                <w:highlight w:val="none"/>
                <w:lang w:val="en-US" w:eastAsia="zh-CN"/>
              </w:rPr>
              <w:t>排放。</w:t>
            </w:r>
            <w:r>
              <w:rPr>
                <w:rFonts w:hint="default" w:ascii="Times New Roman" w:hAnsi="Times New Roman" w:cs="Times New Roman"/>
                <w:color w:val="auto"/>
                <w:sz w:val="21"/>
                <w:szCs w:val="21"/>
                <w:highlight w:val="none"/>
                <w:lang w:val="en-US" w:eastAsia="zh-CN"/>
              </w:rPr>
              <w:t>根据</w:t>
            </w:r>
            <w:r>
              <w:rPr>
                <w:rFonts w:hint="default" w:ascii="Times New Roman" w:hAnsi="Times New Roman" w:eastAsia="宋体" w:cs="Times New Roman"/>
                <w:color w:val="auto"/>
                <w:sz w:val="21"/>
                <w:szCs w:val="21"/>
                <w:highlight w:val="none"/>
                <w:lang w:val="en-US" w:eastAsia="zh-CN"/>
              </w:rPr>
              <w:t>国家生态环境部发布的《排放源统计调查产排污核算方法和系数手册》（环保部公告2021年第24号）中附表1中33-37，431-434机械行业系数手册中04下料工段表可知，</w:t>
            </w:r>
            <w:r>
              <w:rPr>
                <w:rFonts w:hint="default" w:ascii="Times New Roman" w:hAnsi="Times New Roman" w:cs="Times New Roman"/>
                <w:color w:val="auto"/>
                <w:sz w:val="21"/>
                <w:szCs w:val="21"/>
                <w:highlight w:val="none"/>
                <w:lang w:val="en-US" w:eastAsia="zh-CN"/>
              </w:rPr>
              <w:t>等离子</w:t>
            </w:r>
            <w:r>
              <w:rPr>
                <w:rFonts w:hint="default" w:ascii="Times New Roman" w:hAnsi="Times New Roman" w:eastAsia="宋体" w:cs="Times New Roman"/>
                <w:color w:val="auto"/>
                <w:sz w:val="21"/>
                <w:szCs w:val="21"/>
                <w:highlight w:val="none"/>
                <w:lang w:val="en-US" w:eastAsia="zh-CN"/>
              </w:rPr>
              <w:t>切割过程颗粒物产生系数为1.</w:t>
            </w:r>
            <w:r>
              <w:rPr>
                <w:rFonts w:hint="default" w:ascii="Times New Roman" w:hAnsi="Times New Roman"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千克/吨-原料，项目需要使用</w:t>
            </w:r>
            <w:r>
              <w:rPr>
                <w:rFonts w:hint="default" w:ascii="Times New Roman" w:hAnsi="Times New Roman" w:cs="Times New Roman"/>
                <w:color w:val="auto"/>
                <w:sz w:val="21"/>
                <w:szCs w:val="21"/>
                <w:highlight w:val="none"/>
                <w:lang w:val="en-US" w:eastAsia="zh-CN"/>
              </w:rPr>
              <w:t>等离子切割</w:t>
            </w:r>
            <w:r>
              <w:rPr>
                <w:rFonts w:hint="default" w:ascii="Times New Roman" w:hAnsi="Times New Roman" w:eastAsia="宋体" w:cs="Times New Roman"/>
                <w:color w:val="auto"/>
                <w:sz w:val="21"/>
                <w:szCs w:val="21"/>
                <w:highlight w:val="none"/>
                <w:lang w:val="en-US" w:eastAsia="zh-CN"/>
              </w:rPr>
              <w:t>机切割原材料为</w:t>
            </w:r>
            <w:r>
              <w:rPr>
                <w:rFonts w:hint="default" w:ascii="Times New Roman" w:hAnsi="Times New Roman" w:cs="Times New Roman"/>
                <w:color w:val="auto"/>
                <w:sz w:val="21"/>
                <w:szCs w:val="21"/>
                <w:highlight w:val="none"/>
                <w:lang w:val="en-US" w:eastAsia="zh-CN"/>
              </w:rPr>
              <w:t>3680</w:t>
            </w:r>
            <w:r>
              <w:rPr>
                <w:rFonts w:hint="default" w:ascii="Times New Roman" w:hAnsi="Times New Roman" w:eastAsia="宋体" w:cs="Times New Roman"/>
                <w:color w:val="auto"/>
                <w:sz w:val="21"/>
                <w:szCs w:val="21"/>
                <w:highlight w:val="none"/>
                <w:lang w:val="en-US" w:eastAsia="zh-CN"/>
              </w:rPr>
              <w:t>t/a，则切割过程颗粒物产生量为</w:t>
            </w:r>
            <w:r>
              <w:rPr>
                <w:rFonts w:hint="default" w:ascii="Times New Roman" w:hAnsi="Times New Roman" w:cs="Times New Roman"/>
                <w:color w:val="auto"/>
                <w:sz w:val="21"/>
                <w:szCs w:val="21"/>
                <w:highlight w:val="none"/>
                <w:lang w:val="en-US" w:eastAsia="zh-CN"/>
              </w:rPr>
              <w:t>4.048</w:t>
            </w:r>
            <w:r>
              <w:rPr>
                <w:rFonts w:hint="default" w:ascii="Times New Roman" w:hAnsi="Times New Roman" w:eastAsia="宋体" w:cs="Times New Roman"/>
                <w:color w:val="auto"/>
                <w:sz w:val="21"/>
                <w:szCs w:val="21"/>
                <w:highlight w:val="none"/>
                <w:lang w:val="en-US" w:eastAsia="zh-CN"/>
              </w:rPr>
              <w:t>t/a，切割作业年工作时间为</w:t>
            </w:r>
            <w:r>
              <w:rPr>
                <w:rFonts w:hint="default" w:ascii="Times New Roman" w:hAnsi="Times New Roman" w:cs="Times New Roman"/>
                <w:color w:val="auto"/>
                <w:sz w:val="21"/>
                <w:szCs w:val="21"/>
                <w:highlight w:val="none"/>
                <w:lang w:val="en-US" w:eastAsia="zh-CN"/>
              </w:rPr>
              <w:t>2000</w:t>
            </w:r>
            <w:r>
              <w:rPr>
                <w:rFonts w:hint="default" w:ascii="Times New Roman" w:hAnsi="Times New Roman" w:eastAsia="宋体" w:cs="Times New Roman"/>
                <w:color w:val="auto"/>
                <w:sz w:val="21"/>
                <w:szCs w:val="21"/>
                <w:highlight w:val="none"/>
                <w:lang w:val="en-US" w:eastAsia="zh-CN"/>
              </w:rPr>
              <w:t>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w w:val="100"/>
                <w:kern w:val="2"/>
                <w:sz w:val="21"/>
                <w:szCs w:val="21"/>
                <w:highlight w:val="none"/>
                <w:lang w:val="en-US" w:eastAsia="zh-CN" w:bidi="ar-SA"/>
              </w:rPr>
              <w:t>本项目等离子切割废气所需风量计算公式为：集气罩面积×设计风速×3600s/h×风损；设计风速根据《唐山市生态环境局关于开展涉挥发性有机物企业提标改造的通知》（唐环气〔2022〕1号）文件中要求“采用侧吸风罩方式收集的，污染物产生点（面）处，往吸入口方向的控制风速不小于1.2m/s”，本项目取</w:t>
            </w:r>
            <w:r>
              <w:rPr>
                <w:rFonts w:hint="default" w:ascii="Times New Roman" w:hAnsi="Times New Roman" w:cs="Times New Roman"/>
                <w:color w:val="auto"/>
                <w:w w:val="100"/>
                <w:kern w:val="2"/>
                <w:sz w:val="21"/>
                <w:szCs w:val="21"/>
                <w:highlight w:val="none"/>
                <w:lang w:val="en-US" w:eastAsia="zh-CN" w:bidi="ar-SA"/>
              </w:rPr>
              <w:t>1.2</w:t>
            </w:r>
            <w:r>
              <w:rPr>
                <w:rFonts w:hint="default" w:ascii="Times New Roman" w:hAnsi="Times New Roman" w:eastAsia="宋体" w:cs="Times New Roman"/>
                <w:color w:val="auto"/>
                <w:w w:val="100"/>
                <w:kern w:val="2"/>
                <w:sz w:val="21"/>
                <w:szCs w:val="21"/>
                <w:highlight w:val="none"/>
                <w:lang w:val="en-US" w:eastAsia="zh-CN" w:bidi="ar-SA"/>
              </w:rPr>
              <w:t>m/s；风损取值1.2，根据计算可知，激光切割废气所需风量为16588.8</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/h，除尘器</w:t>
            </w:r>
            <w:r>
              <w:rPr>
                <w:rFonts w:hint="default" w:ascii="Times New Roman" w:hAnsi="Times New Roman" w:cs="Times New Roman"/>
                <w:color w:val="auto"/>
                <w:sz w:val="21"/>
                <w:szCs w:val="21"/>
                <w:highlight w:val="none"/>
                <w:lang w:val="en-US" w:eastAsia="zh-CN"/>
              </w:rPr>
              <w:t>配备</w:t>
            </w:r>
            <w:r>
              <w:rPr>
                <w:rFonts w:hint="default" w:ascii="Times New Roman" w:hAnsi="Times New Roman" w:eastAsia="宋体" w:cs="Times New Roman"/>
                <w:color w:val="auto"/>
                <w:sz w:val="21"/>
                <w:szCs w:val="21"/>
                <w:highlight w:val="none"/>
                <w:lang w:val="en-US" w:eastAsia="zh-CN"/>
              </w:rPr>
              <w:t>风量为1</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等离子切割废气</w:t>
            </w:r>
            <w:r>
              <w:rPr>
                <w:rFonts w:hint="default" w:ascii="Times New Roman" w:hAnsi="Times New Roman" w:eastAsia="宋体" w:cs="Times New Roman"/>
                <w:color w:val="auto"/>
                <w:sz w:val="21"/>
                <w:szCs w:val="21"/>
                <w:highlight w:val="none"/>
                <w:lang w:val="en-US" w:eastAsia="zh-CN"/>
              </w:rPr>
              <w:t>收集效率在95%以上，除尘器风量为1</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净化效率约为9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%。则经处理后</w:t>
            </w:r>
            <w:r>
              <w:rPr>
                <w:rFonts w:hint="default" w:ascii="Times New Roman" w:hAnsi="Times New Roman" w:cs="Times New Roman"/>
                <w:color w:val="auto"/>
                <w:sz w:val="21"/>
                <w:szCs w:val="21"/>
                <w:highlight w:val="none"/>
                <w:lang w:val="en-US" w:eastAsia="zh-CN"/>
              </w:rPr>
              <w:t>等离子切割</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无组织排放量为0.202t/a（0.101kg/h），有组织排放量为</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192</w:t>
            </w:r>
            <w:r>
              <w:rPr>
                <w:rFonts w:hint="default" w:ascii="Times New Roman" w:hAnsi="Times New Roman" w:eastAsia="宋体" w:cs="Times New Roman"/>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排放速率为0.0</w:t>
            </w:r>
            <w:r>
              <w:rPr>
                <w:rFonts w:hint="default" w:ascii="Times New Roman" w:hAnsi="Times New Roman" w:cs="Times New Roman"/>
                <w:color w:val="auto"/>
                <w:sz w:val="21"/>
                <w:szCs w:val="21"/>
                <w:highlight w:val="none"/>
                <w:lang w:val="en-US" w:eastAsia="zh-CN"/>
              </w:rPr>
              <w:t>96</w:t>
            </w:r>
            <w:r>
              <w:rPr>
                <w:rFonts w:hint="default" w:ascii="Times New Roman" w:hAnsi="Times New Roman" w:eastAsia="宋体" w:cs="Times New Roman"/>
                <w:color w:val="auto"/>
                <w:sz w:val="21"/>
                <w:szCs w:val="21"/>
                <w:highlight w:val="none"/>
                <w:lang w:val="en-US" w:eastAsia="zh-CN"/>
              </w:rPr>
              <w:t>kgh，排放浓度为</w:t>
            </w:r>
            <w:r>
              <w:rPr>
                <w:rFonts w:hint="default" w:ascii="Times New Roman" w:hAnsi="Times New Roman" w:cs="Times New Roman"/>
                <w:color w:val="auto"/>
                <w:sz w:val="21"/>
                <w:szCs w:val="21"/>
                <w:highlight w:val="none"/>
                <w:lang w:val="en-US" w:eastAsia="zh-CN"/>
              </w:rPr>
              <w:t>5.341</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，满足</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firstLine="422" w:firstLineChars="200"/>
              <w:textAlignment w:val="auto"/>
              <w:rPr>
                <w:rFonts w:hint="default" w:ascii="Times New Roman" w:hAnsi="Times New Roman" w:eastAsia="宋体" w:cs="Times New Roman"/>
                <w:b/>
                <w:bCs/>
                <w:i w:val="0"/>
                <w:iCs w:val="0"/>
                <w:color w:val="auto"/>
                <w:sz w:val="21"/>
                <w:szCs w:val="21"/>
                <w:highlight w:val="none"/>
                <w:lang w:val="en-US" w:eastAsia="zh-CN"/>
              </w:rPr>
            </w:pPr>
            <w:r>
              <w:rPr>
                <w:rFonts w:hint="default" w:ascii="Times New Roman" w:hAnsi="Times New Roman" w:cs="Times New Roman"/>
                <w:b/>
                <w:bCs/>
                <w:i w:val="0"/>
                <w:iCs w:val="0"/>
                <w:color w:val="auto"/>
                <w:sz w:val="21"/>
                <w:szCs w:val="21"/>
                <w:highlight w:val="none"/>
                <w:lang w:val="en-US" w:eastAsia="zh-CN"/>
              </w:rPr>
              <w:t>（3）固定工位焊接废气+2台焊接机器人废气</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zh-CN" w:eastAsia="zh-CN"/>
              </w:rPr>
              <w:t>焊接过程中会产生烟尘，该烟尘是在由金属在过热条件下产生的蒸汽，经氧化和冷凝而形成的。本项目焊接工序主要采用二氧化碳气体保护焊机</w:t>
            </w:r>
            <w:r>
              <w:rPr>
                <w:rFonts w:hint="default" w:ascii="Times New Roman" w:hAnsi="Times New Roman" w:cs="Times New Roman"/>
                <w:color w:val="auto"/>
                <w:sz w:val="21"/>
                <w:szCs w:val="21"/>
                <w:highlight w:val="none"/>
                <w:lang w:val="en-US" w:eastAsia="zh-CN"/>
              </w:rPr>
              <w:t>进行焊接。</w:t>
            </w:r>
            <w:r>
              <w:rPr>
                <w:rFonts w:hint="default" w:ascii="Times New Roman" w:hAnsi="Times New Roman" w:eastAsia="宋体" w:cs="Times New Roman"/>
                <w:color w:val="auto"/>
                <w:sz w:val="21"/>
                <w:szCs w:val="21"/>
                <w:highlight w:val="none"/>
                <w:lang w:val="zh-CN" w:eastAsia="zh-CN"/>
              </w:rPr>
              <w:t>焊接工序工作时间依据订单而定，平均年工作</w:t>
            </w: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zh-CN" w:eastAsia="zh-CN"/>
              </w:rPr>
              <w:t>00h。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共有，20个二保焊机、1台焊轴机、1台碳弧气刨机，共设置15个焊接平台，与2台焊接机器人共用一台3#脉冲布袋除尘器。焊接平台上方设置集气罩（尺寸为φ0.7m）收集焊接废气，焊接机器人焊接机器人焊接臂上方设置1×1.3m集气罩收集焊接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w w:val="100"/>
                <w:kern w:val="2"/>
                <w:sz w:val="21"/>
                <w:szCs w:val="21"/>
                <w:highlight w:val="none"/>
                <w:lang w:val="en-US" w:eastAsia="zh-CN" w:bidi="ar-SA"/>
              </w:rPr>
              <w:t>焊接</w:t>
            </w:r>
            <w:r>
              <w:rPr>
                <w:rFonts w:hint="default" w:ascii="Times New Roman" w:hAnsi="Times New Roman" w:eastAsia="宋体" w:cs="Times New Roman"/>
                <w:color w:val="auto"/>
                <w:w w:val="100"/>
                <w:kern w:val="2"/>
                <w:sz w:val="21"/>
                <w:szCs w:val="21"/>
                <w:highlight w:val="none"/>
                <w:lang w:val="en-US" w:eastAsia="zh-CN" w:bidi="ar-SA"/>
              </w:rPr>
              <w:t>废气所需风量计算公式为：集气罩面积×设计风速×3600s/h×风损；设计风速根据《唐山市生态环境局关于开展涉挥发性有机物企业提标改造的通知》（唐环气〔2022〕1号）文件中要求“采用冷态上吸风罩收集的，污染物产生点（面）处，往吸入口方向的控制风速不小于0.8m/s”，本项目取</w:t>
            </w:r>
            <w:r>
              <w:rPr>
                <w:rFonts w:hint="default" w:ascii="Times New Roman" w:hAnsi="Times New Roman" w:cs="Times New Roman"/>
                <w:color w:val="auto"/>
                <w:w w:val="100"/>
                <w:kern w:val="2"/>
                <w:sz w:val="21"/>
                <w:szCs w:val="21"/>
                <w:highlight w:val="none"/>
                <w:lang w:val="en-US" w:eastAsia="zh-CN" w:bidi="ar-SA"/>
              </w:rPr>
              <w:t>0.8</w:t>
            </w:r>
            <w:r>
              <w:rPr>
                <w:rFonts w:hint="default" w:ascii="Times New Roman" w:hAnsi="Times New Roman" w:eastAsia="宋体" w:cs="Times New Roman"/>
                <w:color w:val="auto"/>
                <w:w w:val="100"/>
                <w:kern w:val="2"/>
                <w:sz w:val="21"/>
                <w:szCs w:val="21"/>
                <w:highlight w:val="none"/>
                <w:lang w:val="en-US" w:eastAsia="zh-CN" w:bidi="ar-SA"/>
              </w:rPr>
              <w:t>m/s；风损取值1.2，根据计算可知，</w:t>
            </w:r>
            <w:r>
              <w:rPr>
                <w:rFonts w:hint="default" w:ascii="Times New Roman" w:hAnsi="Times New Roman" w:cs="Times New Roman"/>
                <w:color w:val="auto"/>
                <w:w w:val="100"/>
                <w:kern w:val="2"/>
                <w:sz w:val="21"/>
                <w:szCs w:val="21"/>
                <w:highlight w:val="none"/>
                <w:lang w:val="en-US" w:eastAsia="zh-CN" w:bidi="ar-SA"/>
              </w:rPr>
              <w:t>焊接</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default" w:ascii="Times New Roman" w:hAnsi="Times New Roman" w:cs="Times New Roman"/>
                <w:color w:val="auto"/>
                <w:w w:val="100"/>
                <w:kern w:val="2"/>
                <w:sz w:val="21"/>
                <w:szCs w:val="21"/>
                <w:highlight w:val="none"/>
                <w:lang w:val="en-US" w:eastAsia="zh-CN" w:bidi="ar-SA"/>
              </w:rPr>
              <w:t>28925.86</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/h，除尘器</w:t>
            </w:r>
            <w:r>
              <w:rPr>
                <w:rFonts w:hint="default" w:ascii="Times New Roman" w:hAnsi="Times New Roman" w:cs="Times New Roman"/>
                <w:color w:val="auto"/>
                <w:sz w:val="21"/>
                <w:szCs w:val="21"/>
                <w:highlight w:val="none"/>
                <w:lang w:val="en-US" w:eastAsia="zh-CN"/>
              </w:rPr>
              <w:t>配备</w:t>
            </w:r>
            <w:r>
              <w:rPr>
                <w:rFonts w:hint="default" w:ascii="Times New Roman" w:hAnsi="Times New Roman" w:eastAsia="宋体" w:cs="Times New Roman"/>
                <w:color w:val="auto"/>
                <w:sz w:val="21"/>
                <w:szCs w:val="21"/>
                <w:highlight w:val="none"/>
                <w:lang w:val="en-US" w:eastAsia="zh-CN"/>
              </w:rPr>
              <w:t>风量为</w:t>
            </w:r>
            <w:r>
              <w:rPr>
                <w:rFonts w:hint="default" w:ascii="Times New Roman" w:hAnsi="Times New Roman"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本项目固定</w:t>
            </w:r>
            <w:r>
              <w:rPr>
                <w:rFonts w:hint="default" w:ascii="Times New Roman" w:hAnsi="Times New Roman" w:eastAsia="宋体" w:cs="Times New Roman"/>
                <w:color w:val="auto"/>
                <w:sz w:val="21"/>
                <w:szCs w:val="21"/>
                <w:highlight w:val="none"/>
                <w:lang w:val="zh-CN" w:eastAsia="zh-CN"/>
              </w:rPr>
              <w:t>焊接工位焊接使用焊丝量为</w:t>
            </w:r>
            <w:r>
              <w:rPr>
                <w:rFonts w:hint="default" w:ascii="Times New Roman" w:hAnsi="Times New Roman" w:cs="Times New Roman"/>
                <w:color w:val="auto"/>
                <w:sz w:val="21"/>
                <w:szCs w:val="21"/>
                <w:highlight w:val="none"/>
                <w:lang w:val="en-US" w:eastAsia="zh-CN"/>
              </w:rPr>
              <w:t>152</w:t>
            </w:r>
            <w:r>
              <w:rPr>
                <w:rFonts w:hint="default" w:ascii="Times New Roman" w:hAnsi="Times New Roman" w:eastAsia="宋体" w:cs="Times New Roman"/>
                <w:color w:val="auto"/>
                <w:sz w:val="21"/>
                <w:szCs w:val="21"/>
                <w:highlight w:val="none"/>
                <w:lang w:val="zh-CN" w:eastAsia="zh-CN"/>
              </w:rPr>
              <w:t>t/a，</w:t>
            </w:r>
            <w:r>
              <w:rPr>
                <w:rFonts w:hint="default" w:ascii="Times New Roman" w:hAnsi="Times New Roman" w:cs="Times New Roman"/>
                <w:color w:val="auto"/>
                <w:sz w:val="21"/>
                <w:szCs w:val="21"/>
                <w:highlight w:val="none"/>
                <w:lang w:val="en-US" w:eastAsia="zh-CN"/>
              </w:rPr>
              <w:t>2台焊接机器人使用焊丝9.6t，共161.6t，均为实芯焊丝。</w:t>
            </w:r>
            <w:r>
              <w:rPr>
                <w:rFonts w:hint="default" w:ascii="Times New Roman" w:hAnsi="Times New Roman" w:eastAsia="宋体" w:cs="Times New Roman"/>
                <w:color w:val="auto"/>
                <w:sz w:val="21"/>
                <w:szCs w:val="21"/>
                <w:highlight w:val="none"/>
                <w:lang w:val="zh-CN" w:eastAsia="zh-CN"/>
              </w:rPr>
              <w:t>根据国家生态环境部发布的《排放源统计调查产排污核算方法和系数手册》（环保部公告2021年第24号）中附表1中33-37，431-434机械行业系数手册中09焊接-实芯焊丝产污系数9.19千克/吨-原料，本项目</w:t>
            </w:r>
            <w:r>
              <w:rPr>
                <w:rFonts w:hint="default" w:ascii="Times New Roman" w:hAnsi="Times New Roman" w:cs="Times New Roman"/>
                <w:color w:val="auto"/>
                <w:sz w:val="21"/>
                <w:szCs w:val="21"/>
                <w:highlight w:val="none"/>
                <w:lang w:val="en-US" w:eastAsia="zh-CN"/>
              </w:rPr>
              <w:t>固定工位</w:t>
            </w:r>
            <w:r>
              <w:rPr>
                <w:rFonts w:hint="default" w:ascii="Times New Roman" w:hAnsi="Times New Roman" w:eastAsia="宋体" w:cs="Times New Roman"/>
                <w:color w:val="auto"/>
                <w:sz w:val="21"/>
                <w:szCs w:val="21"/>
                <w:highlight w:val="none"/>
                <w:lang w:val="zh-CN" w:eastAsia="zh-CN"/>
              </w:rPr>
              <w:t>焊接过程产生颗粒物为</w:t>
            </w:r>
            <w:r>
              <w:rPr>
                <w:rFonts w:hint="default" w:ascii="Times New Roman" w:hAnsi="Times New Roman" w:cs="Times New Roman"/>
                <w:color w:val="auto"/>
                <w:sz w:val="21"/>
                <w:szCs w:val="21"/>
                <w:highlight w:val="none"/>
                <w:lang w:val="en-US" w:eastAsia="zh-CN"/>
              </w:rPr>
              <w:t>1.485</w:t>
            </w:r>
            <w:r>
              <w:rPr>
                <w:rFonts w:hint="default" w:ascii="Times New Roman" w:hAnsi="Times New Roman" w:eastAsia="宋体" w:cs="Times New Roman"/>
                <w:color w:val="auto"/>
                <w:sz w:val="21"/>
                <w:szCs w:val="21"/>
                <w:highlight w:val="none"/>
                <w:lang w:val="zh-CN" w:eastAsia="zh-CN"/>
              </w:rPr>
              <w:t>t/a</w:t>
            </w:r>
            <w:r>
              <w:rPr>
                <w:rFonts w:hint="default" w:ascii="Times New Roman" w:hAnsi="Times New Roman" w:cs="Times New Roman"/>
                <w:color w:val="auto"/>
                <w:sz w:val="21"/>
                <w:szCs w:val="21"/>
                <w:highlight w:val="none"/>
                <w:lang w:val="zh-C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固定工位焊接废气+2台焊接机器人废气</w:t>
            </w:r>
            <w:r>
              <w:rPr>
                <w:rFonts w:hint="default" w:ascii="Times New Roman" w:hAnsi="Times New Roman" w:eastAsia="宋体" w:cs="Times New Roman"/>
                <w:color w:val="auto"/>
                <w:sz w:val="21"/>
                <w:szCs w:val="21"/>
                <w:highlight w:val="none"/>
                <w:lang w:val="zh-CN" w:eastAsia="zh-CN"/>
              </w:rPr>
              <w:t>引入一套</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zh-CN" w:eastAsia="zh-CN"/>
              </w:rPr>
              <w:t>#脉冲布袋除尘器处理后经一根</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zh-CN" w:eastAsia="zh-CN"/>
              </w:rPr>
              <w:t>m高排气筒排放（</w:t>
            </w:r>
            <w:r>
              <w:rPr>
                <w:rFonts w:hint="default" w:ascii="Times New Roman" w:hAnsi="Times New Roman" w:cs="Times New Roman"/>
                <w:color w:val="auto"/>
                <w:sz w:val="21"/>
                <w:szCs w:val="21"/>
                <w:highlight w:val="none"/>
                <w:lang w:val="en-US" w:eastAsia="zh-CN"/>
              </w:rPr>
              <w:t>P3</w:t>
            </w:r>
            <w:r>
              <w:rPr>
                <w:rFonts w:hint="default" w:ascii="Times New Roman" w:hAnsi="Times New Roman" w:eastAsia="宋体" w:cs="Times New Roman"/>
                <w:color w:val="auto"/>
                <w:sz w:val="21"/>
                <w:szCs w:val="21"/>
                <w:highlight w:val="none"/>
                <w:lang w:val="zh-CN" w:eastAsia="zh-CN"/>
              </w:rPr>
              <w:t>），每个集气罩收集效率按90%，颗粒物去除效率为9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根据计算可知，</w:t>
            </w:r>
            <w:r>
              <w:rPr>
                <w:rFonts w:hint="default" w:ascii="Times New Roman" w:hAnsi="Times New Roman" w:eastAsia="宋体" w:cs="Times New Roman"/>
                <w:color w:val="auto"/>
                <w:sz w:val="21"/>
                <w:szCs w:val="21"/>
                <w:highlight w:val="none"/>
                <w:lang w:val="en-US" w:eastAsia="zh-CN"/>
              </w:rPr>
              <w:t>经处理后</w:t>
            </w:r>
            <w:r>
              <w:rPr>
                <w:rFonts w:hint="default" w:ascii="Times New Roman" w:hAnsi="Times New Roman" w:cs="Times New Roman"/>
                <w:color w:val="auto"/>
                <w:sz w:val="21"/>
                <w:szCs w:val="21"/>
                <w:highlight w:val="none"/>
                <w:lang w:val="en-US" w:eastAsia="zh-CN"/>
              </w:rPr>
              <w:t>焊接</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无组织排放量为0.149t/a（0.074kg/h），有组织排放量为</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067</w:t>
            </w:r>
            <w:r>
              <w:rPr>
                <w:rFonts w:hint="default" w:ascii="Times New Roman" w:hAnsi="Times New Roman" w:eastAsia="宋体" w:cs="Times New Roman"/>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排放速率为0.0</w:t>
            </w:r>
            <w:r>
              <w:rPr>
                <w:rFonts w:hint="default" w:ascii="Times New Roman" w:hAnsi="Times New Roman" w:cs="Times New Roman"/>
                <w:color w:val="auto"/>
                <w:sz w:val="21"/>
                <w:szCs w:val="21"/>
                <w:highlight w:val="none"/>
                <w:lang w:val="en-US" w:eastAsia="zh-CN"/>
              </w:rPr>
              <w:t>33</w:t>
            </w:r>
            <w:r>
              <w:rPr>
                <w:rFonts w:hint="default" w:ascii="Times New Roman" w:hAnsi="Times New Roman" w:eastAsia="宋体" w:cs="Times New Roman"/>
                <w:color w:val="auto"/>
                <w:sz w:val="21"/>
                <w:szCs w:val="21"/>
                <w:highlight w:val="none"/>
                <w:lang w:val="en-US" w:eastAsia="zh-CN"/>
              </w:rPr>
              <w:t>kgh，排放浓度为</w:t>
            </w:r>
            <w:r>
              <w:rPr>
                <w:rFonts w:hint="default" w:ascii="Times New Roman" w:hAnsi="Times New Roman" w:cs="Times New Roman"/>
                <w:color w:val="auto"/>
                <w:sz w:val="21"/>
                <w:szCs w:val="21"/>
                <w:highlight w:val="none"/>
                <w:lang w:val="en-US" w:eastAsia="zh-CN"/>
              </w:rPr>
              <w:t>1.114</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，满足</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numPr>
                <w:ilvl w:val="0"/>
                <w:numId w:val="0"/>
              </w:numPr>
              <w:kinsoku/>
              <w:wordWrap/>
              <w:overflowPunct/>
              <w:topLinePunct w:val="0"/>
              <w:bidi w:val="0"/>
              <w:adjustRightInd w:val="0"/>
              <w:snapToGrid w:val="0"/>
              <w:spacing w:beforeAutospacing="0" w:afterAutospacing="0" w:line="360" w:lineRule="auto"/>
              <w:ind w:leftChars="200" w:right="0" w:right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（4）焊接机器人</w:t>
            </w:r>
            <w:r>
              <w:rPr>
                <w:rFonts w:hint="default" w:ascii="Times New Roman" w:hAnsi="Times New Roman" w:eastAsia="宋体" w:cs="Times New Roman"/>
                <w:b/>
                <w:bCs/>
                <w:color w:val="auto"/>
                <w:sz w:val="21"/>
                <w:szCs w:val="21"/>
                <w:highlight w:val="none"/>
                <w:lang w:val="en-US" w:eastAsia="zh-CN"/>
              </w:rPr>
              <w:t>焊接烟尘</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本项目</w:t>
            </w:r>
            <w:r>
              <w:rPr>
                <w:rFonts w:hint="default" w:ascii="Times New Roman" w:hAnsi="Times New Roman" w:cs="Times New Roman"/>
                <w:color w:val="auto"/>
                <w:sz w:val="21"/>
                <w:szCs w:val="21"/>
                <w:highlight w:val="none"/>
                <w:lang w:val="en-US" w:eastAsia="zh-CN"/>
              </w:rPr>
              <w:t>另设有3台</w:t>
            </w:r>
            <w:r>
              <w:rPr>
                <w:rFonts w:hint="default" w:ascii="Times New Roman" w:hAnsi="Times New Roman" w:eastAsia="宋体" w:cs="Times New Roman"/>
                <w:color w:val="auto"/>
                <w:sz w:val="21"/>
                <w:szCs w:val="21"/>
                <w:highlight w:val="none"/>
                <w:lang w:val="zh-CN" w:eastAsia="zh-CN"/>
              </w:rPr>
              <w:t>焊接机器，焊接工序工作时间依据订单而定，平均年工作</w:t>
            </w:r>
            <w:r>
              <w:rPr>
                <w:rFonts w:hint="default" w:ascii="Times New Roman" w:hAnsi="Times New Roman"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zh-CN" w:eastAsia="zh-CN"/>
              </w:rPr>
              <w:t>00h</w:t>
            </w:r>
            <w:r>
              <w:rPr>
                <w:rFonts w:hint="default" w:ascii="Times New Roman" w:hAnsi="Times New Roman"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val="zh-CN" w:eastAsia="zh-CN"/>
              </w:rPr>
              <w:t>焊接机器人</w:t>
            </w:r>
            <w:r>
              <w:rPr>
                <w:rFonts w:hint="default" w:ascii="Times New Roman" w:hAnsi="Times New Roman" w:cs="Times New Roman"/>
                <w:color w:val="auto"/>
                <w:sz w:val="21"/>
                <w:szCs w:val="21"/>
                <w:highlight w:val="none"/>
                <w:lang w:val="en-US" w:eastAsia="zh-CN"/>
              </w:rPr>
              <w:t>焊接臂上方设置1×1.3m集气罩收集焊接废气，3台焊接机共用一台4#脉冲布袋除尘器。</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w w:val="100"/>
                <w:kern w:val="2"/>
                <w:sz w:val="21"/>
                <w:szCs w:val="21"/>
                <w:highlight w:val="none"/>
                <w:lang w:val="en-US" w:eastAsia="zh-CN" w:bidi="ar-SA"/>
              </w:rPr>
              <w:t>焊接</w:t>
            </w:r>
            <w:r>
              <w:rPr>
                <w:rFonts w:hint="default" w:ascii="Times New Roman" w:hAnsi="Times New Roman" w:eastAsia="宋体" w:cs="Times New Roman"/>
                <w:color w:val="auto"/>
                <w:w w:val="100"/>
                <w:kern w:val="2"/>
                <w:sz w:val="21"/>
                <w:szCs w:val="21"/>
                <w:highlight w:val="none"/>
                <w:lang w:val="en-US" w:eastAsia="zh-CN" w:bidi="ar-SA"/>
              </w:rPr>
              <w:t>废气所需风量计算公式为：集气罩面积×设计风速×3600s/h×风损；设计风速根据《唐山市生态环境局关于开展涉挥发性有机物企业提标改造的通知》（唐环气〔2022〕1号）文件中要求“采用冷态上吸风罩收集的，污染物产生点（面）处，往吸入口方向的控制风速不小于0.8m/s”，本项目取</w:t>
            </w:r>
            <w:r>
              <w:rPr>
                <w:rFonts w:hint="default" w:ascii="Times New Roman" w:hAnsi="Times New Roman" w:cs="Times New Roman"/>
                <w:color w:val="auto"/>
                <w:w w:val="100"/>
                <w:kern w:val="2"/>
                <w:sz w:val="21"/>
                <w:szCs w:val="21"/>
                <w:highlight w:val="none"/>
                <w:lang w:val="en-US" w:eastAsia="zh-CN" w:bidi="ar-SA"/>
              </w:rPr>
              <w:t>0.8</w:t>
            </w:r>
            <w:r>
              <w:rPr>
                <w:rFonts w:hint="default" w:ascii="Times New Roman" w:hAnsi="Times New Roman" w:eastAsia="宋体" w:cs="Times New Roman"/>
                <w:color w:val="auto"/>
                <w:w w:val="100"/>
                <w:kern w:val="2"/>
                <w:sz w:val="21"/>
                <w:szCs w:val="21"/>
                <w:highlight w:val="none"/>
                <w:lang w:val="en-US" w:eastAsia="zh-CN" w:bidi="ar-SA"/>
              </w:rPr>
              <w:t>m/s；风损取值1.2，根据计算可知，</w:t>
            </w:r>
            <w:r>
              <w:rPr>
                <w:rFonts w:hint="default" w:ascii="Times New Roman" w:hAnsi="Times New Roman" w:cs="Times New Roman"/>
                <w:color w:val="auto"/>
                <w:w w:val="100"/>
                <w:kern w:val="2"/>
                <w:sz w:val="21"/>
                <w:szCs w:val="21"/>
                <w:highlight w:val="none"/>
                <w:lang w:val="en-US" w:eastAsia="zh-CN" w:bidi="ar-SA"/>
              </w:rPr>
              <w:t>焊接</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default" w:ascii="Times New Roman" w:hAnsi="Times New Roman" w:cs="Times New Roman"/>
                <w:color w:val="auto"/>
                <w:w w:val="100"/>
                <w:kern w:val="2"/>
                <w:sz w:val="21"/>
                <w:szCs w:val="21"/>
                <w:highlight w:val="none"/>
                <w:lang w:val="en-US" w:eastAsia="zh-CN" w:bidi="ar-SA"/>
              </w:rPr>
              <w:t>13478.4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/h，除尘器</w:t>
            </w:r>
            <w:r>
              <w:rPr>
                <w:rFonts w:hint="default" w:ascii="Times New Roman" w:hAnsi="Times New Roman" w:cs="Times New Roman"/>
                <w:color w:val="auto"/>
                <w:sz w:val="21"/>
                <w:szCs w:val="21"/>
                <w:highlight w:val="none"/>
                <w:lang w:val="en-US" w:eastAsia="zh-CN"/>
              </w:rPr>
              <w:t>配备</w:t>
            </w:r>
            <w:r>
              <w:rPr>
                <w:rFonts w:hint="default" w:ascii="Times New Roman" w:hAnsi="Times New Roman" w:eastAsia="宋体" w:cs="Times New Roman"/>
                <w:color w:val="auto"/>
                <w:sz w:val="21"/>
                <w:szCs w:val="21"/>
                <w:highlight w:val="none"/>
                <w:lang w:val="en-US" w:eastAsia="zh-CN"/>
              </w:rPr>
              <w:t>风量为</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3台焊接机器人使用焊丝量为14.4t</w:t>
            </w:r>
            <w:r>
              <w:rPr>
                <w:rFonts w:hint="default" w:ascii="Times New Roman" w:hAnsi="Times New Roman" w:eastAsia="宋体" w:cs="Times New Roman"/>
                <w:color w:val="auto"/>
                <w:sz w:val="21"/>
                <w:szCs w:val="21"/>
                <w:highlight w:val="none"/>
                <w:lang w:val="zh-CN" w:eastAsia="zh-CN"/>
              </w:rPr>
              <w:t>，根据国家生态环境部发布的《排放源统计调查产排污核算方法和系数手册》（环保部公告2021年第24号）中附表1中33-37，431-434机械行业系数手册中09焊接-实芯焊丝产污系数9.19千克/吨-原料，本项目</w:t>
            </w:r>
            <w:r>
              <w:rPr>
                <w:rFonts w:hint="default" w:ascii="Times New Roman" w:hAnsi="Times New Roman" w:cs="Times New Roman"/>
                <w:color w:val="auto"/>
                <w:sz w:val="21"/>
                <w:szCs w:val="21"/>
                <w:highlight w:val="none"/>
                <w:lang w:val="en-US" w:eastAsia="zh-CN"/>
              </w:rPr>
              <w:t>焊接机器人</w:t>
            </w:r>
            <w:r>
              <w:rPr>
                <w:rFonts w:hint="default" w:ascii="Times New Roman" w:hAnsi="Times New Roman" w:eastAsia="宋体" w:cs="Times New Roman"/>
                <w:color w:val="auto"/>
                <w:sz w:val="21"/>
                <w:szCs w:val="21"/>
                <w:highlight w:val="none"/>
                <w:lang w:val="zh-CN" w:eastAsia="zh-CN"/>
              </w:rPr>
              <w:t>焊接过程产生颗粒物为</w:t>
            </w:r>
            <w:r>
              <w:rPr>
                <w:rFonts w:hint="default" w:ascii="Times New Roman" w:hAnsi="Times New Roman" w:cs="Times New Roman"/>
                <w:color w:val="auto"/>
                <w:sz w:val="21"/>
                <w:szCs w:val="21"/>
                <w:highlight w:val="none"/>
                <w:lang w:val="en-US" w:eastAsia="zh-CN"/>
              </w:rPr>
              <w:t>0.132</w:t>
            </w:r>
            <w:r>
              <w:rPr>
                <w:rFonts w:hint="default" w:ascii="Times New Roman" w:hAnsi="Times New Roman" w:eastAsia="宋体" w:cs="Times New Roman"/>
                <w:color w:val="auto"/>
                <w:sz w:val="21"/>
                <w:szCs w:val="21"/>
                <w:highlight w:val="none"/>
                <w:lang w:val="zh-CN" w:eastAsia="zh-CN"/>
              </w:rPr>
              <w:t>t/a</w:t>
            </w:r>
            <w:r>
              <w:rPr>
                <w:rFonts w:hint="default" w:ascii="Times New Roman" w:hAnsi="Times New Roman" w:cs="Times New Roman"/>
                <w:color w:val="auto"/>
                <w:sz w:val="21"/>
                <w:szCs w:val="21"/>
                <w:highlight w:val="none"/>
                <w:lang w:val="zh-C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集气罩收集效率按90%，颗粒物去除效率为9</w:t>
            </w:r>
            <w:r>
              <w:rPr>
                <w:rFonts w:hint="default"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根据计算可知，</w:t>
            </w:r>
            <w:r>
              <w:rPr>
                <w:rFonts w:hint="default" w:ascii="Times New Roman" w:hAnsi="Times New Roman" w:eastAsia="宋体" w:cs="Times New Roman"/>
                <w:color w:val="auto"/>
                <w:sz w:val="21"/>
                <w:szCs w:val="21"/>
                <w:highlight w:val="none"/>
                <w:lang w:val="en-US" w:eastAsia="zh-CN"/>
              </w:rPr>
              <w:t>经处理后</w:t>
            </w:r>
            <w:r>
              <w:rPr>
                <w:rFonts w:hint="default" w:ascii="Times New Roman" w:hAnsi="Times New Roman" w:cs="Times New Roman"/>
                <w:color w:val="auto"/>
                <w:sz w:val="21"/>
                <w:szCs w:val="21"/>
                <w:highlight w:val="none"/>
                <w:lang w:val="en-US" w:eastAsia="zh-CN"/>
              </w:rPr>
              <w:t>焊接</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无组织排放量为0.013t/a（0.007kg/h），有组织排放量为</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012</w:t>
            </w:r>
            <w:r>
              <w:rPr>
                <w:rFonts w:hint="default" w:ascii="Times New Roman" w:hAnsi="Times New Roman" w:eastAsia="宋体" w:cs="Times New Roman"/>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排放速率为0.0</w:t>
            </w:r>
            <w:r>
              <w:rPr>
                <w:rFonts w:hint="default" w:ascii="Times New Roman" w:hAnsi="Times New Roman" w:cs="Times New Roman"/>
                <w:color w:val="auto"/>
                <w:sz w:val="21"/>
                <w:szCs w:val="21"/>
                <w:highlight w:val="none"/>
                <w:lang w:val="en-US" w:eastAsia="zh-CN"/>
              </w:rPr>
              <w:t>06</w:t>
            </w:r>
            <w:r>
              <w:rPr>
                <w:rFonts w:hint="default" w:ascii="Times New Roman" w:hAnsi="Times New Roman" w:eastAsia="宋体" w:cs="Times New Roman"/>
                <w:color w:val="auto"/>
                <w:sz w:val="21"/>
                <w:szCs w:val="21"/>
                <w:highlight w:val="none"/>
                <w:lang w:val="en-US" w:eastAsia="zh-CN"/>
              </w:rPr>
              <w:t>kgh，排放浓度为</w:t>
            </w:r>
            <w:r>
              <w:rPr>
                <w:rFonts w:hint="default" w:ascii="Times New Roman" w:hAnsi="Times New Roman" w:cs="Times New Roman"/>
                <w:color w:val="auto"/>
                <w:sz w:val="21"/>
                <w:szCs w:val="21"/>
                <w:highlight w:val="none"/>
                <w:lang w:val="en-US" w:eastAsia="zh-CN"/>
              </w:rPr>
              <w:t>0.397</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，满足</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（5）角磨机废气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本项目激振器组装工序采用人工手持角磨机对铸件毛边进行打磨</w:t>
            </w:r>
            <w:r>
              <w:rPr>
                <w:rFonts w:hint="eastAsia" w:ascii="Times New Roman" w:hAnsi="Times New Roman" w:cs="Times New Roman"/>
                <w:color w:val="auto"/>
                <w:sz w:val="21"/>
                <w:szCs w:val="21"/>
                <w:highlight w:val="none"/>
                <w:lang w:val="en-US" w:eastAsia="zh-CN"/>
              </w:rPr>
              <w:t>，打磨工序</w:t>
            </w:r>
            <w:r>
              <w:rPr>
                <w:rFonts w:hint="default" w:ascii="Times New Roman" w:hAnsi="Times New Roman" w:eastAsia="宋体" w:cs="Times New Roman"/>
                <w:color w:val="auto"/>
                <w:sz w:val="21"/>
                <w:szCs w:val="21"/>
                <w:highlight w:val="none"/>
                <w:lang w:val="zh-CN" w:eastAsia="zh-CN"/>
              </w:rPr>
              <w:t>平均年工作</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zh-CN" w:eastAsia="zh-CN"/>
              </w:rPr>
              <w:t>00h</w:t>
            </w:r>
            <w:r>
              <w:rPr>
                <w:rFonts w:hint="default" w:ascii="Times New Roman" w:hAnsi="Times New Roman"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由于工位不固定，采用可移动集气罩（φ0.5m）收集打磨废气，经移动式焊接烟尘净化器（风机风量2</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，共</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套）</w:t>
            </w:r>
            <w:r>
              <w:rPr>
                <w:rFonts w:hint="default" w:ascii="Times New Roman" w:hAnsi="Times New Roman" w:eastAsia="宋体" w:cs="Times New Roman"/>
                <w:color w:val="auto"/>
                <w:sz w:val="21"/>
                <w:szCs w:val="21"/>
                <w:highlight w:val="none"/>
                <w:lang w:val="zh-CN" w:eastAsia="zh-CN"/>
              </w:rPr>
              <w:t>处理后</w:t>
            </w:r>
            <w:r>
              <w:rPr>
                <w:rFonts w:hint="default" w:ascii="Times New Roman" w:hAnsi="Times New Roman" w:cs="Times New Roman"/>
                <w:color w:val="auto"/>
                <w:sz w:val="21"/>
                <w:szCs w:val="21"/>
                <w:highlight w:val="none"/>
                <w:lang w:val="en-US" w:eastAsia="zh-CN"/>
              </w:rPr>
              <w:t>车间内无组织排放</w:t>
            </w:r>
            <w:r>
              <w:rPr>
                <w:rFonts w:hint="default" w:ascii="Times New Roman" w:hAnsi="Times New Roman" w:eastAsia="宋体" w:cs="Times New Roman"/>
                <w:color w:val="auto"/>
                <w:sz w:val="21"/>
                <w:szCs w:val="21"/>
                <w:highlight w:val="none"/>
                <w:lang w:val="zh-CN" w:eastAsia="zh-CN"/>
              </w:rPr>
              <w:t>。根据国家生态环境部发布的《排放源统计调查产排污核算方法和系数手册》（环保部公告2021年第24号）中附表1中33-37，431-434机械行业系数手册中0</w:t>
            </w:r>
            <w:r>
              <w:rPr>
                <w:rFonts w:hint="default" w:ascii="Times New Roman" w:hAnsi="Times New Roman" w:cs="Times New Roman"/>
                <w:color w:val="auto"/>
                <w:sz w:val="21"/>
                <w:szCs w:val="21"/>
                <w:highlight w:val="none"/>
                <w:lang w:val="en-US" w:eastAsia="zh-CN"/>
              </w:rPr>
              <w:t>6预处理</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干式预处理件（打磨）</w:t>
            </w:r>
            <w:r>
              <w:rPr>
                <w:rFonts w:hint="default" w:ascii="Times New Roman" w:hAnsi="Times New Roman" w:eastAsia="宋体" w:cs="Times New Roman"/>
                <w:color w:val="auto"/>
                <w:sz w:val="21"/>
                <w:szCs w:val="21"/>
                <w:highlight w:val="none"/>
                <w:lang w:val="zh-CN" w:eastAsia="zh-CN"/>
              </w:rPr>
              <w:t>产污系数</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zh-CN" w:eastAsia="zh-CN"/>
              </w:rPr>
              <w:t>.19千克/吨-原料，</w:t>
            </w:r>
            <w:r>
              <w:rPr>
                <w:rFonts w:hint="default" w:ascii="Times New Roman" w:hAnsi="Times New Roman" w:cs="Times New Roman"/>
                <w:color w:val="auto"/>
                <w:sz w:val="21"/>
                <w:szCs w:val="21"/>
                <w:highlight w:val="none"/>
                <w:lang w:val="en-US" w:eastAsia="zh-CN"/>
              </w:rPr>
              <w:t>项目所需打磨铸件量为</w:t>
            </w:r>
            <w:r>
              <w:rPr>
                <w:rFonts w:hint="default" w:ascii="Times New Roman" w:hAnsi="Times New Roman" w:cs="Times New Roman"/>
                <w:color w:val="auto"/>
                <w:lang w:val="en-US" w:eastAsia="zh-CN"/>
              </w:rPr>
              <w:t>249t，</w:t>
            </w:r>
            <w:r>
              <w:rPr>
                <w:rFonts w:hint="default" w:ascii="Times New Roman" w:hAnsi="Times New Roman" w:cs="Times New Roman"/>
                <w:color w:val="auto"/>
                <w:sz w:val="21"/>
                <w:szCs w:val="21"/>
                <w:highlight w:val="none"/>
                <w:lang w:val="en-US" w:eastAsia="zh-CN"/>
              </w:rPr>
              <w:t>则打磨</w:t>
            </w:r>
            <w:r>
              <w:rPr>
                <w:rFonts w:hint="default" w:ascii="Times New Roman" w:hAnsi="Times New Roman" w:eastAsia="宋体" w:cs="Times New Roman"/>
                <w:color w:val="auto"/>
                <w:sz w:val="21"/>
                <w:szCs w:val="21"/>
                <w:highlight w:val="none"/>
                <w:lang w:val="zh-CN" w:eastAsia="zh-CN"/>
              </w:rPr>
              <w:t>过程产生颗粒物为</w:t>
            </w:r>
            <w:r>
              <w:rPr>
                <w:rFonts w:hint="default" w:ascii="Times New Roman" w:hAnsi="Times New Roman" w:cs="Times New Roman"/>
                <w:color w:val="auto"/>
                <w:sz w:val="21"/>
                <w:szCs w:val="21"/>
                <w:highlight w:val="none"/>
                <w:lang w:val="en-US" w:eastAsia="zh-CN"/>
              </w:rPr>
              <w:t>0.545</w:t>
            </w:r>
            <w:r>
              <w:rPr>
                <w:rFonts w:hint="default" w:ascii="Times New Roman" w:hAnsi="Times New Roman" w:eastAsia="宋体" w:cs="Times New Roman"/>
                <w:color w:val="auto"/>
                <w:sz w:val="21"/>
                <w:szCs w:val="21"/>
                <w:highlight w:val="none"/>
                <w:lang w:val="zh-CN" w:eastAsia="zh-CN"/>
              </w:rPr>
              <w:t>t/a</w:t>
            </w:r>
            <w:r>
              <w:rPr>
                <w:rFonts w:hint="default" w:ascii="Times New Roman" w:hAnsi="Times New Roman"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green"/>
                <w:lang w:val="en-US" w:eastAsia="zh-CN"/>
              </w:rPr>
            </w:pPr>
            <w:r>
              <w:rPr>
                <w:rFonts w:hint="default" w:ascii="Times New Roman" w:hAnsi="Times New Roman" w:eastAsia="宋体" w:cs="Times New Roman"/>
                <w:color w:val="auto"/>
                <w:sz w:val="21"/>
                <w:szCs w:val="21"/>
                <w:highlight w:val="none"/>
                <w:lang w:val="zh-CN" w:eastAsia="zh-CN"/>
              </w:rPr>
              <w:t>集气罩收集效率按90%，颗粒物去除效率为9</w:t>
            </w:r>
            <w:r>
              <w:rPr>
                <w:rFonts w:hint="default"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根据计算可知，</w:t>
            </w:r>
            <w:r>
              <w:rPr>
                <w:rFonts w:hint="default" w:ascii="Times New Roman" w:hAnsi="Times New Roman" w:eastAsia="宋体" w:cs="Times New Roman"/>
                <w:color w:val="auto"/>
                <w:sz w:val="21"/>
                <w:szCs w:val="21"/>
                <w:highlight w:val="none"/>
                <w:lang w:val="en-US" w:eastAsia="zh-CN"/>
              </w:rPr>
              <w:t>经处理后</w:t>
            </w:r>
            <w:r>
              <w:rPr>
                <w:rFonts w:hint="default" w:ascii="Times New Roman" w:hAnsi="Times New Roman" w:cs="Times New Roman"/>
                <w:color w:val="auto"/>
                <w:sz w:val="21"/>
                <w:szCs w:val="21"/>
                <w:highlight w:val="none"/>
                <w:lang w:val="en-US" w:eastAsia="zh-CN"/>
              </w:rPr>
              <w:t>打磨</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无组织排放量为0.104t/a（0.052kg/h）</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（6）</w:t>
            </w:r>
            <w:r>
              <w:rPr>
                <w:rFonts w:hint="eastAsia" w:ascii="Times New Roman" w:hAnsi="Times New Roman" w:cs="Times New Roman"/>
                <w:b/>
                <w:bCs/>
                <w:color w:val="auto"/>
                <w:sz w:val="21"/>
                <w:szCs w:val="21"/>
                <w:highlight w:val="none"/>
                <w:lang w:val="en-US" w:eastAsia="zh-CN"/>
              </w:rPr>
              <w:t>移动式焊接废气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本项目</w:t>
            </w:r>
            <w:r>
              <w:rPr>
                <w:rFonts w:hint="default" w:ascii="Times New Roman" w:hAnsi="Times New Roman" w:cs="Times New Roman"/>
                <w:color w:val="auto"/>
                <w:sz w:val="21"/>
                <w:szCs w:val="21"/>
                <w:highlight w:val="none"/>
                <w:lang w:val="en-US" w:eastAsia="zh-CN"/>
              </w:rPr>
              <w:t>另设有</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台交流电焊机</w:t>
            </w:r>
            <w:r>
              <w:rPr>
                <w:rFonts w:hint="default" w:ascii="Times New Roman" w:hAnsi="Times New Roman" w:eastAsia="宋体" w:cs="Times New Roman"/>
                <w:color w:val="auto"/>
                <w:sz w:val="21"/>
                <w:szCs w:val="21"/>
                <w:highlight w:val="none"/>
                <w:lang w:val="zh-CN" w:eastAsia="zh-CN"/>
              </w:rPr>
              <w:t>进行</w:t>
            </w:r>
            <w:r>
              <w:rPr>
                <w:rFonts w:hint="default" w:ascii="Times New Roman" w:hAnsi="Times New Roman" w:cs="Times New Roman"/>
                <w:color w:val="auto"/>
                <w:sz w:val="21"/>
                <w:szCs w:val="21"/>
                <w:highlight w:val="none"/>
                <w:lang w:val="en-US" w:eastAsia="zh-CN"/>
              </w:rPr>
              <w:t>补充</w:t>
            </w:r>
            <w:r>
              <w:rPr>
                <w:rFonts w:hint="default" w:ascii="Times New Roman" w:hAnsi="Times New Roman" w:eastAsia="宋体" w:cs="Times New Roman"/>
                <w:color w:val="auto"/>
                <w:sz w:val="21"/>
                <w:szCs w:val="21"/>
                <w:highlight w:val="none"/>
                <w:lang w:val="zh-CN" w:eastAsia="zh-CN"/>
              </w:rPr>
              <w:t>焊接，</w:t>
            </w:r>
            <w:r>
              <w:rPr>
                <w:rFonts w:hint="eastAsia" w:ascii="Times New Roman" w:hAnsi="Times New Roman" w:eastAsia="宋体" w:cs="Times New Roman"/>
                <w:color w:val="auto"/>
                <w:sz w:val="21"/>
                <w:szCs w:val="21"/>
                <w:highlight w:val="none"/>
                <w:lang w:val="en-US" w:eastAsia="zh-CN"/>
              </w:rPr>
              <w:t>用于一些边角补充焊接以及不方便进入焊接工位的工件焊接。补充</w:t>
            </w:r>
            <w:r>
              <w:rPr>
                <w:rFonts w:hint="default" w:ascii="Times New Roman" w:hAnsi="Times New Roman" w:eastAsia="宋体" w:cs="Times New Roman"/>
                <w:color w:val="auto"/>
                <w:sz w:val="21"/>
                <w:szCs w:val="21"/>
                <w:highlight w:val="none"/>
                <w:lang w:val="zh-CN" w:eastAsia="zh-CN"/>
              </w:rPr>
              <w:t>焊接工序平均年工作</w:t>
            </w:r>
            <w:r>
              <w:rPr>
                <w:rFonts w:hint="default" w:ascii="Times New Roman" w:hAnsi="Times New Roman"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zh-CN" w:eastAsia="zh-CN"/>
              </w:rPr>
              <w:t>00h</w:t>
            </w:r>
            <w:r>
              <w:rPr>
                <w:rFonts w:hint="default" w:ascii="Times New Roman" w:hAnsi="Times New Roman"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采用可移动集气罩（φ0.5m）收集</w:t>
            </w:r>
            <w:r>
              <w:rPr>
                <w:rFonts w:hint="eastAsia" w:ascii="Times New Roman" w:hAnsi="Times New Roman" w:cs="Times New Roman"/>
                <w:color w:val="auto"/>
                <w:sz w:val="21"/>
                <w:szCs w:val="21"/>
                <w:highlight w:val="none"/>
                <w:lang w:val="en-US" w:eastAsia="zh-CN"/>
              </w:rPr>
              <w:t>焊接</w:t>
            </w:r>
            <w:r>
              <w:rPr>
                <w:rFonts w:hint="default" w:ascii="Times New Roman" w:hAnsi="Times New Roman" w:cs="Times New Roman"/>
                <w:color w:val="auto"/>
                <w:sz w:val="21"/>
                <w:szCs w:val="21"/>
                <w:highlight w:val="none"/>
                <w:lang w:val="en-US" w:eastAsia="zh-CN"/>
              </w:rPr>
              <w:t>废气，经移动式焊接烟尘净化器（风机风量2</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，共</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套）</w:t>
            </w:r>
            <w:r>
              <w:rPr>
                <w:rFonts w:hint="default" w:ascii="Times New Roman" w:hAnsi="Times New Roman" w:eastAsia="宋体" w:cs="Times New Roman"/>
                <w:color w:val="auto"/>
                <w:sz w:val="21"/>
                <w:szCs w:val="21"/>
                <w:highlight w:val="none"/>
                <w:lang w:val="zh-CN" w:eastAsia="zh-CN"/>
              </w:rPr>
              <w:t>处理后</w:t>
            </w:r>
            <w:r>
              <w:rPr>
                <w:rFonts w:hint="default" w:ascii="Times New Roman" w:hAnsi="Times New Roman" w:cs="Times New Roman"/>
                <w:color w:val="auto"/>
                <w:sz w:val="21"/>
                <w:szCs w:val="21"/>
                <w:highlight w:val="none"/>
                <w:lang w:val="en-US" w:eastAsia="zh-CN"/>
              </w:rPr>
              <w:t>车间内无组织排放</w:t>
            </w:r>
            <w:r>
              <w:rPr>
                <w:rFonts w:hint="default" w:ascii="Times New Roman" w:hAnsi="Times New Roman" w:eastAsia="宋体"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zh-CN" w:eastAsia="zh-CN"/>
              </w:rPr>
            </w:pP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台焊接机器人使用焊丝量为</w:t>
            </w:r>
            <w:r>
              <w:rPr>
                <w:rFonts w:hint="eastAsia" w:ascii="Times New Roman" w:hAnsi="Times New Roman" w:cs="Times New Roman"/>
                <w:color w:val="auto"/>
                <w:sz w:val="21"/>
                <w:szCs w:val="21"/>
                <w:highlight w:val="none"/>
                <w:lang w:val="en-US" w:eastAsia="zh-CN"/>
              </w:rPr>
              <w:t>4.4</w:t>
            </w:r>
            <w:r>
              <w:rPr>
                <w:rFonts w:hint="default" w:ascii="Times New Roman" w:hAnsi="Times New Roman" w:cs="Times New Roman"/>
                <w:color w:val="auto"/>
                <w:sz w:val="21"/>
                <w:szCs w:val="21"/>
                <w:highlight w:val="none"/>
                <w:lang w:val="en-US" w:eastAsia="zh-CN"/>
              </w:rPr>
              <w:t>t</w:t>
            </w:r>
            <w:r>
              <w:rPr>
                <w:rFonts w:hint="eastAsia" w:ascii="Times New Roman" w:hAnsi="Times New Roman" w:cs="Times New Roman"/>
                <w:color w:val="auto"/>
                <w:sz w:val="21"/>
                <w:szCs w:val="21"/>
                <w:highlight w:val="none"/>
                <w:lang w:val="en-US" w:eastAsia="zh-CN"/>
              </w:rPr>
              <w:t>（每台使用焊丝量为0.88t）</w:t>
            </w:r>
            <w:r>
              <w:rPr>
                <w:rFonts w:hint="default" w:ascii="Times New Roman" w:hAnsi="Times New Roman" w:eastAsia="宋体" w:cs="Times New Roman"/>
                <w:color w:val="auto"/>
                <w:sz w:val="21"/>
                <w:szCs w:val="21"/>
                <w:highlight w:val="none"/>
                <w:lang w:val="zh-CN" w:eastAsia="zh-CN"/>
              </w:rPr>
              <w:t>，根据国家生态环境部发布的《排放源统计调查产排污核算方法和系数手册》（环保部公告2021年第24号）中附表1中33-37，431-434机械行业系数手册中09焊接-实芯焊丝产污系数9.19千克/吨-原料，本项目</w:t>
            </w:r>
            <w:r>
              <w:rPr>
                <w:rFonts w:hint="default" w:ascii="Times New Roman" w:hAnsi="Times New Roman" w:cs="Times New Roman"/>
                <w:color w:val="auto"/>
                <w:sz w:val="21"/>
                <w:szCs w:val="21"/>
                <w:highlight w:val="none"/>
                <w:lang w:val="en-US" w:eastAsia="zh-CN"/>
              </w:rPr>
              <w:t>焊接机器人</w:t>
            </w:r>
            <w:r>
              <w:rPr>
                <w:rFonts w:hint="default" w:ascii="Times New Roman" w:hAnsi="Times New Roman" w:eastAsia="宋体" w:cs="Times New Roman"/>
                <w:color w:val="auto"/>
                <w:sz w:val="21"/>
                <w:szCs w:val="21"/>
                <w:highlight w:val="none"/>
                <w:lang w:val="zh-CN" w:eastAsia="zh-CN"/>
              </w:rPr>
              <w:t>焊接过程产生颗粒物为</w:t>
            </w:r>
            <w:r>
              <w:rPr>
                <w:rFonts w:hint="default" w:ascii="Times New Roman" w:hAnsi="Times New Roman"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040</w:t>
            </w:r>
            <w:r>
              <w:rPr>
                <w:rFonts w:hint="default" w:ascii="Times New Roman" w:hAnsi="Times New Roman" w:eastAsia="宋体" w:cs="Times New Roman"/>
                <w:color w:val="auto"/>
                <w:sz w:val="21"/>
                <w:szCs w:val="21"/>
                <w:highlight w:val="none"/>
                <w:lang w:val="zh-CN" w:eastAsia="zh-CN"/>
              </w:rPr>
              <w:t>t/a</w:t>
            </w:r>
            <w:r>
              <w:rPr>
                <w:rFonts w:hint="default" w:ascii="Times New Roman" w:hAnsi="Times New Roman"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集气罩收集效率按90%，颗粒物去除效率为9</w:t>
            </w:r>
            <w:r>
              <w:rPr>
                <w:rFonts w:hint="default"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根据计算可知，</w:t>
            </w:r>
            <w:r>
              <w:rPr>
                <w:rFonts w:hint="default" w:ascii="Times New Roman" w:hAnsi="Times New Roman" w:eastAsia="宋体" w:cs="Times New Roman"/>
                <w:color w:val="auto"/>
                <w:sz w:val="21"/>
                <w:szCs w:val="21"/>
                <w:highlight w:val="none"/>
                <w:lang w:val="en-US" w:eastAsia="zh-CN"/>
              </w:rPr>
              <w:t>经处理后</w:t>
            </w:r>
            <w:r>
              <w:rPr>
                <w:rFonts w:hint="default" w:ascii="Times New Roman" w:hAnsi="Times New Roman" w:cs="Times New Roman"/>
                <w:color w:val="auto"/>
                <w:sz w:val="21"/>
                <w:szCs w:val="21"/>
                <w:highlight w:val="none"/>
                <w:lang w:val="en-US" w:eastAsia="zh-CN"/>
              </w:rPr>
              <w:t>焊接</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无组织排放量为0.0</w:t>
            </w:r>
            <w:r>
              <w:rPr>
                <w:rFonts w:hint="eastAsia" w:ascii="Times New Roman" w:hAnsi="Times New Roman" w:cs="Times New Roman"/>
                <w:color w:val="auto"/>
                <w:sz w:val="21"/>
                <w:szCs w:val="21"/>
                <w:highlight w:val="none"/>
                <w:lang w:val="en-US" w:eastAsia="zh-CN"/>
              </w:rPr>
              <w:t>08</w:t>
            </w:r>
            <w:r>
              <w:rPr>
                <w:rFonts w:hint="default" w:ascii="Times New Roman" w:hAnsi="Times New Roman" w:cs="Times New Roman"/>
                <w:color w:val="auto"/>
                <w:sz w:val="21"/>
                <w:szCs w:val="21"/>
                <w:highlight w:val="none"/>
                <w:lang w:val="en-US" w:eastAsia="zh-CN"/>
              </w:rPr>
              <w:t>t/a（0.00</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lang w:val="en-US" w:eastAsia="zh-CN"/>
              </w:rPr>
              <w:t>kg/h）</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lang w:val="en-US" w:eastAsia="zh-CN"/>
              </w:rPr>
              <w:t>抛丸机废气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由于钢材表面一般在出厂后都有浮锈，在构件加工完后成</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涂装之前，用抛丸机进行抛丸处理，抛丸就是将钢珠用抛丸机打向钢材表面，这样可以除掉浮锈。本项目工件表面除锈在1台密闭的抛丸机内进行，工件抛丸清理过程产生一定量的颗粒物。抛丸</w:t>
            </w:r>
            <w:r>
              <w:rPr>
                <w:rFonts w:hint="default" w:ascii="Times New Roman" w:hAnsi="Times New Roman" w:eastAsia="宋体" w:cs="Times New Roman"/>
                <w:color w:val="auto"/>
                <w:sz w:val="21"/>
                <w:szCs w:val="21"/>
                <w:highlight w:val="none"/>
                <w:lang w:val="zh-CN" w:eastAsia="zh-CN"/>
              </w:rPr>
              <w:t>工序工作时间依据订单而定，平均年工作</w:t>
            </w: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zh-CN" w:eastAsia="zh-CN"/>
              </w:rPr>
              <w:t>00h</w:t>
            </w:r>
            <w:r>
              <w:rPr>
                <w:rFonts w:hint="default" w:ascii="Times New Roman" w:hAnsi="Times New Roman"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zh-CN" w:eastAsia="zh-CN"/>
              </w:rPr>
              <w:t>抛丸机抛丸时整体封闭，进出口设置软帘，抛丸机上方设置管道，抛丸废气经上方管道收集后经风机（风量</w:t>
            </w:r>
            <w:r>
              <w:rPr>
                <w:rFonts w:hint="default" w:ascii="Times New Roman" w:hAnsi="Times New Roman" w:eastAsia="宋体" w:cs="Times New Roman"/>
                <w:color w:val="auto"/>
                <w:sz w:val="21"/>
                <w:szCs w:val="21"/>
                <w:highlight w:val="none"/>
                <w:lang w:val="en-US" w:eastAsia="zh-CN"/>
              </w:rPr>
              <w:t>300</w:t>
            </w:r>
            <w:r>
              <w:rPr>
                <w:rFonts w:hint="default" w:ascii="Times New Roman" w:hAnsi="Times New Roman" w:eastAsia="宋体" w:cs="Times New Roman"/>
                <w:color w:val="auto"/>
                <w:sz w:val="21"/>
                <w:szCs w:val="21"/>
                <w:highlight w:val="none"/>
                <w:lang w:val="zh-CN" w:eastAsia="zh-CN"/>
              </w:rPr>
              <w:t>00m</w:t>
            </w:r>
            <w:r>
              <w:rPr>
                <w:rFonts w:hint="default" w:ascii="Times New Roman" w:hAnsi="Times New Roman" w:eastAsia="宋体" w:cs="Times New Roman"/>
                <w:color w:val="auto"/>
                <w:sz w:val="21"/>
                <w:szCs w:val="21"/>
                <w:highlight w:val="none"/>
                <w:vertAlign w:val="superscript"/>
                <w:lang w:val="zh-CN" w:eastAsia="zh-CN"/>
              </w:rPr>
              <w:t>3</w:t>
            </w:r>
            <w:r>
              <w:rPr>
                <w:rFonts w:hint="default" w:ascii="Times New Roman" w:hAnsi="Times New Roman" w:eastAsia="宋体" w:cs="Times New Roman"/>
                <w:color w:val="auto"/>
                <w:sz w:val="21"/>
                <w:szCs w:val="21"/>
                <w:highlight w:val="none"/>
                <w:lang w:val="zh-CN" w:eastAsia="zh-CN"/>
              </w:rPr>
              <w:t>/h）引至脉冲布袋除尘器（综合处理效率按9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计</w:t>
            </w:r>
            <w:r>
              <w:rPr>
                <w:rFonts w:hint="default" w:ascii="Times New Roman" w:hAnsi="Times New Roman" w:eastAsia="宋体" w:cs="Times New Roman"/>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w w:val="100"/>
                <w:kern w:val="2"/>
                <w:sz w:val="21"/>
                <w:szCs w:val="21"/>
                <w:highlight w:val="none"/>
                <w:lang w:val="en-US" w:eastAsia="zh-CN" w:bidi="ar-SA"/>
              </w:rPr>
              <w:t>抛丸</w:t>
            </w:r>
            <w:r>
              <w:rPr>
                <w:rFonts w:hint="default" w:ascii="Times New Roman" w:hAnsi="Times New Roman" w:eastAsia="宋体" w:cs="Times New Roman"/>
                <w:color w:val="auto"/>
                <w:w w:val="100"/>
                <w:kern w:val="2"/>
                <w:sz w:val="21"/>
                <w:szCs w:val="21"/>
                <w:highlight w:val="none"/>
                <w:lang w:val="en-US" w:eastAsia="zh-CN" w:bidi="ar-SA"/>
              </w:rPr>
              <w:t>废气所需风量计算公式为：</w:t>
            </w:r>
            <w:r>
              <w:rPr>
                <w:rFonts w:hint="default" w:ascii="Times New Roman" w:hAnsi="Times New Roman" w:cs="Times New Roman"/>
                <w:color w:val="auto"/>
                <w:w w:val="100"/>
                <w:kern w:val="2"/>
                <w:sz w:val="21"/>
                <w:szCs w:val="21"/>
                <w:highlight w:val="none"/>
                <w:lang w:val="en-US" w:eastAsia="zh-CN" w:bidi="ar-SA"/>
              </w:rPr>
              <w:t>抛丸机体积</w:t>
            </w:r>
            <w:r>
              <w:rPr>
                <w:rFonts w:hint="default" w:ascii="Times New Roman" w:hAnsi="Times New Roman" w:eastAsia="宋体" w:cs="Times New Roman"/>
                <w:color w:val="auto"/>
                <w:w w:val="100"/>
                <w:kern w:val="2"/>
                <w:sz w:val="21"/>
                <w:szCs w:val="21"/>
                <w:highlight w:val="none"/>
                <w:lang w:val="en-US" w:eastAsia="zh-CN" w:bidi="ar-SA"/>
              </w:rPr>
              <w:t>×</w:t>
            </w:r>
            <w:r>
              <w:rPr>
                <w:rFonts w:hint="default" w:ascii="Times New Roman" w:hAnsi="Times New Roman" w:cs="Times New Roman"/>
                <w:color w:val="auto"/>
                <w:w w:val="100"/>
                <w:kern w:val="2"/>
                <w:sz w:val="21"/>
                <w:szCs w:val="21"/>
                <w:highlight w:val="none"/>
                <w:lang w:val="en-US" w:eastAsia="zh-CN" w:bidi="ar-SA"/>
              </w:rPr>
              <w:t>换风次数</w:t>
            </w:r>
            <w:r>
              <w:rPr>
                <w:rFonts w:hint="default" w:ascii="Times New Roman" w:hAnsi="Times New Roman" w:eastAsia="宋体" w:cs="Times New Roman"/>
                <w:color w:val="auto"/>
                <w:w w:val="100"/>
                <w:kern w:val="2"/>
                <w:sz w:val="21"/>
                <w:szCs w:val="21"/>
                <w:highlight w:val="none"/>
                <w:lang w:val="en-US" w:eastAsia="zh-CN" w:bidi="ar-SA"/>
              </w:rPr>
              <w:t>×风损；</w:t>
            </w:r>
            <w:r>
              <w:rPr>
                <w:rFonts w:hint="default" w:ascii="Times New Roman" w:hAnsi="Times New Roman" w:cs="Times New Roman"/>
                <w:color w:val="auto"/>
                <w:w w:val="100"/>
                <w:kern w:val="2"/>
                <w:sz w:val="21"/>
                <w:szCs w:val="21"/>
                <w:highlight w:val="none"/>
                <w:lang w:val="en-US" w:eastAsia="zh-CN" w:bidi="ar-SA"/>
              </w:rPr>
              <w:t>本项目抛丸机体积为15×8×7m，</w:t>
            </w:r>
            <w:r>
              <w:rPr>
                <w:rFonts w:hint="default" w:ascii="Times New Roman" w:hAnsi="Times New Roman" w:cs="Times New Roman"/>
                <w:b w:val="0"/>
                <w:bCs w:val="0"/>
                <w:color w:val="auto"/>
                <w:w w:val="100"/>
                <w:kern w:val="2"/>
                <w:sz w:val="21"/>
                <w:szCs w:val="21"/>
                <w:highlight w:val="none"/>
                <w:lang w:val="en-US" w:eastAsia="zh-CN" w:bidi="ar-SA"/>
              </w:rPr>
              <w:t>换风次数取30次/h</w:t>
            </w:r>
            <w:r>
              <w:rPr>
                <w:rFonts w:hint="default" w:ascii="Times New Roman" w:hAnsi="Times New Roman" w:cs="Times New Roman"/>
                <w:color w:val="auto"/>
                <w:w w:val="100"/>
                <w:kern w:val="2"/>
                <w:sz w:val="21"/>
                <w:szCs w:val="21"/>
                <w:highlight w:val="none"/>
                <w:lang w:val="en-US" w:eastAsia="zh-CN" w:bidi="ar-SA"/>
              </w:rPr>
              <w:t>，满足</w:t>
            </w:r>
            <w:r>
              <w:rPr>
                <w:rFonts w:hint="default" w:ascii="Times New Roman" w:hAnsi="Times New Roman" w:eastAsia="宋体" w:cs="Times New Roman"/>
                <w:color w:val="auto"/>
                <w:w w:val="100"/>
                <w:kern w:val="2"/>
                <w:sz w:val="21"/>
                <w:szCs w:val="21"/>
                <w:highlight w:val="none"/>
                <w:lang w:val="en-US" w:eastAsia="zh-CN" w:bidi="ar-SA"/>
              </w:rPr>
              <w:t>《唐山市生态环境局关于开展涉挥发性有机物企业提标改造的通知》（唐环气〔2022〕1号）文件中要求“工业涂装生产线采用整体密闭的，密闭区域内换风次数原则上不少于20次／h”，本项目风损取值1.2，根据计算可知，</w:t>
            </w:r>
            <w:r>
              <w:rPr>
                <w:rFonts w:hint="default" w:ascii="Times New Roman" w:hAnsi="Times New Roman" w:cs="Times New Roman"/>
                <w:color w:val="auto"/>
                <w:w w:val="100"/>
                <w:kern w:val="2"/>
                <w:sz w:val="21"/>
                <w:szCs w:val="21"/>
                <w:highlight w:val="none"/>
                <w:lang w:val="en-US" w:eastAsia="zh-CN" w:bidi="ar-SA"/>
              </w:rPr>
              <w:t>抛丸</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default" w:ascii="Times New Roman" w:hAnsi="Times New Roman" w:cs="Times New Roman"/>
                <w:color w:val="auto"/>
                <w:w w:val="100"/>
                <w:kern w:val="2"/>
                <w:sz w:val="21"/>
                <w:szCs w:val="21"/>
                <w:highlight w:val="none"/>
                <w:lang w:val="en-US" w:eastAsia="zh-CN" w:bidi="ar-SA"/>
              </w:rPr>
              <w:t>30240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/h，除尘器</w:t>
            </w:r>
            <w:r>
              <w:rPr>
                <w:rFonts w:hint="default" w:ascii="Times New Roman" w:hAnsi="Times New Roman" w:cs="Times New Roman"/>
                <w:color w:val="auto"/>
                <w:sz w:val="21"/>
                <w:szCs w:val="21"/>
                <w:highlight w:val="none"/>
                <w:lang w:val="en-US" w:eastAsia="zh-CN"/>
              </w:rPr>
              <w:t>配备</w:t>
            </w:r>
            <w:r>
              <w:rPr>
                <w:rFonts w:hint="default" w:ascii="Times New Roman" w:hAnsi="Times New Roman" w:eastAsia="宋体" w:cs="Times New Roman"/>
                <w:color w:val="auto"/>
                <w:sz w:val="21"/>
                <w:szCs w:val="21"/>
                <w:highlight w:val="none"/>
                <w:lang w:val="en-US" w:eastAsia="zh-CN"/>
              </w:rPr>
              <w:t>风量为</w:t>
            </w:r>
            <w:r>
              <w:rPr>
                <w:rFonts w:hint="default" w:ascii="Times New Roman" w:hAnsi="Times New Roman"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eastAsia="宋体" w:cs="Times New Roman"/>
                <w:color w:val="auto"/>
                <w:sz w:val="21"/>
                <w:szCs w:val="21"/>
                <w:highlight w:val="none"/>
                <w:lang w:val="zh-CN" w:eastAsia="zh-CN"/>
              </w:rPr>
              <w:t>根据国家生态环境部发布的《排放源统计调查产排污核算方法和系数手册》（环保部公告2021年第24号）中附表1中33-37，431-434机械行业系数手册中0</w:t>
            </w:r>
            <w:r>
              <w:rPr>
                <w:rFonts w:hint="default" w:ascii="Times New Roman" w:hAnsi="Times New Roman" w:cs="Times New Roman"/>
                <w:color w:val="auto"/>
                <w:sz w:val="21"/>
                <w:szCs w:val="21"/>
                <w:highlight w:val="none"/>
                <w:lang w:val="en-US" w:eastAsia="zh-CN"/>
              </w:rPr>
              <w:t>6预处理</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干式预处理件（打磨）</w:t>
            </w:r>
            <w:r>
              <w:rPr>
                <w:rFonts w:hint="default" w:ascii="Times New Roman" w:hAnsi="Times New Roman" w:eastAsia="宋体" w:cs="Times New Roman"/>
                <w:color w:val="auto"/>
                <w:sz w:val="21"/>
                <w:szCs w:val="21"/>
                <w:highlight w:val="none"/>
                <w:lang w:val="zh-CN" w:eastAsia="zh-CN"/>
              </w:rPr>
              <w:t>产污系数</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zh-CN" w:eastAsia="zh-CN"/>
              </w:rPr>
              <w:t>.19千克/吨-原料，</w:t>
            </w:r>
            <w:r>
              <w:rPr>
                <w:rFonts w:hint="default" w:ascii="Times New Roman" w:hAnsi="Times New Roman" w:cs="Times New Roman"/>
                <w:color w:val="auto"/>
                <w:sz w:val="21"/>
                <w:szCs w:val="21"/>
                <w:highlight w:val="none"/>
                <w:lang w:val="en-US" w:eastAsia="zh-CN"/>
              </w:rPr>
              <w:t>项目所需要抛丸的工件量为603.75t，则颗粒物产生量为1.322t/a，采用5#布袋除尘器处理后经15m排气筒（P5）排放。</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布袋除尘器</w:t>
            </w:r>
            <w:r>
              <w:rPr>
                <w:rFonts w:hint="default" w:ascii="Times New Roman" w:hAnsi="Times New Roman" w:eastAsia="宋体" w:cs="Times New Roman"/>
                <w:color w:val="auto"/>
                <w:sz w:val="21"/>
                <w:szCs w:val="21"/>
                <w:highlight w:val="none"/>
                <w:lang w:val="zh-CN" w:eastAsia="zh-CN"/>
              </w:rPr>
              <w:t>颗粒物去除效率为9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cs="Times New Roman"/>
                <w:color w:val="auto"/>
                <w:sz w:val="21"/>
                <w:szCs w:val="21"/>
                <w:highlight w:val="none"/>
                <w:lang w:val="en-US" w:eastAsia="zh-CN"/>
              </w:rPr>
              <w:t>根据计算可知，</w:t>
            </w:r>
            <w:r>
              <w:rPr>
                <w:rFonts w:hint="default" w:ascii="Times New Roman" w:hAnsi="Times New Roman" w:eastAsia="宋体" w:cs="Times New Roman"/>
                <w:color w:val="auto"/>
                <w:sz w:val="21"/>
                <w:szCs w:val="21"/>
                <w:highlight w:val="none"/>
                <w:lang w:val="en-US" w:eastAsia="zh-CN"/>
              </w:rPr>
              <w:t>经处理后</w:t>
            </w:r>
            <w:r>
              <w:rPr>
                <w:rFonts w:hint="default" w:ascii="Times New Roman" w:hAnsi="Times New Roman" w:cs="Times New Roman"/>
                <w:color w:val="auto"/>
                <w:sz w:val="21"/>
                <w:szCs w:val="21"/>
                <w:highlight w:val="none"/>
                <w:lang w:val="en-US" w:eastAsia="zh-CN"/>
              </w:rPr>
              <w:t>抛丸</w:t>
            </w:r>
            <w:r>
              <w:rPr>
                <w:rFonts w:hint="default" w:ascii="Times New Roman" w:hAnsi="Times New Roman" w:eastAsia="宋体"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有组织排放量为</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066</w:t>
            </w:r>
            <w:r>
              <w:rPr>
                <w:rFonts w:hint="default" w:ascii="Times New Roman" w:hAnsi="Times New Roman" w:eastAsia="宋体" w:cs="Times New Roman"/>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排放速率为0.0</w:t>
            </w:r>
            <w:r>
              <w:rPr>
                <w:rFonts w:hint="default" w:ascii="Times New Roman" w:hAnsi="Times New Roman" w:cs="Times New Roman"/>
                <w:color w:val="auto"/>
                <w:sz w:val="21"/>
                <w:szCs w:val="21"/>
                <w:highlight w:val="none"/>
                <w:lang w:val="en-US" w:eastAsia="zh-CN"/>
              </w:rPr>
              <w:t>33</w:t>
            </w:r>
            <w:r>
              <w:rPr>
                <w:rFonts w:hint="default" w:ascii="Times New Roman" w:hAnsi="Times New Roman" w:eastAsia="宋体" w:cs="Times New Roman"/>
                <w:color w:val="auto"/>
                <w:sz w:val="21"/>
                <w:szCs w:val="21"/>
                <w:highlight w:val="none"/>
                <w:lang w:val="en-US" w:eastAsia="zh-CN"/>
              </w:rPr>
              <w:t>kgh，排放浓度为</w:t>
            </w:r>
            <w:r>
              <w:rPr>
                <w:rFonts w:hint="default" w:ascii="Times New Roman" w:hAnsi="Times New Roman" w:cs="Times New Roman"/>
                <w:color w:val="auto"/>
                <w:sz w:val="21"/>
                <w:szCs w:val="21"/>
                <w:highlight w:val="none"/>
                <w:lang w:val="en-US" w:eastAsia="zh-CN"/>
              </w:rPr>
              <w:t>1.102</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，满足</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喷漆、晾干</w:t>
            </w:r>
            <w:r>
              <w:rPr>
                <w:rFonts w:hint="default" w:ascii="Times New Roman" w:hAnsi="Times New Roman" w:eastAsia="宋体" w:cs="Times New Roman"/>
                <w:b/>
                <w:bCs/>
                <w:color w:val="auto"/>
                <w:sz w:val="21"/>
                <w:szCs w:val="21"/>
                <w:highlight w:val="none"/>
                <w:lang w:val="en-US" w:eastAsia="zh-CN"/>
              </w:rPr>
              <w:t>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漆产生的主要污染物为漆雾、VOCs（含苯、甲苯、二甲苯），项目采用高压无气喷涂法，喷涂效率按70%计算，则喷漆过程中约有30%的涂料固份转以漆雾的形式排出（20%在喷漆车间内沉降，形成落地漆渣；10%形成漆雾与有机废气一起排放）。晾干间产生的主要污染物为有机废气，油漆中挥发性有机物（VOC</w:t>
            </w:r>
            <w:r>
              <w:rPr>
                <w:rFonts w:hint="default" w:ascii="Times New Roman" w:hAnsi="Times New Roman" w:eastAsia="宋体" w:cs="Times New Roman"/>
                <w:color w:val="auto"/>
                <w:sz w:val="21"/>
                <w:szCs w:val="21"/>
                <w:highlight w:val="none"/>
                <w:vertAlign w:val="subscript"/>
                <w:lang w:val="en-US" w:eastAsia="zh-CN"/>
              </w:rPr>
              <w:t>S</w:t>
            </w:r>
            <w:r>
              <w:rPr>
                <w:rFonts w:hint="default" w:ascii="Times New Roman" w:hAnsi="Times New Roman" w:eastAsia="宋体" w:cs="Times New Roman"/>
                <w:color w:val="auto"/>
                <w:sz w:val="21"/>
                <w:szCs w:val="21"/>
                <w:highlight w:val="none"/>
                <w:lang w:val="en-US" w:eastAsia="zh-CN"/>
              </w:rPr>
              <w:t>）按在喷漆间、晾干间全部挥发计。</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本项目建设1个喷漆间（15m×8m×</w:t>
            </w:r>
            <w:r>
              <w:rPr>
                <w:rFonts w:hint="eastAsia" w:cs="Times New Roman"/>
                <w:color w:val="auto"/>
                <w:sz w:val="21"/>
                <w:szCs w:val="21"/>
                <w:highlight w:val="none"/>
                <w:lang w:val="en-US" w:eastAsia="zh-CN"/>
              </w:rPr>
              <w:t>6.5</w:t>
            </w:r>
            <w:r>
              <w:rPr>
                <w:rFonts w:hint="default" w:ascii="Times New Roman" w:hAnsi="Times New Roman" w:eastAsia="宋体" w:cs="Times New Roman"/>
                <w:color w:val="auto"/>
                <w:sz w:val="21"/>
                <w:szCs w:val="21"/>
                <w:highlight w:val="none"/>
                <w:lang w:val="en-US" w:eastAsia="zh-CN"/>
              </w:rPr>
              <w:t>m），1个晾干间（12m×8m×</w:t>
            </w:r>
            <w:r>
              <w:rPr>
                <w:rFonts w:hint="eastAsia" w:cs="Times New Roman"/>
                <w:color w:val="auto"/>
                <w:sz w:val="21"/>
                <w:szCs w:val="21"/>
                <w:highlight w:val="none"/>
                <w:lang w:val="en-US" w:eastAsia="zh-CN"/>
              </w:rPr>
              <w:t>6.5</w:t>
            </w:r>
            <w:r>
              <w:rPr>
                <w:rFonts w:hint="default" w:ascii="Times New Roman" w:hAnsi="Times New Roman" w:eastAsia="宋体" w:cs="Times New Roman"/>
                <w:color w:val="auto"/>
                <w:sz w:val="21"/>
                <w:szCs w:val="21"/>
                <w:highlight w:val="none"/>
                <w:lang w:val="en-US" w:eastAsia="zh-CN"/>
              </w:rPr>
              <w:t>m）；喷漆间、晾干间整体密闭，采用间歇性换风的方式进行废气收集。</w:t>
            </w:r>
            <w:r>
              <w:rPr>
                <w:rFonts w:hint="default" w:ascii="Times New Roman" w:hAnsi="Times New Roman" w:eastAsia="宋体" w:cs="Times New Roman"/>
                <w:color w:val="auto"/>
                <w:w w:val="100"/>
                <w:kern w:val="2"/>
                <w:sz w:val="21"/>
                <w:szCs w:val="21"/>
                <w:highlight w:val="none"/>
                <w:lang w:val="en-US" w:eastAsia="zh-CN" w:bidi="ar-SA"/>
              </w:rPr>
              <w:t>根据《唐山市生态环境局关于开展涉挥发性有机物企业提标改造的通知》（唐环气〔2022〕1号）文件中要求</w:t>
            </w:r>
            <w:r>
              <w:rPr>
                <w:rFonts w:hint="default" w:ascii="Times New Roman" w:hAnsi="Times New Roman" w:cs="Times New Roman"/>
                <w:color w:val="auto"/>
                <w:w w:val="100"/>
                <w:kern w:val="2"/>
                <w:sz w:val="21"/>
                <w:szCs w:val="21"/>
                <w:highlight w:val="none"/>
                <w:lang w:val="en-US" w:eastAsia="zh-CN" w:bidi="ar-SA"/>
              </w:rPr>
              <w:t>“工业涂装生产线采用整体密闭的，密闭区域内换风次数原则上不少于20次／h，车间采用整体密闭的（如烘干、晾干车间、流平车间等），车间换风次数原则上不少于8次／h。”</w:t>
            </w:r>
            <w:r>
              <w:rPr>
                <w:rFonts w:hint="default" w:ascii="Times New Roman" w:hAnsi="Times New Roman" w:cs="Times New Roman"/>
                <w:color w:val="auto"/>
                <w:sz w:val="21"/>
                <w:szCs w:val="21"/>
                <w:highlight w:val="none"/>
                <w:lang w:val="en-US" w:eastAsia="zh-CN"/>
              </w:rPr>
              <w:t>本项目喷漆间换风次数取</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0次/h，晾干间换风次数取</w:t>
            </w:r>
            <w:r>
              <w:rPr>
                <w:rFonts w:hint="eastAsia" w:cs="Times New Roman"/>
                <w:color w:val="auto"/>
                <w:sz w:val="21"/>
                <w:szCs w:val="21"/>
                <w:highlight w:val="none"/>
                <w:lang w:val="en-US" w:eastAsia="zh-CN"/>
              </w:rPr>
              <w:t>20</w:t>
            </w:r>
            <w:r>
              <w:rPr>
                <w:rFonts w:hint="default" w:ascii="Times New Roman" w:hAnsi="Times New Roman" w:cs="Times New Roman"/>
                <w:color w:val="auto"/>
                <w:sz w:val="21"/>
                <w:szCs w:val="21"/>
                <w:highlight w:val="none"/>
                <w:lang w:val="en-US" w:eastAsia="zh-CN"/>
              </w:rPr>
              <w:t>次/h，满足文件中要求</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w w:val="100"/>
                <w:kern w:val="2"/>
                <w:sz w:val="21"/>
                <w:szCs w:val="21"/>
                <w:highlight w:val="none"/>
                <w:lang w:val="en-US" w:eastAsia="zh-CN" w:bidi="ar-SA"/>
              </w:rPr>
              <w:t>根据计算可知，</w:t>
            </w:r>
            <w:r>
              <w:rPr>
                <w:rFonts w:hint="default" w:ascii="Times New Roman" w:hAnsi="Times New Roman" w:cs="Times New Roman"/>
                <w:color w:val="auto"/>
                <w:w w:val="100"/>
                <w:kern w:val="2"/>
                <w:sz w:val="21"/>
                <w:szCs w:val="21"/>
                <w:highlight w:val="none"/>
                <w:lang w:val="en-US" w:eastAsia="zh-CN" w:bidi="ar-SA"/>
              </w:rPr>
              <w:t>喷漆、晾干</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eastAsia" w:cs="Times New Roman"/>
                <w:color w:val="auto"/>
                <w:w w:val="100"/>
                <w:kern w:val="2"/>
                <w:sz w:val="21"/>
                <w:szCs w:val="21"/>
                <w:highlight w:val="none"/>
                <w:lang w:val="en-US" w:eastAsia="zh-CN" w:bidi="ar-SA"/>
              </w:rPr>
              <w:t>51264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喷漆、晾干废气治理措施配备</w:t>
            </w:r>
            <w:r>
              <w:rPr>
                <w:rFonts w:hint="default" w:ascii="Times New Roman" w:hAnsi="Times New Roman" w:eastAsia="宋体" w:cs="Times New Roman"/>
                <w:color w:val="auto"/>
                <w:sz w:val="21"/>
                <w:szCs w:val="21"/>
                <w:highlight w:val="none"/>
                <w:lang w:val="en-US" w:eastAsia="zh-CN"/>
              </w:rPr>
              <w:t>风量为</w:t>
            </w:r>
            <w:r>
              <w:rPr>
                <w:rFonts w:hint="eastAsia" w:cs="Times New Roman"/>
                <w:color w:val="auto"/>
                <w:sz w:val="21"/>
                <w:szCs w:val="21"/>
                <w:highlight w:val="none"/>
                <w:lang w:val="en-US" w:eastAsia="zh-CN"/>
              </w:rPr>
              <w:t>52</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喷淋塔+过滤棉除漆雾装置除漆雾效率按90%计</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highlight w:val="none"/>
                <w:lang w:val="en-US" w:eastAsia="zh-CN"/>
              </w:rPr>
              <w:t>活性炭收集处理</w:t>
            </w:r>
            <w:r>
              <w:rPr>
                <w:rFonts w:hint="default" w:ascii="Times New Roman" w:hAnsi="Times New Roman" w:cs="Times New Roman"/>
                <w:color w:val="auto"/>
                <w:highlight w:val="none"/>
                <w:lang w:val="en-US" w:eastAsia="zh-CN"/>
              </w:rPr>
              <w:t>效率按</w:t>
            </w:r>
            <w:r>
              <w:rPr>
                <w:rFonts w:hint="default" w:ascii="Times New Roman" w:hAnsi="Times New Roman" w:eastAsia="宋体" w:cs="Times New Roman"/>
                <w:color w:val="auto"/>
                <w:highlight w:val="none"/>
                <w:lang w:val="en-US" w:eastAsia="zh-CN"/>
              </w:rPr>
              <w:t>90%计，催化燃烧效率按9</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%计</w:t>
            </w:r>
            <w:r>
              <w:rPr>
                <w:rFonts w:hint="default" w:ascii="Times New Roman" w:hAnsi="Times New Roman" w:eastAsia="宋体" w:cs="Times New Roman"/>
                <w:color w:val="auto"/>
                <w:sz w:val="21"/>
                <w:szCs w:val="21"/>
                <w:highlight w:val="none"/>
                <w:lang w:val="en-US" w:eastAsia="zh-CN"/>
              </w:rPr>
              <w:t>。工作时间为4800h。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根据物料平衡和油漆平衡可知，漆雾中颗粒物产生量为0.054t/a，非甲烷总烃产生量为0.397t/a，苯产生量为0.002t/a，甲苯和二甲苯合计产生量为0.199t/a。</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喷漆、晾干废气经喷淋塔+过滤棉+活性炭吸附/脱附+6#催化燃烧+15m排气筒P6排放。</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活性炭性质见表4-1，环保设施参数见表4-2。</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1</w:t>
            </w:r>
            <w:r>
              <w:rPr>
                <w:rFonts w:hint="default" w:ascii="Times New Roman" w:hAnsi="Times New Roman" w:eastAsia="宋体" w:cs="Times New Roman"/>
                <w:b/>
                <w:bCs/>
                <w:color w:val="auto"/>
                <w:kern w:val="2"/>
                <w:sz w:val="21"/>
                <w:szCs w:val="21"/>
                <w:highlight w:val="none"/>
                <w:lang w:val="en-US" w:eastAsia="zh-CN" w:bidi="ar-SA"/>
              </w:rPr>
              <w:t xml:space="preserve">    活性炭性质</w:t>
            </w:r>
          </w:p>
          <w:tbl>
            <w:tblPr>
              <w:tblStyle w:val="35"/>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5"/>
              <w:gridCol w:w="2603"/>
              <w:gridCol w:w="2122"/>
              <w:gridCol w:w="2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序号</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项目</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单位</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数值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碘吸附值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亚甲基蓝吸附率</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mL/0.1g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3</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粒度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2.0mm-0.80mm</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0.80mm以下</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4</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强度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表观密度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g/mL</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0.47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灰份</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7</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水分</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pH值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6.5</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zh-CN"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2</w:t>
            </w:r>
            <w:r>
              <w:rPr>
                <w:rFonts w:hint="default"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zh-CN" w:eastAsia="zh-CN" w:bidi="ar-SA"/>
              </w:rPr>
              <w:t>环保设施参数</w:t>
            </w:r>
          </w:p>
          <w:tbl>
            <w:tblPr>
              <w:tblStyle w:val="35"/>
              <w:tblW w:w="0" w:type="auto"/>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2131"/>
              <w:gridCol w:w="797"/>
              <w:gridCol w:w="1662"/>
              <w:gridCol w:w="331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序号</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设备名称</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数量</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尺寸（长宽高m）</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备注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活性炭箱</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cs="Times New Roman"/>
                      <w:bCs w:val="0"/>
                      <w:color w:val="auto"/>
                      <w:kern w:val="2"/>
                      <w:sz w:val="18"/>
                      <w:szCs w:val="18"/>
                      <w:highlight w:val="none"/>
                      <w:lang w:val="en-US" w:eastAsia="zh-CN" w:bidi="ar-SA"/>
                    </w:rPr>
                    <w:t>2</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1.5×1×1</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活性炭填充量</w:t>
                  </w:r>
                  <w:r>
                    <w:rPr>
                      <w:rFonts w:hint="eastAsia" w:cs="Times New Roman"/>
                      <w:bCs w:val="0"/>
                      <w:color w:val="auto"/>
                      <w:kern w:val="2"/>
                      <w:sz w:val="18"/>
                      <w:szCs w:val="18"/>
                      <w:highlight w:val="none"/>
                      <w:lang w:val="en-US" w:eastAsia="zh-CN" w:bidi="ar-SA"/>
                    </w:rPr>
                    <w:t>1</w:t>
                  </w:r>
                  <w:r>
                    <w:rPr>
                      <w:rFonts w:hint="default" w:ascii="Times New Roman" w:hAnsi="Times New Roman" w:eastAsia="宋体" w:cs="Times New Roman"/>
                      <w:bCs w:val="0"/>
                      <w:color w:val="auto"/>
                      <w:kern w:val="2"/>
                      <w:sz w:val="18"/>
                      <w:szCs w:val="18"/>
                      <w:highlight w:val="none"/>
                      <w:lang w:val="en-US" w:eastAsia="zh-CN" w:bidi="ar-SA"/>
                    </w:rPr>
                    <w:t>t，蜂窝状活性炭层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2</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催化燃烧装置</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3</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吸附系统的风机风量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eastAsia" w:cs="Times New Roman"/>
                      <w:bCs w:val="0"/>
                      <w:color w:val="auto"/>
                      <w:kern w:val="2"/>
                      <w:sz w:val="18"/>
                      <w:szCs w:val="18"/>
                      <w:highlight w:val="none"/>
                      <w:lang w:val="en-US" w:eastAsia="zh-CN" w:bidi="ar-SA"/>
                    </w:rPr>
                    <w:t>52</w:t>
                  </w:r>
                  <w:r>
                    <w:rPr>
                      <w:rFonts w:hint="default" w:ascii="Times New Roman" w:hAnsi="Times New Roman" w:eastAsia="宋体" w:cs="Times New Roman"/>
                      <w:bCs w:val="0"/>
                      <w:color w:val="auto"/>
                      <w:kern w:val="2"/>
                      <w:sz w:val="18"/>
                      <w:szCs w:val="18"/>
                      <w:highlight w:val="none"/>
                      <w:lang w:val="en-US" w:eastAsia="zh-CN" w:bidi="ar-SA"/>
                    </w:rPr>
                    <w:t>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4</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2000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bl>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根据设计单位提供资料，本项目脱附方式为在线脱附。</w:t>
            </w:r>
            <w:r>
              <w:rPr>
                <w:rFonts w:hint="default" w:ascii="Times New Roman" w:hAnsi="Times New Roman" w:eastAsia="宋体" w:cs="Times New Roman"/>
                <w:color w:val="auto"/>
                <w:highlight w:val="none"/>
                <w:lang w:val="en-US" w:eastAsia="zh-CN"/>
              </w:rPr>
              <w:t>活性炭吸附和催化燃烧装置运行时分为两种工况，其中工况1∶活性炭吸附装置只进行吸附；工况2∶活性炭吸附装置进行脱附，脱附废气进入催化燃烧装置净化后排放。活性炭每六天脱附一次</w:t>
            </w:r>
            <w:r>
              <w:rPr>
                <w:rFonts w:hint="default" w:ascii="Times New Roman" w:hAnsi="Times New Roman" w:cs="Times New Roman"/>
                <w:color w:val="auto"/>
                <w:highlight w:val="none"/>
                <w:lang w:val="en-US" w:eastAsia="zh-CN"/>
              </w:rPr>
              <w:t>，一次</w:t>
            </w:r>
            <w:r>
              <w:rPr>
                <w:rFonts w:hint="default" w:ascii="Times New Roman" w:hAnsi="Times New Roman" w:eastAsia="宋体" w:cs="Times New Roman"/>
                <w:color w:val="auto"/>
                <w:highlight w:val="none"/>
                <w:lang w:val="en-US" w:eastAsia="zh-CN"/>
              </w:rPr>
              <w:t>脱附时间</w:t>
            </w:r>
            <w:r>
              <w:rPr>
                <w:rFonts w:hint="default" w:ascii="Times New Roman" w:hAnsi="Times New Roman" w:cs="Times New Roman"/>
                <w:color w:val="auto"/>
                <w:highlight w:val="none"/>
                <w:lang w:val="en-US" w:eastAsia="zh-CN"/>
              </w:rPr>
              <w:t>为24</w:t>
            </w:r>
            <w:r>
              <w:rPr>
                <w:rFonts w:hint="default" w:ascii="Times New Roman" w:hAnsi="Times New Roman" w:eastAsia="宋体" w:cs="Times New Roman"/>
                <w:color w:val="auto"/>
                <w:highlight w:val="none"/>
                <w:lang w:val="en-US" w:eastAsia="zh-CN"/>
              </w:rPr>
              <w:t>h。不同工况下源强具体核算结果见表</w:t>
            </w:r>
            <w:r>
              <w:rPr>
                <w:rFonts w:hint="default" w:ascii="Times New Roman" w:hAnsi="Times New Roman" w:cs="Times New Roman"/>
                <w:color w:val="auto"/>
                <w:highlight w:val="none"/>
                <w:lang w:val="en-US" w:eastAsia="zh-CN"/>
              </w:rPr>
              <w:t>4-3</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none"/>
                <w:lang w:val="zh-CN" w:eastAsia="zh-CN"/>
              </w:rPr>
            </w:pPr>
            <w:r>
              <w:rPr>
                <w:rFonts w:hint="default" w:ascii="Times New Roman" w:hAnsi="Times New Roman" w:eastAsia="宋体" w:cs="Times New Roman"/>
                <w:b/>
                <w:bCs/>
                <w:caps w:val="0"/>
                <w:smallCaps w:val="0"/>
                <w:color w:val="auto"/>
                <w:w w:val="100"/>
                <w:sz w:val="24"/>
                <w:szCs w:val="24"/>
                <w:highlight w:val="none"/>
                <w:lang w:val="zh-CN" w:eastAsia="zh-CN"/>
              </w:rPr>
              <w:t>表</w:t>
            </w:r>
            <w:r>
              <w:rPr>
                <w:rFonts w:hint="default" w:ascii="Times New Roman" w:hAnsi="Times New Roman" w:eastAsia="宋体" w:cs="Times New Roman"/>
                <w:b/>
                <w:bCs/>
                <w:caps w:val="0"/>
                <w:smallCaps w:val="0"/>
                <w:color w:val="auto"/>
                <w:w w:val="100"/>
                <w:sz w:val="24"/>
                <w:szCs w:val="24"/>
                <w:highlight w:val="none"/>
                <w:lang w:val="en-US" w:eastAsia="zh-CN"/>
              </w:rPr>
              <w:t xml:space="preserve">4-3    </w:t>
            </w:r>
            <w:r>
              <w:rPr>
                <w:rFonts w:hint="default" w:ascii="Times New Roman" w:hAnsi="Times New Roman" w:eastAsia="宋体" w:cs="Times New Roman"/>
                <w:b/>
                <w:bCs/>
                <w:caps w:val="0"/>
                <w:smallCaps w:val="0"/>
                <w:color w:val="auto"/>
                <w:w w:val="100"/>
                <w:sz w:val="24"/>
                <w:szCs w:val="24"/>
                <w:highlight w:val="none"/>
                <w:lang w:val="zh-CN" w:eastAsia="zh-CN"/>
              </w:rPr>
              <w:t>项目</w:t>
            </w:r>
            <w:r>
              <w:rPr>
                <w:rFonts w:hint="default" w:ascii="Times New Roman" w:hAnsi="Times New Roman" w:eastAsia="宋体" w:cs="Times New Roman"/>
                <w:b/>
                <w:bCs/>
                <w:caps w:val="0"/>
                <w:smallCaps w:val="0"/>
                <w:color w:val="auto"/>
                <w:w w:val="100"/>
                <w:sz w:val="24"/>
                <w:szCs w:val="24"/>
                <w:highlight w:val="none"/>
                <w:lang w:val="en-US" w:eastAsia="zh-CN"/>
              </w:rPr>
              <w:t>喷漆、晾干</w:t>
            </w:r>
            <w:r>
              <w:rPr>
                <w:rFonts w:hint="default" w:ascii="Times New Roman" w:hAnsi="Times New Roman" w:eastAsia="宋体" w:cs="Times New Roman"/>
                <w:b/>
                <w:bCs/>
                <w:caps w:val="0"/>
                <w:smallCaps w:val="0"/>
                <w:color w:val="auto"/>
                <w:w w:val="100"/>
                <w:sz w:val="24"/>
                <w:szCs w:val="24"/>
                <w:highlight w:val="none"/>
                <w:lang w:val="zh-CN" w:eastAsia="zh-CN"/>
              </w:rPr>
              <w:t>废气</w:t>
            </w:r>
            <w:r>
              <w:rPr>
                <w:rFonts w:hint="default" w:ascii="Times New Roman" w:hAnsi="Times New Roman" w:eastAsia="宋体" w:cs="Times New Roman"/>
                <w:b/>
                <w:bCs/>
                <w:caps w:val="0"/>
                <w:smallCaps w:val="0"/>
                <w:color w:val="auto"/>
                <w:w w:val="100"/>
                <w:sz w:val="24"/>
                <w:szCs w:val="24"/>
                <w:highlight w:val="none"/>
                <w:lang w:val="en-US" w:eastAsia="zh-CN"/>
              </w:rPr>
              <w:t>排放口</w:t>
            </w:r>
            <w:r>
              <w:rPr>
                <w:rFonts w:hint="default" w:ascii="Times New Roman" w:hAnsi="Times New Roman" w:eastAsia="宋体" w:cs="Times New Roman"/>
                <w:b/>
                <w:bCs/>
                <w:caps w:val="0"/>
                <w:smallCaps w:val="0"/>
                <w:color w:val="auto"/>
                <w:w w:val="100"/>
                <w:sz w:val="24"/>
                <w:szCs w:val="24"/>
                <w:highlight w:val="none"/>
                <w:lang w:val="zh-CN" w:eastAsia="zh-CN"/>
              </w:rPr>
              <w:t>污染物情况一览表</w:t>
            </w:r>
          </w:p>
          <w:tbl>
            <w:tblPr>
              <w:tblStyle w:val="35"/>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9"/>
              <w:gridCol w:w="957"/>
              <w:gridCol w:w="579"/>
              <w:gridCol w:w="752"/>
              <w:gridCol w:w="786"/>
              <w:gridCol w:w="1742"/>
              <w:gridCol w:w="673"/>
              <w:gridCol w:w="688"/>
              <w:gridCol w:w="752"/>
              <w:gridCol w:w="782"/>
              <w:gridCol w:w="4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工况</w:t>
                  </w:r>
                </w:p>
              </w:tc>
              <w:tc>
                <w:tcPr>
                  <w:tcW w:w="565"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污染物</w:t>
                  </w:r>
                </w:p>
              </w:tc>
              <w:tc>
                <w:tcPr>
                  <w:tcW w:w="1250" w:type="pct"/>
                  <w:gridSpan w:val="3"/>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产生情况</w:t>
                  </w:r>
                </w:p>
              </w:tc>
              <w:tc>
                <w:tcPr>
                  <w:tcW w:w="1425" w:type="pct"/>
                  <w:gridSpan w:val="2"/>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污染治理设施</w:t>
                  </w:r>
                </w:p>
              </w:tc>
              <w:tc>
                <w:tcPr>
                  <w:tcW w:w="1605" w:type="pct"/>
                  <w:gridSpan w:val="4"/>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565"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产生量</w:t>
                  </w:r>
                  <w:r>
                    <w:rPr>
                      <w:rFonts w:hint="default" w:ascii="Times New Roman" w:hAnsi="Times New Roman" w:eastAsia="宋体" w:cs="Times New Roman"/>
                      <w:color w:val="auto"/>
                      <w:sz w:val="18"/>
                      <w:szCs w:val="18"/>
                      <w:highlight w:val="none"/>
                    </w:rPr>
                    <w:t>t/a</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w:t>
                  </w:r>
                  <w:r>
                    <w:rPr>
                      <w:rFonts w:hint="default" w:ascii="Times New Roman" w:hAnsi="Times New Roman" w:eastAsia="宋体" w:cs="Times New Roman"/>
                      <w:color w:val="auto"/>
                      <w:sz w:val="18"/>
                      <w:szCs w:val="18"/>
                      <w:highlight w:val="none"/>
                    </w:rPr>
                    <w:t>速率kg/h</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产生浓度</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1028"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治理措施</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处理效率%</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排放量t/a</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w:t>
                  </w:r>
                  <w:r>
                    <w:rPr>
                      <w:rFonts w:hint="default" w:ascii="Times New Roman" w:hAnsi="Times New Roman" w:eastAsia="宋体" w:cs="Times New Roman"/>
                      <w:color w:val="auto"/>
                      <w:sz w:val="18"/>
                      <w:szCs w:val="18"/>
                      <w:highlight w:val="none"/>
                    </w:rPr>
                    <w:t>速率kg/h</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排放浓度mg/m</w:t>
                  </w:r>
                  <w:r>
                    <w:rPr>
                      <w:rFonts w:hint="default" w:ascii="Times New Roman" w:hAnsi="Times New Roman" w:eastAsia="宋体" w:cs="Times New Roman"/>
                      <w:color w:val="auto"/>
                      <w:sz w:val="18"/>
                      <w:szCs w:val="18"/>
                      <w:highlight w:val="none"/>
                      <w:vertAlign w:val="superscript"/>
                      <w:lang w:val="en-US" w:eastAsia="zh-CN"/>
                    </w:rPr>
                    <w:t>3</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吸附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0.397</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2.54</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olor w:val="auto"/>
                      <w:sz w:val="18"/>
                      <w:szCs w:val="18"/>
                      <w:lang w:val="en-US" w:eastAsia="zh-CN"/>
                    </w:rPr>
                    <w:t>喷淋塔+</w:t>
                  </w:r>
                  <w:r>
                    <w:rPr>
                      <w:rFonts w:hint="default" w:ascii="Times New Roman" w:hAnsi="Times New Roman" w:eastAsia="宋体" w:cs="Times New Roman"/>
                      <w:color w:val="auto"/>
                      <w:sz w:val="18"/>
                      <w:szCs w:val="18"/>
                      <w:highlight w:val="none"/>
                      <w:lang w:val="en-US" w:eastAsia="zh-CN"/>
                    </w:rPr>
                    <w:t>过滤棉+活性炭吸附，风机风量</w:t>
                  </w:r>
                  <w:r>
                    <w:rPr>
                      <w:rFonts w:hint="eastAsia" w:cs="Times New Roman"/>
                      <w:color w:val="auto"/>
                      <w:sz w:val="18"/>
                      <w:szCs w:val="18"/>
                      <w:highlight w:val="none"/>
                      <w:lang w:val="en-US" w:eastAsia="zh-CN"/>
                    </w:rPr>
                    <w:t>52</w:t>
                  </w:r>
                  <w:r>
                    <w:rPr>
                      <w:rFonts w:hint="default" w:ascii="Times New Roman" w:hAnsi="Times New Roman" w:eastAsia="宋体" w:cs="Times New Roman"/>
                      <w:color w:val="auto"/>
                      <w:sz w:val="18"/>
                      <w:szCs w:val="18"/>
                      <w:highlight w:val="none"/>
                      <w:lang w:val="en-US" w:eastAsia="zh-CN"/>
                    </w:rPr>
                    <w:t>000</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0.040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0.010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0.254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0.054</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0.35</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0.005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0.001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0.035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苯</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0.002</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0.0005</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0.0002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0.00005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0.001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0.199</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1.27</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0.020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0.005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0.127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0.357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0.26</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130.21</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活性炭脱附+催化燃烧，风机风量2000</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0.018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0.026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13.021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苯</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0.002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0.001</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0.66</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0.00009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0.0001</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0.066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0.179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0.13</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65.27</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0.009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0.013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6.527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根据计算，项目喷漆、晾干废气经治理设施处理后，漆雾（颗粒物）排放浓度满足</w:t>
            </w:r>
            <w:r>
              <w:rPr>
                <w:rFonts w:hint="eastAsia" w:ascii="Times New Roman" w:hAnsi="Times New Roman" w:eastAsia="宋体" w:cs="Times New Roman"/>
                <w:color w:val="auto"/>
                <w:kern w:val="2"/>
                <w:sz w:val="21"/>
                <w:szCs w:val="21"/>
                <w:lang w:val="en-US" w:eastAsia="zh-CN" w:bidi="ar-SA"/>
              </w:rPr>
              <w:t>《唐山市生态环境局关于开展涉挥发性有机物企业提标改造的通知》（唐环气〔2022〕1号）中“颗粒物排出量&lt;1</w:t>
            </w:r>
            <w:r>
              <w:rPr>
                <w:rFonts w:ascii="Times New Roman" w:hAnsi="Times New Roman" w:eastAsia="宋体" w:cs="Times New Roman"/>
                <w:color w:val="auto"/>
                <w:kern w:val="2"/>
                <w:sz w:val="21"/>
                <w:szCs w:val="21"/>
                <w:lang w:val="en-US" w:eastAsia="zh-CN" w:bidi="ar-SA"/>
              </w:rPr>
              <w:t>mg/</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cs="Times New Roman"/>
                <w:color w:val="auto"/>
                <w:sz w:val="21"/>
                <w:szCs w:val="21"/>
                <w:highlight w:val="none"/>
                <w:lang w:val="en-US" w:eastAsia="zh-CN"/>
              </w:rPr>
              <w:t>；甲苯和二甲苯合计、苯、非甲烷总烃排放浓度满足《工业企业挥发性有机物排放控制标准》（DB13/2322-2016）中“表面涂装业”标准：“甲苯与二甲苯合计”20mg/m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；苯1.0mg/m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；非甲烷总烃60mg/m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，最低去除效率70%</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非甲烷总烃同时满足《重污染天气重点行业应急减排措施制定技术指南》（2021年修订版）中“三十九 工业涂装”绩效分级B级指标相关要求。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8</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喷涂</w:t>
            </w:r>
            <w:r>
              <w:rPr>
                <w:rFonts w:hint="default" w:ascii="Times New Roman" w:hAnsi="Times New Roman" w:eastAsia="宋体" w:cs="Times New Roman"/>
                <w:b/>
                <w:bCs/>
                <w:color w:val="auto"/>
                <w:sz w:val="21"/>
                <w:szCs w:val="21"/>
                <w:highlight w:val="none"/>
                <w:lang w:val="en-US" w:eastAsia="zh-CN"/>
              </w:rPr>
              <w:t>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涂防腐耐磨材料产生的主要污染物为漆雾、VOCs（含苯、甲苯、二甲苯），项目采用高压无气喷涂法，喷涂效率按70%计算，则喷漆过程中约有30%的涂料固份转以漆雾的形式排出（20%在喷漆车间内沉降，形成落地漆渣；10%形成漆雾与有机废气一起排放）。涂料中挥发性有机物（VOCS）按在喷涂间全部挥发计。</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本项目建设2个喷涂间（8m×8m×7m），喷涂间整体密闭，采用间歇性换风的方式进行废气收集。</w:t>
            </w:r>
            <w:r>
              <w:rPr>
                <w:rFonts w:hint="default" w:ascii="Times New Roman" w:hAnsi="Times New Roman" w:eastAsia="宋体" w:cs="Times New Roman"/>
                <w:color w:val="auto"/>
                <w:w w:val="100"/>
                <w:kern w:val="2"/>
                <w:sz w:val="21"/>
                <w:szCs w:val="21"/>
                <w:highlight w:val="none"/>
                <w:lang w:val="en-US" w:eastAsia="zh-CN" w:bidi="ar-SA"/>
              </w:rPr>
              <w:t>根据《唐山市生态环境局关于开展涉挥发性有机物企业提标改造的通知》（唐环气〔2022〕1号）文件中要求</w:t>
            </w:r>
            <w:r>
              <w:rPr>
                <w:rFonts w:hint="default" w:ascii="Times New Roman" w:hAnsi="Times New Roman" w:cs="Times New Roman"/>
                <w:color w:val="auto"/>
                <w:w w:val="100"/>
                <w:kern w:val="2"/>
                <w:sz w:val="21"/>
                <w:szCs w:val="21"/>
                <w:highlight w:val="none"/>
                <w:lang w:val="en-US" w:eastAsia="zh-CN" w:bidi="ar-SA"/>
              </w:rPr>
              <w:t>“工业涂装生产线采用整体密闭的，密闭区域内换风次数原则上不少于20次／h”</w:t>
            </w:r>
            <w:r>
              <w:rPr>
                <w:rFonts w:hint="default" w:ascii="Times New Roman" w:hAnsi="Times New Roman" w:cs="Times New Roman"/>
                <w:color w:val="auto"/>
                <w:sz w:val="21"/>
                <w:szCs w:val="21"/>
                <w:highlight w:val="none"/>
                <w:lang w:val="en-US" w:eastAsia="zh-CN"/>
              </w:rPr>
              <w:t>本项目喷涂间换风次数取</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0次/h，满足文件中要求</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w w:val="100"/>
                <w:kern w:val="2"/>
                <w:sz w:val="21"/>
                <w:szCs w:val="21"/>
                <w:highlight w:val="none"/>
                <w:lang w:val="en-US" w:eastAsia="zh-CN" w:bidi="ar-SA"/>
              </w:rPr>
              <w:t>根据计算可知，</w:t>
            </w:r>
            <w:r>
              <w:rPr>
                <w:rFonts w:hint="default" w:ascii="Times New Roman" w:hAnsi="Times New Roman" w:cs="Times New Roman"/>
                <w:color w:val="auto"/>
                <w:w w:val="100"/>
                <w:kern w:val="2"/>
                <w:sz w:val="21"/>
                <w:szCs w:val="21"/>
                <w:highlight w:val="none"/>
                <w:lang w:val="en-US" w:eastAsia="zh-CN" w:bidi="ar-SA"/>
              </w:rPr>
              <w:t>两个喷涂间</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eastAsia" w:cs="Times New Roman"/>
                <w:color w:val="auto"/>
                <w:w w:val="100"/>
                <w:kern w:val="2"/>
                <w:sz w:val="21"/>
                <w:szCs w:val="21"/>
                <w:highlight w:val="none"/>
                <w:lang w:val="en-US" w:eastAsia="zh-CN" w:bidi="ar-SA"/>
              </w:rPr>
              <w:t>43008</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/h，喷涂</w:t>
            </w:r>
            <w:r>
              <w:rPr>
                <w:rFonts w:hint="default" w:ascii="Times New Roman" w:hAnsi="Times New Roman" w:cs="Times New Roman"/>
                <w:color w:val="auto"/>
                <w:sz w:val="21"/>
                <w:szCs w:val="21"/>
                <w:highlight w:val="none"/>
                <w:lang w:val="en-US" w:eastAsia="zh-CN"/>
              </w:rPr>
              <w:t>废气治理措施配备</w:t>
            </w:r>
            <w:r>
              <w:rPr>
                <w:rFonts w:hint="default" w:ascii="Times New Roman" w:hAnsi="Times New Roman" w:eastAsia="宋体" w:cs="Times New Roman"/>
                <w:color w:val="auto"/>
                <w:sz w:val="21"/>
                <w:szCs w:val="21"/>
                <w:highlight w:val="none"/>
                <w:lang w:val="en-US" w:eastAsia="zh-CN"/>
              </w:rPr>
              <w:t>风量为</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喷淋塔+过滤棉除漆雾装置除漆雾效率按90%计</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highlight w:val="none"/>
                <w:lang w:val="en-US" w:eastAsia="zh-CN"/>
              </w:rPr>
              <w:t>活性炭收集处理</w:t>
            </w:r>
            <w:r>
              <w:rPr>
                <w:rFonts w:hint="default" w:ascii="Times New Roman" w:hAnsi="Times New Roman" w:cs="Times New Roman"/>
                <w:color w:val="auto"/>
                <w:highlight w:val="none"/>
                <w:lang w:val="en-US" w:eastAsia="zh-CN"/>
              </w:rPr>
              <w:t>效率按</w:t>
            </w:r>
            <w:r>
              <w:rPr>
                <w:rFonts w:hint="default" w:ascii="Times New Roman" w:hAnsi="Times New Roman" w:eastAsia="宋体" w:cs="Times New Roman"/>
                <w:color w:val="auto"/>
                <w:highlight w:val="none"/>
                <w:lang w:val="en-US" w:eastAsia="zh-CN"/>
              </w:rPr>
              <w:t>90%计，催化燃烧效率按9</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%计</w:t>
            </w:r>
            <w:r>
              <w:rPr>
                <w:rFonts w:hint="default" w:ascii="Times New Roman" w:hAnsi="Times New Roman" w:eastAsia="宋体" w:cs="Times New Roman"/>
                <w:color w:val="auto"/>
                <w:sz w:val="21"/>
                <w:szCs w:val="21"/>
                <w:highlight w:val="none"/>
                <w:lang w:val="en-US" w:eastAsia="zh-CN"/>
              </w:rPr>
              <w:t>。工作时间为4800h。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根据物料平衡和油漆平衡可知，漆雾中颗粒物产生量为0.692t/a，非甲烷总烃产生量为0.989t/a，苯产生量为0.005t/a，甲苯和二甲苯合计产生量为0.495t/a。</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2座喷涂间废气共用1套喷淋塔+过滤棉+活性炭吸附/脱附+7#催化燃烧+15m排气筒P7排放。</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活性炭性质见表4-4，环保设施参数见表4-5。</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4</w:t>
            </w:r>
            <w:r>
              <w:rPr>
                <w:rFonts w:hint="default" w:ascii="Times New Roman" w:hAnsi="Times New Roman" w:eastAsia="宋体" w:cs="Times New Roman"/>
                <w:b/>
                <w:bCs/>
                <w:color w:val="auto"/>
                <w:kern w:val="2"/>
                <w:sz w:val="21"/>
                <w:szCs w:val="21"/>
                <w:highlight w:val="none"/>
                <w:lang w:val="en-US" w:eastAsia="zh-CN" w:bidi="ar-SA"/>
              </w:rPr>
              <w:t xml:space="preserve">    活性炭性质</w:t>
            </w:r>
          </w:p>
          <w:tbl>
            <w:tblPr>
              <w:tblStyle w:val="35"/>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5"/>
              <w:gridCol w:w="2603"/>
              <w:gridCol w:w="2122"/>
              <w:gridCol w:w="2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序号</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项目</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单位</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数值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碘吸附值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亚甲基蓝吸附率</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mL/0.1g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3</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粒度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2.0mm-0.80mm</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0.80mm以下</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4</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强度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表观密度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g/mL</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0.47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灰份</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7</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水分</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pH值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6.5</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zh-CN"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5</w:t>
            </w:r>
            <w:r>
              <w:rPr>
                <w:rFonts w:hint="default"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zh-CN" w:eastAsia="zh-CN" w:bidi="ar-SA"/>
              </w:rPr>
              <w:t>环保设施参数</w:t>
            </w:r>
          </w:p>
          <w:tbl>
            <w:tblPr>
              <w:tblStyle w:val="35"/>
              <w:tblW w:w="0" w:type="auto"/>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2131"/>
              <w:gridCol w:w="797"/>
              <w:gridCol w:w="1662"/>
              <w:gridCol w:w="331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序号</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设备名称</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数量</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尺寸（长宽高m）</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备注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活性炭箱</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cs="Times New Roman"/>
                      <w:bCs w:val="0"/>
                      <w:color w:val="auto"/>
                      <w:kern w:val="2"/>
                      <w:sz w:val="18"/>
                      <w:szCs w:val="18"/>
                      <w:highlight w:val="none"/>
                      <w:lang w:val="en-US" w:eastAsia="zh-CN" w:bidi="ar-SA"/>
                    </w:rPr>
                    <w:t>2</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eastAsia" w:cs="Times New Roman"/>
                      <w:bCs w:val="0"/>
                      <w:color w:val="auto"/>
                      <w:kern w:val="2"/>
                      <w:sz w:val="18"/>
                      <w:szCs w:val="18"/>
                      <w:highlight w:val="none"/>
                      <w:lang w:val="en-US" w:eastAsia="zh-CN" w:bidi="ar-SA"/>
                    </w:rPr>
                    <w:t>1.5</w:t>
                  </w:r>
                  <w:r>
                    <w:rPr>
                      <w:rFonts w:hint="default" w:ascii="Times New Roman" w:hAnsi="Times New Roman" w:eastAsia="宋体" w:cs="Times New Roman"/>
                      <w:bCs w:val="0"/>
                      <w:color w:val="auto"/>
                      <w:kern w:val="2"/>
                      <w:sz w:val="18"/>
                      <w:szCs w:val="18"/>
                      <w:highlight w:val="none"/>
                      <w:lang w:val="en-US" w:eastAsia="zh-CN" w:bidi="ar-SA"/>
                    </w:rPr>
                    <w:t>×1×1</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活性炭填充量</w:t>
                  </w:r>
                  <w:r>
                    <w:rPr>
                      <w:rFonts w:hint="eastAsia" w:cs="Times New Roman"/>
                      <w:bCs w:val="0"/>
                      <w:color w:val="auto"/>
                      <w:kern w:val="2"/>
                      <w:sz w:val="18"/>
                      <w:szCs w:val="18"/>
                      <w:highlight w:val="none"/>
                      <w:lang w:val="en-US" w:eastAsia="zh-CN" w:bidi="ar-SA"/>
                    </w:rPr>
                    <w:t>1</w:t>
                  </w:r>
                  <w:r>
                    <w:rPr>
                      <w:rFonts w:hint="default" w:ascii="Times New Roman" w:hAnsi="Times New Roman" w:eastAsia="宋体" w:cs="Times New Roman"/>
                      <w:bCs w:val="0"/>
                      <w:color w:val="auto"/>
                      <w:kern w:val="2"/>
                      <w:sz w:val="18"/>
                      <w:szCs w:val="18"/>
                      <w:highlight w:val="none"/>
                      <w:lang w:val="en-US" w:eastAsia="zh-CN" w:bidi="ar-SA"/>
                    </w:rPr>
                    <w:t>t，蜂窝状活性炭层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2</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催化燃烧装置</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3</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吸附系统的风机风量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eastAsia" w:cs="Times New Roman"/>
                      <w:bCs w:val="0"/>
                      <w:color w:val="auto"/>
                      <w:kern w:val="2"/>
                      <w:sz w:val="18"/>
                      <w:szCs w:val="18"/>
                      <w:highlight w:val="none"/>
                      <w:lang w:val="en-US" w:eastAsia="zh-CN" w:bidi="ar-SA"/>
                    </w:rPr>
                    <w:t>4</w:t>
                  </w:r>
                  <w:r>
                    <w:rPr>
                      <w:rFonts w:hint="default" w:ascii="Times New Roman" w:hAnsi="Times New Roman" w:cs="Times New Roman"/>
                      <w:bCs w:val="0"/>
                      <w:color w:val="auto"/>
                      <w:kern w:val="2"/>
                      <w:sz w:val="18"/>
                      <w:szCs w:val="18"/>
                      <w:highlight w:val="none"/>
                      <w:lang w:val="en-US" w:eastAsia="zh-CN" w:bidi="ar-SA"/>
                    </w:rPr>
                    <w:t>5</w:t>
                  </w:r>
                  <w:r>
                    <w:rPr>
                      <w:rFonts w:hint="default" w:ascii="Times New Roman" w:hAnsi="Times New Roman" w:eastAsia="宋体" w:cs="Times New Roman"/>
                      <w:bCs w:val="0"/>
                      <w:color w:val="auto"/>
                      <w:kern w:val="2"/>
                      <w:sz w:val="18"/>
                      <w:szCs w:val="18"/>
                      <w:highlight w:val="none"/>
                      <w:lang w:val="en-US" w:eastAsia="zh-CN" w:bidi="ar-SA"/>
                    </w:rPr>
                    <w:t>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4</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3000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bl>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根据设计单位提供资料，本项目脱附方式为在线脱附。</w:t>
            </w:r>
            <w:r>
              <w:rPr>
                <w:rFonts w:hint="default" w:ascii="Times New Roman" w:hAnsi="Times New Roman" w:eastAsia="宋体" w:cs="Times New Roman"/>
                <w:color w:val="auto"/>
                <w:highlight w:val="none"/>
                <w:lang w:val="en-US" w:eastAsia="zh-CN"/>
              </w:rPr>
              <w:t>活性炭吸附和催化燃烧装置运行时分为两种工况，其中工况1∶活性炭吸附装置只进行吸附；工况2∶活性炭吸附装置进行脱附，脱附废气进入催化燃烧装置净化后排放。活性炭每六天脱附一次</w:t>
            </w:r>
            <w:r>
              <w:rPr>
                <w:rFonts w:hint="default" w:ascii="Times New Roman" w:hAnsi="Times New Roman" w:cs="Times New Roman"/>
                <w:color w:val="auto"/>
                <w:highlight w:val="none"/>
                <w:lang w:val="en-US" w:eastAsia="zh-CN"/>
              </w:rPr>
              <w:t>，一次</w:t>
            </w:r>
            <w:r>
              <w:rPr>
                <w:rFonts w:hint="default" w:ascii="Times New Roman" w:hAnsi="Times New Roman" w:eastAsia="宋体" w:cs="Times New Roman"/>
                <w:color w:val="auto"/>
                <w:highlight w:val="none"/>
                <w:lang w:val="en-US" w:eastAsia="zh-CN"/>
              </w:rPr>
              <w:t>脱附时间</w:t>
            </w:r>
            <w:r>
              <w:rPr>
                <w:rFonts w:hint="default" w:ascii="Times New Roman" w:hAnsi="Times New Roman" w:cs="Times New Roman"/>
                <w:color w:val="auto"/>
                <w:highlight w:val="none"/>
                <w:lang w:val="en-US" w:eastAsia="zh-CN"/>
              </w:rPr>
              <w:t>为24</w:t>
            </w:r>
            <w:r>
              <w:rPr>
                <w:rFonts w:hint="default" w:ascii="Times New Roman" w:hAnsi="Times New Roman" w:eastAsia="宋体" w:cs="Times New Roman"/>
                <w:color w:val="auto"/>
                <w:highlight w:val="none"/>
                <w:lang w:val="en-US" w:eastAsia="zh-CN"/>
              </w:rPr>
              <w:t>h。不同工况下源强具体核算结果见表</w:t>
            </w:r>
            <w:r>
              <w:rPr>
                <w:rFonts w:hint="default" w:ascii="Times New Roman" w:hAnsi="Times New Roman" w:cs="Times New Roman"/>
                <w:color w:val="auto"/>
                <w:highlight w:val="none"/>
                <w:lang w:val="en-US" w:eastAsia="zh-CN"/>
              </w:rPr>
              <w:t>4-6</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green"/>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none"/>
                <w:lang w:val="zh-CN" w:eastAsia="zh-CN"/>
              </w:rPr>
            </w:pPr>
            <w:r>
              <w:rPr>
                <w:rFonts w:hint="default" w:ascii="Times New Roman" w:hAnsi="Times New Roman" w:eastAsia="宋体" w:cs="Times New Roman"/>
                <w:b/>
                <w:bCs/>
                <w:caps w:val="0"/>
                <w:smallCaps w:val="0"/>
                <w:color w:val="auto"/>
                <w:w w:val="100"/>
                <w:sz w:val="24"/>
                <w:szCs w:val="24"/>
                <w:highlight w:val="none"/>
                <w:lang w:val="zh-CN" w:eastAsia="zh-CN"/>
              </w:rPr>
              <w:t>表</w:t>
            </w:r>
            <w:r>
              <w:rPr>
                <w:rFonts w:hint="default" w:ascii="Times New Roman" w:hAnsi="Times New Roman" w:eastAsia="宋体" w:cs="Times New Roman"/>
                <w:b/>
                <w:bCs/>
                <w:caps w:val="0"/>
                <w:smallCaps w:val="0"/>
                <w:color w:val="auto"/>
                <w:w w:val="100"/>
                <w:sz w:val="24"/>
                <w:szCs w:val="24"/>
                <w:highlight w:val="none"/>
                <w:lang w:val="en-US" w:eastAsia="zh-CN"/>
              </w:rPr>
              <w:t xml:space="preserve">4-6    </w:t>
            </w:r>
            <w:r>
              <w:rPr>
                <w:rFonts w:hint="default" w:ascii="Times New Roman" w:hAnsi="Times New Roman" w:eastAsia="宋体" w:cs="Times New Roman"/>
                <w:b/>
                <w:bCs/>
                <w:caps w:val="0"/>
                <w:smallCaps w:val="0"/>
                <w:color w:val="auto"/>
                <w:w w:val="100"/>
                <w:sz w:val="24"/>
                <w:szCs w:val="24"/>
                <w:highlight w:val="none"/>
                <w:lang w:val="zh-CN" w:eastAsia="zh-CN"/>
              </w:rPr>
              <w:t>项目</w:t>
            </w:r>
            <w:r>
              <w:rPr>
                <w:rFonts w:hint="default" w:ascii="Times New Roman" w:hAnsi="Times New Roman" w:eastAsia="宋体" w:cs="Times New Roman"/>
                <w:b/>
                <w:bCs/>
                <w:caps w:val="0"/>
                <w:smallCaps w:val="0"/>
                <w:color w:val="auto"/>
                <w:w w:val="100"/>
                <w:sz w:val="24"/>
                <w:szCs w:val="24"/>
                <w:highlight w:val="none"/>
                <w:lang w:val="en-US" w:eastAsia="zh-CN"/>
              </w:rPr>
              <w:t>喷涂</w:t>
            </w:r>
            <w:r>
              <w:rPr>
                <w:rFonts w:hint="default" w:ascii="Times New Roman" w:hAnsi="Times New Roman" w:eastAsia="宋体" w:cs="Times New Roman"/>
                <w:b/>
                <w:bCs/>
                <w:caps w:val="0"/>
                <w:smallCaps w:val="0"/>
                <w:color w:val="auto"/>
                <w:w w:val="100"/>
                <w:sz w:val="24"/>
                <w:szCs w:val="24"/>
                <w:highlight w:val="none"/>
                <w:lang w:val="zh-CN" w:eastAsia="zh-CN"/>
              </w:rPr>
              <w:t>废气</w:t>
            </w:r>
            <w:r>
              <w:rPr>
                <w:rFonts w:hint="default" w:ascii="Times New Roman" w:hAnsi="Times New Roman" w:eastAsia="宋体" w:cs="Times New Roman"/>
                <w:b/>
                <w:bCs/>
                <w:caps w:val="0"/>
                <w:smallCaps w:val="0"/>
                <w:color w:val="auto"/>
                <w:w w:val="100"/>
                <w:sz w:val="24"/>
                <w:szCs w:val="24"/>
                <w:highlight w:val="none"/>
                <w:lang w:val="en-US" w:eastAsia="zh-CN"/>
              </w:rPr>
              <w:t>排放口</w:t>
            </w:r>
            <w:r>
              <w:rPr>
                <w:rFonts w:hint="default" w:ascii="Times New Roman" w:hAnsi="Times New Roman" w:eastAsia="宋体" w:cs="Times New Roman"/>
                <w:b/>
                <w:bCs/>
                <w:caps w:val="0"/>
                <w:smallCaps w:val="0"/>
                <w:color w:val="auto"/>
                <w:w w:val="100"/>
                <w:sz w:val="24"/>
                <w:szCs w:val="24"/>
                <w:highlight w:val="none"/>
                <w:lang w:val="zh-CN" w:eastAsia="zh-CN"/>
              </w:rPr>
              <w:t>污染物情况一览表</w:t>
            </w:r>
          </w:p>
          <w:tbl>
            <w:tblPr>
              <w:tblStyle w:val="35"/>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9"/>
              <w:gridCol w:w="957"/>
              <w:gridCol w:w="579"/>
              <w:gridCol w:w="752"/>
              <w:gridCol w:w="786"/>
              <w:gridCol w:w="1742"/>
              <w:gridCol w:w="673"/>
              <w:gridCol w:w="688"/>
              <w:gridCol w:w="752"/>
              <w:gridCol w:w="782"/>
              <w:gridCol w:w="4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工况</w:t>
                  </w:r>
                </w:p>
              </w:tc>
              <w:tc>
                <w:tcPr>
                  <w:tcW w:w="565"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污染物</w:t>
                  </w:r>
                </w:p>
              </w:tc>
              <w:tc>
                <w:tcPr>
                  <w:tcW w:w="1250" w:type="pct"/>
                  <w:gridSpan w:val="3"/>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产生情况</w:t>
                  </w:r>
                </w:p>
              </w:tc>
              <w:tc>
                <w:tcPr>
                  <w:tcW w:w="1425" w:type="pct"/>
                  <w:gridSpan w:val="2"/>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污染治理设施</w:t>
                  </w:r>
                </w:p>
              </w:tc>
              <w:tc>
                <w:tcPr>
                  <w:tcW w:w="1605" w:type="pct"/>
                  <w:gridSpan w:val="4"/>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565"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产生量</w:t>
                  </w:r>
                  <w:r>
                    <w:rPr>
                      <w:rFonts w:hint="default" w:ascii="Times New Roman" w:hAnsi="Times New Roman" w:eastAsia="宋体" w:cs="Times New Roman"/>
                      <w:color w:val="auto"/>
                      <w:sz w:val="18"/>
                      <w:szCs w:val="18"/>
                      <w:highlight w:val="none"/>
                    </w:rPr>
                    <w:t>t/a</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w:t>
                  </w:r>
                  <w:r>
                    <w:rPr>
                      <w:rFonts w:hint="default" w:ascii="Times New Roman" w:hAnsi="Times New Roman" w:eastAsia="宋体" w:cs="Times New Roman"/>
                      <w:color w:val="auto"/>
                      <w:sz w:val="18"/>
                      <w:szCs w:val="18"/>
                      <w:highlight w:val="none"/>
                    </w:rPr>
                    <w:t>速率kg/h</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产生浓度</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1028"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治理措施</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处理效率%</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排放量t/a</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w:t>
                  </w:r>
                  <w:r>
                    <w:rPr>
                      <w:rFonts w:hint="default" w:ascii="Times New Roman" w:hAnsi="Times New Roman" w:eastAsia="宋体" w:cs="Times New Roman"/>
                      <w:color w:val="auto"/>
                      <w:sz w:val="18"/>
                      <w:szCs w:val="18"/>
                      <w:highlight w:val="none"/>
                    </w:rPr>
                    <w:t>速率kg/h</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排放浓度mg/m</w:t>
                  </w:r>
                  <w:r>
                    <w:rPr>
                      <w:rFonts w:hint="default" w:ascii="Times New Roman" w:hAnsi="Times New Roman" w:eastAsia="宋体" w:cs="Times New Roman"/>
                      <w:color w:val="auto"/>
                      <w:sz w:val="18"/>
                      <w:szCs w:val="18"/>
                      <w:highlight w:val="none"/>
                      <w:vertAlign w:val="superscript"/>
                      <w:lang w:val="en-US" w:eastAsia="zh-CN"/>
                    </w:rPr>
                    <w:t>3</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吸附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0.989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0.24</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9.62</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olor w:val="auto"/>
                      <w:sz w:val="18"/>
                      <w:szCs w:val="18"/>
                      <w:lang w:val="en-US" w:eastAsia="zh-CN"/>
                    </w:rPr>
                    <w:t>喷淋塔+</w:t>
                  </w:r>
                  <w:r>
                    <w:rPr>
                      <w:rFonts w:hint="default" w:ascii="Times New Roman" w:hAnsi="Times New Roman" w:eastAsia="宋体" w:cs="Times New Roman"/>
                      <w:color w:val="auto"/>
                      <w:sz w:val="18"/>
                      <w:szCs w:val="18"/>
                      <w:highlight w:val="none"/>
                      <w:lang w:val="en-US" w:eastAsia="zh-CN"/>
                    </w:rPr>
                    <w:t>过滤棉+活性炭吸附，风机风量</w:t>
                  </w:r>
                  <w:r>
                    <w:rPr>
                      <w:rFonts w:hint="eastAsia" w:cs="Times New Roman"/>
                      <w:color w:val="auto"/>
                      <w:sz w:val="18"/>
                      <w:szCs w:val="18"/>
                      <w:highlight w:val="none"/>
                      <w:lang w:val="en-US" w:eastAsia="zh-CN"/>
                    </w:rPr>
                    <w:t>45</w:t>
                  </w:r>
                  <w:r>
                    <w:rPr>
                      <w:rFonts w:hint="default" w:ascii="Times New Roman" w:hAnsi="Times New Roman" w:eastAsia="宋体" w:cs="Times New Roman"/>
                      <w:color w:val="auto"/>
                      <w:sz w:val="18"/>
                      <w:szCs w:val="18"/>
                      <w:highlight w:val="none"/>
                      <w:lang w:val="en-US" w:eastAsia="zh-CN"/>
                    </w:rPr>
                    <w:t>000</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0.099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0.024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0.962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0.692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0.17</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6.73</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0.069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0.017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0.673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苯</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0.0050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0.001</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0.0005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0.0001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0.005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0.495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0.12</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4.81</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0.050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0.012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0.481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0.890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0.65</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216.25</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活性炭脱附+催化燃烧，风机风量3000</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0.045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0.065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21.625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苯</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0.005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0.003</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1.09</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0.0003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0.109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0.446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0.32</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108.24</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0.022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0.032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10.824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686</w:t>
                  </w: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根据计算，项目喷涂废气经治理设施处理后，</w:t>
            </w:r>
            <w:r>
              <w:rPr>
                <w:rFonts w:hint="default" w:ascii="Times New Roman" w:hAnsi="Times New Roman" w:cs="Times New Roman"/>
                <w:color w:val="auto"/>
                <w:sz w:val="21"/>
                <w:szCs w:val="21"/>
                <w:highlight w:val="none"/>
                <w:lang w:val="en-US" w:eastAsia="zh-CN"/>
              </w:rPr>
              <w:t>漆雾（颗粒物）排放浓度满足</w:t>
            </w:r>
            <w:r>
              <w:rPr>
                <w:rFonts w:hint="eastAsia" w:ascii="Times New Roman" w:hAnsi="Times New Roman" w:eastAsia="宋体" w:cs="Times New Roman"/>
                <w:color w:val="auto"/>
                <w:kern w:val="2"/>
                <w:sz w:val="21"/>
                <w:szCs w:val="21"/>
                <w:lang w:val="en-US" w:eastAsia="zh-CN" w:bidi="ar-SA"/>
              </w:rPr>
              <w:t>《唐山市生态环境局关于开展涉挥发性有机物企业提标改造的通知》（唐环气〔2022〕1号）中“颗粒物排出量&lt;1</w:t>
            </w:r>
            <w:r>
              <w:rPr>
                <w:rFonts w:ascii="Times New Roman" w:hAnsi="Times New Roman" w:eastAsia="宋体" w:cs="Times New Roman"/>
                <w:color w:val="auto"/>
                <w:kern w:val="2"/>
                <w:sz w:val="21"/>
                <w:szCs w:val="21"/>
                <w:lang w:val="en-US" w:eastAsia="zh-CN" w:bidi="ar-SA"/>
              </w:rPr>
              <w:t>mg/</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cs="Times New Roman"/>
                <w:color w:val="auto"/>
                <w:sz w:val="21"/>
                <w:szCs w:val="21"/>
                <w:highlight w:val="none"/>
                <w:lang w:val="en-US" w:eastAsia="zh-CN"/>
              </w:rPr>
              <w:t>；甲苯和二甲苯合计、苯、非甲烷总烃排放浓度满足《工业企业挥发性有机物排放控制标准》（DB13/2322-2016）中“表面涂装业”标准：“甲苯与二甲苯合计”20mg/m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；苯1.0mg/m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；非甲烷总烃60mg/m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，最低去除效率70%</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非甲烷总烃同时满足《重污染天气重点行业应急减排措施制定技术指南》（2021年修订版）中“三十九 工业涂装”绩效分级B级指标相关要求。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sz w:val="21"/>
                <w:szCs w:val="21"/>
                <w:highlight w:val="none"/>
                <w:lang w:val="en-US" w:eastAsia="zh-CN"/>
              </w:rPr>
              <w:t>（9）</w:t>
            </w:r>
            <w:r>
              <w:rPr>
                <w:rFonts w:hint="default" w:ascii="Times New Roman" w:hAnsi="Times New Roman" w:cs="Times New Roman"/>
                <w:b/>
                <w:bCs/>
                <w:color w:val="auto"/>
                <w:highlight w:val="none"/>
              </w:rPr>
              <w:t>粘胶板有机废气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green"/>
                <w:lang w:val="en-US" w:eastAsia="zh-CN"/>
              </w:rPr>
            </w:pPr>
            <w:r>
              <w:rPr>
                <w:rFonts w:hint="default" w:ascii="Times New Roman" w:hAnsi="Times New Roman" w:eastAsia="宋体" w:cs="Times New Roman"/>
                <w:color w:val="auto"/>
                <w:sz w:val="21"/>
                <w:szCs w:val="21"/>
                <w:highlight w:val="none"/>
                <w:lang w:val="en-US" w:eastAsia="zh-CN"/>
              </w:rPr>
              <w:t>项目使用耐磨橡胶粘合剂将耐磨胶板粘结在设备内表面，涂胶过程产生的主要污染物为非甲烷总烃、甲苯，项目采用人工涂胶，粘合剂中挥发性有机物按在粘胶间全部挥发计。</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本项目建设2个粘胶间（24m×8m×5m），每个粘胶间配备一套活性炭吸附/脱附#催化燃烧装置处理各自废气。粘胶间整体密闭，采用间歇性换风的方式进行废气收集。</w:t>
            </w:r>
            <w:r>
              <w:rPr>
                <w:rFonts w:hint="default" w:ascii="Times New Roman" w:hAnsi="Times New Roman" w:eastAsia="宋体" w:cs="Times New Roman"/>
                <w:color w:val="auto"/>
                <w:w w:val="100"/>
                <w:kern w:val="2"/>
                <w:sz w:val="21"/>
                <w:szCs w:val="21"/>
                <w:highlight w:val="none"/>
                <w:lang w:val="en-US" w:eastAsia="zh-CN" w:bidi="ar-SA"/>
              </w:rPr>
              <w:t>根据《唐山市生态环境局关于开展涉挥发性有机物企业提标改造的通知》（唐环气〔2022〕1号）文件中要求</w:t>
            </w:r>
            <w:r>
              <w:rPr>
                <w:rFonts w:hint="default" w:ascii="Times New Roman" w:hAnsi="Times New Roman" w:cs="Times New Roman"/>
                <w:color w:val="auto"/>
                <w:w w:val="100"/>
                <w:kern w:val="2"/>
                <w:sz w:val="21"/>
                <w:szCs w:val="21"/>
                <w:highlight w:val="none"/>
                <w:lang w:val="en-US" w:eastAsia="zh-CN" w:bidi="ar-SA"/>
              </w:rPr>
              <w:t>“工业涂装生产线采用整体密闭的，密闭区域内换风次数原则上不少于20次／h”</w:t>
            </w:r>
            <w:r>
              <w:rPr>
                <w:rFonts w:hint="default" w:ascii="Times New Roman" w:hAnsi="Times New Roman" w:cs="Times New Roman"/>
                <w:color w:val="auto"/>
                <w:sz w:val="21"/>
                <w:szCs w:val="21"/>
                <w:highlight w:val="none"/>
                <w:lang w:val="en-US" w:eastAsia="zh-CN"/>
              </w:rPr>
              <w:t>本项目粘胶间换风次数取</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0次/h，满足文件中要求</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w w:val="100"/>
                <w:kern w:val="2"/>
                <w:sz w:val="21"/>
                <w:szCs w:val="21"/>
                <w:highlight w:val="none"/>
                <w:lang w:val="en-US" w:eastAsia="zh-CN" w:bidi="ar-SA"/>
              </w:rPr>
              <w:t>根据计算可知，</w:t>
            </w:r>
            <w:r>
              <w:rPr>
                <w:rFonts w:hint="default" w:ascii="Times New Roman" w:hAnsi="Times New Roman" w:cs="Times New Roman"/>
                <w:color w:val="auto"/>
                <w:w w:val="100"/>
                <w:kern w:val="2"/>
                <w:sz w:val="21"/>
                <w:szCs w:val="21"/>
                <w:highlight w:val="none"/>
                <w:lang w:val="en-US" w:eastAsia="zh-CN" w:bidi="ar-SA"/>
              </w:rPr>
              <w:t>每个粘胶间</w:t>
            </w:r>
            <w:r>
              <w:rPr>
                <w:rFonts w:hint="default" w:ascii="Times New Roman" w:hAnsi="Times New Roman" w:eastAsia="宋体" w:cs="Times New Roman"/>
                <w:color w:val="auto"/>
                <w:w w:val="100"/>
                <w:kern w:val="2"/>
                <w:sz w:val="21"/>
                <w:szCs w:val="21"/>
                <w:highlight w:val="none"/>
                <w:lang w:val="en-US" w:eastAsia="zh-CN" w:bidi="ar-SA"/>
              </w:rPr>
              <w:t>废气所需风量为</w:t>
            </w:r>
            <w:r>
              <w:rPr>
                <w:rFonts w:hint="eastAsia" w:cs="Times New Roman"/>
                <w:color w:val="auto"/>
                <w:w w:val="100"/>
                <w:kern w:val="2"/>
                <w:sz w:val="21"/>
                <w:szCs w:val="21"/>
                <w:highlight w:val="none"/>
                <w:lang w:val="en-US" w:eastAsia="zh-CN" w:bidi="ar-SA"/>
              </w:rPr>
              <w:t>46080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粘胶板废气治理措施配备</w:t>
            </w:r>
            <w:r>
              <w:rPr>
                <w:rFonts w:hint="default" w:ascii="Times New Roman" w:hAnsi="Times New Roman" w:eastAsia="宋体" w:cs="Times New Roman"/>
                <w:color w:val="auto"/>
                <w:sz w:val="21"/>
                <w:szCs w:val="21"/>
                <w:highlight w:val="none"/>
                <w:lang w:val="en-US" w:eastAsia="zh-CN"/>
              </w:rPr>
              <w:t>风量为</w:t>
            </w:r>
            <w:r>
              <w:rPr>
                <w:rFonts w:hint="eastAsia" w:cs="Times New Roman"/>
                <w:color w:val="auto"/>
                <w:sz w:val="21"/>
                <w:szCs w:val="21"/>
                <w:highlight w:val="none"/>
                <w:lang w:val="en-US" w:eastAsia="zh-CN"/>
              </w:rPr>
              <w:t>48</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，可以满足需求。</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green"/>
                <w:lang w:val="en-US" w:eastAsia="zh-CN"/>
              </w:rPr>
            </w:pPr>
            <w:r>
              <w:rPr>
                <w:rFonts w:hint="default" w:ascii="Times New Roman" w:hAnsi="Times New Roman" w:eastAsia="宋体" w:cs="Times New Roman"/>
                <w:color w:val="auto"/>
                <w:highlight w:val="none"/>
                <w:lang w:val="en-US" w:eastAsia="zh-CN"/>
              </w:rPr>
              <w:t>活性炭收集处理</w:t>
            </w:r>
            <w:r>
              <w:rPr>
                <w:rFonts w:hint="default" w:ascii="Times New Roman" w:hAnsi="Times New Roman" w:cs="Times New Roman"/>
                <w:color w:val="auto"/>
                <w:highlight w:val="none"/>
                <w:lang w:val="en-US" w:eastAsia="zh-CN"/>
              </w:rPr>
              <w:t>效率按</w:t>
            </w:r>
            <w:r>
              <w:rPr>
                <w:rFonts w:hint="default" w:ascii="Times New Roman" w:hAnsi="Times New Roman" w:eastAsia="宋体" w:cs="Times New Roman"/>
                <w:color w:val="auto"/>
                <w:highlight w:val="none"/>
                <w:lang w:val="en-US" w:eastAsia="zh-CN"/>
              </w:rPr>
              <w:t>90%计，催化燃烧效率按9</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%计</w:t>
            </w:r>
            <w:r>
              <w:rPr>
                <w:rFonts w:hint="default" w:ascii="Times New Roman" w:hAnsi="Times New Roman" w:eastAsia="宋体" w:cs="Times New Roman"/>
                <w:color w:val="auto"/>
                <w:sz w:val="21"/>
                <w:szCs w:val="21"/>
                <w:highlight w:val="none"/>
                <w:lang w:val="en-US" w:eastAsia="zh-CN"/>
              </w:rPr>
              <w:t>。工作时间为4800h。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green"/>
                <w:lang w:val="en-US" w:eastAsia="zh-CN"/>
              </w:rPr>
            </w:pPr>
            <w:r>
              <w:rPr>
                <w:rFonts w:hint="default" w:ascii="Times New Roman" w:hAnsi="Times New Roman" w:cs="Times New Roman"/>
                <w:color w:val="auto"/>
                <w:sz w:val="21"/>
                <w:szCs w:val="21"/>
                <w:highlight w:val="none"/>
                <w:lang w:val="en-US" w:eastAsia="zh-CN"/>
              </w:rPr>
              <w:t>项目使用</w:t>
            </w:r>
            <w:r>
              <w:rPr>
                <w:rFonts w:hint="default" w:ascii="Times New Roman" w:hAnsi="Times New Roman" w:eastAsia="宋体" w:cs="Times New Roman"/>
                <w:color w:val="auto"/>
                <w:sz w:val="21"/>
                <w:szCs w:val="21"/>
                <w:highlight w:val="none"/>
                <w:lang w:val="en-US" w:eastAsia="zh-CN"/>
              </w:rPr>
              <w:t>耐磨橡胶粘合剂用量为20.6t，</w:t>
            </w:r>
            <w:r>
              <w:rPr>
                <w:rFonts w:hint="default" w:ascii="Times New Roman" w:hAnsi="Times New Roman" w:cs="Times New Roman"/>
                <w:color w:val="auto"/>
                <w:sz w:val="21"/>
                <w:szCs w:val="21"/>
                <w:highlight w:val="none"/>
                <w:lang w:val="en-US" w:eastAsia="zh-CN"/>
              </w:rPr>
              <w:t>根据原料成分分析可知，其中非甲烷总烃占比为20%，甲苯占比为5%，则非甲烷总烃产生量为4.12t/a，甲苯和二甲苯合计产生量为1.03t/a。</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活性炭吸附/脱附+9#催化燃烧和活性炭吸附/脱附+10#催化燃烧两套处理措施工艺参数及污染物产排污情况完全相同。</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活性炭性质见表4-7，环保设施参数见表4-8。</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7</w:t>
            </w:r>
            <w:r>
              <w:rPr>
                <w:rFonts w:hint="default" w:ascii="Times New Roman" w:hAnsi="Times New Roman" w:eastAsia="宋体" w:cs="Times New Roman"/>
                <w:b/>
                <w:bCs/>
                <w:color w:val="auto"/>
                <w:kern w:val="2"/>
                <w:sz w:val="21"/>
                <w:szCs w:val="21"/>
                <w:highlight w:val="none"/>
                <w:lang w:val="en-US" w:eastAsia="zh-CN" w:bidi="ar-SA"/>
              </w:rPr>
              <w:t xml:space="preserve">    活性炭性质</w:t>
            </w:r>
          </w:p>
          <w:tbl>
            <w:tblPr>
              <w:tblStyle w:val="35"/>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5"/>
              <w:gridCol w:w="2603"/>
              <w:gridCol w:w="2122"/>
              <w:gridCol w:w="2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序号</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项目</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单位</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数值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碘吸附值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亚甲基蓝吸附率</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mL/0.1g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mg/g</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141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3</w:t>
                  </w:r>
                </w:p>
              </w:tc>
              <w:tc>
                <w:tcPr>
                  <w:tcW w:w="1536" w:type="pct"/>
                  <w:vMerge w:val="restar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粒度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2.0mm-0.80mm</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536" w:type="pct"/>
                  <w:vMerge w:val="continue"/>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0.80mm以下</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4</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强度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95.8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5</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表观密度</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g/mL</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0.47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灰份</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7</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水分</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41"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8</w:t>
                  </w:r>
                </w:p>
              </w:tc>
              <w:tc>
                <w:tcPr>
                  <w:tcW w:w="1536"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pH值</w:t>
                  </w:r>
                </w:p>
              </w:tc>
              <w:tc>
                <w:tcPr>
                  <w:tcW w:w="1252"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w:t>
                  </w:r>
                </w:p>
              </w:tc>
              <w:tc>
                <w:tcPr>
                  <w:tcW w:w="1268" w:type="pct"/>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18"/>
                      <w:szCs w:val="18"/>
                      <w:highlight w:val="none"/>
                      <w:lang w:val="en-US" w:eastAsia="zh-CN" w:bidi="ar-SA"/>
                    </w:rPr>
                    <w:t>6.5</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zh-CN" w:eastAsia="zh-CN" w:bidi="ar-SA"/>
              </w:rPr>
            </w:pPr>
            <w:r>
              <w:rPr>
                <w:rFonts w:hint="default" w:ascii="Times New Roman" w:hAnsi="Times New Roman" w:eastAsia="宋体" w:cs="Times New Roman"/>
                <w:b/>
                <w:bCs/>
                <w:color w:val="auto"/>
                <w:kern w:val="2"/>
                <w:sz w:val="21"/>
                <w:szCs w:val="21"/>
                <w:highlight w:val="none"/>
                <w:lang w:val="zh-CN" w:eastAsia="zh-CN" w:bidi="ar-SA"/>
              </w:rPr>
              <w:t>表</w:t>
            </w:r>
            <w:r>
              <w:rPr>
                <w:rFonts w:hint="default" w:ascii="Times New Roman" w:hAnsi="Times New Roman" w:eastAsia="宋体" w:cs="Times New Roman"/>
                <w:b/>
                <w:bCs/>
                <w:color w:val="auto"/>
                <w:kern w:val="2"/>
                <w:sz w:val="21"/>
                <w:szCs w:val="21"/>
                <w:highlight w:val="none"/>
                <w:lang w:val="en-US" w:eastAsia="zh-CN" w:bidi="ar-SA"/>
              </w:rPr>
              <w:t>4-</w:t>
            </w:r>
            <w:r>
              <w:rPr>
                <w:rFonts w:hint="default" w:ascii="Times New Roman" w:hAnsi="Times New Roman" w:cs="Times New Roman"/>
                <w:b/>
                <w:bCs/>
                <w:color w:val="auto"/>
                <w:kern w:val="2"/>
                <w:sz w:val="21"/>
                <w:szCs w:val="21"/>
                <w:highlight w:val="none"/>
                <w:lang w:val="en-US" w:eastAsia="zh-CN" w:bidi="ar-SA"/>
              </w:rPr>
              <w:t>8</w:t>
            </w:r>
            <w:r>
              <w:rPr>
                <w:rFonts w:hint="default"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zh-CN" w:eastAsia="zh-CN" w:bidi="ar-SA"/>
              </w:rPr>
              <w:t>环保设施参数</w:t>
            </w:r>
          </w:p>
          <w:tbl>
            <w:tblPr>
              <w:tblStyle w:val="35"/>
              <w:tblW w:w="0" w:type="auto"/>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2131"/>
              <w:gridCol w:w="797"/>
              <w:gridCol w:w="1662"/>
              <w:gridCol w:w="3311"/>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序号</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设备名称</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数量</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尺寸（长宽高m）</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备注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活性炭箱</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cs="Times New Roman"/>
                      <w:bCs w:val="0"/>
                      <w:color w:val="auto"/>
                      <w:kern w:val="2"/>
                      <w:sz w:val="18"/>
                      <w:szCs w:val="18"/>
                      <w:highlight w:val="none"/>
                      <w:lang w:val="en-US" w:eastAsia="zh-CN" w:bidi="ar-SA"/>
                    </w:rPr>
                    <w:t>2</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eastAsia" w:cs="Times New Roman"/>
                      <w:bCs w:val="0"/>
                      <w:color w:val="auto"/>
                      <w:kern w:val="2"/>
                      <w:sz w:val="18"/>
                      <w:szCs w:val="18"/>
                      <w:highlight w:val="none"/>
                      <w:lang w:val="en-US" w:eastAsia="zh-CN" w:bidi="ar-SA"/>
                    </w:rPr>
                    <w:t>1.5</w:t>
                  </w:r>
                  <w:r>
                    <w:rPr>
                      <w:rFonts w:hint="default" w:ascii="Times New Roman" w:hAnsi="Times New Roman" w:eastAsia="宋体" w:cs="Times New Roman"/>
                      <w:bCs w:val="0"/>
                      <w:color w:val="auto"/>
                      <w:kern w:val="2"/>
                      <w:sz w:val="18"/>
                      <w:szCs w:val="18"/>
                      <w:highlight w:val="none"/>
                      <w:lang w:val="en-US" w:eastAsia="zh-CN" w:bidi="ar-SA"/>
                    </w:rPr>
                    <w:t>×1×1</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活性炭填充量</w:t>
                  </w:r>
                  <w:r>
                    <w:rPr>
                      <w:rFonts w:hint="eastAsia" w:cs="Times New Roman"/>
                      <w:bCs w:val="0"/>
                      <w:color w:val="auto"/>
                      <w:kern w:val="2"/>
                      <w:sz w:val="18"/>
                      <w:szCs w:val="18"/>
                      <w:highlight w:val="none"/>
                      <w:lang w:val="en-US" w:eastAsia="zh-CN" w:bidi="ar-SA"/>
                    </w:rPr>
                    <w:t>1</w:t>
                  </w:r>
                  <w:r>
                    <w:rPr>
                      <w:rFonts w:hint="default" w:ascii="Times New Roman" w:hAnsi="Times New Roman" w:eastAsia="宋体" w:cs="Times New Roman"/>
                      <w:bCs w:val="0"/>
                      <w:color w:val="auto"/>
                      <w:kern w:val="2"/>
                      <w:sz w:val="18"/>
                      <w:szCs w:val="18"/>
                      <w:highlight w:val="none"/>
                      <w:lang w:val="en-US" w:eastAsia="zh-CN" w:bidi="ar-SA"/>
                    </w:rPr>
                    <w:t>t，蜂窝状活性炭层</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2</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催化燃烧装置</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1</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3</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吸附系统的风机风量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i w:val="0"/>
                      <w:iCs w:val="0"/>
                      <w:color w:val="auto"/>
                      <w:kern w:val="2"/>
                      <w:sz w:val="18"/>
                      <w:szCs w:val="18"/>
                      <w:highlight w:val="none"/>
                      <w:lang w:val="en-US" w:eastAsia="zh-CN" w:bidi="ar-SA"/>
                    </w:rPr>
                  </w:pPr>
                  <w:r>
                    <w:rPr>
                      <w:rFonts w:hint="default" w:ascii="Times New Roman" w:hAnsi="Times New Roman" w:cs="Times New Roman"/>
                      <w:bCs w:val="0"/>
                      <w:i w:val="0"/>
                      <w:iCs w:val="0"/>
                      <w:color w:val="auto"/>
                      <w:kern w:val="2"/>
                      <w:sz w:val="18"/>
                      <w:szCs w:val="18"/>
                      <w:highlight w:val="none"/>
                      <w:lang w:val="en-US" w:eastAsia="zh-CN" w:bidi="ar-SA"/>
                    </w:rPr>
                    <w:t>25</w:t>
                  </w:r>
                  <w:r>
                    <w:rPr>
                      <w:rFonts w:hint="default" w:ascii="Times New Roman" w:hAnsi="Times New Roman" w:eastAsia="宋体" w:cs="Times New Roman"/>
                      <w:bCs w:val="0"/>
                      <w:i w:val="0"/>
                      <w:iCs w:val="0"/>
                      <w:color w:val="auto"/>
                      <w:kern w:val="2"/>
                      <w:sz w:val="18"/>
                      <w:szCs w:val="18"/>
                      <w:highlight w:val="none"/>
                      <w:lang w:val="en-US" w:eastAsia="zh-CN" w:bidi="ar-SA"/>
                    </w:rPr>
                    <w:t>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76"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4</w:t>
                  </w:r>
                </w:p>
              </w:tc>
              <w:tc>
                <w:tcPr>
                  <w:tcW w:w="213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脱附系统的风机风量</w:t>
                  </w:r>
                </w:p>
              </w:tc>
              <w:tc>
                <w:tcPr>
                  <w:tcW w:w="797"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i w:val="0"/>
                      <w:iCs w:val="0"/>
                      <w:color w:val="auto"/>
                      <w:kern w:val="2"/>
                      <w:sz w:val="18"/>
                      <w:szCs w:val="18"/>
                      <w:highlight w:val="none"/>
                      <w:lang w:val="en-US" w:eastAsia="zh-CN" w:bidi="ar-SA"/>
                    </w:rPr>
                  </w:pPr>
                  <w:r>
                    <w:rPr>
                      <w:rFonts w:hint="default" w:ascii="Times New Roman" w:hAnsi="Times New Roman" w:eastAsia="宋体" w:cs="Times New Roman"/>
                      <w:bCs w:val="0"/>
                      <w:i w:val="0"/>
                      <w:iCs w:val="0"/>
                      <w:color w:val="auto"/>
                      <w:kern w:val="2"/>
                      <w:sz w:val="18"/>
                      <w:szCs w:val="18"/>
                      <w:highlight w:val="none"/>
                      <w:lang w:val="en-US" w:eastAsia="zh-CN" w:bidi="ar-SA"/>
                    </w:rPr>
                    <w:t>3000</w:t>
                  </w:r>
                </w:p>
              </w:tc>
              <w:tc>
                <w:tcPr>
                  <w:tcW w:w="1662"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c>
                <w:tcPr>
                  <w:tcW w:w="3311" w:type="dxa"/>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w:t>
                  </w:r>
                </w:p>
              </w:tc>
            </w:tr>
          </w:tbl>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根据设计单位提供资料，本项目脱附方式为在线脱附。</w:t>
            </w:r>
            <w:r>
              <w:rPr>
                <w:rFonts w:hint="default" w:ascii="Times New Roman" w:hAnsi="Times New Roman" w:eastAsia="宋体" w:cs="Times New Roman"/>
                <w:color w:val="auto"/>
                <w:highlight w:val="none"/>
                <w:lang w:val="en-US" w:eastAsia="zh-CN"/>
              </w:rPr>
              <w:t>活性炭吸附和催化燃烧装置运行时分为两种工况，其中工况1∶活性炭吸附装置只进行吸附；工况2∶活性炭吸附装置进行脱附，脱附废气进入催化燃烧装置净化后排放。活性炭每六天脱附一次</w:t>
            </w:r>
            <w:r>
              <w:rPr>
                <w:rFonts w:hint="default" w:ascii="Times New Roman" w:hAnsi="Times New Roman" w:cs="Times New Roman"/>
                <w:color w:val="auto"/>
                <w:highlight w:val="none"/>
                <w:lang w:val="en-US" w:eastAsia="zh-CN"/>
              </w:rPr>
              <w:t>，一次</w:t>
            </w:r>
            <w:r>
              <w:rPr>
                <w:rFonts w:hint="default" w:ascii="Times New Roman" w:hAnsi="Times New Roman" w:eastAsia="宋体" w:cs="Times New Roman"/>
                <w:color w:val="auto"/>
                <w:highlight w:val="none"/>
                <w:lang w:val="en-US" w:eastAsia="zh-CN"/>
              </w:rPr>
              <w:t>脱附时间</w:t>
            </w:r>
            <w:r>
              <w:rPr>
                <w:rFonts w:hint="default" w:ascii="Times New Roman" w:hAnsi="Times New Roman" w:cs="Times New Roman"/>
                <w:color w:val="auto"/>
                <w:highlight w:val="none"/>
                <w:lang w:val="en-US" w:eastAsia="zh-CN"/>
              </w:rPr>
              <w:t>为24</w:t>
            </w:r>
            <w:r>
              <w:rPr>
                <w:rFonts w:hint="default" w:ascii="Times New Roman" w:hAnsi="Times New Roman" w:eastAsia="宋体" w:cs="Times New Roman"/>
                <w:color w:val="auto"/>
                <w:highlight w:val="none"/>
                <w:lang w:val="en-US" w:eastAsia="zh-CN"/>
              </w:rPr>
              <w:t>h。不同工况下源强具体核算结果见表</w:t>
            </w:r>
            <w:r>
              <w:rPr>
                <w:rFonts w:hint="default" w:ascii="Times New Roman" w:hAnsi="Times New Roman" w:cs="Times New Roman"/>
                <w:color w:val="auto"/>
                <w:highlight w:val="none"/>
                <w:lang w:val="en-US" w:eastAsia="zh-CN"/>
              </w:rPr>
              <w:t>4-9</w:t>
            </w:r>
            <w:r>
              <w:rPr>
                <w:rFonts w:hint="default" w:ascii="Times New Roman" w:hAnsi="Times New Roman" w:eastAsia="宋体"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4"/>
                <w:szCs w:val="24"/>
                <w:highlight w:val="none"/>
                <w:lang w:val="zh-CN" w:eastAsia="zh-CN"/>
              </w:rPr>
            </w:pPr>
            <w:r>
              <w:rPr>
                <w:rFonts w:hint="default" w:ascii="Times New Roman" w:hAnsi="Times New Roman" w:eastAsia="宋体" w:cs="Times New Roman"/>
                <w:b/>
                <w:bCs/>
                <w:caps w:val="0"/>
                <w:smallCaps w:val="0"/>
                <w:color w:val="auto"/>
                <w:w w:val="100"/>
                <w:sz w:val="24"/>
                <w:szCs w:val="24"/>
                <w:highlight w:val="none"/>
                <w:lang w:val="zh-CN" w:eastAsia="zh-CN"/>
              </w:rPr>
              <w:t>表</w:t>
            </w:r>
            <w:r>
              <w:rPr>
                <w:rFonts w:hint="default" w:ascii="Times New Roman" w:hAnsi="Times New Roman" w:eastAsia="宋体" w:cs="Times New Roman"/>
                <w:b/>
                <w:bCs/>
                <w:caps w:val="0"/>
                <w:smallCaps w:val="0"/>
                <w:color w:val="auto"/>
                <w:w w:val="100"/>
                <w:sz w:val="24"/>
                <w:szCs w:val="24"/>
                <w:highlight w:val="none"/>
                <w:lang w:val="en-US" w:eastAsia="zh-CN"/>
              </w:rPr>
              <w:t xml:space="preserve">4-9    </w:t>
            </w:r>
            <w:r>
              <w:rPr>
                <w:rFonts w:hint="default" w:ascii="Times New Roman" w:hAnsi="Times New Roman" w:eastAsia="宋体" w:cs="Times New Roman"/>
                <w:b/>
                <w:bCs/>
                <w:caps w:val="0"/>
                <w:smallCaps w:val="0"/>
                <w:color w:val="auto"/>
                <w:w w:val="100"/>
                <w:sz w:val="24"/>
                <w:szCs w:val="24"/>
                <w:highlight w:val="none"/>
                <w:lang w:val="zh-CN" w:eastAsia="zh-CN"/>
              </w:rPr>
              <w:t>项目</w:t>
            </w:r>
            <w:r>
              <w:rPr>
                <w:rFonts w:hint="default" w:ascii="Times New Roman" w:hAnsi="Times New Roman" w:eastAsia="宋体" w:cs="Times New Roman"/>
                <w:b/>
                <w:bCs/>
                <w:caps w:val="0"/>
                <w:smallCaps w:val="0"/>
                <w:color w:val="auto"/>
                <w:w w:val="100"/>
                <w:sz w:val="24"/>
                <w:szCs w:val="24"/>
                <w:highlight w:val="none"/>
                <w:lang w:val="en-US" w:eastAsia="zh-CN"/>
              </w:rPr>
              <w:t>粘胶</w:t>
            </w:r>
            <w:r>
              <w:rPr>
                <w:rFonts w:hint="default" w:ascii="Times New Roman" w:hAnsi="Times New Roman" w:eastAsia="宋体" w:cs="Times New Roman"/>
                <w:b/>
                <w:bCs/>
                <w:caps w:val="0"/>
                <w:smallCaps w:val="0"/>
                <w:color w:val="auto"/>
                <w:w w:val="100"/>
                <w:sz w:val="24"/>
                <w:szCs w:val="24"/>
                <w:highlight w:val="none"/>
                <w:lang w:val="zh-CN" w:eastAsia="zh-CN"/>
              </w:rPr>
              <w:t>废气</w:t>
            </w:r>
            <w:r>
              <w:rPr>
                <w:rFonts w:hint="default" w:ascii="Times New Roman" w:hAnsi="Times New Roman" w:eastAsia="宋体" w:cs="Times New Roman"/>
                <w:b/>
                <w:bCs/>
                <w:caps w:val="0"/>
                <w:smallCaps w:val="0"/>
                <w:color w:val="auto"/>
                <w:w w:val="100"/>
                <w:sz w:val="24"/>
                <w:szCs w:val="24"/>
                <w:highlight w:val="none"/>
                <w:lang w:val="en-US" w:eastAsia="zh-CN"/>
              </w:rPr>
              <w:t>排放口</w:t>
            </w:r>
            <w:r>
              <w:rPr>
                <w:rFonts w:hint="default" w:ascii="Times New Roman" w:hAnsi="Times New Roman" w:eastAsia="宋体" w:cs="Times New Roman"/>
                <w:b/>
                <w:bCs/>
                <w:caps w:val="0"/>
                <w:smallCaps w:val="0"/>
                <w:color w:val="auto"/>
                <w:w w:val="100"/>
                <w:sz w:val="24"/>
                <w:szCs w:val="24"/>
                <w:highlight w:val="none"/>
                <w:lang w:val="zh-CN" w:eastAsia="zh-CN"/>
              </w:rPr>
              <w:t>污染物情况一览表</w:t>
            </w:r>
          </w:p>
          <w:tbl>
            <w:tblPr>
              <w:tblStyle w:val="35"/>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9"/>
              <w:gridCol w:w="957"/>
              <w:gridCol w:w="579"/>
              <w:gridCol w:w="752"/>
              <w:gridCol w:w="786"/>
              <w:gridCol w:w="1742"/>
              <w:gridCol w:w="673"/>
              <w:gridCol w:w="688"/>
              <w:gridCol w:w="752"/>
              <w:gridCol w:w="782"/>
              <w:gridCol w:w="4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工况</w:t>
                  </w:r>
                </w:p>
              </w:tc>
              <w:tc>
                <w:tcPr>
                  <w:tcW w:w="565"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污染物</w:t>
                  </w:r>
                </w:p>
              </w:tc>
              <w:tc>
                <w:tcPr>
                  <w:tcW w:w="1250" w:type="pct"/>
                  <w:gridSpan w:val="3"/>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产生情况</w:t>
                  </w:r>
                </w:p>
              </w:tc>
              <w:tc>
                <w:tcPr>
                  <w:tcW w:w="1425" w:type="pct"/>
                  <w:gridSpan w:val="2"/>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污染治理设施</w:t>
                  </w:r>
                </w:p>
              </w:tc>
              <w:tc>
                <w:tcPr>
                  <w:tcW w:w="1605" w:type="pct"/>
                  <w:gridSpan w:val="4"/>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565"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产生量</w:t>
                  </w:r>
                  <w:r>
                    <w:rPr>
                      <w:rFonts w:hint="default" w:ascii="Times New Roman" w:hAnsi="Times New Roman" w:eastAsia="宋体" w:cs="Times New Roman"/>
                      <w:color w:val="auto"/>
                      <w:sz w:val="18"/>
                      <w:szCs w:val="18"/>
                      <w:highlight w:val="none"/>
                    </w:rPr>
                    <w:t>t/a</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产生</w:t>
                  </w:r>
                  <w:r>
                    <w:rPr>
                      <w:rFonts w:hint="default" w:ascii="Times New Roman" w:hAnsi="Times New Roman" w:eastAsia="宋体" w:cs="Times New Roman"/>
                      <w:color w:val="auto"/>
                      <w:sz w:val="18"/>
                      <w:szCs w:val="18"/>
                      <w:highlight w:val="none"/>
                    </w:rPr>
                    <w:t>速率kg/h</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产生浓度</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p>
              </w:tc>
              <w:tc>
                <w:tcPr>
                  <w:tcW w:w="1028"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治理措施</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处理效率%</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排放量t/a</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排放</w:t>
                  </w:r>
                  <w:r>
                    <w:rPr>
                      <w:rFonts w:hint="default" w:ascii="Times New Roman" w:hAnsi="Times New Roman" w:eastAsia="宋体" w:cs="Times New Roman"/>
                      <w:color w:val="auto"/>
                      <w:sz w:val="18"/>
                      <w:szCs w:val="18"/>
                      <w:highlight w:val="none"/>
                    </w:rPr>
                    <w:t>速率kg/h</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排放浓度mg/m</w:t>
                  </w:r>
                  <w:r>
                    <w:rPr>
                      <w:rFonts w:hint="default" w:ascii="Times New Roman" w:hAnsi="Times New Roman" w:eastAsia="宋体" w:cs="Times New Roman"/>
                      <w:color w:val="auto"/>
                      <w:sz w:val="18"/>
                      <w:szCs w:val="18"/>
                      <w:highlight w:val="none"/>
                      <w:vertAlign w:val="superscript"/>
                      <w:lang w:val="en-US" w:eastAsia="zh-CN"/>
                    </w:rPr>
                    <w:t>3</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工作时间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吸附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2.060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0.5</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20.03</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olor w:val="auto"/>
                      <w:sz w:val="18"/>
                      <w:szCs w:val="18"/>
                      <w:lang w:val="en-US" w:eastAsia="zh-CN"/>
                    </w:rPr>
                    <w:t>喷淋塔+</w:t>
                  </w:r>
                  <w:r>
                    <w:rPr>
                      <w:rFonts w:hint="default" w:ascii="Times New Roman" w:hAnsi="Times New Roman" w:eastAsia="宋体" w:cs="Times New Roman"/>
                      <w:color w:val="auto"/>
                      <w:sz w:val="18"/>
                      <w:szCs w:val="18"/>
                      <w:highlight w:val="none"/>
                      <w:lang w:val="en-US" w:eastAsia="zh-CN"/>
                    </w:rPr>
                    <w:t>过滤棉+活性炭吸附，风机风量25000，2套</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0.206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0.050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2.003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0.515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0.13</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5.01</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90</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0.052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0.013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0.501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restart"/>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脱附</w:t>
                  </w: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r>
                    <w:rPr>
                      <w:rFonts w:hint="default" w:ascii="Times New Roman" w:hAnsi="Times New Roman" w:eastAsia="宋体" w:cs="Times New Roman"/>
                      <w:bCs w:val="0"/>
                      <w:color w:val="auto"/>
                      <w:kern w:val="2"/>
                      <w:sz w:val="18"/>
                      <w:szCs w:val="18"/>
                      <w:highlight w:val="none"/>
                      <w:lang w:val="en-US" w:eastAsia="zh-CN" w:bidi="ar-SA"/>
                    </w:rPr>
                    <w:t>非甲烷总烃</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1.854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1.57</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522.51</w:t>
                  </w:r>
                </w:p>
              </w:tc>
              <w:tc>
                <w:tcPr>
                  <w:tcW w:w="1028" w:type="pct"/>
                  <w:vMerge w:val="restar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活性炭脱附+催化燃烧，风机风量3000，2套</w:t>
                  </w: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0.108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0.157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52.251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53" w:type="pct"/>
                  <w:vMerge w:val="continue"/>
                  <w:tcBorders>
                    <w:tl2br w:val="nil"/>
                    <w:tr2bl w:val="nil"/>
                  </w:tcBorders>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Cs w:val="0"/>
                      <w:color w:val="auto"/>
                      <w:kern w:val="2"/>
                      <w:sz w:val="18"/>
                      <w:szCs w:val="18"/>
                      <w:highlight w:val="none"/>
                      <w:lang w:val="en-US" w:eastAsia="zh-CN" w:bidi="ar-SA"/>
                    </w:rPr>
                  </w:pPr>
                </w:p>
              </w:tc>
              <w:tc>
                <w:tcPr>
                  <w:tcW w:w="565"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甲苯与二甲苯合计</w:t>
                  </w:r>
                </w:p>
              </w:tc>
              <w:tc>
                <w:tcPr>
                  <w:tcW w:w="342" w:type="pct"/>
                  <w:tcBorders>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0.464 </w:t>
                  </w:r>
                </w:p>
              </w:tc>
              <w:tc>
                <w:tcPr>
                  <w:tcW w:w="444" w:type="pct"/>
                  <w:tcBorders>
                    <w:left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0.39</w:t>
                  </w:r>
                </w:p>
              </w:tc>
              <w:tc>
                <w:tcPr>
                  <w:tcW w:w="463" w:type="pct"/>
                  <w:tcBorders>
                    <w:left w:val="single" w:color="auto" w:sz="4" w:space="0"/>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130.63</w:t>
                  </w:r>
                </w:p>
              </w:tc>
              <w:tc>
                <w:tcPr>
                  <w:tcW w:w="1028" w:type="pct"/>
                  <w:vMerge w:val="continue"/>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c>
                <w:tcPr>
                  <w:tcW w:w="39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95</w:t>
                  </w:r>
                </w:p>
              </w:tc>
              <w:tc>
                <w:tcPr>
                  <w:tcW w:w="406"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0.027 </w:t>
                  </w:r>
                </w:p>
              </w:tc>
              <w:tc>
                <w:tcPr>
                  <w:tcW w:w="444"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0.039 </w:t>
                  </w:r>
                </w:p>
              </w:tc>
              <w:tc>
                <w:tcPr>
                  <w:tcW w:w="46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13.063 </w:t>
                  </w:r>
                </w:p>
              </w:tc>
              <w:tc>
                <w:tcPr>
                  <w:tcW w:w="291" w:type="pct"/>
                  <w:tcBorders>
                    <w:tl2br w:val="nil"/>
                    <w:tr2bl w:val="nil"/>
                  </w:tcBorders>
                  <w:noWrap/>
                  <w:tcMar>
                    <w:top w:w="15" w:type="dxa"/>
                    <w:left w:w="15" w:type="dxa"/>
                    <w:right w:w="15" w:type="dxa"/>
                  </w:tcMar>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686</w:t>
                  </w:r>
                </w:p>
              </w:tc>
            </w:tr>
          </w:tbl>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根据计算，项目粘胶废气经治理设施处理后，甲苯和二甲苯合计、非甲烷总烃排放浓度满足《工业企业挥发性有机物排放控制标准》（DB13/2322-2016）中“表面涂装业”标准：“甲苯与二甲苯合计”20mg/m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；非甲烷总烃60mg/m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，最低去除效率70%。</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b/>
                <w:bCs/>
                <w:color w:val="auto"/>
                <w:sz w:val="21"/>
                <w:szCs w:val="21"/>
                <w:highlight w:val="none"/>
                <w:lang w:val="en-US" w:eastAsia="zh-CN"/>
              </w:rPr>
              <w:t>橡胶板打磨粉尘</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生产工艺中在设备外层粘接一层橡胶板以获得更好的减震性能和使用寿命。橡胶板在粘接前需打磨粘接面，增大其比表面积增加粘接强度。根据《粉尘的沉降性能及粒度分析》《长沙工业高等专科学校，何静著）表1中的粉尘在流体中的运行分析，粒径在10μm 以上的粉尘颗粒在操作工位附近可缓慢自然沉降∶粒径在 10μm以下的粉尘颗粒在大气中漂浮难以沉降，形成工业废气污染。本项目人工进行打磨，过程中产生悬浮的橡胶粉尘较少，其产生量类比同类项目约为原料量的1%，原料耐磨胶板用量为170t，则粉尘产生量为1.7t/a。</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胶板打磨</w:t>
            </w:r>
            <w:r>
              <w:rPr>
                <w:rFonts w:hint="eastAsia" w:ascii="宋体" w:hAnsi="宋体" w:eastAsia="宋体" w:cs="宋体"/>
                <w:color w:val="auto"/>
                <w:sz w:val="21"/>
                <w:szCs w:val="21"/>
                <w:highlight w:val="none"/>
                <w:lang w:val="zh-CN" w:eastAsia="zh-CN"/>
              </w:rPr>
              <w:t>工序工作时间依据订单而定，平均年工作</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val="zh-CN" w:eastAsia="zh-CN"/>
              </w:rPr>
              <w:t>00h。</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打磨工序位于密闭打磨间内</w:t>
            </w:r>
            <w:r>
              <w:rPr>
                <w:rFonts w:hint="eastAsia" w:ascii="宋体" w:hAnsi="宋体" w:eastAsia="宋体" w:cs="宋体"/>
                <w:color w:val="auto"/>
                <w:sz w:val="21"/>
                <w:szCs w:val="21"/>
                <w:highlight w:val="none"/>
                <w:lang w:val="zh-CN" w:eastAsia="zh-CN"/>
              </w:rPr>
              <w:t>，上方设置管道，废气经上方管道收集后引至</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eastAsia="zh-CN"/>
              </w:rPr>
              <w:t>脉冲布袋除尘器（综合处理效率按9</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计</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处理后经15m排气筒排放</w:t>
            </w:r>
            <w:r>
              <w:rPr>
                <w:rFonts w:hint="eastAsia" w:ascii="宋体" w:hAnsi="宋体" w:eastAsia="宋体" w:cs="宋体"/>
                <w:color w:val="auto"/>
                <w:sz w:val="21"/>
                <w:szCs w:val="21"/>
                <w:highlight w:val="none"/>
                <w:lang w:val="zh-CN" w:eastAsia="zh-CN"/>
              </w:rPr>
              <w:t>。</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w w:val="100"/>
                <w:kern w:val="2"/>
                <w:sz w:val="21"/>
                <w:szCs w:val="21"/>
                <w:highlight w:val="none"/>
                <w:lang w:val="en-US" w:eastAsia="zh-CN" w:bidi="ar-SA"/>
              </w:rPr>
              <w:t>废气所需风量计算公式为：胶板打磨间体积×换风次数×风损；本项目胶板打磨间体积为6×5×3m，换风次数取40次/h，满足《唐山市生态环境局关于开展涉挥发性有机物企业提标改造的通知》（唐环气〔2022〕1号）文件中要求“工业涂装生产线采用整体密闭的，密闭区域内换风次数原则上不少于20次／h”，本项目风损取值1.2，根据计算可知，胶板打磨废气所需风量为4320</w:t>
            </w:r>
            <w:r>
              <w:rPr>
                <w:rFonts w:hint="eastAsia" w:ascii="宋体" w:hAnsi="宋体" w:eastAsia="宋体" w:cs="宋体"/>
                <w:color w:val="auto"/>
                <w:sz w:val="21"/>
                <w:szCs w:val="21"/>
                <w:highlight w:val="none"/>
                <w:lang w:val="en-US" w:eastAsia="zh-CN"/>
              </w:rPr>
              <w:t>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/h，除尘器配备风量为5000m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/h，可以满足需求。</w:t>
            </w:r>
          </w:p>
          <w:p>
            <w:pPr>
              <w:pStyle w:val="2"/>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z w:val="21"/>
                <w:szCs w:val="21"/>
                <w:highlight w:val="none"/>
                <w:lang w:val="en-US" w:eastAsia="zh-CN"/>
              </w:rPr>
              <w:t>布袋除尘器</w:t>
            </w:r>
            <w:r>
              <w:rPr>
                <w:rFonts w:hint="eastAsia" w:ascii="宋体" w:hAnsi="宋体" w:eastAsia="宋体" w:cs="宋体"/>
                <w:color w:val="auto"/>
                <w:sz w:val="21"/>
                <w:szCs w:val="21"/>
                <w:highlight w:val="none"/>
                <w:lang w:val="zh-CN" w:eastAsia="zh-CN"/>
              </w:rPr>
              <w:t>颗粒物去除效率为9</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根据计算可知，胶板打磨废气有组织排放量为0.085t/a，排放速率为0.043kg/h，排放浓度为8.5mg/m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，满足</w:t>
            </w:r>
            <w:r>
              <w:rPr>
                <w:rFonts w:hint="eastAsia" w:ascii="宋体" w:hAnsi="宋体" w:eastAsia="宋体" w:cs="宋体"/>
                <w:color w:val="auto"/>
                <w:spacing w:val="-1"/>
                <w:sz w:val="21"/>
                <w:szCs w:val="21"/>
                <w:highlight w:val="none"/>
                <w:lang w:val="en-US" w:eastAsia="zh-CN"/>
              </w:rPr>
              <w:t>参照</w:t>
            </w:r>
            <w:r>
              <w:rPr>
                <w:rFonts w:hint="eastAsia" w:ascii="宋体" w:hAnsi="宋体" w:eastAsia="宋体" w:cs="宋体"/>
                <w:color w:val="auto"/>
                <w:spacing w:val="-1"/>
                <w:sz w:val="21"/>
                <w:szCs w:val="21"/>
                <w:highlight w:val="none"/>
              </w:rPr>
              <w:t>执行</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钢铁工业大气污染物超低排放标准</w:t>
            </w:r>
            <w:r>
              <w:rPr>
                <w:rFonts w:hint="eastAsia" w:ascii="宋体" w:hAnsi="宋体" w:eastAsia="宋体" w:cs="宋体"/>
                <w:color w:val="auto"/>
                <w:spacing w:val="-1"/>
                <w:sz w:val="21"/>
                <w:szCs w:val="21"/>
                <w:highlight w:val="none"/>
                <w:lang w:eastAsia="zh-CN"/>
              </w:rPr>
              <w:t>》（DB13/2169—2018）</w:t>
            </w:r>
            <w:r>
              <w:rPr>
                <w:rFonts w:hint="eastAsia" w:ascii="宋体" w:hAnsi="宋体" w:eastAsia="宋体" w:cs="宋体"/>
                <w:color w:val="auto"/>
                <w:spacing w:val="-1"/>
                <w:sz w:val="21"/>
                <w:szCs w:val="21"/>
                <w:highlight w:val="none"/>
                <w:lang w:val="en-US" w:eastAsia="zh-CN"/>
              </w:rPr>
              <w:t>标准要求（10</w:t>
            </w:r>
            <w:r>
              <w:rPr>
                <w:rFonts w:hint="eastAsia" w:ascii="宋体" w:hAnsi="宋体" w:eastAsia="宋体" w:cs="宋体"/>
                <w:color w:val="auto"/>
                <w:sz w:val="21"/>
                <w:szCs w:val="21"/>
                <w:highlight w:val="none"/>
                <w:lang w:val="en-US" w:eastAsia="zh-CN"/>
              </w:rPr>
              <w:t>mg/m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pacing w:val="-1"/>
                <w:sz w:val="21"/>
                <w:szCs w:val="21"/>
                <w:highlight w:val="none"/>
                <w:lang w:val="en-US" w:eastAsia="zh-CN"/>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left"/>
              <w:textAlignment w:val="auto"/>
              <w:rPr>
                <w:rFonts w:hint="eastAsia" w:ascii="宋体" w:hAnsi="宋体" w:cs="宋体"/>
                <w:b/>
                <w:bCs/>
                <w:color w:val="auto"/>
                <w:sz w:val="21"/>
                <w:szCs w:val="21"/>
                <w:highlight w:val="none"/>
                <w:lang w:val="en-US" w:eastAsia="zh-CN"/>
              </w:rPr>
            </w:pPr>
            <w:r>
              <w:rPr>
                <w:rFonts w:hint="default"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1</w:t>
            </w:r>
            <w:r>
              <w:rPr>
                <w:rFonts w:hint="default"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粉料配料、捏炼、开炼废气</w:t>
            </w:r>
          </w:p>
          <w:p>
            <w:pPr>
              <w:pStyle w:val="2"/>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本项目在密闭的配料间内进行称重、配料。本项目采用手动称量的方式，由人工利用不同规格的舀子将包装袋中粉料慢慢转移至高压聚乙烯塑料袋中，在电子称上称量，称量完毕后系好袋子，备用。</w:t>
            </w:r>
            <w:r>
              <w:rPr>
                <w:rFonts w:hint="eastAsia" w:ascii="宋体" w:hAnsi="宋体" w:eastAsia="宋体" w:cs="宋体"/>
                <w:color w:val="auto"/>
                <w:sz w:val="21"/>
                <w:szCs w:val="21"/>
                <w:highlight w:val="none"/>
                <w:lang w:val="en-US" w:eastAsia="zh-CN"/>
              </w:rPr>
              <w:t>配料在专用配料工位进行，配料工位上方设置1m×1.25m集气罩。</w:t>
            </w:r>
          </w:p>
          <w:p>
            <w:pPr>
              <w:pStyle w:val="2"/>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捏炼、开炼过程中将配料完成的粉料，慢慢倒入捏炼机、开炼机中与天然橡胶进行捏炼、开炼，此过程中会产生颗粒物。捏炼、开炼、精炼、挤出过程温度较高，会产生非甲烷总烃、臭气浓度。本项目在捏炼机、开炼机上方设置集气罩+软帘，并配套引入脉冲布袋除尘器+活性炭吸附/脱附#催化燃烧装置处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r>
              <w:rPr>
                <w:rFonts w:hint="default" w:ascii="Times New Roman" w:hAnsi="Times New Roman" w:eastAsia="宋体" w:cs="Times New Roman"/>
                <w:b/>
                <w:bCs/>
                <w:caps w:val="0"/>
                <w:smallCaps w:val="0"/>
                <w:color w:val="auto"/>
                <w:w w:val="100"/>
                <w:sz w:val="21"/>
                <w:szCs w:val="21"/>
                <w:highlight w:val="none"/>
                <w:lang w:val="zh-CN" w:eastAsia="zh-CN"/>
              </w:rPr>
              <w:t>表</w:t>
            </w:r>
            <w:r>
              <w:rPr>
                <w:rFonts w:hint="default" w:ascii="Times New Roman" w:hAnsi="Times New Roman" w:eastAsia="宋体" w:cs="Times New Roman"/>
                <w:b/>
                <w:bCs/>
                <w:caps w:val="0"/>
                <w:smallCaps w:val="0"/>
                <w:color w:val="auto"/>
                <w:w w:val="100"/>
                <w:sz w:val="21"/>
                <w:szCs w:val="21"/>
                <w:highlight w:val="none"/>
                <w:lang w:val="en-US" w:eastAsia="zh-CN"/>
              </w:rPr>
              <w:t>4-</w:t>
            </w:r>
            <w:r>
              <w:rPr>
                <w:rFonts w:hint="eastAsia" w:cs="Times New Roman"/>
                <w:b/>
                <w:bCs/>
                <w:caps w:val="0"/>
                <w:smallCaps w:val="0"/>
                <w:color w:val="auto"/>
                <w:w w:val="100"/>
                <w:sz w:val="21"/>
                <w:szCs w:val="21"/>
                <w:highlight w:val="none"/>
                <w:lang w:val="en-US" w:eastAsia="zh-CN"/>
              </w:rPr>
              <w:t>10</w:t>
            </w:r>
            <w:r>
              <w:rPr>
                <w:rFonts w:hint="default" w:ascii="Times New Roman" w:hAnsi="Times New Roman" w:eastAsia="宋体" w:cs="Times New Roman"/>
                <w:b/>
                <w:bCs/>
                <w:caps w:val="0"/>
                <w:smallCaps w:val="0"/>
                <w:color w:val="auto"/>
                <w:w w:val="100"/>
                <w:sz w:val="21"/>
                <w:szCs w:val="21"/>
                <w:highlight w:val="none"/>
                <w:lang w:val="en-US" w:eastAsia="zh-CN"/>
              </w:rPr>
              <w:t xml:space="preserve">    </w:t>
            </w:r>
            <w:r>
              <w:rPr>
                <w:rFonts w:hint="default" w:ascii="Times New Roman" w:hAnsi="Times New Roman" w:eastAsia="宋体" w:cs="Times New Roman"/>
                <w:b/>
                <w:bCs/>
                <w:caps w:val="0"/>
                <w:smallCaps w:val="0"/>
                <w:color w:val="auto"/>
                <w:w w:val="100"/>
                <w:sz w:val="21"/>
                <w:szCs w:val="21"/>
                <w:highlight w:val="none"/>
                <w:lang w:val="zh-CN" w:eastAsia="zh-CN"/>
              </w:rPr>
              <w:t>项目</w:t>
            </w:r>
            <w:r>
              <w:rPr>
                <w:rFonts w:hint="eastAsia" w:cs="Times New Roman"/>
                <w:b/>
                <w:bCs/>
                <w:caps w:val="0"/>
                <w:smallCaps w:val="0"/>
                <w:color w:val="auto"/>
                <w:w w:val="100"/>
                <w:sz w:val="21"/>
                <w:szCs w:val="21"/>
                <w:highlight w:val="none"/>
                <w:lang w:val="en-US" w:eastAsia="zh-CN"/>
              </w:rPr>
              <w:t>橡胶</w:t>
            </w:r>
            <w:r>
              <w:rPr>
                <w:rFonts w:hint="default" w:ascii="Times New Roman" w:hAnsi="Times New Roman" w:eastAsia="宋体" w:cs="Times New Roman"/>
                <w:b/>
                <w:bCs/>
                <w:caps w:val="0"/>
                <w:smallCaps w:val="0"/>
                <w:color w:val="auto"/>
                <w:w w:val="100"/>
                <w:sz w:val="21"/>
                <w:szCs w:val="21"/>
                <w:highlight w:val="none"/>
                <w:lang w:val="zh-CN" w:eastAsia="zh-CN"/>
              </w:rPr>
              <w:t>废气</w:t>
            </w:r>
            <w:r>
              <w:rPr>
                <w:rFonts w:hint="eastAsia" w:cs="Times New Roman"/>
                <w:b/>
                <w:bCs/>
                <w:caps w:val="0"/>
                <w:smallCaps w:val="0"/>
                <w:color w:val="auto"/>
                <w:w w:val="100"/>
                <w:sz w:val="21"/>
                <w:szCs w:val="21"/>
                <w:highlight w:val="none"/>
                <w:lang w:val="en-US" w:eastAsia="zh-CN"/>
              </w:rPr>
              <w:t>收集</w:t>
            </w:r>
            <w:r>
              <w:rPr>
                <w:rFonts w:hint="default" w:ascii="Times New Roman" w:hAnsi="Times New Roman" w:eastAsia="宋体" w:cs="Times New Roman"/>
                <w:b/>
                <w:bCs/>
                <w:caps w:val="0"/>
                <w:smallCaps w:val="0"/>
                <w:color w:val="auto"/>
                <w:w w:val="100"/>
                <w:sz w:val="21"/>
                <w:szCs w:val="21"/>
                <w:highlight w:val="none"/>
                <w:lang w:val="zh-CN" w:eastAsia="zh-CN"/>
              </w:rPr>
              <w:t>情况一览表</w:t>
            </w:r>
          </w:p>
          <w:tbl>
            <w:tblPr>
              <w:tblStyle w:val="35"/>
              <w:tblW w:w="8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9"/>
              <w:gridCol w:w="768"/>
              <w:gridCol w:w="411"/>
              <w:gridCol w:w="517"/>
              <w:gridCol w:w="1456"/>
              <w:gridCol w:w="925"/>
              <w:gridCol w:w="787"/>
              <w:gridCol w:w="888"/>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序号</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设备名称</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单位</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数量</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废气收集罩尺寸（长*宽，m）</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风速（m/秒）</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面积（㎡）</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排气量（m³）</w:t>
                  </w:r>
                </w:p>
              </w:tc>
              <w:tc>
                <w:tcPr>
                  <w:tcW w:w="228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废气处理措施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配料工位</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个</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1*1.25</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1.25</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4320</w:t>
                  </w:r>
                </w:p>
              </w:tc>
              <w:tc>
                <w:tcPr>
                  <w:tcW w:w="2289" w:type="dxa"/>
                  <w:vMerge w:val="restart"/>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共用一套11#脉冲布袋除尘器+</w:t>
                  </w:r>
                  <w:r>
                    <w:rPr>
                      <w:rFonts w:hint="default" w:ascii="Times New Roman" w:hAnsi="Times New Roman" w:eastAsia="宋体" w:cs="Times New Roman"/>
                      <w:color w:val="auto"/>
                      <w:sz w:val="18"/>
                      <w:szCs w:val="18"/>
                      <w:highlight w:val="none"/>
                      <w:lang w:val="en-US" w:eastAsia="zh-CN"/>
                    </w:rPr>
                    <w:t>活性炭吸附/脱附#催化燃烧装置</w:t>
                  </w:r>
                  <w:r>
                    <w:rPr>
                      <w:rFonts w:hint="eastAsia" w:cs="Times New Roman"/>
                      <w:color w:val="auto"/>
                      <w:sz w:val="18"/>
                      <w:szCs w:val="18"/>
                      <w:highlight w:val="none"/>
                      <w:lang w:val="en-US" w:eastAsia="zh-CN"/>
                    </w:rPr>
                    <w:t>+15m排气筒，风机风量35000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2</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捏炼机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1.3*1.3</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1.69</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5840.64</w:t>
                  </w:r>
                </w:p>
              </w:tc>
              <w:tc>
                <w:tcPr>
                  <w:tcW w:w="2289"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3</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捏炼机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1.3*1.3</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1.69</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5840.64</w:t>
                  </w:r>
                </w:p>
              </w:tc>
              <w:tc>
                <w:tcPr>
                  <w:tcW w:w="2289"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4</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注射机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1.3*2</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5.2</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17971.2</w:t>
                  </w:r>
                </w:p>
              </w:tc>
              <w:tc>
                <w:tcPr>
                  <w:tcW w:w="2289"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5</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开胶机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1.8*2</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3.6</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12441.6</w:t>
                  </w:r>
                </w:p>
              </w:tc>
              <w:tc>
                <w:tcPr>
                  <w:tcW w:w="2289" w:type="dxa"/>
                  <w:vMerge w:val="restart"/>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none"/>
                      <w:lang w:val="en-US" w:eastAsia="zh-CN"/>
                    </w:rPr>
                    <w:t>共用一套12#脉冲布袋除尘器+</w:t>
                  </w:r>
                  <w:r>
                    <w:rPr>
                      <w:rFonts w:hint="default" w:ascii="Times New Roman" w:hAnsi="Times New Roman" w:eastAsia="宋体" w:cs="Times New Roman"/>
                      <w:color w:val="auto"/>
                      <w:sz w:val="18"/>
                      <w:szCs w:val="18"/>
                      <w:highlight w:val="none"/>
                      <w:lang w:val="en-US" w:eastAsia="zh-CN"/>
                    </w:rPr>
                    <w:t>活性炭吸附/脱附#催化燃烧装置</w:t>
                  </w:r>
                  <w:r>
                    <w:rPr>
                      <w:rFonts w:hint="eastAsia" w:cs="Times New Roman"/>
                      <w:color w:val="auto"/>
                      <w:sz w:val="18"/>
                      <w:szCs w:val="18"/>
                      <w:highlight w:val="none"/>
                      <w:lang w:val="en-US" w:eastAsia="zh-CN"/>
                    </w:rPr>
                    <w:t>+15m排气筒，风机风量38000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6</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开胶机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p>
              </w:tc>
              <w:tc>
                <w:tcPr>
                  <w:tcW w:w="145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1.8*2</w:t>
                  </w:r>
                </w:p>
              </w:tc>
              <w:tc>
                <w:tcPr>
                  <w:tcW w:w="925"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0.8</w:t>
                  </w:r>
                </w:p>
              </w:tc>
              <w:tc>
                <w:tcPr>
                  <w:tcW w:w="78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7.2</w:t>
                  </w:r>
                </w:p>
              </w:tc>
              <w:tc>
                <w:tcPr>
                  <w:tcW w:w="88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24883.2</w:t>
                  </w:r>
                </w:p>
              </w:tc>
              <w:tc>
                <w:tcPr>
                  <w:tcW w:w="2289"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yellow"/>
                      <w:lang w:val="en-US" w:eastAsia="zh-CN"/>
                    </w:rPr>
                  </w:pPr>
                </w:p>
              </w:tc>
            </w:tr>
          </w:tbl>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项目橡胶制品中各污染物排放浓度类比《陆凯新材料（唐山市丰南区）有限公司》自行监测报告（YFJC-2022-06052）中数据，陆凯新材料（唐山市丰南区）有限公司与本公司属于同一总公司，生产橡胶制品原料、生产工艺、废气处理措施完全相同，类比可行。根据监测报告可知，橡胶制品污染物排放浓度为颗粒物2.2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，非甲烷总烃7.7mg/m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，臭气浓度977无量纲，硫化氢0.47mg/m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。满足《橡胶制品工业污染物排放标准》(GB27632-2011)表 5 中的排放浓度限值相关要求：颗粒物12mg/m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，非甲烷总烃10mg/m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的要求，硫化氢</w:t>
            </w:r>
            <w:r>
              <w:rPr>
                <w:rFonts w:hint="eastAsia" w:cs="Times New Roman"/>
                <w:color w:val="auto"/>
                <w:highlight w:val="none"/>
                <w:lang w:val="en-US" w:eastAsia="zh-CN"/>
              </w:rPr>
              <w:t>《恶臭污染物排放标准》（GB14554-93）表2相关要求：H</w:t>
            </w:r>
            <w:r>
              <w:rPr>
                <w:rFonts w:hint="eastAsia" w:cs="Times New Roman"/>
                <w:color w:val="auto"/>
                <w:highlight w:val="none"/>
                <w:vertAlign w:val="subscript"/>
                <w:lang w:val="en-US" w:eastAsia="zh-CN"/>
              </w:rPr>
              <w:t>2</w:t>
            </w:r>
            <w:r>
              <w:rPr>
                <w:rFonts w:hint="eastAsia" w:cs="Times New Roman"/>
                <w:color w:val="auto"/>
                <w:highlight w:val="none"/>
                <w:lang w:val="en-US" w:eastAsia="zh-CN"/>
              </w:rPr>
              <w:t>S：15m排气筒排放速率0.33kg/h。臭气浓度执行《恶臭污染物排放标准》（GB14554-93）表 2 相关要求：臭气浓度：2000。</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2" w:firstLineChars="200"/>
              <w:textAlignment w:val="auto"/>
              <w:rPr>
                <w:rFonts w:hint="default"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（12）硫化废气</w:t>
            </w:r>
          </w:p>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eastAsia" w:cs="Times New Roman"/>
                <w:color w:val="auto"/>
                <w:sz w:val="21"/>
                <w:szCs w:val="21"/>
                <w:highlight w:val="yellow"/>
                <w:lang w:val="en-US" w:eastAsia="zh-CN"/>
              </w:rPr>
            </w:pPr>
            <w:r>
              <w:rPr>
                <w:rFonts w:hint="default" w:cs="Times New Roman"/>
                <w:color w:val="auto"/>
                <w:sz w:val="21"/>
                <w:szCs w:val="21"/>
                <w:highlight w:val="none"/>
                <w:lang w:val="en-US" w:eastAsia="zh-CN"/>
              </w:rPr>
              <w:t>硫化过程会产生非甲烷总烃、臭气浓度、H</w:t>
            </w:r>
            <w:r>
              <w:rPr>
                <w:rFonts w:hint="default" w:cs="Times New Roman"/>
                <w:color w:val="auto"/>
                <w:sz w:val="21"/>
                <w:szCs w:val="21"/>
                <w:highlight w:val="none"/>
                <w:vertAlign w:val="subscript"/>
                <w:lang w:val="en-US" w:eastAsia="zh-CN"/>
              </w:rPr>
              <w:t>2</w:t>
            </w:r>
            <w:r>
              <w:rPr>
                <w:rFonts w:hint="default" w:cs="Times New Roman"/>
                <w:color w:val="auto"/>
                <w:sz w:val="21"/>
                <w:szCs w:val="21"/>
                <w:highlight w:val="none"/>
                <w:lang w:val="en-US" w:eastAsia="zh-CN"/>
              </w:rPr>
              <w:t>S。本项目在</w:t>
            </w:r>
            <w:r>
              <w:rPr>
                <w:rFonts w:hint="eastAsia" w:cs="Times New Roman"/>
                <w:color w:val="auto"/>
                <w:sz w:val="21"/>
                <w:szCs w:val="21"/>
                <w:highlight w:val="none"/>
                <w:lang w:val="en-US" w:eastAsia="zh-CN"/>
              </w:rPr>
              <w:t>硫化机</w:t>
            </w:r>
            <w:r>
              <w:rPr>
                <w:rFonts w:hint="default" w:cs="Times New Roman"/>
                <w:color w:val="auto"/>
                <w:sz w:val="21"/>
                <w:szCs w:val="21"/>
                <w:highlight w:val="none"/>
                <w:lang w:val="en-US" w:eastAsia="zh-CN"/>
              </w:rPr>
              <w:t>上方设置集气罩+软帘</w:t>
            </w:r>
            <w:r>
              <w:rPr>
                <w:rFonts w:hint="eastAsia" w:cs="Times New Roman"/>
                <w:color w:val="auto"/>
                <w:sz w:val="21"/>
                <w:szCs w:val="21"/>
                <w:highlight w:val="none"/>
                <w:lang w:val="en-US" w:eastAsia="zh-CN"/>
              </w:rPr>
              <w:t>，并配套引入</w:t>
            </w:r>
            <w:r>
              <w:rPr>
                <w:rFonts w:hint="default" w:ascii="Times New Roman" w:hAnsi="Times New Roman" w:eastAsia="宋体" w:cs="Times New Roman"/>
                <w:color w:val="auto"/>
                <w:sz w:val="21"/>
                <w:szCs w:val="21"/>
                <w:highlight w:val="none"/>
                <w:lang w:val="en-US" w:eastAsia="zh-CN"/>
              </w:rPr>
              <w:t>活性炭吸附/脱附#催化燃烧装置处理</w:t>
            </w:r>
            <w:r>
              <w:rPr>
                <w:rFonts w:hint="eastAsia"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aps w:val="0"/>
                <w:smallCaps w:val="0"/>
                <w:color w:val="auto"/>
                <w:w w:val="100"/>
                <w:sz w:val="21"/>
                <w:szCs w:val="21"/>
                <w:highlight w:val="none"/>
                <w:lang w:val="zh-CN" w:eastAsia="zh-CN"/>
              </w:rPr>
            </w:pPr>
            <w:r>
              <w:rPr>
                <w:rFonts w:hint="default" w:ascii="Times New Roman" w:hAnsi="Times New Roman" w:eastAsia="宋体" w:cs="Times New Roman"/>
                <w:b/>
                <w:bCs/>
                <w:caps w:val="0"/>
                <w:smallCaps w:val="0"/>
                <w:color w:val="auto"/>
                <w:w w:val="100"/>
                <w:sz w:val="21"/>
                <w:szCs w:val="21"/>
                <w:highlight w:val="none"/>
                <w:lang w:val="zh-CN" w:eastAsia="zh-CN"/>
              </w:rPr>
              <w:t>表</w:t>
            </w:r>
            <w:r>
              <w:rPr>
                <w:rFonts w:hint="default" w:ascii="Times New Roman" w:hAnsi="Times New Roman" w:eastAsia="宋体" w:cs="Times New Roman"/>
                <w:b/>
                <w:bCs/>
                <w:caps w:val="0"/>
                <w:smallCaps w:val="0"/>
                <w:color w:val="auto"/>
                <w:w w:val="100"/>
                <w:sz w:val="21"/>
                <w:szCs w:val="21"/>
                <w:highlight w:val="none"/>
                <w:lang w:val="en-US" w:eastAsia="zh-CN"/>
              </w:rPr>
              <w:t>4-</w:t>
            </w:r>
            <w:r>
              <w:rPr>
                <w:rFonts w:hint="eastAsia" w:cs="Times New Roman"/>
                <w:b/>
                <w:bCs/>
                <w:caps w:val="0"/>
                <w:smallCaps w:val="0"/>
                <w:color w:val="auto"/>
                <w:w w:val="100"/>
                <w:sz w:val="21"/>
                <w:szCs w:val="21"/>
                <w:highlight w:val="none"/>
                <w:lang w:val="en-US" w:eastAsia="zh-CN"/>
              </w:rPr>
              <w:t>10</w:t>
            </w:r>
            <w:r>
              <w:rPr>
                <w:rFonts w:hint="default" w:ascii="Times New Roman" w:hAnsi="Times New Roman" w:eastAsia="宋体" w:cs="Times New Roman"/>
                <w:b/>
                <w:bCs/>
                <w:caps w:val="0"/>
                <w:smallCaps w:val="0"/>
                <w:color w:val="auto"/>
                <w:w w:val="100"/>
                <w:sz w:val="21"/>
                <w:szCs w:val="21"/>
                <w:highlight w:val="none"/>
                <w:lang w:val="en-US" w:eastAsia="zh-CN"/>
              </w:rPr>
              <w:t xml:space="preserve">    </w:t>
            </w:r>
            <w:r>
              <w:rPr>
                <w:rFonts w:hint="default" w:ascii="Times New Roman" w:hAnsi="Times New Roman" w:eastAsia="宋体" w:cs="Times New Roman"/>
                <w:b/>
                <w:bCs/>
                <w:caps w:val="0"/>
                <w:smallCaps w:val="0"/>
                <w:color w:val="auto"/>
                <w:w w:val="100"/>
                <w:sz w:val="21"/>
                <w:szCs w:val="21"/>
                <w:highlight w:val="none"/>
                <w:lang w:val="zh-CN" w:eastAsia="zh-CN"/>
              </w:rPr>
              <w:t>项目</w:t>
            </w:r>
            <w:r>
              <w:rPr>
                <w:rFonts w:hint="eastAsia" w:cs="Times New Roman"/>
                <w:b/>
                <w:bCs/>
                <w:caps w:val="0"/>
                <w:smallCaps w:val="0"/>
                <w:color w:val="auto"/>
                <w:w w:val="100"/>
                <w:sz w:val="21"/>
                <w:szCs w:val="21"/>
                <w:highlight w:val="none"/>
                <w:lang w:val="en-US" w:eastAsia="zh-CN"/>
              </w:rPr>
              <w:t>硫化废气收集</w:t>
            </w:r>
            <w:r>
              <w:rPr>
                <w:rFonts w:hint="default" w:ascii="Times New Roman" w:hAnsi="Times New Roman" w:eastAsia="宋体" w:cs="Times New Roman"/>
                <w:b/>
                <w:bCs/>
                <w:caps w:val="0"/>
                <w:smallCaps w:val="0"/>
                <w:color w:val="auto"/>
                <w:w w:val="100"/>
                <w:sz w:val="21"/>
                <w:szCs w:val="21"/>
                <w:highlight w:val="none"/>
                <w:lang w:val="zh-CN" w:eastAsia="zh-CN"/>
              </w:rPr>
              <w:t>情况一览表</w:t>
            </w:r>
          </w:p>
          <w:tbl>
            <w:tblPr>
              <w:tblStyle w:val="35"/>
              <w:tblW w:w="8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9"/>
              <w:gridCol w:w="768"/>
              <w:gridCol w:w="411"/>
              <w:gridCol w:w="517"/>
              <w:gridCol w:w="1058"/>
              <w:gridCol w:w="798"/>
              <w:gridCol w:w="710"/>
              <w:gridCol w:w="1116"/>
              <w:gridCol w:w="2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序号</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设备名称</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单位</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数量</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废气收集罩尺寸（长*宽，m）</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风速（m/秒）</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面积（㎡）</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排气量（m³）</w:t>
                  </w:r>
                </w:p>
              </w:tc>
              <w:tc>
                <w:tcPr>
                  <w:tcW w:w="2663"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废气处理措施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1</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1.5*2</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9</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31104</w:t>
                  </w:r>
                </w:p>
              </w:tc>
              <w:tc>
                <w:tcPr>
                  <w:tcW w:w="2663" w:type="dxa"/>
                  <w:vMerge w:val="restart"/>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共用一套13#</w:t>
                  </w:r>
                  <w:r>
                    <w:rPr>
                      <w:rFonts w:hint="default" w:ascii="Times New Roman" w:hAnsi="Times New Roman" w:eastAsia="宋体" w:cs="Times New Roman"/>
                      <w:color w:val="auto"/>
                      <w:sz w:val="18"/>
                      <w:szCs w:val="18"/>
                      <w:highlight w:val="none"/>
                      <w:lang w:val="en-US" w:eastAsia="zh-CN"/>
                    </w:rPr>
                    <w:t>活性炭吸附/脱附#催化燃烧装置</w:t>
                  </w:r>
                  <w:r>
                    <w:rPr>
                      <w:rFonts w:hint="eastAsia" w:cs="Times New Roman"/>
                      <w:color w:val="auto"/>
                      <w:sz w:val="18"/>
                      <w:szCs w:val="18"/>
                      <w:highlight w:val="none"/>
                      <w:lang w:val="en-US" w:eastAsia="zh-CN"/>
                    </w:rPr>
                    <w:t>+15m排气筒，风机风量35000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2</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eastAsia"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1</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3456</w:t>
                  </w:r>
                </w:p>
              </w:tc>
              <w:tc>
                <w:tcPr>
                  <w:tcW w:w="2663"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3</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3*1</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10368</w:t>
                  </w:r>
                </w:p>
              </w:tc>
              <w:tc>
                <w:tcPr>
                  <w:tcW w:w="2663" w:type="dxa"/>
                  <w:vMerge w:val="restart"/>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共用一套14#</w:t>
                  </w:r>
                  <w:r>
                    <w:rPr>
                      <w:rFonts w:hint="default" w:ascii="Times New Roman" w:hAnsi="Times New Roman" w:eastAsia="宋体" w:cs="Times New Roman"/>
                      <w:color w:val="auto"/>
                      <w:sz w:val="18"/>
                      <w:szCs w:val="18"/>
                      <w:highlight w:val="none"/>
                      <w:lang w:val="en-US" w:eastAsia="zh-CN"/>
                    </w:rPr>
                    <w:t>活性炭吸附/脱附#催化燃烧装置</w:t>
                  </w:r>
                  <w:r>
                    <w:rPr>
                      <w:rFonts w:hint="eastAsia" w:cs="Times New Roman"/>
                      <w:color w:val="auto"/>
                      <w:sz w:val="18"/>
                      <w:szCs w:val="18"/>
                      <w:highlight w:val="none"/>
                      <w:lang w:val="en-US" w:eastAsia="zh-CN"/>
                    </w:rPr>
                    <w:t>+15m排气筒，风机风量37000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4</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0.8*0.8</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0.64</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2211.84</w:t>
                  </w:r>
                </w:p>
              </w:tc>
              <w:tc>
                <w:tcPr>
                  <w:tcW w:w="2663"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5</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1*1</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6912</w:t>
                  </w:r>
                </w:p>
              </w:tc>
              <w:tc>
                <w:tcPr>
                  <w:tcW w:w="2663"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6</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2.4*2</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4.8</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16588.8</w:t>
                  </w:r>
                </w:p>
              </w:tc>
              <w:tc>
                <w:tcPr>
                  <w:tcW w:w="2663" w:type="dxa"/>
                  <w:vMerge w:val="continue"/>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7</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1.5*2.5</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7.5</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25920</w:t>
                  </w:r>
                </w:p>
              </w:tc>
              <w:tc>
                <w:tcPr>
                  <w:tcW w:w="2663" w:type="dxa"/>
                  <w:vMerge w:val="restart"/>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共用一套15#</w:t>
                  </w:r>
                  <w:r>
                    <w:rPr>
                      <w:rFonts w:hint="default" w:ascii="Times New Roman" w:hAnsi="Times New Roman" w:eastAsia="宋体" w:cs="Times New Roman"/>
                      <w:color w:val="auto"/>
                      <w:sz w:val="18"/>
                      <w:szCs w:val="18"/>
                      <w:highlight w:val="none"/>
                      <w:lang w:val="en-US" w:eastAsia="zh-CN"/>
                    </w:rPr>
                    <w:t>活性炭吸附/脱附#催化燃烧装置</w:t>
                  </w:r>
                  <w:r>
                    <w:rPr>
                      <w:rFonts w:hint="eastAsia" w:cs="Times New Roman"/>
                      <w:color w:val="auto"/>
                      <w:sz w:val="18"/>
                      <w:szCs w:val="18"/>
                      <w:highlight w:val="none"/>
                      <w:lang w:val="en-US" w:eastAsia="zh-CN"/>
                    </w:rPr>
                    <w:t>+15m排气筒，风机风量35000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8</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硫化机</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台</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1.7*1</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0.8</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1.7</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5875.2</w:t>
                  </w:r>
                </w:p>
              </w:tc>
              <w:tc>
                <w:tcPr>
                  <w:tcW w:w="2663" w:type="dxa"/>
                  <w:vMerge w:val="continue"/>
                  <w:tcBorders/>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jc w:val="center"/>
              </w:trPr>
              <w:tc>
                <w:tcPr>
                  <w:tcW w:w="449"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cs="Times New Roman"/>
                      <w:color w:val="auto"/>
                      <w:sz w:val="18"/>
                      <w:szCs w:val="18"/>
                      <w:highlight w:val="none"/>
                      <w:lang w:val="en-US" w:eastAsia="zh-CN"/>
                    </w:rPr>
                  </w:pPr>
                  <w:r>
                    <w:rPr>
                      <w:rFonts w:hint="eastAsia" w:cs="Times New Roman"/>
                      <w:color w:val="auto"/>
                      <w:sz w:val="18"/>
                      <w:szCs w:val="18"/>
                      <w:highlight w:val="none"/>
                      <w:lang w:val="en-US" w:eastAsia="zh-CN"/>
                    </w:rPr>
                    <w:t>9</w:t>
                  </w:r>
                </w:p>
              </w:tc>
              <w:tc>
                <w:tcPr>
                  <w:tcW w:w="76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涂胶间</w:t>
                  </w:r>
                </w:p>
              </w:tc>
              <w:tc>
                <w:tcPr>
                  <w:tcW w:w="411"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座</w:t>
                  </w:r>
                </w:p>
              </w:tc>
              <w:tc>
                <w:tcPr>
                  <w:tcW w:w="517"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w:t>
                  </w:r>
                </w:p>
              </w:tc>
              <w:tc>
                <w:tcPr>
                  <w:tcW w:w="105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3*6*3</w:t>
                  </w:r>
                </w:p>
              </w:tc>
              <w:tc>
                <w:tcPr>
                  <w:tcW w:w="798"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710"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1116" w:type="dxa"/>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2160（按换气次数40次/h计算）</w:t>
                  </w:r>
                </w:p>
              </w:tc>
              <w:tc>
                <w:tcPr>
                  <w:tcW w:w="2663" w:type="dxa"/>
                  <w:vMerge w:val="continue"/>
                  <w:tcBorders/>
                  <w:shd w:val="clear" w:color="auto" w:fill="auto"/>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eastAsia" w:ascii="Times New Roman" w:hAnsi="Times New Roman" w:eastAsia="宋体" w:cs="Times New Roman"/>
                      <w:color w:val="auto"/>
                      <w:sz w:val="18"/>
                      <w:szCs w:val="18"/>
                      <w:highlight w:val="none"/>
                      <w:lang w:val="en-US" w:eastAsia="zh-CN"/>
                    </w:rPr>
                  </w:pPr>
                </w:p>
              </w:tc>
            </w:tr>
          </w:tbl>
          <w:p>
            <w:pPr>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项目橡胶制品中各污染物排放浓度类比《陆凯新材料（唐山市丰南区）有限公司》自行监测报告（YFJC-2022-06052）中数据，陆凯新材料（唐山市丰南区）有限公司与本公司属于同一总公司，生产橡胶制品原料、生产工艺、废气处理措施完全相同，类比可行。根据监测报告可知，硫化废气中非甲烷总烃7.7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，臭气浓度977无量纲，硫化氢0.47mg/m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。满足《橡胶制品工业污染物排放标准》(GB27632-2011)表 5 中的排放浓度限值相关要求：非甲烷总烃10mg/m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的要求，硫化氢</w:t>
            </w:r>
            <w:r>
              <w:rPr>
                <w:rFonts w:hint="eastAsia" w:cs="Times New Roman"/>
                <w:color w:val="auto"/>
                <w:highlight w:val="none"/>
                <w:lang w:val="en-US" w:eastAsia="zh-CN"/>
              </w:rPr>
              <w:t>《恶臭污染物排放标准》（GB14554-93）表2相关要求：H</w:t>
            </w:r>
            <w:r>
              <w:rPr>
                <w:rFonts w:hint="eastAsia" w:cs="Times New Roman"/>
                <w:color w:val="auto"/>
                <w:highlight w:val="none"/>
                <w:vertAlign w:val="subscript"/>
                <w:lang w:val="en-US" w:eastAsia="zh-CN"/>
              </w:rPr>
              <w:t>2</w:t>
            </w:r>
            <w:r>
              <w:rPr>
                <w:rFonts w:hint="eastAsia" w:cs="Times New Roman"/>
                <w:color w:val="auto"/>
                <w:highlight w:val="none"/>
                <w:lang w:val="en-US" w:eastAsia="zh-CN"/>
              </w:rPr>
              <w:t>S：15m排气筒排放速率0.33kg/h。臭气浓度执行《恶臭污染物排放标准》（GB14554-93）表2相关要求：臭气浓度：2000。</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2" w:firstLineChars="200"/>
              <w:jc w:val="left"/>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（1</w:t>
            </w:r>
            <w:r>
              <w:rPr>
                <w:rFonts w:hint="eastAsia" w:cs="Times New Roman"/>
                <w:b/>
                <w:bCs/>
                <w:color w:val="auto"/>
                <w:highlight w:val="none"/>
                <w:lang w:val="en-US" w:eastAsia="zh-CN"/>
              </w:rPr>
              <w:t>3</w:t>
            </w:r>
            <w:r>
              <w:rPr>
                <w:rFonts w:hint="default" w:ascii="Times New Roman" w:hAnsi="Times New Roman" w:eastAsia="宋体" w:cs="Times New Roman"/>
                <w:b/>
                <w:bCs/>
                <w:color w:val="auto"/>
                <w:highlight w:val="none"/>
                <w:lang w:val="en-US" w:eastAsia="zh-CN"/>
              </w:rPr>
              <w:t>）食堂油烟</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本项目设食堂，供应三餐，以天然气为原料，项目劳动定员500人。</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green"/>
                <w:lang w:val="en-US" w:eastAsia="zh-CN"/>
              </w:rPr>
            </w:pPr>
            <w:r>
              <w:rPr>
                <w:rFonts w:hint="default" w:ascii="Times New Roman" w:hAnsi="Times New Roman" w:eastAsia="宋体" w:cs="Times New Roman"/>
                <w:color w:val="auto"/>
                <w:highlight w:val="none"/>
                <w:lang w:val="en-US" w:eastAsia="zh-CN"/>
              </w:rPr>
              <w:t>本项目食堂共设3个灶头，属于中型食堂。食堂使用清洁能源作为燃料，主要为电和天然气。厨房内的炉灶工作时产生的高温油烟废气，油烟废气中含油质、有机质及加热分解或裂解产物。《中国居民膳食指南（2016）》指出，对于成年人脂肪提供能量应占总能量的30%以下，每天烹调油摄入量为25-30克，本项目最大用餐人数为200人，本项目食用油消耗系数按3kg/100人•d（指三餐）计，则食堂日消耗食用油</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lang w:val="en-US" w:eastAsia="zh-CN"/>
              </w:rPr>
              <w:t>kg。据类比调查，不同的烧炸工况，油烟气中烟气浓度及挥发量均有所不同，一般油烟挥发量总占耗油量的2%。经核算，本项目日油烟产生量为0.</w:t>
            </w:r>
            <w:r>
              <w:rPr>
                <w:rFonts w:hint="default" w:ascii="Times New Roman" w:hAnsi="Times New Roman" w:cs="Times New Roman"/>
                <w:color w:val="auto"/>
                <w:highlight w:val="none"/>
                <w:lang w:val="en-US" w:eastAsia="zh-CN"/>
              </w:rPr>
              <w:t>12</w:t>
            </w:r>
            <w:r>
              <w:rPr>
                <w:rFonts w:hint="default" w:ascii="Times New Roman" w:hAnsi="Times New Roman" w:eastAsia="宋体" w:cs="Times New Roman"/>
                <w:color w:val="auto"/>
                <w:highlight w:val="none"/>
                <w:lang w:val="en-US" w:eastAsia="zh-CN"/>
              </w:rPr>
              <w:t>kg/d，烹饪时间按6h/d计算，本项目每个灶头油烟产生速率为</w:t>
            </w:r>
            <w:r>
              <w:rPr>
                <w:rFonts w:hint="default" w:ascii="Times New Roman" w:hAnsi="Times New Roman" w:cs="Times New Roman"/>
                <w:color w:val="auto"/>
                <w:highlight w:val="none"/>
                <w:lang w:val="en-US" w:eastAsia="zh-CN"/>
              </w:rPr>
              <w:t>6.67</w:t>
            </w:r>
            <w:r>
              <w:rPr>
                <w:rFonts w:hint="default" w:ascii="Times New Roman" w:hAnsi="Times New Roman" w:eastAsia="宋体" w:cs="Times New Roman"/>
                <w:color w:val="auto"/>
                <w:highlight w:val="none"/>
                <w:lang w:val="en-US" w:eastAsia="zh-CN"/>
              </w:rPr>
              <w:t>g/h，根据《饮食业油烟排放标准》（GB18483-2001）标准要求，本项目采用油烟净化器对厨房油烟废气进行净化处理后经预留烟道于食堂所在楼顶排放，油烟净化排气风机的风量在</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lang w:val="en-US" w:eastAsia="zh-CN"/>
              </w:rPr>
              <w:t>000m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/h（3个灶头，每个灶头风量</w:t>
            </w:r>
            <w:r>
              <w:rPr>
                <w:rFonts w:hint="default"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lang w:val="en-US" w:eastAsia="zh-CN"/>
              </w:rPr>
              <w:t>000m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/h）左右，油烟产生浓度为</w:t>
            </w:r>
            <w:r>
              <w:rPr>
                <w:rFonts w:hint="eastAsia" w:cs="Times New Roman"/>
                <w:color w:val="auto"/>
                <w:highlight w:val="none"/>
                <w:lang w:val="en-US" w:eastAsia="zh-CN"/>
              </w:rPr>
              <w:t>3.33</w:t>
            </w:r>
            <w:r>
              <w:rPr>
                <w:rFonts w:hint="default" w:ascii="Times New Roman" w:hAnsi="Times New Roman" w:eastAsia="宋体" w:cs="Times New Roman"/>
                <w:color w:val="auto"/>
                <w:highlight w:val="none"/>
                <w:lang w:val="en-US" w:eastAsia="zh-CN"/>
              </w:rPr>
              <w:t>mg/m</w:t>
            </w:r>
            <w:r>
              <w:rPr>
                <w:rFonts w:hint="default" w:ascii="Times New Roman" w:hAnsi="Times New Roman" w:eastAsia="宋体" w:cs="Times New Roman"/>
                <w:color w:val="auto"/>
                <w:highlight w:val="none"/>
                <w:vertAlign w:val="superscript"/>
                <w:lang w:val="en-US" w:eastAsia="zh-CN"/>
              </w:rPr>
              <w:t xml:space="preserve"> 3</w:t>
            </w:r>
            <w:r>
              <w:rPr>
                <w:rFonts w:hint="default" w:ascii="Times New Roman" w:hAnsi="Times New Roman" w:eastAsia="宋体" w:cs="Times New Roman"/>
                <w:color w:val="auto"/>
                <w:highlight w:val="none"/>
                <w:lang w:val="en-US" w:eastAsia="zh-CN"/>
              </w:rPr>
              <w:t xml:space="preserve"> 。经处理后通过内置专用烟道于楼顶排放，油烟去除率应大于75%，按75%计，则油烟排放浓度</w:t>
            </w:r>
            <w:r>
              <w:rPr>
                <w:rFonts w:hint="eastAsia" w:cs="Times New Roman"/>
                <w:color w:val="auto"/>
                <w:highlight w:val="none"/>
                <w:lang w:val="en-US" w:eastAsia="zh-CN"/>
              </w:rPr>
              <w:t>0.83</w:t>
            </w:r>
            <w:r>
              <w:rPr>
                <w:rFonts w:hint="default" w:ascii="Times New Roman" w:hAnsi="Times New Roman" w:eastAsia="宋体" w:cs="Times New Roman"/>
                <w:color w:val="auto"/>
                <w:highlight w:val="none"/>
                <w:lang w:val="en-US" w:eastAsia="zh-CN"/>
              </w:rPr>
              <w:t>g/m</w:t>
            </w:r>
            <w:r>
              <w:rPr>
                <w:rFonts w:hint="default" w:ascii="Times New Roman" w:hAnsi="Times New Roman" w:eastAsia="宋体" w:cs="Times New Roman"/>
                <w:color w:val="auto"/>
                <w:highlight w:val="none"/>
                <w:vertAlign w:val="superscript"/>
                <w:lang w:val="en-US" w:eastAsia="zh-CN"/>
              </w:rPr>
              <w:t xml:space="preserve"> 3</w:t>
            </w:r>
            <w:r>
              <w:rPr>
                <w:rFonts w:hint="default" w:ascii="Times New Roman" w:hAnsi="Times New Roman" w:eastAsia="宋体" w:cs="Times New Roman"/>
                <w:color w:val="auto"/>
                <w:highlight w:val="none"/>
                <w:lang w:val="en-US" w:eastAsia="zh-CN"/>
              </w:rPr>
              <w:t xml:space="preserve"> ，年排放量为0.027t/a。油烟排放浓度小于 2.0mg/m</w:t>
            </w:r>
            <w:r>
              <w:rPr>
                <w:rFonts w:hint="default" w:ascii="Times New Roman" w:hAnsi="Times New Roman" w:eastAsia="宋体" w:cs="Times New Roman"/>
                <w:color w:val="auto"/>
                <w:highlight w:val="none"/>
                <w:vertAlign w:val="superscript"/>
                <w:lang w:val="en-US" w:eastAsia="zh-CN"/>
              </w:rPr>
              <w:t xml:space="preserve"> 3</w:t>
            </w:r>
            <w:r>
              <w:rPr>
                <w:rFonts w:hint="default" w:ascii="Times New Roman" w:hAnsi="Times New Roman" w:eastAsia="宋体" w:cs="Times New Roman"/>
                <w:color w:val="auto"/>
                <w:highlight w:val="none"/>
                <w:lang w:val="en-US" w:eastAsia="zh-CN"/>
              </w:rPr>
              <w:t xml:space="preserve"> ，满足《饮食业油烟排放标准（试行）》（GB18483-2001）中型规模排放限值要求。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default" w:ascii="Times New Roman" w:hAnsi="Times New Roman" w:cs="Times New Roman"/>
                <w:b/>
                <w:bCs/>
                <w:color w:val="auto"/>
                <w:highlight w:val="none"/>
                <w:lang w:val="en-US" w:eastAsia="zh-CN"/>
              </w:rPr>
              <w:t>4-1</w:t>
            </w:r>
            <w:r>
              <w:rPr>
                <w:rFonts w:hint="eastAsia" w:cs="Times New Roman"/>
                <w:b/>
                <w:bCs/>
                <w:color w:val="auto"/>
                <w:highlight w:val="none"/>
                <w:lang w:val="en-US" w:eastAsia="zh-CN"/>
              </w:rPr>
              <w:t>1</w:t>
            </w:r>
            <w:r>
              <w:rPr>
                <w:rFonts w:hint="default" w:ascii="Times New Roman" w:hAnsi="Times New Roman" w:cs="Times New Roman"/>
                <w:b/>
                <w:bCs/>
                <w:color w:val="auto"/>
                <w:highlight w:val="none"/>
                <w:lang w:val="en-US" w:eastAsia="zh-CN"/>
              </w:rPr>
              <w:t xml:space="preserve">  </w:t>
            </w:r>
            <w:r>
              <w:rPr>
                <w:rFonts w:hint="default" w:ascii="Times New Roman" w:hAnsi="Times New Roman" w:cs="Times New Roman"/>
                <w:b/>
                <w:bCs/>
                <w:color w:val="auto"/>
                <w:highlight w:val="none"/>
              </w:rPr>
              <w:t xml:space="preserve"> </w:t>
            </w:r>
            <w:r>
              <w:rPr>
                <w:rFonts w:hint="default" w:ascii="Times New Roman" w:hAnsi="Times New Roman" w:cs="Times New Roman"/>
                <w:b/>
                <w:bCs/>
                <w:color w:val="auto"/>
                <w:highlight w:val="none"/>
                <w:lang w:val="en-US" w:eastAsia="zh-CN"/>
              </w:rPr>
              <w:t xml:space="preserve"> </w:t>
            </w:r>
            <w:r>
              <w:rPr>
                <w:rFonts w:hint="default" w:ascii="Times New Roman" w:hAnsi="Times New Roman" w:cs="Times New Roman"/>
                <w:b/>
                <w:bCs/>
                <w:color w:val="auto"/>
                <w:highlight w:val="none"/>
              </w:rPr>
              <w:t>项目废气排放口情况一览表</w:t>
            </w:r>
          </w:p>
          <w:tbl>
            <w:tblPr>
              <w:tblStyle w:val="3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82"/>
              <w:gridCol w:w="551"/>
              <w:gridCol w:w="668"/>
              <w:gridCol w:w="668"/>
              <w:gridCol w:w="870"/>
              <w:gridCol w:w="1285"/>
              <w:gridCol w:w="1286"/>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排气筒编号</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名称</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高度</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内径</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温度</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类型</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监测点位</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监测因子</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激光切割</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0.6</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P2</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等离子切割</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0.6</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P3</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固定工位焊接</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P4</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焊接机器人</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0.6</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P5</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抛丸</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P6</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喷漆</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rPr>
                  </w:pPr>
                  <w:r>
                    <w:rPr>
                      <w:rFonts w:hint="default" w:ascii="Times New Roman" w:hAnsi="Times New Roman" w:cs="Times New Roman"/>
                      <w:color w:val="auto"/>
                      <w:sz w:val="18"/>
                      <w:szCs w:val="18"/>
                      <w:highlight w:val="none"/>
                      <w:lang w:val="en-US" w:eastAsia="zh-CN"/>
                    </w:rPr>
                    <w:t>颗粒物、非甲烷总烃、苯、甲苯、二甲苯</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P7</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喷涂</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颗粒物、非甲烷总烃、苯、甲苯、二甲苯</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P8</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打磨胶板</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0.2</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颗粒物</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P9</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粘胶1</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非甲烷总烃、甲苯</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P10</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粘胶2</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非甲烷总烃、甲苯</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1</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配料、捏炼、开炼1</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2</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配料、捏炼、开炼2</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3</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硫化</w:t>
                  </w:r>
                  <w:r>
                    <w:rPr>
                      <w:rFonts w:hint="eastAsia" w:ascii="Times New Roman" w:hAnsi="Times New Roman" w:eastAsia="宋体" w:cs="Times New Roman"/>
                      <w:color w:val="auto"/>
                      <w:kern w:val="2"/>
                      <w:sz w:val="18"/>
                      <w:szCs w:val="18"/>
                      <w:highlight w:val="none"/>
                      <w:lang w:val="en-US" w:eastAsia="zh-CN" w:bidi="ar-SA"/>
                    </w:rPr>
                    <w:t>1</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4</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硫化</w:t>
                  </w:r>
                  <w:r>
                    <w:rPr>
                      <w:rFonts w:hint="eastAsia" w:ascii="Times New Roman" w:hAnsi="Times New Roman" w:eastAsia="宋体" w:cs="Times New Roman"/>
                      <w:color w:val="auto"/>
                      <w:kern w:val="2"/>
                      <w:sz w:val="18"/>
                      <w:szCs w:val="18"/>
                      <w:highlight w:val="none"/>
                      <w:lang w:val="en-US" w:eastAsia="zh-CN" w:bidi="ar-SA"/>
                    </w:rPr>
                    <w:t>2</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5</w:t>
                  </w:r>
                </w:p>
              </w:tc>
              <w:tc>
                <w:tcPr>
                  <w:tcW w:w="756"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硫化</w:t>
                  </w:r>
                  <w:r>
                    <w:rPr>
                      <w:rFonts w:hint="eastAsia" w:ascii="Times New Roman" w:hAnsi="Times New Roman" w:eastAsia="宋体" w:cs="Times New Roman"/>
                      <w:color w:val="auto"/>
                      <w:kern w:val="2"/>
                      <w:sz w:val="18"/>
                      <w:szCs w:val="18"/>
                      <w:highlight w:val="none"/>
                      <w:lang w:val="en-US" w:eastAsia="zh-CN" w:bidi="ar-SA"/>
                    </w:rPr>
                    <w:t>3</w:t>
                  </w:r>
                </w:p>
              </w:tc>
              <w:tc>
                <w:tcPr>
                  <w:tcW w:w="3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15m</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0.8</w:t>
                  </w:r>
                </w:p>
              </w:tc>
              <w:tc>
                <w:tcPr>
                  <w:tcW w:w="394"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0℃</w:t>
                  </w:r>
                </w:p>
              </w:tc>
              <w:tc>
                <w:tcPr>
                  <w:tcW w:w="513"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有组织</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排气筒出口</w:t>
                  </w:r>
                </w:p>
              </w:tc>
              <w:tc>
                <w:tcPr>
                  <w:tcW w:w="758"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42"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r>
          </w:tbl>
          <w:p>
            <w:pPr>
              <w:keepNext w:val="0"/>
              <w:keepLines w:val="0"/>
              <w:pageBreakBefore w:val="0"/>
              <w:widowControl w:val="0"/>
              <w:suppressLineNumbers w:val="0"/>
              <w:kinsoku/>
              <w:wordWrap/>
              <w:overflowPunct/>
              <w:topLinePunct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b w:val="0"/>
                <w:bCs/>
                <w:color w:val="auto"/>
                <w:kern w:val="44"/>
                <w:sz w:val="21"/>
                <w:szCs w:val="21"/>
                <w:highlight w:val="none"/>
              </w:rPr>
            </w:pPr>
            <w:r>
              <w:rPr>
                <w:rFonts w:hint="default" w:ascii="Times New Roman" w:hAnsi="Times New Roman" w:cs="Times New Roman"/>
                <w:b w:val="0"/>
                <w:bCs/>
                <w:color w:val="auto"/>
                <w:kern w:val="44"/>
                <w:sz w:val="21"/>
                <w:szCs w:val="21"/>
                <w:highlight w:val="none"/>
                <w:lang w:eastAsia="zh-CN"/>
              </w:rPr>
              <w:t>（</w:t>
            </w:r>
            <w:r>
              <w:rPr>
                <w:rFonts w:hint="default" w:ascii="Times New Roman" w:hAnsi="Times New Roman" w:cs="Times New Roman"/>
                <w:b w:val="0"/>
                <w:bCs/>
                <w:color w:val="auto"/>
                <w:kern w:val="44"/>
                <w:sz w:val="21"/>
                <w:szCs w:val="21"/>
                <w:highlight w:val="none"/>
                <w:lang w:val="en-US" w:eastAsia="zh-CN"/>
              </w:rPr>
              <w:t>12</w:t>
            </w:r>
            <w:r>
              <w:rPr>
                <w:rFonts w:hint="default" w:ascii="Times New Roman" w:hAnsi="Times New Roman" w:cs="Times New Roman"/>
                <w:b w:val="0"/>
                <w:bCs/>
                <w:color w:val="auto"/>
                <w:kern w:val="44"/>
                <w:sz w:val="21"/>
                <w:szCs w:val="21"/>
                <w:highlight w:val="none"/>
                <w:lang w:eastAsia="zh-CN"/>
              </w:rPr>
              <w:t>）</w:t>
            </w:r>
            <w:r>
              <w:rPr>
                <w:rFonts w:hint="default" w:ascii="Times New Roman" w:hAnsi="Times New Roman" w:cs="Times New Roman"/>
                <w:b w:val="0"/>
                <w:bCs/>
                <w:color w:val="auto"/>
                <w:kern w:val="44"/>
                <w:sz w:val="21"/>
                <w:szCs w:val="21"/>
                <w:highlight w:val="none"/>
              </w:rPr>
              <w:t>废气排放环境影响分析</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项目所在区域环境空气质量不达标。</w:t>
            </w:r>
            <w:r>
              <w:rPr>
                <w:rFonts w:hint="default" w:ascii="Times New Roman" w:hAnsi="Times New Roman" w:cs="Times New Roman"/>
                <w:color w:val="auto"/>
                <w:kern w:val="0"/>
                <w:sz w:val="21"/>
                <w:szCs w:val="21"/>
                <w:highlight w:val="none"/>
                <w:lang w:val="en-US" w:eastAsia="zh-CN"/>
              </w:rPr>
              <w:t>项目生产</w:t>
            </w:r>
            <w:r>
              <w:rPr>
                <w:rFonts w:hint="default" w:ascii="Times New Roman" w:hAnsi="Times New Roman" w:cs="Times New Roman"/>
                <w:color w:val="auto"/>
                <w:kern w:val="0"/>
                <w:sz w:val="21"/>
                <w:szCs w:val="21"/>
                <w:highlight w:val="none"/>
              </w:rPr>
              <w:t>在封闭车间内进行，废气</w:t>
            </w:r>
            <w:r>
              <w:rPr>
                <w:rFonts w:hint="default" w:ascii="Times New Roman" w:hAnsi="Times New Roman" w:cs="Times New Roman"/>
                <w:color w:val="auto"/>
                <w:kern w:val="0"/>
                <w:sz w:val="21"/>
                <w:szCs w:val="21"/>
                <w:highlight w:val="none"/>
                <w:lang w:eastAsia="zh-CN"/>
              </w:rPr>
              <w:t>处理</w:t>
            </w:r>
            <w:r>
              <w:rPr>
                <w:rFonts w:hint="default" w:ascii="Times New Roman" w:hAnsi="Times New Roman" w:cs="Times New Roman"/>
                <w:color w:val="auto"/>
                <w:kern w:val="0"/>
                <w:sz w:val="21"/>
                <w:szCs w:val="21"/>
                <w:highlight w:val="none"/>
              </w:rPr>
              <w:t>后达标排放，经预测，厂界浓度满足标准限值。项目废气全部达标排放，对区域大气环境影响较小。</w:t>
            </w:r>
          </w:p>
          <w:p>
            <w:pPr>
              <w:autoSpaceDE w:val="0"/>
              <w:autoSpaceDN w:val="0"/>
              <w:adjustRightInd w:val="0"/>
              <w:snapToGrid w:val="0"/>
              <w:spacing w:line="360" w:lineRule="auto"/>
              <w:ind w:firstLine="420" w:firstLineChars="200"/>
              <w:jc w:val="left"/>
              <w:rPr>
                <w:rFonts w:hint="default" w:ascii="Times New Roman" w:hAnsi="Times New Roman" w:cs="Times New Roman"/>
                <w:bCs/>
                <w:color w:val="auto"/>
                <w:kern w:val="24"/>
                <w:szCs w:val="21"/>
                <w:highlight w:val="none"/>
              </w:rPr>
            </w:pPr>
            <w:r>
              <w:rPr>
                <w:rFonts w:hint="default" w:ascii="Times New Roman" w:hAnsi="Times New Roman" w:cs="Times New Roman"/>
                <w:b w:val="0"/>
                <w:bCs/>
                <w:color w:val="auto"/>
                <w:kern w:val="44"/>
                <w:sz w:val="21"/>
                <w:szCs w:val="21"/>
                <w:highlight w:val="none"/>
                <w:lang w:eastAsia="zh-CN"/>
              </w:rPr>
              <w:t>（</w:t>
            </w:r>
            <w:r>
              <w:rPr>
                <w:rFonts w:hint="default" w:ascii="Times New Roman" w:hAnsi="Times New Roman" w:cs="Times New Roman"/>
                <w:b w:val="0"/>
                <w:bCs/>
                <w:color w:val="auto"/>
                <w:kern w:val="44"/>
                <w:sz w:val="21"/>
                <w:szCs w:val="21"/>
                <w:highlight w:val="none"/>
                <w:lang w:val="en-US" w:eastAsia="zh-CN"/>
              </w:rPr>
              <w:t>13</w:t>
            </w:r>
            <w:r>
              <w:rPr>
                <w:rFonts w:hint="default" w:ascii="Times New Roman" w:hAnsi="Times New Roman" w:cs="Times New Roman"/>
                <w:b w:val="0"/>
                <w:bCs/>
                <w:color w:val="auto"/>
                <w:kern w:val="44"/>
                <w:sz w:val="21"/>
                <w:szCs w:val="21"/>
                <w:highlight w:val="none"/>
                <w:lang w:eastAsia="zh-CN"/>
              </w:rPr>
              <w:t>）</w:t>
            </w:r>
            <w:r>
              <w:rPr>
                <w:rFonts w:hint="default" w:ascii="Times New Roman" w:hAnsi="Times New Roman" w:cs="Times New Roman"/>
                <w:color w:val="auto"/>
                <w:highlight w:val="none"/>
              </w:rPr>
              <w:t>倍量削减</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项目所在</w:t>
            </w:r>
            <w:r>
              <w:rPr>
                <w:rFonts w:hint="default" w:ascii="Times New Roman" w:hAnsi="Times New Roman" w:eastAsia="宋体" w:cs="Times New Roman"/>
                <w:color w:val="auto"/>
                <w:kern w:val="0"/>
                <w:sz w:val="21"/>
                <w:szCs w:val="21"/>
                <w:highlight w:val="none"/>
              </w:rPr>
              <w:t>区域为环境质量不达标地区，项目处于大气环境二类功能区，距离周围环境敏感目标比较</w:t>
            </w:r>
            <w:r>
              <w:rPr>
                <w:rFonts w:hint="default" w:ascii="Times New Roman" w:hAnsi="Times New Roman" w:eastAsia="宋体" w:cs="Times New Roman"/>
                <w:color w:val="auto"/>
                <w:kern w:val="0"/>
                <w:sz w:val="21"/>
                <w:szCs w:val="21"/>
                <w:highlight w:val="none"/>
                <w:lang w:val="en-US" w:eastAsia="zh-CN"/>
              </w:rPr>
              <w:t>远</w:t>
            </w:r>
            <w:r>
              <w:rPr>
                <w:rFonts w:hint="default" w:ascii="Times New Roman" w:hAnsi="Times New Roman" w:eastAsia="宋体" w:cs="Times New Roman"/>
                <w:color w:val="auto"/>
                <w:kern w:val="0"/>
                <w:sz w:val="21"/>
                <w:szCs w:val="21"/>
                <w:highlight w:val="none"/>
              </w:rPr>
              <w:t>，本项目采取了完善的环境治理措施/设施，污染物满足排放标准要求，项目</w:t>
            </w:r>
            <w:r>
              <w:rPr>
                <w:rFonts w:hint="default" w:ascii="Times New Roman" w:hAnsi="Times New Roman" w:eastAsia="宋体" w:cs="Times New Roman"/>
                <w:color w:val="auto"/>
                <w:kern w:val="0"/>
                <w:sz w:val="21"/>
                <w:szCs w:val="21"/>
                <w:highlight w:val="none"/>
                <w:lang w:val="en-US" w:eastAsia="zh-CN"/>
              </w:rPr>
              <w:t>颗粒物</w:t>
            </w:r>
            <w:r>
              <w:rPr>
                <w:rFonts w:hint="default" w:ascii="Times New Roman" w:hAnsi="Times New Roman" w:eastAsia="宋体" w:cs="Times New Roman"/>
                <w:color w:val="auto"/>
                <w:kern w:val="0"/>
                <w:sz w:val="21"/>
                <w:szCs w:val="21"/>
                <w:highlight w:val="none"/>
              </w:rPr>
              <w:t>排放量为</w:t>
            </w:r>
            <w:r>
              <w:rPr>
                <w:rFonts w:hint="eastAsia" w:cs="Times New Roman"/>
                <w:color w:val="auto"/>
                <w:kern w:val="0"/>
                <w:sz w:val="21"/>
                <w:szCs w:val="21"/>
                <w:highlight w:val="none"/>
                <w:lang w:val="en-US" w:eastAsia="zh-CN"/>
              </w:rPr>
              <w:t>1.833</w:t>
            </w:r>
            <w:r>
              <w:rPr>
                <w:rFonts w:hint="default" w:ascii="Times New Roman" w:hAnsi="Times New Roman" w:eastAsia="宋体" w:cs="Times New Roman"/>
                <w:color w:val="auto"/>
                <w:kern w:val="0"/>
                <w:sz w:val="21"/>
                <w:szCs w:val="21"/>
                <w:highlight w:val="none"/>
                <w:lang w:val="en-US" w:eastAsia="zh-CN"/>
              </w:rPr>
              <w:t>t</w:t>
            </w:r>
            <w:r>
              <w:rPr>
                <w:rFonts w:hint="default" w:ascii="Times New Roman" w:hAnsi="Times New Roman" w:eastAsia="宋体" w:cs="Times New Roman"/>
                <w:color w:val="auto"/>
                <w:kern w:val="0"/>
                <w:sz w:val="21"/>
                <w:szCs w:val="21"/>
                <w:highlight w:val="none"/>
              </w:rPr>
              <w:t>/a</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有机废气排放量为</w:t>
            </w:r>
            <w:r>
              <w:rPr>
                <w:rFonts w:hint="eastAsia" w:cs="Times New Roman"/>
                <w:color w:val="auto"/>
                <w:kern w:val="0"/>
                <w:sz w:val="21"/>
                <w:szCs w:val="21"/>
                <w:highlight w:val="none"/>
                <w:lang w:val="en-US" w:eastAsia="zh-CN"/>
              </w:rPr>
              <w:t>7.539</w:t>
            </w:r>
            <w:r>
              <w:rPr>
                <w:rFonts w:hint="default" w:ascii="Times New Roman" w:hAnsi="Times New Roman" w:eastAsia="宋体" w:cs="Times New Roman"/>
                <w:color w:val="auto"/>
                <w:kern w:val="0"/>
                <w:sz w:val="21"/>
                <w:szCs w:val="21"/>
                <w:highlight w:val="none"/>
              </w:rPr>
              <w:t>t/a，因此，项目需倍量削减</w:t>
            </w:r>
            <w:r>
              <w:rPr>
                <w:rFonts w:hint="default" w:ascii="Times New Roman" w:hAnsi="Times New Roman" w:eastAsia="宋体" w:cs="Times New Roman"/>
                <w:color w:val="auto"/>
                <w:kern w:val="0"/>
                <w:sz w:val="21"/>
                <w:szCs w:val="21"/>
                <w:highlight w:val="none"/>
                <w:lang w:val="en-US" w:eastAsia="zh-CN"/>
              </w:rPr>
              <w:t>颗粒物</w:t>
            </w:r>
            <w:r>
              <w:rPr>
                <w:rFonts w:hint="eastAsia" w:cs="Times New Roman"/>
                <w:color w:val="auto"/>
                <w:kern w:val="0"/>
                <w:sz w:val="21"/>
                <w:szCs w:val="21"/>
                <w:highlight w:val="none"/>
                <w:lang w:val="en-US" w:eastAsia="zh-CN"/>
              </w:rPr>
              <w:t>3.666</w:t>
            </w:r>
            <w:r>
              <w:rPr>
                <w:rFonts w:hint="default" w:ascii="Times New Roman" w:hAnsi="Times New Roman" w:eastAsia="宋体" w:cs="Times New Roman"/>
                <w:color w:val="auto"/>
                <w:kern w:val="0"/>
                <w:sz w:val="21"/>
                <w:szCs w:val="21"/>
                <w:highlight w:val="none"/>
              </w:rPr>
              <w:t>t/a</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有机废气</w:t>
            </w:r>
            <w:r>
              <w:rPr>
                <w:rFonts w:hint="eastAsia" w:cs="Times New Roman"/>
                <w:color w:val="auto"/>
                <w:kern w:val="0"/>
                <w:sz w:val="21"/>
                <w:szCs w:val="21"/>
                <w:highlight w:val="none"/>
                <w:lang w:val="en-US" w:eastAsia="zh-CN"/>
              </w:rPr>
              <w:t>15.078</w:t>
            </w:r>
            <w:r>
              <w:rPr>
                <w:rFonts w:hint="default" w:ascii="Times New Roman" w:hAnsi="Times New Roman" w:eastAsia="宋体" w:cs="Times New Roman"/>
                <w:color w:val="auto"/>
                <w:kern w:val="0"/>
                <w:sz w:val="21"/>
                <w:szCs w:val="21"/>
                <w:highlight w:val="none"/>
              </w:rPr>
              <w:t>t/a，对区域环境空气的影响可接受。</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8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 xml:space="preserve">   本项目有组织排放量核算表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542"/>
              <w:gridCol w:w="1122"/>
              <w:gridCol w:w="1652"/>
              <w:gridCol w:w="1466"/>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序号</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排放口编号</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污染物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核算排放浓度（</w:t>
                  </w:r>
                  <w:r>
                    <w:rPr>
                      <w:rFonts w:hint="default" w:ascii="Times New Roman" w:hAnsi="Times New Roman" w:eastAsia="宋体" w:cs="Times New Roman"/>
                      <w:color w:val="auto"/>
                      <w:sz w:val="18"/>
                      <w:szCs w:val="18"/>
                      <w:highlight w:val="none"/>
                      <w:lang w:val="en-US" w:eastAsia="zh-CN"/>
                    </w:rPr>
                    <w:t>mg/m³</w:t>
                  </w:r>
                  <w:r>
                    <w:rPr>
                      <w:rFonts w:hint="default" w:ascii="Times New Roman" w:hAnsi="Times New Roman" w:eastAsia="宋体" w:cs="Times New Roman"/>
                      <w:color w:val="auto"/>
                      <w:sz w:val="18"/>
                      <w:szCs w:val="18"/>
                      <w:highlight w:val="none"/>
                      <w:lang w:val="zh-CN" w:eastAsia="zh-CN"/>
                    </w:rPr>
                    <w:t>）</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核算排放速率（kg/h）</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color w:val="auto"/>
                      <w:sz w:val="18"/>
                      <w:szCs w:val="18"/>
                      <w:highlight w:val="none"/>
                      <w:lang w:val="zh-CN" w:eastAsia="zh-CN"/>
                    </w:rPr>
                    <w:t>核算年排放量（t/a）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000" w:type="pct"/>
                  <w:gridSpan w:val="6"/>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zh-CN" w:eastAsia="zh-CN"/>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P1</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6.487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0.084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0.202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P2</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5.341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0.096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P3</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1.114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0.033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P4</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0.397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0.006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P5</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1.102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0.033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P6</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13.021</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0.026</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0.035</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0.001</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苯</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0.066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0.0001</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甲苯与二甲苯合计</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6.527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0.013</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P7</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21.625</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0.065</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0.673</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0.017</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苯</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0.109</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0.0003</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甲苯与二甲苯合计</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10.284</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0.032</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8</w:t>
                  </w:r>
                </w:p>
              </w:tc>
              <w:tc>
                <w:tcPr>
                  <w:tcW w:w="909"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P8</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8.5</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0.043</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9</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P9</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52.251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0.157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13.063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0.039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10</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P10</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52.251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0.157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甲苯</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13.063 </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0.039 </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11</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P</w:t>
                  </w:r>
                  <w:r>
                    <w:rPr>
                      <w:rFonts w:hint="eastAsia" w:cs="Times New Roman"/>
                      <w:color w:val="auto"/>
                      <w:sz w:val="18"/>
                      <w:szCs w:val="18"/>
                      <w:highlight w:val="none"/>
                      <w:lang w:val="en-US" w:eastAsia="zh-CN"/>
                    </w:rPr>
                    <w:t>11</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2.2</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0.077</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0.270</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0.016</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臭气浓度</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12</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P12</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2.2</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0.084</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0.293</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0.018</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臭气浓度</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13</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P13</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7.7</w:t>
                  </w:r>
                </w:p>
              </w:tc>
              <w:tc>
                <w:tcPr>
                  <w:tcW w:w="1466"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0.270</w:t>
                  </w:r>
                </w:p>
              </w:tc>
              <w:tc>
                <w:tcPr>
                  <w:tcW w:w="1467"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硫化氢</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0.47</w:t>
                  </w:r>
                </w:p>
              </w:tc>
              <w:tc>
                <w:tcPr>
                  <w:tcW w:w="1466"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0.016</w:t>
                  </w:r>
                </w:p>
              </w:tc>
              <w:tc>
                <w:tcPr>
                  <w:tcW w:w="1467"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臭气浓度</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14</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P14</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0.285</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1.368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0.017</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臭气浓度</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15</w:t>
                  </w:r>
                </w:p>
              </w:tc>
              <w:tc>
                <w:tcPr>
                  <w:tcW w:w="909"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P15</w:t>
                  </w: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非甲烷总烃</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7.7</w:t>
                  </w:r>
                </w:p>
              </w:tc>
              <w:tc>
                <w:tcPr>
                  <w:tcW w:w="1466"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0.270</w:t>
                  </w:r>
                </w:p>
              </w:tc>
              <w:tc>
                <w:tcPr>
                  <w:tcW w:w="1467"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sz w:val="18"/>
                      <w:szCs w:val="18"/>
                      <w:highlight w:val="none"/>
                      <w:lang w:val="en-US" w:eastAsia="zh-CN"/>
                    </w:rPr>
                    <w:t>1.294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0.47</w:t>
                  </w:r>
                </w:p>
              </w:tc>
              <w:tc>
                <w:tcPr>
                  <w:tcW w:w="1466"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0.016</w:t>
                  </w:r>
                </w:p>
              </w:tc>
              <w:tc>
                <w:tcPr>
                  <w:tcW w:w="1467"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909"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p>
              </w:tc>
              <w:tc>
                <w:tcPr>
                  <w:tcW w:w="662"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臭气浓度</w:t>
                  </w:r>
                </w:p>
              </w:tc>
              <w:tc>
                <w:tcPr>
                  <w:tcW w:w="97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977</w:t>
                  </w:r>
                </w:p>
              </w:tc>
              <w:tc>
                <w:tcPr>
                  <w:tcW w:w="864"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000" w:type="pct"/>
                  <w:gridSpan w:val="6"/>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zh-CN" w:eastAsia="zh-CN"/>
                    </w:rPr>
                    <w:t>有组织排放合计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zh-CN" w:eastAsia="zh-CN"/>
                    </w:rPr>
                    <w:t>有组织排放合计</w:t>
                  </w:r>
                </w:p>
              </w:tc>
              <w:tc>
                <w:tcPr>
                  <w:tcW w:w="3411" w:type="pct"/>
                  <w:gridSpan w:val="4"/>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颗粒物</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p>
              </w:tc>
              <w:tc>
                <w:tcPr>
                  <w:tcW w:w="3411" w:type="pct"/>
                  <w:gridSpan w:val="4"/>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7.484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p>
              </w:tc>
              <w:tc>
                <w:tcPr>
                  <w:tcW w:w="3411" w:type="pct"/>
                  <w:gridSpan w:val="4"/>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p>
              </w:tc>
              <w:tc>
                <w:tcPr>
                  <w:tcW w:w="3411" w:type="pct"/>
                  <w:gridSpan w:val="4"/>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苯</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2"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zh-CN" w:eastAsia="zh-CN"/>
                    </w:rPr>
                  </w:pPr>
                </w:p>
              </w:tc>
              <w:tc>
                <w:tcPr>
                  <w:tcW w:w="3411" w:type="pct"/>
                  <w:gridSpan w:val="4"/>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甲苯与二甲苯合计</w:t>
                  </w:r>
                </w:p>
              </w:tc>
              <w:tc>
                <w:tcPr>
                  <w:tcW w:w="865"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0.259</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8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 xml:space="preserve">4-12  </w:t>
            </w:r>
            <w:r>
              <w:rPr>
                <w:rFonts w:hint="default" w:ascii="Times New Roman" w:hAnsi="Times New Roman" w:eastAsia="宋体" w:cs="Times New Roman"/>
                <w:b/>
                <w:bCs/>
                <w:color w:val="auto"/>
                <w:sz w:val="21"/>
                <w:szCs w:val="21"/>
                <w:highlight w:val="none"/>
              </w:rPr>
              <w:t xml:space="preserve"> 本项目无组织排放量核算表</w:t>
            </w:r>
          </w:p>
          <w:tbl>
            <w:tblPr>
              <w:tblStyle w:val="35"/>
              <w:tblW w:w="4998"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542"/>
              <w:gridCol w:w="846"/>
              <w:gridCol w:w="356"/>
              <w:gridCol w:w="322"/>
              <w:gridCol w:w="1329"/>
              <w:gridCol w:w="1190"/>
              <w:gridCol w:w="1602"/>
              <w:gridCol w:w="1049"/>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序号</w:t>
                  </w:r>
                </w:p>
              </w:tc>
              <w:tc>
                <w:tcPr>
                  <w:tcW w:w="32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排放口编号</w:t>
                  </w:r>
                </w:p>
              </w:tc>
              <w:tc>
                <w:tcPr>
                  <w:tcW w:w="49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产污环节</w:t>
                  </w:r>
                </w:p>
              </w:tc>
              <w:tc>
                <w:tcPr>
                  <w:tcW w:w="400" w:type="pct"/>
                  <w:gridSpan w:val="2"/>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污染物</w:t>
                  </w:r>
                </w:p>
              </w:tc>
              <w:tc>
                <w:tcPr>
                  <w:tcW w:w="78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主要污染防治措施</w:t>
                  </w:r>
                </w:p>
              </w:tc>
              <w:tc>
                <w:tcPr>
                  <w:tcW w:w="2266"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国家或地方污染物排放标准</w:t>
                  </w:r>
                </w:p>
              </w:tc>
              <w:tc>
                <w:tcPr>
                  <w:tcW w:w="49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lang w:val="zh-CN"/>
                    </w:rPr>
                  </w:pPr>
                  <w:r>
                    <w:rPr>
                      <w:rFonts w:hint="default" w:ascii="Times New Roman" w:hAnsi="Times New Roman" w:cs="Times New Roman"/>
                      <w:b w:val="0"/>
                      <w:bCs w:val="0"/>
                      <w:color w:val="auto"/>
                      <w:sz w:val="18"/>
                      <w:szCs w:val="18"/>
                      <w:highlight w:val="none"/>
                      <w:lang w:val="zh-CN"/>
                    </w:rPr>
                    <w:t>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32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49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400" w:type="pct"/>
                  <w:gridSpan w:val="2"/>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78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1647"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zh-CN"/>
                    </w:rPr>
                    <w:t>标准名称</w:t>
                  </w:r>
                </w:p>
              </w:tc>
              <w:tc>
                <w:tcPr>
                  <w:tcW w:w="61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zh-CN"/>
                    </w:rPr>
                    <w:t>浓度限值（</w:t>
                  </w:r>
                  <w:r>
                    <w:rPr>
                      <w:rFonts w:hint="default" w:ascii="Times New Roman" w:hAnsi="Times New Roman" w:cs="Times New Roman"/>
                      <w:snapToGrid w:val="0"/>
                      <w:color w:val="auto"/>
                      <w:kern w:val="0"/>
                      <w:sz w:val="18"/>
                      <w:szCs w:val="18"/>
                      <w:highlight w:val="none"/>
                    </w:rPr>
                    <w:t>mg/</w:t>
                  </w:r>
                  <w:r>
                    <w:rPr>
                      <w:rFonts w:hint="default" w:ascii="Times New Roman" w:hAnsi="Times New Roman" w:cs="Times New Roman"/>
                      <w:snapToGrid w:val="0"/>
                      <w:color w:val="auto"/>
                      <w:kern w:val="0"/>
                      <w:sz w:val="18"/>
                      <w:szCs w:val="18"/>
                      <w:highlight w:val="none"/>
                      <w:lang w:eastAsia="zh-CN"/>
                    </w:rPr>
                    <w:t>m³</w:t>
                  </w:r>
                  <w:r>
                    <w:rPr>
                      <w:rFonts w:hint="default" w:ascii="Times New Roman" w:hAnsi="Times New Roman" w:cs="Times New Roman"/>
                      <w:color w:val="auto"/>
                      <w:sz w:val="18"/>
                      <w:szCs w:val="18"/>
                      <w:highlight w:val="none"/>
                      <w:lang w:val="zh-CN"/>
                    </w:rPr>
                    <w:t>）</w:t>
                  </w:r>
                </w:p>
              </w:tc>
              <w:tc>
                <w:tcPr>
                  <w:tcW w:w="49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zh-CN"/>
                    </w:rPr>
                    <w:t>1</w:t>
                  </w:r>
                </w:p>
              </w:tc>
              <w:tc>
                <w:tcPr>
                  <w:tcW w:w="32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c>
                <w:tcPr>
                  <w:tcW w:w="49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未被集气罩收集</w:t>
                  </w:r>
                </w:p>
              </w:tc>
              <w:tc>
                <w:tcPr>
                  <w:tcW w:w="400" w:type="pct"/>
                  <w:gridSpan w:val="2"/>
                  <w:vMerge w:val="restart"/>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rPr>
                    <w:t>非甲烷总烃</w:t>
                  </w:r>
                </w:p>
              </w:tc>
              <w:tc>
                <w:tcPr>
                  <w:tcW w:w="784" w:type="pct"/>
                  <w:vMerge w:val="restart"/>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封闭车间、设置集气罩加强废气收集</w:t>
                  </w:r>
                </w:p>
              </w:tc>
              <w:tc>
                <w:tcPr>
                  <w:tcW w:w="1647" w:type="pct"/>
                  <w:gridSpan w:val="2"/>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zh-CN" w:eastAsia="zh-CN"/>
                    </w:rPr>
                  </w:pPr>
                  <w:r>
                    <w:rPr>
                      <w:rFonts w:hint="default" w:ascii="Times New Roman" w:hAnsi="Times New Roman" w:cs="Times New Roman"/>
                      <w:color w:val="auto"/>
                      <w:sz w:val="18"/>
                      <w:szCs w:val="18"/>
                      <w:highlight w:val="none"/>
                    </w:rPr>
                    <w:t>《工业企业挥发性有机物排放控制标准》（DB13/2322-2016）</w:t>
                  </w:r>
                  <w:r>
                    <w:rPr>
                      <w:rFonts w:hint="default" w:ascii="Times New Roman" w:hAnsi="Times New Roman" w:cs="Times New Roman"/>
                      <w:bCs/>
                      <w:color w:val="auto"/>
                      <w:sz w:val="18"/>
                      <w:szCs w:val="18"/>
                      <w:highlight w:val="none"/>
                    </w:rPr>
                    <w:t>中表2企业边界大气污染物浓度限值</w:t>
                  </w:r>
                </w:p>
              </w:tc>
              <w:tc>
                <w:tcPr>
                  <w:tcW w:w="61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w:t>
                  </w:r>
                </w:p>
              </w:tc>
              <w:tc>
                <w:tcPr>
                  <w:tcW w:w="49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32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49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400" w:type="pct"/>
                  <w:gridSpan w:val="2"/>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p>
              </w:tc>
              <w:tc>
                <w:tcPr>
                  <w:tcW w:w="784" w:type="pct"/>
                  <w:vMerge w:val="continue"/>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p>
              </w:tc>
              <w:tc>
                <w:tcPr>
                  <w:tcW w:w="1647" w:type="pct"/>
                  <w:gridSpan w:val="2"/>
                  <w:vMerge w:val="restart"/>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《挥发性有机物无组织排放控制标准》（GB 37822-2019）附录A中表A.1规定的限值</w:t>
                  </w:r>
                </w:p>
              </w:tc>
              <w:tc>
                <w:tcPr>
                  <w:tcW w:w="61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6.0（</w:t>
                  </w:r>
                  <w:r>
                    <w:rPr>
                      <w:rFonts w:hint="default" w:ascii="Times New Roman" w:hAnsi="Times New Roman" w:eastAsia="宋体" w:cs="Times New Roman"/>
                      <w:bCs w:val="0"/>
                      <w:color w:val="auto"/>
                      <w:kern w:val="2"/>
                      <w:sz w:val="18"/>
                      <w:szCs w:val="18"/>
                      <w:highlight w:val="none"/>
                      <w:lang w:val="en-US" w:eastAsia="zh-CN" w:bidi="ar-SA"/>
                    </w:rPr>
                    <w:t>厂房外监测点处1h平均浓度值</w:t>
                  </w:r>
                  <w:r>
                    <w:rPr>
                      <w:rFonts w:hint="default" w:ascii="Times New Roman" w:hAnsi="Times New Roman" w:cs="Times New Roman"/>
                      <w:color w:val="auto"/>
                      <w:sz w:val="18"/>
                      <w:szCs w:val="18"/>
                      <w:highlight w:val="none"/>
                      <w:lang w:val="en-US" w:eastAsia="zh-CN"/>
                    </w:rPr>
                    <w:t>）</w:t>
                  </w:r>
                </w:p>
              </w:tc>
              <w:tc>
                <w:tcPr>
                  <w:tcW w:w="49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32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49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p>
              </w:tc>
              <w:tc>
                <w:tcPr>
                  <w:tcW w:w="400" w:type="pct"/>
                  <w:gridSpan w:val="2"/>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p>
              </w:tc>
              <w:tc>
                <w:tcPr>
                  <w:tcW w:w="784" w:type="pct"/>
                  <w:vMerge w:val="continue"/>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p>
              </w:tc>
              <w:tc>
                <w:tcPr>
                  <w:tcW w:w="1647" w:type="pct"/>
                  <w:gridSpan w:val="2"/>
                  <w:vMerge w:val="continue"/>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cs="Times New Roman"/>
                      <w:color w:val="auto"/>
                      <w:sz w:val="18"/>
                      <w:szCs w:val="18"/>
                      <w:highlight w:val="none"/>
                      <w:lang w:val="en-US" w:eastAsia="zh-CN"/>
                    </w:rPr>
                  </w:pPr>
                </w:p>
              </w:tc>
              <w:tc>
                <w:tcPr>
                  <w:tcW w:w="61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w:t>
                  </w:r>
                  <w:r>
                    <w:rPr>
                      <w:rFonts w:hint="default" w:ascii="Times New Roman" w:hAnsi="Times New Roman" w:eastAsia="宋体" w:cs="Times New Roman"/>
                      <w:bCs w:val="0"/>
                      <w:color w:val="auto"/>
                      <w:kern w:val="2"/>
                      <w:sz w:val="18"/>
                      <w:szCs w:val="18"/>
                      <w:highlight w:val="none"/>
                      <w:lang w:val="en-US" w:eastAsia="zh-CN" w:bidi="ar-SA"/>
                    </w:rPr>
                    <w:t>监控点处任意一次浓度值</w:t>
                  </w:r>
                  <w:r>
                    <w:rPr>
                      <w:rFonts w:hint="default" w:ascii="Times New Roman" w:hAnsi="Times New Roman" w:cs="Times New Roman"/>
                      <w:color w:val="auto"/>
                      <w:sz w:val="18"/>
                      <w:szCs w:val="18"/>
                      <w:highlight w:val="none"/>
                      <w:lang w:val="en-US" w:eastAsia="zh-CN"/>
                    </w:rPr>
                    <w:t>）</w:t>
                  </w:r>
                </w:p>
              </w:tc>
              <w:tc>
                <w:tcPr>
                  <w:tcW w:w="49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32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c>
                <w:tcPr>
                  <w:tcW w:w="49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p>
              </w:tc>
              <w:tc>
                <w:tcPr>
                  <w:tcW w:w="400" w:type="pct"/>
                  <w:gridSpan w:val="2"/>
                  <w:tcBorders>
                    <w:tl2br w:val="nil"/>
                    <w:tr2bl w:val="nil"/>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784" w:type="pct"/>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车间抑尘</w:t>
                  </w:r>
                  <w:r>
                    <w:rPr>
                      <w:rFonts w:hint="default" w:ascii="Times New Roman" w:hAnsi="Times New Roman" w:cs="Times New Roman"/>
                      <w:color w:val="auto"/>
                      <w:sz w:val="18"/>
                      <w:szCs w:val="18"/>
                      <w:highlight w:val="none"/>
                      <w:lang w:val="en-US" w:eastAsia="zh-CN"/>
                    </w:rPr>
                    <w:t>后无组织排放，车间内定期清扫</w:t>
                  </w:r>
                </w:p>
              </w:tc>
              <w:tc>
                <w:tcPr>
                  <w:tcW w:w="1647" w:type="pct"/>
                  <w:gridSpan w:val="2"/>
                  <w:tcBorders>
                    <w:tl2br w:val="nil"/>
                    <w:tr2bl w:val="nil"/>
                  </w:tcBorders>
                  <w:noWrap w:val="0"/>
                  <w:vAlign w:val="center"/>
                </w:tcPr>
                <w:p>
                  <w:pPr>
                    <w:pStyle w:val="5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sz w:val="18"/>
                      <w:szCs w:val="18"/>
                      <w:highlight w:val="none"/>
                      <w:lang w:val="zh-CN" w:eastAsia="zh-CN"/>
                    </w:rPr>
                  </w:pPr>
                  <w:r>
                    <w:rPr>
                      <w:rFonts w:hint="default" w:ascii="Times New Roman" w:hAnsi="Times New Roman" w:eastAsia="宋体" w:cs="Times New Roman"/>
                      <w:bCs/>
                      <w:color w:val="auto"/>
                      <w:sz w:val="18"/>
                      <w:szCs w:val="18"/>
                      <w:highlight w:val="none"/>
                    </w:rPr>
                    <w:t>《大气污染物综合排放标准》（GB16297-1996）</w:t>
                  </w:r>
                </w:p>
              </w:tc>
              <w:tc>
                <w:tcPr>
                  <w:tcW w:w="61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49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10"/>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zh-CN"/>
                    </w:rPr>
                    <w:t>无组织排放总计（t/a）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262" w:type="pct"/>
                  <w:gridSpan w:val="4"/>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zh-CN"/>
                    </w:rPr>
                    <w:t>无组织排放总计</w:t>
                  </w:r>
                </w:p>
              </w:tc>
              <w:tc>
                <w:tcPr>
                  <w:tcW w:w="1676"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r>
                    <w:rPr>
                      <w:rFonts w:hint="default" w:ascii="Times New Roman" w:hAnsi="Times New Roman" w:cs="Times New Roman"/>
                      <w:color w:val="auto"/>
                      <w:sz w:val="18"/>
                      <w:szCs w:val="18"/>
                      <w:highlight w:val="none"/>
                      <w:lang w:val="en-US" w:eastAsia="zh-CN"/>
                    </w:rPr>
                    <w:t>非甲烷总烃</w:t>
                  </w:r>
                </w:p>
              </w:tc>
              <w:tc>
                <w:tcPr>
                  <w:tcW w:w="2061"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2" w:type="pct"/>
                  <w:gridSpan w:val="4"/>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zh-CN"/>
                    </w:rPr>
                  </w:pPr>
                </w:p>
              </w:tc>
              <w:tc>
                <w:tcPr>
                  <w:tcW w:w="1676"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zh-CN"/>
                    </w:rPr>
                    <w:t>颗粒物</w:t>
                  </w:r>
                </w:p>
              </w:tc>
              <w:tc>
                <w:tcPr>
                  <w:tcW w:w="2061" w:type="pct"/>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0.364</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8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 xml:space="preserve">4-13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大气污染物</w:t>
            </w:r>
            <w:r>
              <w:rPr>
                <w:rFonts w:hint="default" w:ascii="Times New Roman" w:hAnsi="Times New Roman" w:eastAsia="宋体" w:cs="Times New Roman"/>
                <w:b/>
                <w:bCs/>
                <w:color w:val="auto"/>
                <w:sz w:val="21"/>
                <w:szCs w:val="21"/>
                <w:highlight w:val="none"/>
                <w:lang w:eastAsia="zh-CN"/>
              </w:rPr>
              <w:t>年</w:t>
            </w:r>
            <w:r>
              <w:rPr>
                <w:rFonts w:hint="default" w:ascii="Times New Roman" w:hAnsi="Times New Roman" w:eastAsia="宋体" w:cs="Times New Roman"/>
                <w:b/>
                <w:bCs/>
                <w:color w:val="auto"/>
                <w:sz w:val="21"/>
                <w:szCs w:val="21"/>
                <w:highlight w:val="none"/>
              </w:rPr>
              <w:t>排放量核算表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9"/>
              <w:gridCol w:w="2732"/>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序号</w:t>
                  </w:r>
                </w:p>
              </w:tc>
              <w:tc>
                <w:tcPr>
                  <w:tcW w:w="161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污染物</w:t>
                  </w:r>
                </w:p>
              </w:tc>
              <w:tc>
                <w:tcPr>
                  <w:tcW w:w="1666"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18"/>
                      <w:szCs w:val="18"/>
                      <w:highlight w:val="none"/>
                      <w:vertAlign w:val="baseline"/>
                      <w:lang w:val="en-US" w:eastAsia="zh-CN"/>
                    </w:rPr>
                  </w:pPr>
                  <w:r>
                    <w:rPr>
                      <w:rFonts w:hint="default" w:ascii="Times New Roman" w:hAnsi="Times New Roman" w:cs="Times New Roman"/>
                      <w:b w:val="0"/>
                      <w:bCs w:val="0"/>
                      <w:color w:val="auto"/>
                      <w:sz w:val="18"/>
                      <w:szCs w:val="18"/>
                      <w:highlight w:val="none"/>
                      <w:vertAlign w:val="baseline"/>
                      <w:lang w:val="en-US" w:eastAsia="zh-CN"/>
                    </w:rPr>
                    <w:t>年排放量</w:t>
                  </w:r>
                  <w:r>
                    <w:rPr>
                      <w:rFonts w:hint="default" w:ascii="Times New Roman" w:hAnsi="Times New Roman" w:eastAsia="宋体" w:cs="Times New Roman"/>
                      <w:b w:val="0"/>
                      <w:bCs w:val="0"/>
                      <w:color w:val="auto"/>
                      <w:sz w:val="18"/>
                      <w:szCs w:val="18"/>
                      <w:highlight w:val="none"/>
                      <w:lang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w:t>
                  </w:r>
                </w:p>
              </w:tc>
              <w:tc>
                <w:tcPr>
                  <w:tcW w:w="16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rPr>
                    <w:t>颗粒物</w:t>
                  </w:r>
                </w:p>
              </w:tc>
              <w:tc>
                <w:tcPr>
                  <w:tcW w:w="1666"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1.833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2</w:t>
                  </w:r>
                </w:p>
              </w:tc>
              <w:tc>
                <w:tcPr>
                  <w:tcW w:w="16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非甲烷总烃</w:t>
                  </w:r>
                </w:p>
              </w:tc>
              <w:tc>
                <w:tcPr>
                  <w:tcW w:w="1666"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vertAlign w:val="baseline"/>
                      <w:lang w:val="en-US" w:eastAsia="zh-CN" w:bidi="ar-SA"/>
                    </w:rPr>
                  </w:pPr>
                  <w:r>
                    <w:rPr>
                      <w:rFonts w:hint="eastAsia" w:cs="Times New Roman"/>
                      <w:color w:val="auto"/>
                      <w:kern w:val="2"/>
                      <w:sz w:val="18"/>
                      <w:szCs w:val="18"/>
                      <w:highlight w:val="none"/>
                      <w:vertAlign w:val="baseline"/>
                      <w:lang w:val="en-US" w:eastAsia="zh-CN" w:bidi="ar-SA"/>
                    </w:rPr>
                    <w:t>7.539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3</w:t>
                  </w:r>
                </w:p>
              </w:tc>
              <w:tc>
                <w:tcPr>
                  <w:tcW w:w="1611"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苯</w:t>
                  </w:r>
                </w:p>
              </w:tc>
              <w:tc>
                <w:tcPr>
                  <w:tcW w:w="2855"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sz w:val="18"/>
                      <w:szCs w:val="18"/>
                      <w:highlight w:val="none"/>
                      <w:lang w:val="en-US" w:eastAsia="zh-CN"/>
                    </w:rPr>
                    <w:t>0.0011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4</w:t>
                  </w:r>
                </w:p>
              </w:tc>
              <w:tc>
                <w:tcPr>
                  <w:tcW w:w="1611"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甲苯与二甲苯合计</w:t>
                  </w:r>
                </w:p>
              </w:tc>
              <w:tc>
                <w:tcPr>
                  <w:tcW w:w="2855"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sz w:val="18"/>
                      <w:szCs w:val="18"/>
                      <w:highlight w:val="none"/>
                      <w:lang w:val="en-US" w:eastAsia="zh-CN"/>
                    </w:rPr>
                    <w:t>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1" w:type="pct"/>
                  <w:noWrap w:val="0"/>
                  <w:vAlign w:val="center"/>
                </w:tcPr>
                <w:p>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5</w:t>
                  </w:r>
                </w:p>
              </w:tc>
              <w:tc>
                <w:tcPr>
                  <w:tcW w:w="1611"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硫化氢</w:t>
                  </w:r>
                </w:p>
              </w:tc>
              <w:tc>
                <w:tcPr>
                  <w:tcW w:w="2855"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0.406</w:t>
                  </w: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废水</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项目产生废水主要</w:t>
            </w:r>
            <w:r>
              <w:rPr>
                <w:rFonts w:hint="default" w:ascii="Times New Roman" w:hAnsi="Times New Roman"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lang w:val="en-US" w:eastAsia="zh-CN"/>
              </w:rPr>
              <w:t>生活污水</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w:t>
            </w:r>
            <w:r>
              <w:rPr>
                <w:rFonts w:hint="default" w:ascii="Times New Roman" w:hAnsi="Times New Roman" w:eastAsia="宋体" w:cs="Times New Roman"/>
                <w:color w:val="auto"/>
                <w:spacing w:val="0"/>
                <w:sz w:val="21"/>
                <w:szCs w:val="21"/>
                <w:highlight w:val="none"/>
                <w:lang w:val="en-US" w:eastAsia="zh-CN"/>
              </w:rPr>
              <w:t>生产过程</w:t>
            </w:r>
            <w:r>
              <w:rPr>
                <w:rFonts w:hint="default" w:ascii="Times New Roman" w:hAnsi="Times New Roman" w:cs="Times New Roman"/>
                <w:color w:val="auto"/>
                <w:spacing w:val="0"/>
                <w:sz w:val="21"/>
                <w:szCs w:val="21"/>
                <w:highlight w:val="none"/>
                <w:lang w:val="en-US" w:eastAsia="zh-CN"/>
              </w:rPr>
              <w:t>用水仅为配置切削液用水</w:t>
            </w:r>
            <w:r>
              <w:rPr>
                <w:rFonts w:hint="default" w:ascii="Times New Roman" w:hAnsi="Times New Roman" w:cs="Times New Roman"/>
                <w:color w:val="auto"/>
                <w:sz w:val="21"/>
                <w:szCs w:val="21"/>
                <w:highlight w:val="none"/>
                <w:lang w:val="en-US" w:eastAsia="zh-CN"/>
              </w:rPr>
              <w:t>，这部分用水</w:t>
            </w:r>
            <w:r>
              <w:rPr>
                <w:rFonts w:hint="default" w:ascii="Times New Roman" w:hAnsi="Times New Roman" w:cs="Times New Roman"/>
                <w:color w:val="auto"/>
                <w:spacing w:val="0"/>
                <w:kern w:val="2"/>
                <w:sz w:val="21"/>
                <w:szCs w:val="21"/>
                <w:highlight w:val="none"/>
                <w:lang w:val="en-US" w:eastAsia="zh-CN" w:bidi="ar-SA"/>
              </w:rPr>
              <w:t>在生产过程中损耗或进入废切削液，无生产废水产生</w:t>
            </w:r>
            <w:r>
              <w:rPr>
                <w:rFonts w:hint="default" w:ascii="Times New Roman" w:hAnsi="Times New Roman" w:eastAsia="宋体" w:cs="Times New Roman"/>
                <w:color w:val="auto"/>
                <w:spacing w:val="0"/>
                <w:kern w:val="2"/>
                <w:sz w:val="21"/>
                <w:szCs w:val="21"/>
                <w:highlight w:val="none"/>
                <w:lang w:val="en-US" w:eastAsia="zh-CN" w:bidi="ar-SA"/>
              </w:rPr>
              <w:t>。</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项目设置食堂、宿舍</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厕所为水冲厕，生活污水</w:t>
            </w:r>
            <w:r>
              <w:rPr>
                <w:rFonts w:hint="default" w:ascii="Times New Roman" w:hAnsi="Times New Roman" w:eastAsia="宋体" w:cs="Times New Roman"/>
                <w:color w:val="auto"/>
                <w:sz w:val="21"/>
                <w:szCs w:val="21"/>
                <w:highlight w:val="none"/>
                <w:lang w:val="en-US" w:eastAsia="zh-CN"/>
              </w:rPr>
              <w:t>产生量</w:t>
            </w:r>
            <w:r>
              <w:rPr>
                <w:rFonts w:hint="default" w:ascii="Times New Roman" w:hAnsi="Times New Roman" w:cs="Times New Roman"/>
                <w:color w:val="auto"/>
                <w:sz w:val="21"/>
                <w:szCs w:val="21"/>
                <w:highlight w:val="none"/>
                <w:lang w:val="en-US" w:eastAsia="zh-CN"/>
              </w:rPr>
              <w:t>40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/d，其中COD浓度为350mg/L，BOD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lang w:val="en-US" w:eastAsia="zh-CN"/>
              </w:rPr>
              <w:t>浓度为250</w:t>
            </w:r>
            <w:r>
              <w:rPr>
                <w:rFonts w:hint="default" w:ascii="Times New Roman" w:hAnsi="Times New Roman" w:eastAsia="宋体" w:cs="Times New Roman"/>
                <w:color w:val="auto"/>
                <w:sz w:val="21"/>
                <w:szCs w:val="21"/>
                <w:highlight w:val="none"/>
              </w:rPr>
              <w:t>mg/L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SS浓度为200</w:t>
            </w:r>
            <w:r>
              <w:rPr>
                <w:rFonts w:hint="default" w:ascii="Times New Roman" w:hAnsi="Times New Roman" w:eastAsia="宋体" w:cs="Times New Roman"/>
                <w:color w:val="auto"/>
                <w:sz w:val="21"/>
                <w:szCs w:val="21"/>
                <w:highlight w:val="none"/>
              </w:rPr>
              <w:t>mg/L</w:t>
            </w:r>
            <w:r>
              <w:rPr>
                <w:rFonts w:hint="default" w:ascii="Times New Roman" w:hAnsi="Times New Roman" w:eastAsia="宋体" w:cs="Times New Roman"/>
                <w:color w:val="auto"/>
                <w:sz w:val="21"/>
                <w:szCs w:val="21"/>
                <w:highlight w:val="none"/>
                <w:lang w:val="en-US" w:eastAsia="zh-CN"/>
              </w:rPr>
              <w:t>，总氮浓度为</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mg/L</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氨氮浓度为</w:t>
            </w:r>
            <w:r>
              <w:rPr>
                <w:rFonts w:hint="default" w:ascii="Times New Roman" w:hAnsi="Times New Roman"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rPr>
              <w:t>mg/L，</w:t>
            </w:r>
            <w:r>
              <w:rPr>
                <w:rFonts w:hint="default" w:ascii="Times New Roman" w:hAnsi="Times New Roman" w:eastAsia="宋体" w:cs="Times New Roman"/>
                <w:color w:val="auto"/>
                <w:sz w:val="21"/>
                <w:szCs w:val="21"/>
                <w:highlight w:val="none"/>
                <w:lang w:val="en-US" w:eastAsia="zh-CN"/>
              </w:rPr>
              <w:t>总磷</w:t>
            </w:r>
            <w:r>
              <w:rPr>
                <w:rFonts w:hint="default" w:ascii="Times New Roman" w:hAnsi="Times New Roman" w:eastAsia="宋体" w:cs="Times New Roman"/>
                <w:color w:val="auto"/>
                <w:sz w:val="21"/>
                <w:szCs w:val="21"/>
                <w:highlight w:val="none"/>
              </w:rPr>
              <w:t>浓度为</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mg/L，满足《污水综合排放标准》（GB8978-1996）表四中三级标准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《污水排入城镇下水道水质标准》（GB/T31962-2015）</w:t>
            </w:r>
            <w:r>
              <w:rPr>
                <w:rFonts w:hint="default" w:ascii="Times New Roman" w:hAnsi="Times New Roman" w:eastAsia="宋体" w:cs="Times New Roman"/>
                <w:color w:val="auto"/>
                <w:sz w:val="21"/>
                <w:szCs w:val="21"/>
                <w:highlight w:val="none"/>
              </w:rPr>
              <w:t>及</w:t>
            </w:r>
            <w:r>
              <w:rPr>
                <w:rFonts w:hint="default" w:ascii="Times New Roman" w:hAnsi="Times New Roman" w:cs="Times New Roman"/>
                <w:color w:val="auto"/>
                <w:sz w:val="21"/>
                <w:szCs w:val="21"/>
                <w:highlight w:val="none"/>
                <w:lang w:val="en-US" w:eastAsia="zh-CN"/>
              </w:rPr>
              <w:t>园区</w:t>
            </w:r>
            <w:r>
              <w:rPr>
                <w:rFonts w:hint="default" w:ascii="Times New Roman" w:hAnsi="Times New Roman" w:eastAsia="宋体" w:cs="Times New Roman"/>
                <w:color w:val="auto"/>
                <w:sz w:val="21"/>
                <w:szCs w:val="21"/>
                <w:highlight w:val="none"/>
              </w:rPr>
              <w:t>污水处理厂进水水质要求。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唐山空港城开发区污水处理厂远期设计规模为10万立方米/日，计划分三期建设完成，污水处理工艺为格栅+曝气沉砂池+A2/O+二沉池+活性炭砂滤池+消毒+污泥处理，现状已建成处理规模为1万立方米/日的污水处理厂，尾水排放标准为《城镇污水处理厂污染物排放标准》（GB18918-2002）一级A标准，排入泥河。中期扩建污水处理厂规模至6.15万立方米/日，远期扩建规模至10万立方米/日，污水处理规划用地15.05公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综上，本项目对地表水体</w:t>
            </w:r>
            <w:r>
              <w:rPr>
                <w:rFonts w:hint="default" w:ascii="Times New Roman" w:hAnsi="Times New Roman" w:eastAsia="宋体" w:cs="Times New Roman"/>
                <w:color w:val="auto"/>
                <w:sz w:val="21"/>
                <w:szCs w:val="21"/>
                <w:highlight w:val="none"/>
                <w:lang w:eastAsia="zh-CN"/>
              </w:rPr>
              <w:t>无影响</w:t>
            </w:r>
            <w:r>
              <w:rPr>
                <w:rFonts w:hint="default" w:ascii="Times New Roman" w:hAnsi="Times New Roman" w:eastAsia="宋体" w:cs="Times New Roman"/>
                <w:color w:val="auto"/>
                <w:sz w:val="21"/>
                <w:szCs w:val="21"/>
                <w:highlight w:val="none"/>
              </w:rPr>
              <w:t>。</w:t>
            </w:r>
          </w:p>
          <w:p>
            <w:pPr>
              <w:pStyle w:val="19"/>
              <w:keepNext w:val="0"/>
              <w:keepLines w:val="0"/>
              <w:pageBreakBefore w:val="0"/>
              <w:widowControl w:val="0"/>
              <w:kinsoku/>
              <w:wordWrap/>
              <w:overflowPunct/>
              <w:topLinePunct w:val="0"/>
              <w:autoSpaceDE w:val="0"/>
              <w:autoSpaceDN w:val="0"/>
              <w:bidi w:val="0"/>
              <w:adjustRightInd w:val="0"/>
              <w:snapToGrid w:val="0"/>
              <w:spacing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3、噪声</w:t>
            </w:r>
          </w:p>
          <w:p>
            <w:pPr>
              <w:keepNext w:val="0"/>
              <w:keepLines w:val="0"/>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本次项目主要噪声源为风机等设备生产过程中产生的噪声，噪声源强在</w:t>
            </w:r>
            <w:r>
              <w:rPr>
                <w:rFonts w:hint="default" w:ascii="Times New Roman" w:hAnsi="Times New Roman" w:cs="Times New Roman"/>
                <w:color w:val="auto"/>
                <w:sz w:val="21"/>
                <w:szCs w:val="21"/>
                <w:highlight w:val="none"/>
                <w:lang w:val="en-US" w:eastAsia="zh-CN"/>
              </w:rPr>
              <w:t>70~95</w:t>
            </w:r>
            <w:r>
              <w:rPr>
                <w:rFonts w:hint="default" w:ascii="Times New Roman" w:hAnsi="Times New Roman" w:cs="Times New Roman"/>
                <w:color w:val="auto"/>
                <w:sz w:val="21"/>
                <w:szCs w:val="21"/>
                <w:highlight w:val="none"/>
              </w:rPr>
              <w:t>dB(A)。未采取减振降噪措施时，主要高噪声污染源在离设备1米处噪声源强见</w:t>
            </w:r>
            <w:r>
              <w:rPr>
                <w:rFonts w:hint="default" w:ascii="Times New Roman" w:hAnsi="Times New Roman" w:cs="Times New Roman"/>
                <w:color w:val="auto"/>
                <w:sz w:val="21"/>
                <w:szCs w:val="21"/>
                <w:highlight w:val="none"/>
                <w:lang w:eastAsia="zh-CN"/>
              </w:rPr>
              <w:t>下表</w:t>
            </w:r>
            <w:r>
              <w:rPr>
                <w:rFonts w:hint="default" w:ascii="Times New Roman" w:hAnsi="Times New Roman" w:cs="Times New Roman"/>
                <w:color w:val="auto"/>
                <w:sz w:val="21"/>
                <w:szCs w:val="21"/>
                <w:highlight w:val="none"/>
              </w:rPr>
              <w:t>。</w:t>
            </w:r>
          </w:p>
          <w:p>
            <w:pPr>
              <w:keepNext w:val="0"/>
              <w:keepLines w:val="0"/>
              <w:pageBreakBefore w:val="0"/>
              <w:widowControl/>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cs="Times New Roman"/>
                <w:b/>
                <w:bCs/>
                <w:color w:val="auto"/>
                <w:sz w:val="21"/>
                <w:szCs w:val="21"/>
                <w:highlight w:val="none"/>
              </w:rPr>
            </w:pPr>
          </w:p>
          <w:p>
            <w:pPr>
              <w:keepNext w:val="0"/>
              <w:keepLines w:val="0"/>
              <w:pageBreakBefore w:val="0"/>
              <w:widowControl/>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 xml:space="preserve">4-14    </w:t>
            </w:r>
            <w:r>
              <w:rPr>
                <w:rFonts w:hint="default" w:ascii="Times New Roman" w:hAnsi="Times New Roman" w:cs="Times New Roman"/>
                <w:b/>
                <w:bCs/>
                <w:color w:val="auto"/>
                <w:sz w:val="21"/>
                <w:szCs w:val="21"/>
                <w:highlight w:val="none"/>
              </w:rPr>
              <w:t>项目主要噪声源及噪声源强</w:t>
            </w:r>
          </w:p>
          <w:tbl>
            <w:tblPr>
              <w:tblStyle w:val="3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17"/>
              <w:gridCol w:w="1274"/>
              <w:gridCol w:w="1164"/>
              <w:gridCol w:w="911"/>
              <w:gridCol w:w="1474"/>
              <w:gridCol w:w="1143"/>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71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设备地点</w:t>
                  </w:r>
                </w:p>
              </w:tc>
              <w:tc>
                <w:tcPr>
                  <w:tcW w:w="127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噪声源</w:t>
                  </w:r>
                </w:p>
              </w:tc>
              <w:tc>
                <w:tcPr>
                  <w:tcW w:w="1164"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产生强度/dB(A)</w:t>
                  </w:r>
                </w:p>
              </w:tc>
              <w:tc>
                <w:tcPr>
                  <w:tcW w:w="911" w:type="dxa"/>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数量（台）</w:t>
                  </w:r>
                </w:p>
              </w:tc>
              <w:tc>
                <w:tcPr>
                  <w:tcW w:w="1474" w:type="dxa"/>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aps/>
                      <w:color w:val="auto"/>
                      <w:kern w:val="0"/>
                      <w:sz w:val="18"/>
                      <w:szCs w:val="18"/>
                      <w:highlight w:val="none"/>
                    </w:rPr>
                    <w:t>降 噪 措 施</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aps/>
                      <w:color w:val="auto"/>
                      <w:kern w:val="0"/>
                      <w:sz w:val="18"/>
                      <w:szCs w:val="18"/>
                      <w:highlight w:val="none"/>
                    </w:rPr>
                    <w:t>排放强度</w:t>
                  </w:r>
                  <w:r>
                    <w:rPr>
                      <w:rFonts w:hint="default" w:ascii="Times New Roman" w:hAnsi="Times New Roman" w:cs="Times New Roman"/>
                      <w:color w:val="auto"/>
                      <w:sz w:val="18"/>
                      <w:szCs w:val="18"/>
                      <w:highlight w:val="none"/>
                    </w:rPr>
                    <w:t>d</w:t>
                  </w:r>
                  <w:r>
                    <w:rPr>
                      <w:rFonts w:hint="default" w:ascii="Times New Roman" w:hAnsi="Times New Roman" w:cs="Times New Roman"/>
                      <w:caps/>
                      <w:color w:val="auto"/>
                      <w:sz w:val="18"/>
                      <w:szCs w:val="18"/>
                      <w:highlight w:val="none"/>
                    </w:rPr>
                    <w:t>B(A)</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aps/>
                      <w:color w:val="auto"/>
                      <w:kern w:val="0"/>
                      <w:sz w:val="18"/>
                      <w:szCs w:val="18"/>
                      <w:highlight w:val="none"/>
                    </w:rPr>
                  </w:pPr>
                  <w:r>
                    <w:rPr>
                      <w:rFonts w:hint="default" w:ascii="Times New Roman" w:hAnsi="Times New Roman" w:cs="Times New Roman"/>
                      <w:caps/>
                      <w:color w:val="auto"/>
                      <w:kern w:val="0"/>
                      <w:sz w:val="18"/>
                      <w:szCs w:val="18"/>
                      <w:highlight w:val="none"/>
                      <w:lang w:val="en-US" w:eastAsia="zh-CN"/>
                    </w:rPr>
                    <w:t>排放</w:t>
                  </w:r>
                  <w:r>
                    <w:rPr>
                      <w:rFonts w:hint="default" w:ascii="Times New Roman" w:hAnsi="Times New Roman" w:cs="Times New Roman"/>
                      <w:caps/>
                      <w:color w:val="auto"/>
                      <w:kern w:val="0"/>
                      <w:sz w:val="18"/>
                      <w:szCs w:val="18"/>
                      <w:highlight w:val="none"/>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717" w:type="dxa"/>
                  <w:vMerge w:val="restart"/>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生产车间</w:t>
                  </w: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激光切割机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restart"/>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基础减振</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单</w:t>
                  </w:r>
                  <w:r>
                    <w:rPr>
                      <w:rFonts w:hint="default" w:ascii="Times New Roman" w:hAnsi="Times New Roman" w:cs="Times New Roman"/>
                      <w:color w:val="auto"/>
                      <w:sz w:val="18"/>
                      <w:szCs w:val="18"/>
                      <w:highlight w:val="none"/>
                      <w:lang w:eastAsia="zh-CN"/>
                    </w:rPr>
                    <w:t>层彩钢厂房隔声，</w:t>
                  </w:r>
                  <w:r>
                    <w:rPr>
                      <w:rFonts w:hint="default" w:ascii="Times New Roman" w:hAnsi="Times New Roman" w:cs="Times New Roman"/>
                      <w:color w:val="auto"/>
                      <w:sz w:val="18"/>
                      <w:szCs w:val="18"/>
                      <w:highlight w:val="none"/>
                    </w:rPr>
                    <w:t>可综合降噪降噪</w:t>
                  </w: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5dB(A)</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等离子切割机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带锯床</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折弯机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车床</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铣床</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钻床</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焊接</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角磨机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抛丸机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11</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喷漆设备</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12</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喷涂设备</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13</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kern w:val="2"/>
                      <w:sz w:val="18"/>
                      <w:szCs w:val="18"/>
                      <w:highlight w:val="none"/>
                      <w:lang w:val="en-US" w:eastAsia="zh-CN" w:bidi="ar-SA"/>
                    </w:rPr>
                    <w:t>调试设备</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14</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捏炼机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75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60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15</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开炼机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75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60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16</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精炼机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75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60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17</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挤出机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70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55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18</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eastAsia" w:ascii="Times New Roman" w:cs="Times New Roman"/>
                      <w:b w:val="0"/>
                      <w:bCs/>
                      <w:snapToGrid w:val="0"/>
                      <w:color w:val="auto"/>
                      <w:kern w:val="2"/>
                      <w:sz w:val="18"/>
                      <w:szCs w:val="18"/>
                      <w:highlight w:val="none"/>
                      <w:lang w:val="en-US" w:eastAsia="zh-CN" w:bidi="ar-SA"/>
                    </w:rPr>
                    <w:t>硫化机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70</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12</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55</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19</w:t>
                  </w:r>
                </w:p>
              </w:tc>
              <w:tc>
                <w:tcPr>
                  <w:tcW w:w="717"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p>
              </w:tc>
              <w:tc>
                <w:tcPr>
                  <w:tcW w:w="1274" w:type="dxa"/>
                  <w:tcBorders>
                    <w:tl2br w:val="nil"/>
                    <w:tr2bl w:val="nil"/>
                  </w:tcBorders>
                  <w:noWrap w:val="0"/>
                  <w:vAlign w:val="center"/>
                </w:tcPr>
                <w:p>
                  <w:pPr>
                    <w:pStyle w:val="60"/>
                    <w:keepNext w:val="0"/>
                    <w:keepLines w:val="0"/>
                    <w:pageBreakBefore w:val="0"/>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cs="Times New Roman"/>
                      <w:b w:val="0"/>
                      <w:bCs/>
                      <w:snapToGrid w:val="0"/>
                      <w:color w:val="auto"/>
                      <w:kern w:val="2"/>
                      <w:sz w:val="18"/>
                      <w:szCs w:val="18"/>
                      <w:highlight w:val="none"/>
                      <w:lang w:val="en-US" w:eastAsia="zh-CN" w:bidi="ar-SA"/>
                    </w:rPr>
                    <w:t>胶板打磨</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20</w:t>
                  </w:r>
                </w:p>
              </w:tc>
              <w:tc>
                <w:tcPr>
                  <w:tcW w:w="71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c>
                <w:tcPr>
                  <w:tcW w:w="1274" w:type="dxa"/>
                  <w:tcBorders>
                    <w:tl2br w:val="nil"/>
                    <w:tr2bl w:val="nil"/>
                  </w:tcBorders>
                  <w:noWrap w:val="0"/>
                  <w:vAlign w:val="center"/>
                </w:tcPr>
                <w:p>
                  <w:pPr>
                    <w:pageBreakBefore w:val="0"/>
                    <w:kinsoku/>
                    <w:wordWrap/>
                    <w:overflowPunct/>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sz w:val="18"/>
                      <w:szCs w:val="18"/>
                      <w:highlight w:val="none"/>
                      <w:lang w:val="en-US" w:eastAsia="zh-CN"/>
                    </w:rPr>
                    <w:t>风机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85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1474" w:type="dxa"/>
                  <w:vMerge w:val="restart"/>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选用低产噪设备，基础安装减振垫</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风机加装隔声罩</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可综合降噪降噪</w:t>
                  </w: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5dB(A)</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63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21</w:t>
                  </w:r>
                </w:p>
              </w:tc>
              <w:tc>
                <w:tcPr>
                  <w:tcW w:w="717"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w:t>
                  </w:r>
                </w:p>
              </w:tc>
              <w:tc>
                <w:tcPr>
                  <w:tcW w:w="1274" w:type="dxa"/>
                  <w:tcBorders>
                    <w:tl2br w:val="nil"/>
                    <w:tr2bl w:val="nil"/>
                  </w:tcBorders>
                  <w:noWrap w:val="0"/>
                  <w:vAlign w:val="center"/>
                </w:tcPr>
                <w:p>
                  <w:pPr>
                    <w:pageBreakBefore w:val="0"/>
                    <w:kinsoku/>
                    <w:wordWrap/>
                    <w:overflowPunct/>
                    <w:bidi w:val="0"/>
                    <w:adjustRightInd w:val="0"/>
                    <w:snapToGrid w:val="0"/>
                    <w:spacing w:beforeAutospacing="0" w:afterAutospacing="0" w:line="240" w:lineRule="exact"/>
                    <w:ind w:left="0" w:leftChars="0" w:right="0" w:rightChars="0"/>
                    <w:jc w:val="center"/>
                    <w:rPr>
                      <w:rFonts w:hint="default" w:ascii="Times New Roman" w:hAnsi="Times New Roman" w:eastAsia="宋体" w:cs="Times New Roman"/>
                      <w:b w:val="0"/>
                      <w:bCs/>
                      <w:snapToGrid w:val="0"/>
                      <w:color w:val="auto"/>
                      <w:kern w:val="2"/>
                      <w:sz w:val="18"/>
                      <w:szCs w:val="18"/>
                      <w:highlight w:val="none"/>
                      <w:lang w:val="en-US" w:eastAsia="zh-CN" w:bidi="ar-SA"/>
                    </w:rPr>
                  </w:pPr>
                  <w:r>
                    <w:rPr>
                      <w:rFonts w:hint="default" w:ascii="Times New Roman" w:hAnsi="Times New Roman" w:eastAsia="宋体" w:cs="Times New Roman"/>
                      <w:b w:val="0"/>
                      <w:bCs/>
                      <w:snapToGrid w:val="0"/>
                      <w:color w:val="auto"/>
                      <w:sz w:val="18"/>
                      <w:szCs w:val="18"/>
                      <w:highlight w:val="none"/>
                      <w:lang w:val="en-US" w:eastAsia="zh-CN"/>
                    </w:rPr>
                    <w:t>空压机</w:t>
                  </w:r>
                </w:p>
              </w:tc>
              <w:tc>
                <w:tcPr>
                  <w:tcW w:w="1164"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95</w:t>
                  </w:r>
                </w:p>
              </w:tc>
              <w:tc>
                <w:tcPr>
                  <w:tcW w:w="911"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1474" w:type="dxa"/>
                  <w:vMerge w:val="continue"/>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80</w:t>
                  </w:r>
                </w:p>
              </w:tc>
              <w:tc>
                <w:tcPr>
                  <w:tcW w:w="1143" w:type="dxa"/>
                  <w:tcBorders>
                    <w:tl2br w:val="nil"/>
                    <w:tr2bl w:val="nil"/>
                  </w:tcBorders>
                  <w:noWrap w:val="0"/>
                  <w:vAlign w:val="center"/>
                </w:tcPr>
                <w:p>
                  <w:pPr>
                    <w:pageBreakBefore w:val="0"/>
                    <w:kinsoku/>
                    <w:wordWrap/>
                    <w:overflowPunct/>
                    <w:bidi w:val="0"/>
                    <w:adjustRightInd w:val="0"/>
                    <w:snapToGrid w:val="0"/>
                    <w:spacing w:beforeAutospacing="0" w:afterAutospacing="0" w:line="300" w:lineRule="exact"/>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2400</w:t>
                  </w:r>
                </w:p>
              </w:tc>
            </w:tr>
          </w:tbl>
          <w:p>
            <w:pPr>
              <w:pageBreakBefore w:val="0"/>
              <w:kinsoku/>
              <w:wordWrap/>
              <w:overflowPunct/>
              <w:bidi w:val="0"/>
              <w:adjustRightInd w:val="0"/>
              <w:snapToGrid w:val="0"/>
              <w:spacing w:beforeAutospacing="0" w:afterAutospacing="0" w:line="480" w:lineRule="exact"/>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噪声</w:t>
            </w:r>
            <w:r>
              <w:rPr>
                <w:rFonts w:hint="default" w:ascii="Times New Roman" w:hAnsi="Times New Roman" w:cs="Times New Roman"/>
                <w:color w:val="auto"/>
                <w:sz w:val="21"/>
                <w:szCs w:val="21"/>
                <w:highlight w:val="none"/>
              </w:rPr>
              <w:t>预测模式采用《环境影响评价技术导则 声环境》(HJ2.4-202</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)附录A中工业噪声预测计算模式进行预测。工业声源有室外和室内两种声源，应分别计算。</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z w:val="21"/>
                <w:szCs w:val="21"/>
                <w:highlight w:val="none"/>
              </w:rPr>
              <w:t>（1）单个室外的点声源在预测点产生的声级计算单个室外声源在预测点处倍频带声压级为：</w:t>
            </w:r>
          </w:p>
          <w:p>
            <w:pPr>
              <w:pageBreakBefore w:val="0"/>
              <w:kinsoku/>
              <w:wordWrap/>
              <w:overflowPunct/>
              <w:bidi w:val="0"/>
              <w:adjustRightInd w:val="0"/>
              <w:snapToGrid w:val="0"/>
              <w:spacing w:beforeAutospacing="0" w:afterAutospacing="0" w:line="480" w:lineRule="exact"/>
              <w:ind w:left="0" w:leftChars="0" w:right="0" w:rightChars="0" w:firstLine="2415" w:firstLineChars="115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w:t>
            </w:r>
            <w:r>
              <w:rPr>
                <w:rFonts w:hint="default" w:ascii="Times New Roman" w:hAnsi="Times New Roman" w:cs="Times New Roman"/>
                <w:color w:val="auto"/>
                <w:sz w:val="21"/>
                <w:szCs w:val="21"/>
                <w:highlight w:val="none"/>
              </w:rPr>
              <w:t>（r）＝L</w:t>
            </w:r>
            <w:r>
              <w:rPr>
                <w:rFonts w:hint="default" w:ascii="Times New Roman" w:hAnsi="Times New Roman" w:cs="Times New Roman"/>
                <w:color w:val="auto"/>
                <w:sz w:val="21"/>
                <w:szCs w:val="21"/>
                <w:highlight w:val="none"/>
                <w:vertAlign w:val="subscript"/>
              </w:rPr>
              <w:t xml:space="preserve"> W</w:t>
            </w:r>
            <w:r>
              <w:rPr>
                <w:rFonts w:hint="default" w:ascii="Times New Roman" w:hAnsi="Times New Roman" w:cs="Times New Roman"/>
                <w:color w:val="auto"/>
                <w:sz w:val="21"/>
                <w:szCs w:val="21"/>
                <w:highlight w:val="none"/>
              </w:rPr>
              <w:t>＋Dc－A</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 xml:space="preserve"> W</w:t>
            </w:r>
            <w:r>
              <w:rPr>
                <w:rFonts w:hint="default" w:ascii="Times New Roman" w:hAnsi="Times New Roman" w:cs="Times New Roman"/>
                <w:color w:val="auto"/>
                <w:kern w:val="0"/>
                <w:sz w:val="21"/>
                <w:szCs w:val="21"/>
                <w:highlight w:val="none"/>
              </w:rPr>
              <w:t>—倍频带声功率级，dB(A)；</w:t>
            </w:r>
          </w:p>
          <w:p>
            <w:pPr>
              <w:pageBreakBefore w:val="0"/>
              <w:kinsoku/>
              <w:wordWrap/>
              <w:overflowPunct/>
              <w:bidi w:val="0"/>
              <w:adjustRightInd w:val="0"/>
              <w:snapToGrid w:val="0"/>
              <w:spacing w:beforeAutospacing="0" w:afterAutospacing="0" w:line="480" w:lineRule="exact"/>
              <w:ind w:left="0" w:leftChars="0" w:right="0" w:rightChars="0" w:firstLine="840" w:firstLineChars="400"/>
              <w:rPr>
                <w:rFonts w:hint="default" w:ascii="Times New Roman" w:hAnsi="Times New Roman" w:cs="Times New Roman"/>
                <w:color w:val="auto"/>
                <w:kern w:val="0"/>
                <w:sz w:val="21"/>
                <w:szCs w:val="21"/>
                <w:highlight w:val="none"/>
              </w:rPr>
            </w:pPr>
            <w:r>
              <w:rPr>
                <w:rFonts w:hint="default" w:ascii="Times New Roman" w:hAnsi="Times New Roman" w:cs="Times New Roman"/>
                <w:iCs/>
                <w:color w:val="auto"/>
                <w:kern w:val="0"/>
                <w:sz w:val="21"/>
                <w:szCs w:val="21"/>
                <w:highlight w:val="none"/>
              </w:rPr>
              <w:t>D</w:t>
            </w:r>
            <w:r>
              <w:rPr>
                <w:rFonts w:hint="default" w:ascii="Times New Roman" w:hAnsi="Times New Roman" w:cs="Times New Roman"/>
                <w:color w:val="auto"/>
                <w:kern w:val="0"/>
                <w:sz w:val="21"/>
                <w:szCs w:val="21"/>
                <w:highlight w:val="none"/>
              </w:rPr>
              <w:t>—指向性校正，dB；它描述点声源的等效连续声压级与产生声功率级的全向点声源在规定方向的级的偏差程度。指向性校正等于点声源的指向性指数</w:t>
            </w:r>
            <w:r>
              <w:rPr>
                <w:rFonts w:hint="default" w:ascii="Times New Roman" w:hAnsi="Times New Roman" w:cs="Times New Roman"/>
                <w:iCs/>
                <w:color w:val="auto"/>
                <w:kern w:val="0"/>
                <w:sz w:val="21"/>
                <w:szCs w:val="21"/>
                <w:highlight w:val="none"/>
              </w:rPr>
              <w:t>D</w:t>
            </w:r>
            <w:r>
              <w:rPr>
                <w:rFonts w:hint="default" w:ascii="Times New Roman" w:hAnsi="Times New Roman" w:cs="Times New Roman"/>
                <w:iCs/>
                <w:color w:val="auto"/>
                <w:kern w:val="0"/>
                <w:sz w:val="21"/>
                <w:szCs w:val="21"/>
                <w:highlight w:val="none"/>
                <w:vertAlign w:val="subscript"/>
              </w:rPr>
              <w:t>i</w:t>
            </w:r>
            <w:r>
              <w:rPr>
                <w:rFonts w:hint="default" w:ascii="Times New Roman" w:hAnsi="Times New Roman" w:cs="Times New Roman"/>
                <w:color w:val="auto"/>
                <w:kern w:val="0"/>
                <w:sz w:val="21"/>
                <w:szCs w:val="21"/>
                <w:highlight w:val="none"/>
              </w:rPr>
              <w:t>加上计到小于4π球面度（sr）立体角内的声传播指数D</w:t>
            </w:r>
            <w:r>
              <w:rPr>
                <w:rFonts w:hint="default" w:ascii="Times New Roman" w:hAnsi="Times New Roman" w:cs="Times New Roman"/>
                <w:color w:val="auto"/>
                <w:sz w:val="21"/>
                <w:szCs w:val="21"/>
                <w:highlight w:val="none"/>
                <w:vertAlign w:val="subscript"/>
              </w:rPr>
              <w:t>Ω</w:t>
            </w:r>
            <w:r>
              <w:rPr>
                <w:rFonts w:hint="default" w:ascii="Times New Roman" w:hAnsi="Times New Roman" w:cs="Times New Roman"/>
                <w:color w:val="auto"/>
                <w:kern w:val="0"/>
                <w:sz w:val="21"/>
                <w:szCs w:val="21"/>
                <w:highlight w:val="none"/>
              </w:rPr>
              <w:t>。对辐射到自由空间的全向点声源，D</w:t>
            </w:r>
            <w:r>
              <w:rPr>
                <w:rFonts w:hint="default" w:ascii="Times New Roman" w:hAnsi="Times New Roman" w:cs="Times New Roman"/>
                <w:color w:val="auto"/>
                <w:kern w:val="0"/>
                <w:sz w:val="21"/>
                <w:szCs w:val="21"/>
                <w:highlight w:val="none"/>
                <w:vertAlign w:val="subscript"/>
              </w:rPr>
              <w:t>c</w:t>
            </w:r>
            <w:r>
              <w:rPr>
                <w:rFonts w:hint="default" w:ascii="Times New Roman" w:hAnsi="Times New Roman" w:cs="Times New Roman"/>
                <w:color w:val="auto"/>
                <w:kern w:val="0"/>
                <w:sz w:val="21"/>
                <w:szCs w:val="21"/>
                <w:highlight w:val="none"/>
              </w:rPr>
              <w:t>=0dB。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kern w:val="0"/>
                <w:sz w:val="21"/>
                <w:szCs w:val="21"/>
                <w:highlight w:val="none"/>
              </w:rPr>
            </w:pPr>
            <w:r>
              <w:rPr>
                <w:rFonts w:hint="default" w:ascii="Times New Roman" w:hAnsi="Times New Roman" w:cs="Times New Roman"/>
                <w:iCs/>
                <w:color w:val="auto"/>
                <w:kern w:val="0"/>
                <w:sz w:val="21"/>
                <w:szCs w:val="21"/>
                <w:highlight w:val="none"/>
              </w:rPr>
              <w:t>A</w:t>
            </w:r>
            <w:r>
              <w:rPr>
                <w:rFonts w:hint="default" w:ascii="Times New Roman" w:hAnsi="Times New Roman" w:cs="Times New Roman"/>
                <w:color w:val="auto"/>
                <w:kern w:val="0"/>
                <w:sz w:val="21"/>
                <w:szCs w:val="21"/>
                <w:highlight w:val="none"/>
              </w:rPr>
              <w:t>—倍频带衰减，dB；</w:t>
            </w:r>
          </w:p>
          <w:p>
            <w:pPr>
              <w:pageBreakBefore w:val="0"/>
              <w:kinsoku/>
              <w:wordWrap/>
              <w:overflowPunct/>
              <w:bidi w:val="0"/>
              <w:adjustRightInd w:val="0"/>
              <w:snapToGrid w:val="0"/>
              <w:spacing w:beforeAutospacing="0" w:afterAutospacing="0" w:line="480" w:lineRule="exact"/>
              <w:ind w:left="0" w:leftChars="0" w:right="0" w:rightChars="0" w:firstLine="1039" w:firstLineChars="495"/>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A＝A</w:t>
            </w:r>
            <w:r>
              <w:rPr>
                <w:rFonts w:hint="default" w:ascii="Times New Roman" w:hAnsi="Times New Roman" w:cs="Times New Roman"/>
                <w:color w:val="auto"/>
                <w:kern w:val="0"/>
                <w:sz w:val="21"/>
                <w:szCs w:val="21"/>
                <w:highlight w:val="none"/>
                <w:vertAlign w:val="subscript"/>
              </w:rPr>
              <w:t>div</w:t>
            </w:r>
            <w:r>
              <w:rPr>
                <w:rFonts w:hint="default" w:ascii="Times New Roman" w:hAnsi="Times New Roman" w:cs="Times New Roman"/>
                <w:color w:val="auto"/>
                <w:kern w:val="0"/>
                <w:sz w:val="21"/>
                <w:szCs w:val="21"/>
                <w:highlight w:val="none"/>
              </w:rPr>
              <w:t>+ A</w:t>
            </w:r>
            <w:r>
              <w:rPr>
                <w:rFonts w:hint="default" w:ascii="Times New Roman" w:hAnsi="Times New Roman" w:cs="Times New Roman"/>
                <w:color w:val="auto"/>
                <w:kern w:val="0"/>
                <w:sz w:val="21"/>
                <w:szCs w:val="21"/>
                <w:highlight w:val="none"/>
                <w:vertAlign w:val="subscript"/>
              </w:rPr>
              <w:t>atm</w:t>
            </w:r>
            <w:r>
              <w:rPr>
                <w:rFonts w:hint="default" w:ascii="Times New Roman" w:hAnsi="Times New Roman" w:cs="Times New Roman"/>
                <w:color w:val="auto"/>
                <w:kern w:val="0"/>
                <w:sz w:val="21"/>
                <w:szCs w:val="21"/>
                <w:highlight w:val="none"/>
              </w:rPr>
              <w:t>+ A</w:t>
            </w:r>
            <w:r>
              <w:rPr>
                <w:rFonts w:hint="default" w:ascii="Times New Roman" w:hAnsi="Times New Roman" w:cs="Times New Roman"/>
                <w:color w:val="auto"/>
                <w:kern w:val="0"/>
                <w:sz w:val="21"/>
                <w:szCs w:val="21"/>
                <w:highlight w:val="none"/>
                <w:vertAlign w:val="subscript"/>
              </w:rPr>
              <w:t>gr</w:t>
            </w:r>
            <w:r>
              <w:rPr>
                <w:rFonts w:hint="default" w:ascii="Times New Roman" w:hAnsi="Times New Roman" w:cs="Times New Roman"/>
                <w:color w:val="auto"/>
                <w:kern w:val="0"/>
                <w:sz w:val="21"/>
                <w:szCs w:val="21"/>
                <w:highlight w:val="none"/>
              </w:rPr>
              <w:t>+ A</w:t>
            </w:r>
            <w:r>
              <w:rPr>
                <w:rFonts w:hint="default" w:ascii="Times New Roman" w:hAnsi="Times New Roman" w:cs="Times New Roman"/>
                <w:color w:val="auto"/>
                <w:kern w:val="0"/>
                <w:sz w:val="21"/>
                <w:szCs w:val="21"/>
                <w:highlight w:val="none"/>
                <w:vertAlign w:val="subscript"/>
              </w:rPr>
              <w:t>bar</w:t>
            </w:r>
            <w:r>
              <w:rPr>
                <w:rFonts w:hint="default" w:ascii="Times New Roman" w:hAnsi="Times New Roman" w:cs="Times New Roman"/>
                <w:color w:val="auto"/>
                <w:kern w:val="0"/>
                <w:sz w:val="21"/>
                <w:szCs w:val="21"/>
                <w:highlight w:val="none"/>
              </w:rPr>
              <w:t>+ A</w:t>
            </w:r>
            <w:r>
              <w:rPr>
                <w:rFonts w:hint="default" w:ascii="Times New Roman" w:hAnsi="Times New Roman" w:cs="Times New Roman"/>
                <w:color w:val="auto"/>
                <w:kern w:val="0"/>
                <w:sz w:val="21"/>
                <w:szCs w:val="21"/>
                <w:highlight w:val="none"/>
                <w:vertAlign w:val="subscript"/>
              </w:rPr>
              <w:t>misc</w:t>
            </w:r>
          </w:p>
          <w:p>
            <w:pPr>
              <w:pageBreakBefore w:val="0"/>
              <w:kinsoku/>
              <w:wordWrap/>
              <w:overflowPunct/>
              <w:bidi w:val="0"/>
              <w:adjustRightInd w:val="0"/>
              <w:snapToGrid w:val="0"/>
              <w:spacing w:beforeAutospacing="0" w:afterAutospacing="0" w:line="480" w:lineRule="exact"/>
              <w:ind w:left="0" w:leftChars="0" w:right="0" w:rightChars="0" w:firstLine="1039" w:firstLineChars="495"/>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div</w:t>
            </w:r>
            <w:r>
              <w:rPr>
                <w:rFonts w:hint="default" w:ascii="Times New Roman" w:hAnsi="Times New Roman" w:cs="Times New Roman"/>
                <w:color w:val="auto"/>
                <w:kern w:val="0"/>
                <w:sz w:val="21"/>
                <w:szCs w:val="21"/>
                <w:highlight w:val="none"/>
              </w:rPr>
              <w:t>—几何发散引起的倍频带衰减，dB；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atm</w:t>
            </w:r>
            <w:r>
              <w:rPr>
                <w:rFonts w:hint="default" w:ascii="Times New Roman" w:hAnsi="Times New Roman" w:cs="Times New Roman"/>
                <w:color w:val="auto"/>
                <w:kern w:val="0"/>
                <w:sz w:val="21"/>
                <w:szCs w:val="21"/>
                <w:highlight w:val="none"/>
              </w:rPr>
              <w:t>—大气吸收引起的倍频带衰减，dB；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gr</w:t>
            </w:r>
            <w:r>
              <w:rPr>
                <w:rFonts w:hint="default" w:ascii="Times New Roman" w:hAnsi="Times New Roman" w:cs="Times New Roman"/>
                <w:color w:val="auto"/>
                <w:kern w:val="0"/>
                <w:sz w:val="21"/>
                <w:szCs w:val="21"/>
                <w:highlight w:val="none"/>
              </w:rPr>
              <w:t>—地面效应引起的倍频带衰减，dB；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bar</w:t>
            </w:r>
            <w:r>
              <w:rPr>
                <w:rFonts w:hint="default" w:ascii="Times New Roman" w:hAnsi="Times New Roman" w:cs="Times New Roman"/>
                <w:color w:val="auto"/>
                <w:kern w:val="0"/>
                <w:sz w:val="21"/>
                <w:szCs w:val="21"/>
                <w:highlight w:val="none"/>
              </w:rPr>
              <w:t>—声屏障引起的倍频带衰减，dB；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misc</w:t>
            </w:r>
            <w:r>
              <w:rPr>
                <w:rFonts w:hint="default" w:ascii="Times New Roman" w:hAnsi="Times New Roman" w:cs="Times New Roman"/>
                <w:color w:val="auto"/>
                <w:kern w:val="0"/>
                <w:sz w:val="21"/>
                <w:szCs w:val="21"/>
                <w:highlight w:val="none"/>
              </w:rPr>
              <w:t>—其他多方面效应引起的倍频带衰减，dB。</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A</w:t>
            </w:r>
            <w:r>
              <w:rPr>
                <w:rFonts w:hint="default" w:ascii="Times New Roman" w:hAnsi="Times New Roman" w:cs="Times New Roman"/>
                <w:color w:val="auto"/>
                <w:kern w:val="0"/>
                <w:sz w:val="21"/>
                <w:szCs w:val="21"/>
                <w:highlight w:val="none"/>
                <w:vertAlign w:val="subscript"/>
              </w:rPr>
              <w:t>div</w:t>
            </w:r>
            <w:r>
              <w:rPr>
                <w:rFonts w:hint="default" w:ascii="Times New Roman" w:hAnsi="Times New Roman" w:cs="Times New Roman"/>
                <w:color w:val="auto"/>
                <w:kern w:val="0"/>
                <w:sz w:val="21"/>
                <w:szCs w:val="21"/>
                <w:highlight w:val="none"/>
              </w:rPr>
              <w:t>=20lg(r/r</w:t>
            </w:r>
            <w:r>
              <w:rPr>
                <w:rFonts w:hint="default" w:ascii="Times New Roman" w:hAnsi="Times New Roman" w:cs="Times New Roman"/>
                <w:color w:val="auto"/>
                <w:kern w:val="0"/>
                <w:sz w:val="21"/>
                <w:szCs w:val="21"/>
                <w:highlight w:val="none"/>
                <w:vertAlign w:val="subscript"/>
              </w:rPr>
              <w:t>0</w:t>
            </w:r>
            <w:r>
              <w:rPr>
                <w:rFonts w:hint="default" w:ascii="Times New Roman" w:hAnsi="Times New Roman" w:cs="Times New Roman"/>
                <w:color w:val="auto"/>
                <w:kern w:val="0"/>
                <w:sz w:val="21"/>
                <w:szCs w:val="21"/>
                <w:highlight w:val="none"/>
              </w:rPr>
              <w:t>)</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预测点的A声级，可利用8个倍频带的声压级按下式计算：</w:t>
            </w:r>
          </w:p>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bCs/>
                <w:color w:val="auto"/>
                <w:position w:val="-30"/>
                <w:sz w:val="21"/>
                <w:szCs w:val="21"/>
                <w:highlight w:val="none"/>
              </w:rPr>
              <w:object>
                <v:shape id="_x0000_i1028" o:spt="75" type="#_x0000_t75" style="height:36pt;width:149pt;" o:ole="t" filled="f" o:preferrelative="t" stroked="f" coordsize="21600,21600">
                  <v:path/>
                  <v:fill on="f" focussize="0,0"/>
                  <v:stroke on="f"/>
                  <v:imagedata r:id="rId15" o:title=""/>
                  <o:lock v:ext="edit" grouping="f" rotation="f" text="f" aspectratio="t"/>
                  <w10:wrap type="none"/>
                  <w10:anchorlock/>
                </v:shape>
                <o:OLEObject Type="Embed" ProgID="Equation.3" ShapeID="_x0000_i1028" DrawAspect="Content" ObjectID="_1468075728" r:id="rId14">
                  <o:LockedField>false</o:LockedField>
                </o:OLEObject>
              </w:object>
            </w:r>
          </w:p>
          <w:p>
            <w:pPr>
              <w:pageBreakBefore w:val="0"/>
              <w:kinsoku/>
              <w:wordWrap/>
              <w:overflowPunct/>
              <w:autoSpaceDE w:val="0"/>
              <w:autoSpaceDN w:val="0"/>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式中：</w:t>
            </w:r>
            <w:r>
              <w:rPr>
                <w:rFonts w:hint="default" w:ascii="Times New Roman" w:hAnsi="Times New Roman" w:cs="Times New Roman"/>
                <w:iCs/>
                <w:color w:val="auto"/>
                <w:kern w:val="0"/>
                <w:sz w:val="21"/>
                <w:szCs w:val="21"/>
                <w:highlight w:val="none"/>
              </w:rPr>
              <w:t>L</w:t>
            </w:r>
            <w:r>
              <w:rPr>
                <w:rFonts w:hint="default" w:ascii="Times New Roman" w:hAnsi="Times New Roman" w:cs="Times New Roman"/>
                <w:iCs/>
                <w:color w:val="auto"/>
                <w:kern w:val="0"/>
                <w:sz w:val="21"/>
                <w:szCs w:val="21"/>
                <w:highlight w:val="none"/>
                <w:vertAlign w:val="subscript"/>
              </w:rPr>
              <w:t>Pi</w:t>
            </w:r>
            <w:r>
              <w:rPr>
                <w:rFonts w:hint="default" w:ascii="Times New Roman" w:hAnsi="Times New Roman" w:cs="Times New Roman"/>
                <w:color w:val="auto"/>
                <w:kern w:val="0"/>
                <w:sz w:val="21"/>
                <w:szCs w:val="21"/>
                <w:highlight w:val="none"/>
              </w:rPr>
              <w:t>(</w:t>
            </w:r>
            <w:r>
              <w:rPr>
                <w:rFonts w:hint="default" w:ascii="Times New Roman" w:hAnsi="Times New Roman" w:cs="Times New Roman"/>
                <w:iCs/>
                <w:color w:val="auto"/>
                <w:kern w:val="0"/>
                <w:sz w:val="21"/>
                <w:szCs w:val="21"/>
                <w:highlight w:val="none"/>
              </w:rPr>
              <w:t>r</w:t>
            </w:r>
            <w:r>
              <w:rPr>
                <w:rFonts w:hint="default" w:ascii="Times New Roman" w:hAnsi="Times New Roman" w:cs="Times New Roman"/>
                <w:color w:val="auto"/>
                <w:kern w:val="0"/>
                <w:sz w:val="21"/>
                <w:szCs w:val="21"/>
                <w:highlight w:val="none"/>
              </w:rPr>
              <w:t xml:space="preserve">)—预测点（r）处，第i倍频带声压级，dB； </w:t>
            </w:r>
          </w:p>
          <w:p>
            <w:pPr>
              <w:pageBreakBefore w:val="0"/>
              <w:kinsoku/>
              <w:wordWrap/>
              <w:overflowPunct/>
              <w:bidi w:val="0"/>
              <w:adjustRightInd w:val="0"/>
              <w:snapToGrid w:val="0"/>
              <w:spacing w:beforeAutospacing="0" w:afterAutospacing="0" w:line="480" w:lineRule="exact"/>
              <w:ind w:left="0" w:leftChars="0" w:right="0" w:rightChars="0" w:firstLine="1050" w:firstLineChars="500"/>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Δ</w:t>
            </w:r>
            <w:r>
              <w:rPr>
                <w:rFonts w:hint="default" w:ascii="Times New Roman" w:hAnsi="Times New Roman" w:cs="Times New Roman"/>
                <w:iCs/>
                <w:color w:val="auto"/>
                <w:kern w:val="0"/>
                <w:sz w:val="21"/>
                <w:szCs w:val="21"/>
                <w:highlight w:val="none"/>
              </w:rPr>
              <w:t>Li</w:t>
            </w:r>
            <w:r>
              <w:rPr>
                <w:rFonts w:hint="default" w:ascii="Times New Roman" w:hAnsi="Times New Roman" w:cs="Times New Roman"/>
                <w:color w:val="auto"/>
                <w:kern w:val="0"/>
                <w:sz w:val="21"/>
                <w:szCs w:val="21"/>
                <w:highlight w:val="none"/>
              </w:rPr>
              <w:t>—i倍频带A计权网络修正值，dB。</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（2）室内声源等效室外声源计算</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声源位于室内，室内声源可采用等效室外声源声功率级法进行计算。设靠近开口处（或窗户）室内、室外某倍频带的声压级分别为</w:t>
            </w:r>
            <w:r>
              <w:rPr>
                <w:rFonts w:hint="default" w:ascii="Times New Roman" w:hAnsi="Times New Roman" w:cs="Times New Roman"/>
                <w:iCs/>
                <w:color w:val="auto"/>
                <w:sz w:val="21"/>
                <w:szCs w:val="21"/>
                <w:highlight w:val="none"/>
              </w:rPr>
              <w:t>L</w:t>
            </w:r>
            <w:r>
              <w:rPr>
                <w:rFonts w:hint="default" w:ascii="Times New Roman" w:hAnsi="Times New Roman" w:cs="Times New Roman"/>
                <w:iCs/>
                <w:color w:val="auto"/>
                <w:sz w:val="21"/>
                <w:szCs w:val="21"/>
                <w:highlight w:val="none"/>
                <w:vertAlign w:val="subscript"/>
              </w:rPr>
              <w:t>p</w:t>
            </w:r>
            <w:r>
              <w:rPr>
                <w:rFonts w:hint="default" w:ascii="Times New Roman" w:hAnsi="Times New Roman" w:cs="Times New Roman"/>
                <w:color w:val="auto"/>
                <w:sz w:val="21"/>
                <w:szCs w:val="21"/>
                <w:highlight w:val="none"/>
                <w:vertAlign w:val="subscript"/>
              </w:rPr>
              <w:t>1</w:t>
            </w:r>
            <w:r>
              <w:rPr>
                <w:rFonts w:hint="default" w:ascii="Times New Roman" w:hAnsi="Times New Roman" w:cs="Times New Roman"/>
                <w:color w:val="auto"/>
                <w:sz w:val="21"/>
                <w:szCs w:val="21"/>
                <w:highlight w:val="none"/>
              </w:rPr>
              <w:t>和</w:t>
            </w:r>
            <w:r>
              <w:rPr>
                <w:rFonts w:hint="default" w:ascii="Times New Roman" w:hAnsi="Times New Roman" w:cs="Times New Roman"/>
                <w:iCs/>
                <w:color w:val="auto"/>
                <w:sz w:val="21"/>
                <w:szCs w:val="21"/>
                <w:highlight w:val="none"/>
              </w:rPr>
              <w:t>L</w:t>
            </w:r>
            <w:r>
              <w:rPr>
                <w:rFonts w:hint="default" w:ascii="Times New Roman" w:hAnsi="Times New Roman" w:cs="Times New Roman"/>
                <w:iCs/>
                <w:color w:val="auto"/>
                <w:sz w:val="21"/>
                <w:szCs w:val="21"/>
                <w:highlight w:val="none"/>
                <w:vertAlign w:val="subscript"/>
              </w:rPr>
              <w:t>p</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。若声源所在室内声场为近似扩散声场，则室外的倍频带声压级可按下式近似求出：</w:t>
            </w:r>
          </w:p>
          <w:p>
            <w:pPr>
              <w:pageBreakBefore w:val="0"/>
              <w:kinsoku/>
              <w:wordWrap/>
              <w:overflowPunct/>
              <w:bidi w:val="0"/>
              <w:adjustRightInd w:val="0"/>
              <w:snapToGrid w:val="0"/>
              <w:spacing w:beforeAutospacing="0" w:afterAutospacing="0" w:line="48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P2</w:t>
            </w:r>
            <w:r>
              <w:rPr>
                <w:rFonts w:hint="default" w:ascii="Times New Roman" w:hAnsi="Times New Roman" w:cs="Times New Roman"/>
                <w:color w:val="auto"/>
                <w:sz w:val="21"/>
                <w:szCs w:val="21"/>
                <w:highlight w:val="none"/>
              </w:rPr>
              <w:t>（T）=L</w:t>
            </w:r>
            <w:r>
              <w:rPr>
                <w:rFonts w:hint="default" w:ascii="Times New Roman" w:hAnsi="Times New Roman" w:cs="Times New Roman"/>
                <w:color w:val="auto"/>
                <w:sz w:val="21"/>
                <w:szCs w:val="21"/>
                <w:highlight w:val="none"/>
                <w:vertAlign w:val="subscript"/>
              </w:rPr>
              <w:t>P1</w:t>
            </w:r>
            <w:r>
              <w:rPr>
                <w:rFonts w:hint="default" w:ascii="Times New Roman" w:hAnsi="Times New Roman" w:cs="Times New Roman"/>
                <w:color w:val="auto"/>
                <w:sz w:val="21"/>
                <w:szCs w:val="21"/>
                <w:highlight w:val="none"/>
              </w:rPr>
              <w:t>（T）－(TL+6)</w: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w:t>
            </w:r>
            <w:r>
              <w:rPr>
                <w:rFonts w:hint="default" w:ascii="Times New Roman" w:hAnsi="Times New Roman" w:cs="Times New Roman"/>
                <w:iCs/>
                <w:color w:val="auto"/>
                <w:sz w:val="21"/>
                <w:szCs w:val="21"/>
                <w:highlight w:val="none"/>
              </w:rPr>
              <w:t>TL</w:t>
            </w:r>
            <w:r>
              <w:rPr>
                <w:rFonts w:hint="default" w:ascii="Times New Roman" w:hAnsi="Times New Roman" w:cs="Times New Roman"/>
                <w:color w:val="auto"/>
                <w:sz w:val="21"/>
                <w:szCs w:val="21"/>
                <w:highlight w:val="none"/>
              </w:rPr>
              <w:t>—隔墙（或窗户）倍频带的隔声量，dB。</w:t>
            </w:r>
          </w:p>
          <w:p>
            <w:pPr>
              <w:pageBreakBefore w:val="0"/>
              <w:tabs>
                <w:tab w:val="left" w:pos="1351"/>
              </w:tabs>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position w:val="-28"/>
                <w:sz w:val="21"/>
                <w:szCs w:val="21"/>
                <w:highlight w:val="none"/>
              </w:rPr>
              <w:object>
                <v:shape id="_x0000_i1029" o:spt="75" type="#_x0000_t75" style="height:34pt;width:138pt;" o:ole="t" filled="f" o:preferrelative="t" stroked="f" coordsize="21600,21600">
                  <v:path/>
                  <v:fill on="f" focussize="0,0"/>
                  <v:stroke on="f"/>
                  <v:imagedata r:id="rId17" o:title=""/>
                  <o:lock v:ext="edit" grouping="f" rotation="f" text="f" aspectratio="t"/>
                  <w10:wrap type="none"/>
                  <w10:anchorlock/>
                </v:shape>
                <o:OLEObject Type="Embed" ProgID="Equation.3" ShapeID="_x0000_i1029" DrawAspect="Content" ObjectID="_1468075729" r:id="rId16">
                  <o:LockedField>false</o:LockedField>
                </o:OLEObject>
              </w:object>
            </w:r>
          </w:p>
          <w:p>
            <w:pPr>
              <w:pageBreakBefore w:val="0"/>
              <w:kinsoku/>
              <w:wordWrap/>
              <w:overflowPunct/>
              <w:bidi w:val="0"/>
              <w:adjustRightInd w:val="0"/>
              <w:snapToGrid w:val="0"/>
              <w:spacing w:beforeAutospacing="0" w:afterAutospacing="0" w:line="480" w:lineRule="exact"/>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式中：Q—指向性因数；通常对无指向性声源，当声源放在房间中心时，Q=1；当放在一面墙的中心时，Q=2；当放在两面墙夹角处时，Q=4；当放在三面墙夹角处时，Q=8。</w:t>
            </w:r>
          </w:p>
          <w:p>
            <w:pPr>
              <w:pageBreakBefore w:val="0"/>
              <w:kinsoku/>
              <w:wordWrap/>
              <w:overflowPunct/>
              <w:bidi w:val="0"/>
              <w:adjustRightInd w:val="0"/>
              <w:snapToGrid w:val="0"/>
              <w:spacing w:beforeAutospacing="0" w:afterAutospacing="0" w:line="480" w:lineRule="exact"/>
              <w:ind w:left="0" w:leftChars="0" w:right="0" w:rightChars="0" w:firstLine="1039" w:firstLineChars="49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R—房间常数；R=Sα/(1-α)，S为房间内表面面积，m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；α平均吸声系数。</w:t>
            </w:r>
          </w:p>
          <w:p>
            <w:pPr>
              <w:pageBreakBefore w:val="0"/>
              <w:kinsoku/>
              <w:wordWrap/>
              <w:overflowPunct/>
              <w:bidi w:val="0"/>
              <w:adjustRightInd w:val="0"/>
              <w:snapToGrid w:val="0"/>
              <w:spacing w:beforeAutospacing="0" w:afterAutospacing="0" w:line="480" w:lineRule="exact"/>
              <w:ind w:left="0" w:leftChars="0" w:right="0" w:rightChars="0" w:firstLine="1039" w:firstLineChars="49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r—声源到靠近围护结构某点处的距离，m。</w:t>
            </w:r>
          </w:p>
          <w:p>
            <w:pPr>
              <w:pageBreakBefore w:val="0"/>
              <w:kinsoku/>
              <w:wordWrap/>
              <w:overflowPunct/>
              <w:bidi w:val="0"/>
              <w:adjustRightInd w:val="0"/>
              <w:snapToGrid w:val="0"/>
              <w:spacing w:beforeAutospacing="0" w:afterAutospacing="0" w:line="480" w:lineRule="exact"/>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然后按下式计算出所有室内声源在围护结构处产生的i倍频带叠加声压级：</w:t>
            </w:r>
          </w:p>
          <w:p>
            <w:pPr>
              <w:pageBreakBefore w:val="0"/>
              <w:kinsoku/>
              <w:wordWrap/>
              <w:overflowPunct/>
              <w:bidi w:val="0"/>
              <w:adjustRightInd w:val="0"/>
              <w:snapToGrid w:val="0"/>
              <w:spacing w:beforeAutospacing="0" w:afterAutospacing="0"/>
              <w:ind w:left="0" w:leftChars="0" w:right="0" w:rightChars="0" w:firstLine="420" w:firstLineChars="200"/>
              <w:jc w:val="center"/>
              <w:rPr>
                <w:rFonts w:hint="default" w:ascii="Times New Roman" w:hAnsi="Times New Roman" w:cs="Times New Roman"/>
                <w:color w:val="auto"/>
                <w:kern w:val="13"/>
                <w:sz w:val="21"/>
                <w:szCs w:val="21"/>
                <w:highlight w:val="none"/>
              </w:rPr>
            </w:pPr>
            <w:r>
              <w:rPr>
                <w:rFonts w:hint="default" w:ascii="Times New Roman" w:hAnsi="Times New Roman" w:cs="Times New Roman"/>
                <w:color w:val="auto"/>
                <w:kern w:val="13"/>
                <w:position w:val="-32"/>
                <w:sz w:val="21"/>
                <w:szCs w:val="21"/>
                <w:highlight w:val="none"/>
              </w:rPr>
              <w:object>
                <v:shape id="_x0000_i1030" o:spt="75" type="#_x0000_t75" style="height:38pt;width:136pt;" o:ole="t" filled="f" o:preferrelative="t" stroked="f" coordsize="21600,21600">
                  <v:path/>
                  <v:fill on="f" focussize="0,0"/>
                  <v:stroke on="f"/>
                  <v:imagedata r:id="rId19" o:title=""/>
                  <o:lock v:ext="edit" grouping="f" rotation="f" text="f" aspectratio="t"/>
                  <w10:wrap type="none"/>
                  <w10:anchorlock/>
                </v:shape>
                <o:OLEObject Type="Embed" ProgID="Equation.3" ShapeID="_x0000_i1030" DrawAspect="Content" ObjectID="_1468075730" r:id="rId18">
                  <o:LockedField>false</o:LockedField>
                </o:OLEObject>
              </w:object>
            </w:r>
          </w:p>
          <w:p>
            <w:pPr>
              <w:pageBreakBefore w:val="0"/>
              <w:kinsoku/>
              <w:wordWrap/>
              <w:overflowPunct/>
              <w:bidi w:val="0"/>
              <w:adjustRightInd w:val="0"/>
              <w:snapToGrid w:val="0"/>
              <w:spacing w:beforeAutospacing="0" w:afterAutospacing="0" w:line="480" w:lineRule="exact"/>
              <w:ind w:left="0" w:leftChars="0" w:right="0" w:rightChars="0" w:firstLine="420" w:firstLineChars="2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P1i</w:t>
            </w:r>
            <w:r>
              <w:rPr>
                <w:rFonts w:hint="default" w:ascii="Times New Roman" w:hAnsi="Times New Roman" w:cs="Times New Roman"/>
                <w:color w:val="auto"/>
                <w:sz w:val="21"/>
                <w:szCs w:val="21"/>
                <w:highlight w:val="none"/>
              </w:rPr>
              <w:t>（T）—靠近维护结构处室内N个声源i倍频带的叠加声压级，dB；</w:t>
            </w:r>
          </w:p>
          <w:p>
            <w:pPr>
              <w:pageBreakBefore w:val="0"/>
              <w:kinsoku/>
              <w:wordWrap/>
              <w:overflowPunct/>
              <w:bidi w:val="0"/>
              <w:adjustRightInd w:val="0"/>
              <w:snapToGrid w:val="0"/>
              <w:spacing w:beforeAutospacing="0" w:afterAutospacing="0" w:line="480" w:lineRule="exact"/>
              <w:ind w:left="0" w:leftChars="0" w:right="0" w:rightChars="0" w:firstLine="1155" w:firstLineChars="55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P1i</w:t>
            </w:r>
            <w:r>
              <w:rPr>
                <w:rFonts w:hint="default" w:ascii="Times New Roman" w:hAnsi="Times New Roman" w:cs="Times New Roman"/>
                <w:color w:val="auto"/>
                <w:sz w:val="21"/>
                <w:szCs w:val="21"/>
                <w:highlight w:val="none"/>
              </w:rPr>
              <w:t>j—室内j声源i倍频带的声压级，dB；</w:t>
            </w:r>
          </w:p>
          <w:p>
            <w:pPr>
              <w:pageBreakBefore w:val="0"/>
              <w:kinsoku/>
              <w:wordWrap/>
              <w:overflowPunct/>
              <w:bidi w:val="0"/>
              <w:adjustRightInd w:val="0"/>
              <w:snapToGrid w:val="0"/>
              <w:spacing w:beforeAutospacing="0" w:afterAutospacing="0" w:line="480" w:lineRule="exact"/>
              <w:ind w:left="0" w:leftChars="0" w:right="0" w:rightChars="0" w:firstLine="1155" w:firstLineChars="550"/>
              <w:rPr>
                <w:rFonts w:hint="default" w:ascii="Times New Roman" w:hAnsi="Times New Roman" w:cs="Times New Roman"/>
                <w:color w:val="auto"/>
                <w:kern w:val="13"/>
                <w:sz w:val="21"/>
                <w:szCs w:val="21"/>
                <w:highlight w:val="none"/>
              </w:rPr>
            </w:pPr>
            <w:r>
              <w:rPr>
                <w:rFonts w:hint="default" w:ascii="Times New Roman" w:hAnsi="Times New Roman" w:cs="Times New Roman"/>
                <w:color w:val="auto"/>
                <w:kern w:val="13"/>
                <w:sz w:val="21"/>
                <w:szCs w:val="21"/>
                <w:highlight w:val="none"/>
              </w:rPr>
              <w:t>N—室内声源总数。</w:t>
            </w:r>
          </w:p>
          <w:p>
            <w:pPr>
              <w:pageBreakBefore w:val="0"/>
              <w:kinsoku/>
              <w:wordWrap/>
              <w:overflowPunct/>
              <w:bidi w:val="0"/>
              <w:adjustRightInd w:val="0"/>
              <w:snapToGrid w:val="0"/>
              <w:spacing w:beforeAutospacing="0" w:afterAutospacing="0" w:line="360" w:lineRule="auto"/>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kern w:val="13"/>
                <w:sz w:val="21"/>
                <w:szCs w:val="21"/>
                <w:highlight w:val="none"/>
              </w:rPr>
              <w:t>在室内近似为扩散声场时，按下式计算出靠近室外围护结构处的声压级：</w:t>
            </w:r>
          </w:p>
          <w:p>
            <w:pPr>
              <w:pageBreakBefore w:val="0"/>
              <w:kinsoku/>
              <w:wordWrap/>
              <w:overflowPunct/>
              <w:bidi w:val="0"/>
              <w:adjustRightInd w:val="0"/>
              <w:snapToGrid w:val="0"/>
              <w:spacing w:beforeAutospacing="0" w:afterAutospacing="0" w:line="360" w:lineRule="auto"/>
              <w:ind w:left="0" w:leftChars="0" w:right="0" w:rightChars="0" w:firstLine="2637" w:firstLineChars="125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w:t>
            </w:r>
            <w:r>
              <w:rPr>
                <w:rFonts w:hint="default" w:ascii="Times New Roman" w:hAnsi="Times New Roman" w:cs="Times New Roman"/>
                <w:color w:val="auto"/>
                <w:sz w:val="21"/>
                <w:szCs w:val="21"/>
                <w:highlight w:val="none"/>
                <w:vertAlign w:val="subscript"/>
              </w:rPr>
              <w:t>P2i</w:t>
            </w:r>
            <w:r>
              <w:rPr>
                <w:rFonts w:hint="default" w:ascii="Times New Roman" w:hAnsi="Times New Roman" w:cs="Times New Roman"/>
                <w:color w:val="auto"/>
                <w:sz w:val="21"/>
                <w:szCs w:val="21"/>
                <w:highlight w:val="none"/>
              </w:rPr>
              <w:t>(T)=L</w:t>
            </w:r>
            <w:r>
              <w:rPr>
                <w:rFonts w:hint="default" w:ascii="Times New Roman" w:hAnsi="Times New Roman" w:cs="Times New Roman"/>
                <w:color w:val="auto"/>
                <w:sz w:val="21"/>
                <w:szCs w:val="21"/>
                <w:highlight w:val="none"/>
                <w:vertAlign w:val="subscript"/>
              </w:rPr>
              <w:t>P1i</w:t>
            </w:r>
            <w:r>
              <w:rPr>
                <w:rFonts w:hint="default" w:ascii="Times New Roman" w:hAnsi="Times New Roman" w:cs="Times New Roman"/>
                <w:color w:val="auto"/>
                <w:sz w:val="21"/>
                <w:szCs w:val="21"/>
                <w:highlight w:val="none"/>
              </w:rPr>
              <w:t>(T)－(TL</w:t>
            </w:r>
            <w:r>
              <w:rPr>
                <w:rFonts w:hint="default" w:ascii="Times New Roman" w:hAnsi="Times New Roman" w:cs="Times New Roman"/>
                <w:color w:val="auto"/>
                <w:sz w:val="21"/>
                <w:szCs w:val="21"/>
                <w:highlight w:val="none"/>
                <w:vertAlign w:val="subscript"/>
              </w:rPr>
              <w:t>i</w:t>
            </w:r>
            <w:r>
              <w:rPr>
                <w:rFonts w:hint="default" w:ascii="Times New Roman" w:hAnsi="Times New Roman" w:cs="Times New Roman"/>
                <w:color w:val="auto"/>
                <w:sz w:val="21"/>
                <w:szCs w:val="21"/>
                <w:highlight w:val="none"/>
              </w:rPr>
              <w:t>+6)</w:t>
            </w:r>
          </w:p>
          <w:p>
            <w:pPr>
              <w:pageBreakBefore w:val="0"/>
              <w:kinsoku/>
              <w:wordWrap/>
              <w:overflowPunct/>
              <w:bidi w:val="0"/>
              <w:adjustRightInd w:val="0"/>
              <w:snapToGrid w:val="0"/>
              <w:spacing w:beforeAutospacing="0" w:afterAutospacing="0" w:line="360" w:lineRule="auto"/>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式中：L</w:t>
            </w:r>
            <w:r>
              <w:rPr>
                <w:rFonts w:hint="default" w:ascii="Times New Roman" w:hAnsi="Times New Roman" w:cs="Times New Roman"/>
                <w:color w:val="auto"/>
                <w:sz w:val="21"/>
                <w:szCs w:val="21"/>
                <w:highlight w:val="none"/>
                <w:vertAlign w:val="subscript"/>
              </w:rPr>
              <w:t>P2i</w:t>
            </w:r>
            <w:r>
              <w:rPr>
                <w:rFonts w:hint="default" w:ascii="Times New Roman" w:hAnsi="Times New Roman" w:cs="Times New Roman"/>
                <w:color w:val="auto"/>
                <w:sz w:val="21"/>
                <w:szCs w:val="21"/>
                <w:highlight w:val="none"/>
              </w:rPr>
              <w:t>（T）—靠近维护结构处室外N个声源i倍频带的叠加声压级，dB；</w:t>
            </w:r>
          </w:p>
          <w:p>
            <w:pPr>
              <w:pageBreakBefore w:val="0"/>
              <w:kinsoku/>
              <w:wordWrap/>
              <w:overflowPunct/>
              <w:bidi w:val="0"/>
              <w:adjustRightInd w:val="0"/>
              <w:snapToGrid w:val="0"/>
              <w:spacing w:beforeAutospacing="0" w:afterAutospacing="0" w:line="360" w:lineRule="auto"/>
              <w:ind w:left="0" w:leftChars="0" w:right="0" w:rightChars="0" w:firstLine="1039" w:firstLineChars="495"/>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TL</w:t>
            </w:r>
            <w:r>
              <w:rPr>
                <w:rFonts w:hint="default" w:ascii="Times New Roman" w:hAnsi="Times New Roman" w:cs="Times New Roman"/>
                <w:color w:val="auto"/>
                <w:sz w:val="21"/>
                <w:szCs w:val="21"/>
                <w:highlight w:val="none"/>
                <w:vertAlign w:val="subscript"/>
              </w:rPr>
              <w:t>i</w:t>
            </w:r>
            <w:r>
              <w:rPr>
                <w:rFonts w:hint="default" w:ascii="Times New Roman" w:hAnsi="Times New Roman" w:cs="Times New Roman"/>
                <w:color w:val="auto"/>
                <w:kern w:val="0"/>
                <w:sz w:val="21"/>
                <w:szCs w:val="21"/>
                <w:highlight w:val="none"/>
              </w:rPr>
              <w:t>—维护结构i倍频带的隔声量，dB。</w:t>
            </w:r>
          </w:p>
          <w:p>
            <w:pPr>
              <w:pageBreakBefore w:val="0"/>
              <w:kinsoku/>
              <w:wordWrap/>
              <w:overflowPunct/>
              <w:bidi w:val="0"/>
              <w:adjustRightInd w:val="0"/>
              <w:snapToGrid w:val="0"/>
              <w:spacing w:beforeAutospacing="0" w:afterAutospacing="0" w:line="360" w:lineRule="auto"/>
              <w:ind w:left="0" w:leftChars="0" w:right="0" w:rightChars="0" w:firstLine="411" w:firstLineChars="196"/>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然后按下式将室外声源的声压级和透过面积换算成等效的室外声源，计算出中心位置位于透声面积（S）处的等效声源的倍频带声功率级：</w:t>
            </w:r>
          </w:p>
          <w:p>
            <w:pPr>
              <w:pageBreakBefore w:val="0"/>
              <w:kinsoku/>
              <w:wordWrap/>
              <w:overflowPunct/>
              <w:bidi w:val="0"/>
              <w:adjustRightInd w:val="0"/>
              <w:snapToGrid w:val="0"/>
              <w:spacing w:beforeAutospacing="0" w:afterAutospacing="0" w:line="360" w:lineRule="auto"/>
              <w:ind w:left="0" w:leftChars="0" w:right="0" w:rightChars="0" w:firstLine="411" w:firstLineChars="196"/>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position w:val="-12"/>
                <w:sz w:val="21"/>
                <w:szCs w:val="21"/>
                <w:highlight w:val="none"/>
              </w:rPr>
              <w:object>
                <v:shape id="_x0000_i1031" o:spt="75" type="#_x0000_t75" style="height:18pt;width:103.95pt;" o:ole="t" filled="f" o:preferrelative="t" stroked="f" coordsize="21600,21600">
                  <v:path/>
                  <v:fill on="f" focussize="0,0"/>
                  <v:stroke on="f"/>
                  <v:imagedata r:id="rId21" o:title=""/>
                  <o:lock v:ext="edit" grouping="f" rotation="f" text="f" aspectratio="t"/>
                  <w10:wrap type="none"/>
                  <w10:anchorlock/>
                </v:shape>
                <o:OLEObject Type="Embed" ProgID="Equation.3" ShapeID="_x0000_i1031" DrawAspect="Content" ObjectID="_1468075731" r:id="rId20">
                  <o:LockedField>false</o:LockedField>
                </o:OLEObject>
              </w:object>
            </w:r>
          </w:p>
          <w:p>
            <w:pPr>
              <w:pageBreakBefore w:val="0"/>
              <w:kinsoku/>
              <w:wordWrap/>
              <w:overflowPunct/>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然后按室外声源预测方法计算预测点处的A声级。</w:t>
            </w:r>
          </w:p>
          <w:p>
            <w:pPr>
              <w:pageBreakBefore w:val="0"/>
              <w:kinsoku/>
              <w:wordWrap/>
              <w:overflowPunct/>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（3）噪声贡献值计算</w:t>
            </w:r>
          </w:p>
          <w:p>
            <w:pPr>
              <w:pageBreakBefore w:val="0"/>
              <w:kinsoku/>
              <w:wordWrap/>
              <w:overflowPunct/>
              <w:bidi w:val="0"/>
              <w:adjustRightInd w:val="0"/>
              <w:snapToGrid w:val="0"/>
              <w:spacing w:beforeAutospacing="0" w:afterAutospacing="0" w:line="360" w:lineRule="auto"/>
              <w:ind w:left="0" w:leftChars="0" w:right="0" w:rightChars="0" w:firstLine="404"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4"/>
                <w:sz w:val="21"/>
                <w:szCs w:val="21"/>
                <w:highlight w:val="none"/>
              </w:rPr>
              <w:t>设第</w:t>
            </w:r>
            <w:r>
              <w:rPr>
                <w:rFonts w:hint="default" w:ascii="Times New Roman" w:hAnsi="Times New Roman" w:cs="Times New Roman"/>
                <w:iCs/>
                <w:color w:val="auto"/>
                <w:spacing w:val="-4"/>
                <w:sz w:val="21"/>
                <w:szCs w:val="21"/>
                <w:highlight w:val="none"/>
              </w:rPr>
              <w:t>i</w:t>
            </w:r>
            <w:r>
              <w:rPr>
                <w:rFonts w:hint="default" w:ascii="Times New Roman" w:hAnsi="Times New Roman" w:cs="Times New Roman"/>
                <w:color w:val="auto"/>
                <w:spacing w:val="-4"/>
                <w:sz w:val="21"/>
                <w:szCs w:val="21"/>
                <w:highlight w:val="none"/>
              </w:rPr>
              <w:t>个室外声源在预测点产生的A声级为L</w:t>
            </w:r>
            <w:r>
              <w:rPr>
                <w:rFonts w:hint="default" w:ascii="Times New Roman" w:hAnsi="Times New Roman" w:cs="Times New Roman"/>
                <w:color w:val="auto"/>
                <w:spacing w:val="-4"/>
                <w:sz w:val="21"/>
                <w:szCs w:val="21"/>
                <w:highlight w:val="none"/>
                <w:vertAlign w:val="subscript"/>
              </w:rPr>
              <w:t>Ai</w:t>
            </w:r>
            <w:r>
              <w:rPr>
                <w:rFonts w:hint="default" w:ascii="Times New Roman" w:hAnsi="Times New Roman" w:cs="Times New Roman"/>
                <w:color w:val="auto"/>
                <w:spacing w:val="-4"/>
                <w:sz w:val="21"/>
                <w:szCs w:val="21"/>
                <w:highlight w:val="none"/>
              </w:rPr>
              <w:t>，在</w:t>
            </w:r>
            <w:r>
              <w:rPr>
                <w:rFonts w:hint="default" w:ascii="Times New Roman" w:hAnsi="Times New Roman" w:cs="Times New Roman"/>
                <w:iCs/>
                <w:color w:val="auto"/>
                <w:spacing w:val="-4"/>
                <w:sz w:val="21"/>
                <w:szCs w:val="21"/>
                <w:highlight w:val="none"/>
              </w:rPr>
              <w:t>T</w:t>
            </w:r>
            <w:r>
              <w:rPr>
                <w:rFonts w:hint="default" w:ascii="Times New Roman" w:hAnsi="Times New Roman" w:cs="Times New Roman"/>
                <w:color w:val="auto"/>
                <w:spacing w:val="-4"/>
                <w:sz w:val="21"/>
                <w:szCs w:val="21"/>
                <w:highlight w:val="none"/>
              </w:rPr>
              <w:t>时间内该声源工作时间为t</w:t>
            </w:r>
            <w:r>
              <w:rPr>
                <w:rFonts w:hint="default" w:ascii="Times New Roman" w:hAnsi="Times New Roman" w:cs="Times New Roman"/>
                <w:color w:val="auto"/>
                <w:spacing w:val="-4"/>
                <w:sz w:val="21"/>
                <w:szCs w:val="21"/>
                <w:highlight w:val="none"/>
                <w:vertAlign w:val="subscript"/>
              </w:rPr>
              <w:t>i</w:t>
            </w:r>
            <w:r>
              <w:rPr>
                <w:rFonts w:hint="default" w:ascii="Times New Roman" w:hAnsi="Times New Roman" w:cs="Times New Roman"/>
                <w:color w:val="auto"/>
                <w:spacing w:val="-4"/>
                <w:sz w:val="21"/>
                <w:szCs w:val="21"/>
                <w:highlight w:val="none"/>
              </w:rPr>
              <w:t>；</w:t>
            </w:r>
            <w:r>
              <w:rPr>
                <w:rFonts w:hint="default" w:ascii="Times New Roman" w:hAnsi="Times New Roman" w:cs="Times New Roman"/>
                <w:color w:val="auto"/>
                <w:sz w:val="21"/>
                <w:szCs w:val="21"/>
                <w:highlight w:val="none"/>
              </w:rPr>
              <w:t>第</w:t>
            </w:r>
            <w:r>
              <w:rPr>
                <w:rFonts w:hint="default" w:ascii="Times New Roman" w:hAnsi="Times New Roman" w:cs="Times New Roman"/>
                <w:iCs/>
                <w:color w:val="auto"/>
                <w:sz w:val="21"/>
                <w:szCs w:val="21"/>
                <w:highlight w:val="none"/>
              </w:rPr>
              <w:t>j</w:t>
            </w:r>
            <w:r>
              <w:rPr>
                <w:rFonts w:hint="default" w:ascii="Times New Roman" w:hAnsi="Times New Roman" w:cs="Times New Roman"/>
                <w:color w:val="auto"/>
                <w:sz w:val="21"/>
                <w:szCs w:val="21"/>
                <w:highlight w:val="none"/>
              </w:rPr>
              <w:t>个等效室外声源在预测点产生的A声级为</w:t>
            </w:r>
            <w:r>
              <w:rPr>
                <w:rFonts w:hint="default" w:ascii="Times New Roman" w:hAnsi="Times New Roman" w:cs="Times New Roman"/>
                <w:iCs/>
                <w:color w:val="auto"/>
                <w:sz w:val="21"/>
                <w:szCs w:val="21"/>
                <w:highlight w:val="none"/>
              </w:rPr>
              <w:t>L</w:t>
            </w:r>
            <w:r>
              <w:rPr>
                <w:rFonts w:hint="default" w:ascii="Times New Roman" w:hAnsi="Times New Roman" w:cs="Times New Roman"/>
                <w:iCs/>
                <w:color w:val="auto"/>
                <w:sz w:val="21"/>
                <w:szCs w:val="21"/>
                <w:highlight w:val="none"/>
                <w:vertAlign w:val="subscript"/>
              </w:rPr>
              <w:t>Aj</w:t>
            </w:r>
            <w:r>
              <w:rPr>
                <w:rFonts w:hint="default" w:ascii="Times New Roman" w:hAnsi="Times New Roman" w:cs="Times New Roman"/>
                <w:color w:val="auto"/>
                <w:sz w:val="21"/>
                <w:szCs w:val="21"/>
                <w:highlight w:val="none"/>
              </w:rPr>
              <w:t>，在</w:t>
            </w:r>
            <w:r>
              <w:rPr>
                <w:rFonts w:hint="default" w:ascii="Times New Roman" w:hAnsi="Times New Roman" w:cs="Times New Roman"/>
                <w:iCs/>
                <w:color w:val="auto"/>
                <w:sz w:val="21"/>
                <w:szCs w:val="21"/>
                <w:highlight w:val="none"/>
              </w:rPr>
              <w:t>T</w:t>
            </w:r>
            <w:r>
              <w:rPr>
                <w:rFonts w:hint="default" w:ascii="Times New Roman" w:hAnsi="Times New Roman" w:cs="Times New Roman"/>
                <w:color w:val="auto"/>
                <w:sz w:val="21"/>
                <w:szCs w:val="21"/>
                <w:highlight w:val="none"/>
              </w:rPr>
              <w:t>时间内该声源工作时间为</w:t>
            </w:r>
            <w:r>
              <w:rPr>
                <w:rFonts w:hint="default" w:ascii="Times New Roman" w:hAnsi="Times New Roman" w:cs="Times New Roman"/>
                <w:iCs/>
                <w:color w:val="auto"/>
                <w:sz w:val="21"/>
                <w:szCs w:val="21"/>
                <w:highlight w:val="none"/>
              </w:rPr>
              <w:t>tj</w:t>
            </w:r>
            <w:r>
              <w:rPr>
                <w:rFonts w:hint="default" w:ascii="Times New Roman" w:hAnsi="Times New Roman" w:cs="Times New Roman"/>
                <w:color w:val="auto"/>
                <w:sz w:val="21"/>
                <w:szCs w:val="21"/>
                <w:highlight w:val="none"/>
              </w:rPr>
              <w:t>，则拟建工程声源对预测点产生的贡献值（</w:t>
            </w:r>
            <w:r>
              <w:rPr>
                <w:rFonts w:hint="default" w:ascii="Times New Roman" w:hAnsi="Times New Roman" w:cs="Times New Roman"/>
                <w:iCs/>
                <w:color w:val="auto"/>
                <w:sz w:val="21"/>
                <w:szCs w:val="21"/>
                <w:highlight w:val="none"/>
              </w:rPr>
              <w:t>Leqg</w:t>
            </w:r>
            <w:r>
              <w:rPr>
                <w:rFonts w:hint="default" w:ascii="Times New Roman" w:hAnsi="Times New Roman" w:cs="Times New Roman"/>
                <w:color w:val="auto"/>
                <w:sz w:val="21"/>
                <w:szCs w:val="21"/>
                <w:highlight w:val="none"/>
              </w:rPr>
              <w:t>）为：</w:t>
            </w:r>
          </w:p>
          <w:p>
            <w:pPr>
              <w:pageBreakBefore w:val="0"/>
              <w:kinsoku/>
              <w:wordWrap/>
              <w:overflowPunct/>
              <w:bidi w:val="0"/>
              <w:adjustRightInd w:val="0"/>
              <w:snapToGrid w:val="0"/>
              <w:spacing w:beforeAutospacing="0" w:afterAutospacing="0" w:line="360" w:lineRule="auto"/>
              <w:ind w:left="0" w:leftChars="0" w:right="0" w:rightChars="0" w:firstLine="420" w:firstLineChars="200"/>
              <w:jc w:val="center"/>
              <w:rPr>
                <w:rFonts w:hint="default" w:ascii="Times New Roman" w:hAnsi="Times New Roman" w:cs="Times New Roman"/>
                <w:color w:val="auto"/>
                <w:sz w:val="21"/>
                <w:szCs w:val="21"/>
                <w:highlight w:val="none"/>
                <w:lang w:val="pt-BR"/>
              </w:rPr>
            </w:pPr>
            <w:r>
              <w:rPr>
                <w:rFonts w:hint="default" w:ascii="Times New Roman" w:hAnsi="Times New Roman" w:cs="Times New Roman"/>
                <w:color w:val="auto"/>
                <w:position w:val="-30"/>
                <w:sz w:val="21"/>
                <w:szCs w:val="21"/>
                <w:highlight w:val="none"/>
                <w:lang w:val="pt-BR"/>
              </w:rPr>
              <w:object>
                <v:shape id="_x0000_i1032" o:spt="75" type="#_x0000_t75" style="height:35pt;width:203pt;" o:ole="t" filled="f" o:preferrelative="t" stroked="f" coordsize="21600,21600">
                  <v:path/>
                  <v:fill on="f" focussize="0,0"/>
                  <v:stroke on="f"/>
                  <v:imagedata r:id="rId23" o:title=""/>
                  <o:lock v:ext="edit" grouping="f" rotation="f" text="f" aspectratio="t"/>
                  <w10:wrap type="none"/>
                  <w10:anchorlock/>
                </v:shape>
                <o:OLEObject Type="Embed" ProgID="Equation.3" ShapeID="_x0000_i1032" DrawAspect="Content" ObjectID="_1468075732" r:id="rId22">
                  <o:LockedField>false</o:LockedField>
                </o:OLEObject>
              </w:object>
            </w:r>
          </w:p>
          <w:p>
            <w:pPr>
              <w:pageBreakBefore w:val="0"/>
              <w:kinsoku/>
              <w:wordWrap/>
              <w:overflowPunct/>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pt-BR"/>
              </w:rPr>
              <w:t>式中：</w:t>
            </w:r>
            <w:r>
              <w:rPr>
                <w:rFonts w:hint="default" w:ascii="Times New Roman" w:hAnsi="Times New Roman" w:cs="Times New Roman"/>
                <w:color w:val="auto"/>
                <w:sz w:val="21"/>
                <w:szCs w:val="21"/>
                <w:highlight w:val="none"/>
              </w:rPr>
              <w:t>t</w:t>
            </w:r>
            <w:r>
              <w:rPr>
                <w:rFonts w:hint="default" w:ascii="Times New Roman" w:hAnsi="Times New Roman" w:cs="Times New Roman"/>
                <w:color w:val="auto"/>
                <w:sz w:val="21"/>
                <w:szCs w:val="21"/>
                <w:highlight w:val="none"/>
                <w:vertAlign w:val="subscript"/>
              </w:rPr>
              <w:t>i</w:t>
            </w:r>
            <w:r>
              <w:rPr>
                <w:rFonts w:hint="default" w:ascii="Times New Roman" w:hAnsi="Times New Roman" w:cs="Times New Roman"/>
                <w:color w:val="auto"/>
                <w:sz w:val="21"/>
                <w:szCs w:val="21"/>
                <w:highlight w:val="none"/>
              </w:rPr>
              <w:t>—在T时间内i声源工作时间，S；</w:t>
            </w:r>
          </w:p>
          <w:p>
            <w:pPr>
              <w:pageBreakBefore w:val="0"/>
              <w:kinsoku/>
              <w:wordWrap/>
              <w:overflowPunct/>
              <w:bidi w:val="0"/>
              <w:adjustRightInd w:val="0"/>
              <w:snapToGrid w:val="0"/>
              <w:spacing w:beforeAutospacing="0" w:afterAutospacing="0" w:line="360" w:lineRule="auto"/>
              <w:ind w:left="0" w:leftChars="0" w:right="0" w:rightChars="0" w:firstLine="1050" w:firstLineChars="5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w:t>
            </w:r>
            <w:r>
              <w:rPr>
                <w:rFonts w:hint="default" w:ascii="Times New Roman" w:hAnsi="Times New Roman" w:cs="Times New Roman"/>
                <w:color w:val="auto"/>
                <w:sz w:val="21"/>
                <w:szCs w:val="21"/>
                <w:highlight w:val="none"/>
                <w:vertAlign w:val="subscript"/>
              </w:rPr>
              <w:t>j</w:t>
            </w:r>
            <w:r>
              <w:rPr>
                <w:rFonts w:hint="default" w:ascii="Times New Roman" w:hAnsi="Times New Roman" w:cs="Times New Roman"/>
                <w:color w:val="auto"/>
                <w:sz w:val="21"/>
                <w:szCs w:val="21"/>
                <w:highlight w:val="none"/>
              </w:rPr>
              <w:t>—在T时间内j声源工作时间，S；</w:t>
            </w:r>
          </w:p>
          <w:p>
            <w:pPr>
              <w:pageBreakBefore w:val="0"/>
              <w:kinsoku/>
              <w:wordWrap/>
              <w:overflowPunct/>
              <w:bidi w:val="0"/>
              <w:adjustRightInd w:val="0"/>
              <w:snapToGrid w:val="0"/>
              <w:spacing w:beforeAutospacing="0" w:afterAutospacing="0" w:line="360" w:lineRule="auto"/>
              <w:ind w:left="0" w:leftChars="0" w:right="0" w:rightChars="0" w:firstLine="1039" w:firstLineChars="49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T—用于计算等效声级的时间，S；</w:t>
            </w:r>
          </w:p>
          <w:p>
            <w:pPr>
              <w:pageBreakBefore w:val="0"/>
              <w:kinsoku/>
              <w:wordWrap/>
              <w:overflowPunct/>
              <w:bidi w:val="0"/>
              <w:adjustRightInd w:val="0"/>
              <w:snapToGrid w:val="0"/>
              <w:spacing w:beforeAutospacing="0" w:afterAutospacing="0" w:line="360" w:lineRule="auto"/>
              <w:ind w:left="0" w:leftChars="0" w:right="0" w:rightChars="0" w:firstLine="1039" w:firstLineChars="495"/>
              <w:rPr>
                <w:rFonts w:hint="default" w:ascii="Times New Roman" w:hAnsi="Times New Roman" w:cs="Times New Roman"/>
                <w:color w:val="auto"/>
                <w:kern w:val="13"/>
                <w:sz w:val="21"/>
                <w:szCs w:val="21"/>
                <w:highlight w:val="none"/>
              </w:rPr>
            </w:pPr>
            <w:r>
              <w:rPr>
                <w:rFonts w:hint="default" w:ascii="Times New Roman" w:hAnsi="Times New Roman" w:cs="Times New Roman"/>
                <w:color w:val="auto"/>
                <w:kern w:val="13"/>
                <w:sz w:val="21"/>
                <w:szCs w:val="21"/>
                <w:highlight w:val="none"/>
              </w:rPr>
              <w:t>N—室外声源个数；</w:t>
            </w:r>
          </w:p>
          <w:p>
            <w:pPr>
              <w:pageBreakBefore w:val="0"/>
              <w:kinsoku/>
              <w:wordWrap/>
              <w:overflowPunct/>
              <w:bidi w:val="0"/>
              <w:adjustRightInd w:val="0"/>
              <w:snapToGrid w:val="0"/>
              <w:spacing w:beforeAutospacing="0" w:afterAutospacing="0" w:line="360" w:lineRule="auto"/>
              <w:ind w:left="0" w:leftChars="0" w:right="0" w:rightChars="0" w:firstLine="1039" w:firstLineChars="495"/>
              <w:rPr>
                <w:rFonts w:hint="default" w:ascii="Times New Roman" w:hAnsi="Times New Roman" w:cs="Times New Roman"/>
                <w:color w:val="auto"/>
                <w:sz w:val="21"/>
                <w:szCs w:val="21"/>
                <w:highlight w:val="none"/>
              </w:rPr>
            </w:pPr>
            <w:r>
              <w:rPr>
                <w:rFonts w:hint="default" w:ascii="Times New Roman" w:hAnsi="Times New Roman" w:cs="Times New Roman"/>
                <w:color w:val="auto"/>
                <w:kern w:val="13"/>
                <w:sz w:val="21"/>
                <w:szCs w:val="21"/>
                <w:highlight w:val="none"/>
              </w:rPr>
              <w:t>M—等效室外声源个数。</w:t>
            </w:r>
          </w:p>
          <w:p>
            <w:pPr>
              <w:pageBreakBefore w:val="0"/>
              <w:kinsoku/>
              <w:wordWrap/>
              <w:overflowPunct/>
              <w:bidi w:val="0"/>
              <w:adjustRightInd w:val="0"/>
              <w:snapToGrid w:val="0"/>
              <w:spacing w:beforeAutospacing="0" w:afterAutospacing="0" w:line="360" w:lineRule="auto"/>
              <w:ind w:left="0" w:leftChars="0" w:right="0" w:rightChars="0"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（4）预测值的计算</w:t>
            </w:r>
          </w:p>
          <w:p>
            <w:pPr>
              <w:pageBreakBefore w:val="0"/>
              <w:kinsoku/>
              <w:wordWrap/>
              <w:overflowPunct/>
              <w:bidi w:val="0"/>
              <w:adjustRightInd w:val="0"/>
              <w:snapToGrid w:val="0"/>
              <w:spacing w:beforeAutospacing="0" w:afterAutospacing="0" w:line="360" w:lineRule="auto"/>
              <w:ind w:left="0" w:leftChars="0" w:right="0" w:rightChars="0" w:firstLine="420" w:firstLineChars="200"/>
              <w:jc w:val="center"/>
              <w:rPr>
                <w:rFonts w:hint="default" w:ascii="Times New Roman" w:hAnsi="Times New Roman" w:cs="Times New Roman"/>
                <w:color w:val="auto"/>
                <w:sz w:val="21"/>
                <w:szCs w:val="21"/>
                <w:highlight w:val="none"/>
                <w:lang w:val="pt-BR"/>
              </w:rPr>
            </w:pPr>
            <w:r>
              <w:rPr>
                <w:rFonts w:hint="default" w:ascii="Times New Roman" w:hAnsi="Times New Roman" w:cs="Times New Roman"/>
                <w:color w:val="auto"/>
                <w:position w:val="-14"/>
                <w:sz w:val="21"/>
                <w:szCs w:val="21"/>
                <w:highlight w:val="none"/>
                <w:lang w:val="pt-BR"/>
              </w:rPr>
              <w:object>
                <v:shape id="_x0000_i1033" o:spt="75" type="#_x0000_t75" style="height:21pt;width:136pt;" o:ole="t" filled="f" o:preferrelative="t" stroked="f" coordsize="21600,21600">
                  <v:path/>
                  <v:fill on="f" focussize="0,0"/>
                  <v:stroke on="f"/>
                  <v:imagedata r:id="rId25" o:title=""/>
                  <o:lock v:ext="edit" grouping="f" rotation="f" text="f" aspectratio="t"/>
                  <w10:wrap type="none"/>
                  <w10:anchorlock/>
                </v:shape>
                <o:OLEObject Type="Embed" ProgID="Equation.3" ShapeID="_x0000_i1033" DrawAspect="Content" ObjectID="_1468075733" r:id="rId24">
                  <o:LockedField>false</o:LockedField>
                </o:OLEObject>
              </w:objec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11" w:firstLineChars="196"/>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式中：</w:t>
            </w:r>
            <w:r>
              <w:rPr>
                <w:rFonts w:hint="default" w:ascii="Times New Roman" w:hAnsi="Times New Roman" w:cs="Times New Roman"/>
                <w:iCs/>
                <w:color w:val="auto"/>
                <w:kern w:val="0"/>
                <w:sz w:val="21"/>
                <w:szCs w:val="21"/>
                <w:highlight w:val="none"/>
              </w:rPr>
              <w:t>L</w:t>
            </w:r>
            <w:r>
              <w:rPr>
                <w:rFonts w:hint="default" w:ascii="Times New Roman" w:hAnsi="Times New Roman" w:cs="Times New Roman"/>
                <w:iCs/>
                <w:color w:val="auto"/>
                <w:kern w:val="0"/>
                <w:sz w:val="21"/>
                <w:szCs w:val="21"/>
                <w:highlight w:val="none"/>
                <w:vertAlign w:val="subscript"/>
              </w:rPr>
              <w:t>eqg</w:t>
            </w:r>
            <w:r>
              <w:rPr>
                <w:rFonts w:hint="default" w:ascii="Times New Roman" w:hAnsi="Times New Roman" w:cs="Times New Roman"/>
                <w:color w:val="auto"/>
                <w:kern w:val="0"/>
                <w:sz w:val="21"/>
                <w:szCs w:val="21"/>
                <w:highlight w:val="none"/>
              </w:rPr>
              <w:t xml:space="preserve">—建设项目声源在预测点的等效声级贡献值，dB(A)； </w:t>
            </w:r>
          </w:p>
          <w:p>
            <w:pPr>
              <w:pageBreakBefore w:val="0"/>
              <w:kinsoku/>
              <w:wordWrap/>
              <w:overflowPunct/>
              <w:bidi w:val="0"/>
              <w:adjustRightInd w:val="0"/>
              <w:snapToGrid w:val="0"/>
              <w:spacing w:beforeAutospacing="0" w:afterAutospacing="0" w:line="360" w:lineRule="auto"/>
              <w:ind w:left="0" w:leftChars="0" w:right="0" w:rightChars="0" w:firstLine="1039" w:firstLineChars="495"/>
              <w:rPr>
                <w:rFonts w:hint="default" w:ascii="Times New Roman" w:hAnsi="Times New Roman" w:cs="Times New Roman"/>
                <w:color w:val="auto"/>
                <w:sz w:val="21"/>
                <w:szCs w:val="21"/>
                <w:highlight w:val="none"/>
              </w:rPr>
            </w:pPr>
            <w:r>
              <w:rPr>
                <w:rFonts w:hint="default" w:ascii="Times New Roman" w:hAnsi="Times New Roman" w:cs="Times New Roman"/>
                <w:iCs/>
                <w:color w:val="auto"/>
                <w:kern w:val="0"/>
                <w:sz w:val="21"/>
                <w:szCs w:val="21"/>
                <w:highlight w:val="none"/>
              </w:rPr>
              <w:t>L</w:t>
            </w:r>
            <w:r>
              <w:rPr>
                <w:rFonts w:hint="default" w:ascii="Times New Roman" w:hAnsi="Times New Roman" w:cs="Times New Roman"/>
                <w:iCs/>
                <w:color w:val="auto"/>
                <w:kern w:val="0"/>
                <w:sz w:val="21"/>
                <w:szCs w:val="21"/>
                <w:highlight w:val="none"/>
                <w:vertAlign w:val="subscript"/>
              </w:rPr>
              <w:t>eqb</w:t>
            </w:r>
            <w:r>
              <w:rPr>
                <w:rFonts w:hint="default" w:ascii="Times New Roman" w:hAnsi="Times New Roman" w:cs="Times New Roman"/>
                <w:color w:val="auto"/>
                <w:kern w:val="0"/>
                <w:sz w:val="21"/>
                <w:szCs w:val="21"/>
                <w:highlight w:val="none"/>
              </w:rPr>
              <w:t>—预测点的背景值，dB(A)。</w:t>
            </w:r>
          </w:p>
          <w:p>
            <w:pPr>
              <w:pageBreakBefore w:val="0"/>
              <w:kinsoku/>
              <w:wordWrap/>
              <w:overflowPunct/>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预测结果见</w:t>
            </w:r>
            <w:r>
              <w:rPr>
                <w:rFonts w:hint="default" w:ascii="Times New Roman" w:hAnsi="Times New Roman" w:cs="Times New Roman"/>
                <w:color w:val="auto"/>
                <w:sz w:val="21"/>
                <w:szCs w:val="21"/>
                <w:highlight w:val="none"/>
                <w:lang w:eastAsia="zh-CN"/>
              </w:rPr>
              <w:t>下表</w:t>
            </w:r>
            <w:r>
              <w:rPr>
                <w:rFonts w:hint="default" w:ascii="Times New Roman" w:hAnsi="Times New Roman" w:cs="Times New Roman"/>
                <w:color w:val="auto"/>
                <w:sz w:val="21"/>
                <w:szCs w:val="21"/>
                <w:highlight w:val="none"/>
              </w:rPr>
              <w:t>。</w:t>
            </w:r>
          </w:p>
          <w:p>
            <w:pPr>
              <w:pageBreakBefore w:val="0"/>
              <w:kinsoku/>
              <w:wordWrap/>
              <w:overflowPunct/>
              <w:bidi w:val="0"/>
              <w:adjustRightInd w:val="0"/>
              <w:snapToGrid w:val="0"/>
              <w:spacing w:beforeAutospacing="0" w:afterAutospacing="0" w:line="360" w:lineRule="auto"/>
              <w:ind w:left="0" w:leftChars="0" w:right="0" w:rightChars="0" w:firstLine="422" w:firstLineChars="200"/>
              <w:jc w:val="center"/>
              <w:rPr>
                <w:rFonts w:hint="default" w:ascii="Times New Roman" w:hAnsi="Times New Roman" w:cs="Times New Roman"/>
                <w:color w:val="auto"/>
                <w:sz w:val="21"/>
                <w:szCs w:val="21"/>
                <w:highlight w:val="none"/>
              </w:rPr>
            </w:pPr>
            <w:r>
              <w:rPr>
                <w:rFonts w:hint="default" w:ascii="Times New Roman" w:hAnsi="Times New Roman" w:cs="Times New Roman"/>
                <w:b/>
                <w:color w:val="auto"/>
                <w:sz w:val="21"/>
                <w:szCs w:val="21"/>
                <w:highlight w:val="none"/>
              </w:rPr>
              <w:t>表</w:t>
            </w:r>
            <w:r>
              <w:rPr>
                <w:rFonts w:hint="default" w:ascii="Times New Roman" w:hAnsi="Times New Roman" w:cs="Times New Roman"/>
                <w:b/>
                <w:color w:val="auto"/>
                <w:sz w:val="21"/>
                <w:szCs w:val="21"/>
                <w:highlight w:val="none"/>
                <w:lang w:val="en-US" w:eastAsia="zh-CN"/>
              </w:rPr>
              <w:t xml:space="preserve">4-15    </w:t>
            </w:r>
            <w:r>
              <w:rPr>
                <w:rFonts w:hint="default" w:ascii="Times New Roman" w:hAnsi="Times New Roman" w:cs="Times New Roman"/>
                <w:b/>
                <w:color w:val="auto"/>
                <w:sz w:val="21"/>
                <w:szCs w:val="21"/>
                <w:highlight w:val="none"/>
              </w:rPr>
              <w:t xml:space="preserve">噪声预测结果一览表    </w:t>
            </w:r>
            <w:r>
              <w:rPr>
                <w:rFonts w:hint="default" w:ascii="Times New Roman" w:hAnsi="Times New Roman" w:cs="Times New Roman"/>
                <w:color w:val="auto"/>
                <w:sz w:val="21"/>
                <w:szCs w:val="21"/>
                <w:highlight w:val="none"/>
              </w:rPr>
              <w:t>单位：dB(A)</w:t>
            </w:r>
          </w:p>
          <w:tbl>
            <w:tblPr>
              <w:tblStyle w:val="3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90"/>
              <w:gridCol w:w="841"/>
              <w:gridCol w:w="849"/>
              <w:gridCol w:w="841"/>
              <w:gridCol w:w="851"/>
              <w:gridCol w:w="1692"/>
              <w:gridCol w:w="1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997" w:type="pct"/>
                  <w:vMerge w:val="restar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评价点</w:t>
                  </w:r>
                </w:p>
              </w:tc>
              <w:tc>
                <w:tcPr>
                  <w:tcW w:w="997" w:type="pct"/>
                  <w:gridSpan w:val="2"/>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贡献值</w:t>
                  </w:r>
                </w:p>
              </w:tc>
              <w:tc>
                <w:tcPr>
                  <w:tcW w:w="998" w:type="pct"/>
                  <w:gridSpan w:val="2"/>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标准值</w:t>
                  </w:r>
                </w:p>
              </w:tc>
              <w:tc>
                <w:tcPr>
                  <w:tcW w:w="2006" w:type="pct"/>
                  <w:gridSpan w:val="2"/>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997" w:type="pct"/>
                  <w:vMerge w:val="continue"/>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昼间</w:t>
                  </w:r>
                </w:p>
              </w:tc>
              <w:tc>
                <w:tcPr>
                  <w:tcW w:w="50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夜间</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昼间</w:t>
                  </w:r>
                </w:p>
              </w:tc>
              <w:tc>
                <w:tcPr>
                  <w:tcW w:w="501"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夜间</w:t>
                  </w:r>
                </w:p>
              </w:tc>
              <w:tc>
                <w:tcPr>
                  <w:tcW w:w="99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昼间</w:t>
                  </w:r>
                </w:p>
              </w:tc>
              <w:tc>
                <w:tcPr>
                  <w:tcW w:w="100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夜间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9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东厂界</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44</w:t>
                  </w:r>
                  <w:r>
                    <w:rPr>
                      <w:rFonts w:hint="default" w:ascii="Times New Roman" w:hAnsi="Times New Roman" w:cs="Times New Roman"/>
                      <w:color w:val="auto"/>
                      <w:sz w:val="18"/>
                      <w:szCs w:val="18"/>
                      <w:highlight w:val="none"/>
                    </w:rPr>
                    <w:t>.2</w:t>
                  </w:r>
                </w:p>
              </w:tc>
              <w:tc>
                <w:tcPr>
                  <w:tcW w:w="50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44.2</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w:t>
                  </w:r>
                </w:p>
              </w:tc>
              <w:tc>
                <w:tcPr>
                  <w:tcW w:w="501"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w:t>
                  </w:r>
                </w:p>
              </w:tc>
              <w:tc>
                <w:tcPr>
                  <w:tcW w:w="99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c>
                <w:tcPr>
                  <w:tcW w:w="100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9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南厂界</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w:t>
                  </w:r>
                </w:p>
              </w:tc>
              <w:tc>
                <w:tcPr>
                  <w:tcW w:w="50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w:t>
                  </w:r>
                </w:p>
              </w:tc>
              <w:tc>
                <w:tcPr>
                  <w:tcW w:w="496"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w:t>
                  </w:r>
                </w:p>
              </w:tc>
              <w:tc>
                <w:tcPr>
                  <w:tcW w:w="501"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w:t>
                  </w:r>
                </w:p>
              </w:tc>
              <w:tc>
                <w:tcPr>
                  <w:tcW w:w="99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c>
                <w:tcPr>
                  <w:tcW w:w="100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9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西厂界</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rPr>
                    <w:t>.8</w:t>
                  </w:r>
                </w:p>
              </w:tc>
              <w:tc>
                <w:tcPr>
                  <w:tcW w:w="50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rPr>
                    <w:t>.8</w:t>
                  </w:r>
                </w:p>
              </w:tc>
              <w:tc>
                <w:tcPr>
                  <w:tcW w:w="496"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w:t>
                  </w:r>
                </w:p>
              </w:tc>
              <w:tc>
                <w:tcPr>
                  <w:tcW w:w="501"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w:t>
                  </w:r>
                </w:p>
              </w:tc>
              <w:tc>
                <w:tcPr>
                  <w:tcW w:w="99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c>
                <w:tcPr>
                  <w:tcW w:w="100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997"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北厂界</w:t>
                  </w:r>
                </w:p>
              </w:tc>
              <w:tc>
                <w:tcPr>
                  <w:tcW w:w="496"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41.2</w:t>
                  </w:r>
                </w:p>
              </w:tc>
              <w:tc>
                <w:tcPr>
                  <w:tcW w:w="500"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41.2</w:t>
                  </w:r>
                </w:p>
              </w:tc>
              <w:tc>
                <w:tcPr>
                  <w:tcW w:w="496"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65</w:t>
                  </w:r>
                </w:p>
              </w:tc>
              <w:tc>
                <w:tcPr>
                  <w:tcW w:w="501" w:type="pct"/>
                  <w:tcBorders>
                    <w:tl2br w:val="nil"/>
                    <w:tr2bl w:val="nil"/>
                  </w:tcBorders>
                  <w:noWrap w:val="0"/>
                  <w:vAlign w:val="center"/>
                </w:tcPr>
                <w:p>
                  <w:pPr>
                    <w:pageBreakBefore w:val="0"/>
                    <w:widowControl/>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55</w:t>
                  </w:r>
                </w:p>
              </w:tc>
              <w:tc>
                <w:tcPr>
                  <w:tcW w:w="99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c>
                <w:tcPr>
                  <w:tcW w:w="1008" w:type="pct"/>
                  <w:tcBorders>
                    <w:tl2br w:val="nil"/>
                    <w:tr2bl w:val="nil"/>
                  </w:tcBorders>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达标</w:t>
                  </w:r>
                </w:p>
              </w:tc>
            </w:tr>
          </w:tbl>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本项目建成后，厂界噪声贡献值经为</w:t>
            </w:r>
            <w:r>
              <w:rPr>
                <w:rFonts w:hint="default" w:ascii="Times New Roman" w:hAnsi="Times New Roman" w:cs="Times New Roman"/>
                <w:color w:val="auto"/>
                <w:sz w:val="21"/>
                <w:szCs w:val="21"/>
                <w:highlight w:val="none"/>
                <w:lang w:val="en-US" w:eastAsia="zh-CN"/>
              </w:rPr>
              <w:t>41.2</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47.8</w:t>
            </w:r>
            <w:r>
              <w:rPr>
                <w:rFonts w:hint="default" w:ascii="Times New Roman" w:hAnsi="Times New Roman" w:cs="Times New Roman"/>
                <w:color w:val="auto"/>
                <w:sz w:val="21"/>
                <w:szCs w:val="21"/>
                <w:highlight w:val="none"/>
              </w:rPr>
              <w:t>dB(A)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满足《工业企业厂界环境噪声排放标准》(GB12348—2008)3类标准限值要求。</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4、固废</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结合工程分析，本项目固体废物主要为</w:t>
            </w:r>
            <w:r>
              <w:rPr>
                <w:rFonts w:hint="default" w:ascii="Times New Roman" w:hAnsi="Times New Roman" w:eastAsia="宋体" w:cs="Times New Roman"/>
                <w:color w:val="auto"/>
                <w:sz w:val="21"/>
                <w:szCs w:val="21"/>
                <w:highlight w:val="none"/>
                <w:lang w:val="en-US" w:eastAsia="zh-CN"/>
              </w:rPr>
              <w:t>金属边角料、含油金属屑、废润滑油、废切削液、废油桶、废焊丝、</w:t>
            </w:r>
            <w:r>
              <w:rPr>
                <w:rFonts w:hint="default" w:ascii="Times New Roman" w:hAnsi="Times New Roman" w:eastAsia="宋体" w:cs="Times New Roman"/>
                <w:color w:val="auto"/>
                <w:sz w:val="21"/>
                <w:szCs w:val="21"/>
                <w:highlight w:val="none"/>
                <w:lang w:eastAsia="zh-CN"/>
              </w:rPr>
              <w:t>废钢丸、脉冲布袋除尘器产生的除尘灰，</w:t>
            </w:r>
            <w:r>
              <w:rPr>
                <w:rFonts w:hint="default" w:ascii="Times New Roman" w:hAnsi="Times New Roman" w:eastAsia="宋体" w:cs="Times New Roman"/>
                <w:color w:val="auto"/>
                <w:sz w:val="21"/>
                <w:szCs w:val="21"/>
                <w:highlight w:val="none"/>
              </w:rPr>
              <w:t>喷漆产生的废渣，更换的</w:t>
            </w:r>
            <w:r>
              <w:rPr>
                <w:rFonts w:hint="default" w:ascii="Times New Roman" w:hAnsi="Times New Roman" w:eastAsia="宋体" w:cs="Times New Roman"/>
                <w:color w:val="auto"/>
                <w:sz w:val="21"/>
                <w:szCs w:val="21"/>
                <w:highlight w:val="none"/>
                <w:lang w:val="en-US" w:eastAsia="zh-CN"/>
              </w:rPr>
              <w:t>废过滤棉、废布袋、废活性炭、废催化剂、</w:t>
            </w:r>
            <w:r>
              <w:rPr>
                <w:rFonts w:hint="default" w:ascii="Times New Roman" w:hAnsi="Times New Roman" w:eastAsia="宋体" w:cs="Times New Roman"/>
                <w:color w:val="auto"/>
                <w:sz w:val="21"/>
                <w:szCs w:val="21"/>
                <w:highlight w:val="none"/>
              </w:rPr>
              <w:t>油漆</w:t>
            </w:r>
            <w:r>
              <w:rPr>
                <w:rFonts w:hint="default" w:ascii="Times New Roman" w:hAnsi="Times New Roman" w:eastAsia="宋体" w:cs="Times New Roman"/>
                <w:color w:val="auto"/>
                <w:sz w:val="21"/>
                <w:szCs w:val="21"/>
                <w:highlight w:val="none"/>
                <w:lang w:eastAsia="zh-CN"/>
              </w:rPr>
              <w:t>的废</w:t>
            </w:r>
            <w:r>
              <w:rPr>
                <w:rFonts w:hint="default" w:ascii="Times New Roman" w:hAnsi="Times New Roman" w:eastAsia="宋体" w:cs="Times New Roman"/>
                <w:color w:val="auto"/>
                <w:sz w:val="21"/>
                <w:szCs w:val="21"/>
                <w:highlight w:val="none"/>
              </w:rPr>
              <w:t>包装桶</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以及职工生活垃圾</w:t>
            </w:r>
            <w:r>
              <w:rPr>
                <w:rFonts w:hint="default" w:ascii="Times New Roman" w:hAnsi="Times New Roman" w:eastAsia="宋体" w:cs="Times New Roman"/>
                <w:color w:val="auto"/>
                <w:sz w:val="21"/>
                <w:szCs w:val="21"/>
                <w:highlight w:val="none"/>
              </w:rPr>
              <w:t>。根据《国家危险废物名录》(20</w:t>
            </w:r>
            <w:r>
              <w:rPr>
                <w:rFonts w:hint="eastAsia" w:cs="Times New Roman"/>
                <w:color w:val="auto"/>
                <w:sz w:val="21"/>
                <w:szCs w:val="21"/>
                <w:highlight w:val="none"/>
                <w:lang w:val="en-US" w:eastAsia="zh-CN"/>
              </w:rPr>
              <w:t>21</w:t>
            </w:r>
            <w:r>
              <w:rPr>
                <w:rFonts w:hint="default" w:ascii="Times New Roman" w:hAnsi="Times New Roman" w:eastAsia="宋体" w:cs="Times New Roman"/>
                <w:color w:val="auto"/>
                <w:sz w:val="21"/>
                <w:szCs w:val="21"/>
                <w:highlight w:val="none"/>
              </w:rPr>
              <w:t>年)与《危险废物鉴别标准</w:t>
            </w:r>
            <w:r>
              <w:rPr>
                <w:rFonts w:hint="default" w:ascii="Times New Roman" w:hAnsi="Times New Roman" w:eastAsia="宋体" w:cs="Times New Roman"/>
                <w:color w:val="auto"/>
                <w:sz w:val="21"/>
                <w:szCs w:val="21"/>
                <w:highlight w:val="none"/>
                <w:lang w:val="en-US" w:eastAsia="zh-CN"/>
              </w:rPr>
              <w:t xml:space="preserve"> 通则</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GB50585.7-2019</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，判定</w:t>
            </w:r>
            <w:r>
              <w:rPr>
                <w:rFonts w:hint="default" w:ascii="Times New Roman" w:hAnsi="Times New Roman" w:eastAsia="宋体" w:cs="Times New Roman"/>
                <w:color w:val="auto"/>
                <w:sz w:val="21"/>
                <w:szCs w:val="21"/>
                <w:highlight w:val="none"/>
                <w:lang w:eastAsia="zh-CN"/>
              </w:rPr>
              <w:t>本</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金属边角料、废焊丝、</w:t>
            </w:r>
            <w:r>
              <w:rPr>
                <w:rFonts w:hint="default" w:ascii="Times New Roman" w:hAnsi="Times New Roman" w:eastAsia="宋体" w:cs="Times New Roman"/>
                <w:color w:val="auto"/>
                <w:sz w:val="21"/>
                <w:szCs w:val="21"/>
                <w:highlight w:val="none"/>
                <w:lang w:eastAsia="zh-CN"/>
              </w:rPr>
              <w:t>废钢丸、除尘灰、</w:t>
            </w:r>
            <w:r>
              <w:rPr>
                <w:rFonts w:hint="default" w:ascii="Times New Roman" w:hAnsi="Times New Roman" w:eastAsia="宋体" w:cs="Times New Roman"/>
                <w:color w:val="auto"/>
                <w:sz w:val="21"/>
                <w:szCs w:val="21"/>
                <w:highlight w:val="none"/>
                <w:lang w:val="en-US" w:eastAsia="zh-CN"/>
              </w:rPr>
              <w:t>废布袋</w:t>
            </w:r>
            <w:r>
              <w:rPr>
                <w:rFonts w:hint="default" w:ascii="Times New Roman" w:hAnsi="Times New Roman" w:eastAsia="宋体" w:cs="Times New Roman"/>
                <w:color w:val="auto"/>
                <w:sz w:val="21"/>
                <w:szCs w:val="21"/>
                <w:highlight w:val="none"/>
                <w:lang w:eastAsia="zh-CN"/>
              </w:rPr>
              <w:t>属于一般固体废物，其他均</w:t>
            </w:r>
            <w:r>
              <w:rPr>
                <w:rFonts w:hint="default" w:ascii="Times New Roman" w:hAnsi="Times New Roman" w:eastAsia="宋体" w:cs="Times New Roman"/>
                <w:color w:val="auto"/>
                <w:sz w:val="21"/>
                <w:szCs w:val="21"/>
                <w:highlight w:val="none"/>
              </w:rPr>
              <w:t>属于危险废物。</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1）一般固废：</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金属边角料：机加工过程产生的金属边角料人工袋装收集后，暂存一般固废暂存区，产生量为10</w:t>
            </w:r>
            <w:r>
              <w:rPr>
                <w:rFonts w:hint="eastAsia"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en-US" w:eastAsia="zh-CN"/>
              </w:rPr>
              <w:t>t/a，定期外售；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废焊丝：</w:t>
            </w:r>
            <w:r>
              <w:rPr>
                <w:rFonts w:hint="default" w:ascii="Times New Roman" w:hAnsi="Times New Roman" w:eastAsia="宋体" w:cs="Times New Roman"/>
                <w:color w:val="auto"/>
                <w:w w:val="100"/>
                <w:sz w:val="21"/>
                <w:highlight w:val="none"/>
                <w:lang w:val="en-US" w:eastAsia="zh-CN"/>
              </w:rPr>
              <w:t>焊接产生的废焊丝量为</w:t>
            </w:r>
            <w:r>
              <w:rPr>
                <w:rFonts w:hint="default" w:ascii="Times New Roman" w:hAnsi="Times New Roman" w:cs="Times New Roman"/>
                <w:color w:val="auto"/>
                <w:w w:val="100"/>
                <w:sz w:val="21"/>
                <w:highlight w:val="none"/>
                <w:lang w:val="en-US" w:eastAsia="zh-CN"/>
              </w:rPr>
              <w:t>0.1</w:t>
            </w:r>
            <w:r>
              <w:rPr>
                <w:rFonts w:hint="default" w:ascii="Times New Roman" w:hAnsi="Times New Roman" w:eastAsia="宋体" w:cs="Times New Roman"/>
                <w:color w:val="auto"/>
                <w:w w:val="100"/>
                <w:sz w:val="21"/>
                <w:highlight w:val="none"/>
                <w:lang w:val="en-US" w:eastAsia="zh-CN"/>
              </w:rPr>
              <w:t>t/a，</w:t>
            </w:r>
            <w:r>
              <w:rPr>
                <w:rFonts w:hint="default" w:ascii="Times New Roman" w:hAnsi="Times New Roman" w:eastAsia="宋体" w:cs="Times New Roman"/>
                <w:color w:val="auto"/>
                <w:sz w:val="21"/>
                <w:szCs w:val="21"/>
                <w:highlight w:val="none"/>
                <w:lang w:val="en-US" w:eastAsia="zh-CN"/>
              </w:rPr>
              <w:t>人工袋装收集后，暂存一般固废暂存区，定期外售；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废钢丸：抛丸设备内设有分离器，将破损的钢丸分离，人工袋装收集后，暂存一般固废暂存区，废钢丸的产量为5t/a，定期外售；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除尘灰：本项目脉冲布袋除尘器收集的除尘灰量为10.50t/a，人工袋装收集后，暂存一般固废暂存区，定期外售；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废布袋：脉冲布袋除尘器破损更换下来的废布袋产生量约为0.1t/a，人工袋装收集后，暂存一般固废暂存区，定期外售。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2）生活垃圾：</w:t>
            </w:r>
            <w:r>
              <w:rPr>
                <w:rFonts w:hint="default" w:ascii="Times New Roman" w:hAnsi="Times New Roman" w:eastAsia="宋体" w:cs="Times New Roman"/>
                <w:color w:val="auto"/>
                <w:w w:val="100"/>
                <w:sz w:val="21"/>
                <w:highlight w:val="none"/>
                <w:lang w:val="en-US" w:eastAsia="zh-CN"/>
              </w:rPr>
              <w:t>职工日常生活产生的生活垃圾7.5t/a，统一收集后由环卫部门处理。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3）危废固废的收集</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含油金属屑：机加工</w:t>
            </w:r>
            <w:r>
              <w:rPr>
                <w:rFonts w:hint="default" w:ascii="Times New Roman" w:hAnsi="Times New Roman" w:eastAsia="宋体" w:cs="Times New Roman"/>
                <w:color w:val="auto"/>
                <w:w w:val="100"/>
                <w:sz w:val="21"/>
                <w:highlight w:val="none"/>
                <w:lang w:val="en-US" w:eastAsia="zh-CN"/>
              </w:rPr>
              <w:t>产生的的含油金属屑（0.2t/a）单独收集后</w:t>
            </w:r>
            <w:r>
              <w:rPr>
                <w:rFonts w:hint="default" w:ascii="Times New Roman" w:hAnsi="Times New Roman" w:cs="Times New Roman"/>
                <w:color w:val="auto"/>
                <w:szCs w:val="21"/>
                <w:highlight w:val="none"/>
              </w:rPr>
              <w:t>含油金属屑通过甩油机甩油后，静置无滴漏，金属屑和滤出切削液分别放置不同容器中；暂存危废间，金属屑定期外售铸造厂用于金属冶炼，滤出切削液委托有资质单位定期收集处置</w:t>
            </w:r>
            <w:r>
              <w:rPr>
                <w:rFonts w:hint="default" w:ascii="Times New Roman" w:hAnsi="Times New Roman" w:eastAsia="宋体" w:cs="Times New Roman"/>
                <w:color w:val="auto"/>
                <w:w w:val="100"/>
                <w:sz w:val="21"/>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废润滑油、废切削液、废油桶：设备维护过程中，</w:t>
            </w:r>
            <w:r>
              <w:rPr>
                <w:rFonts w:hint="default" w:ascii="Times New Roman" w:hAnsi="Times New Roman" w:eastAsia="宋体" w:cs="Times New Roman"/>
                <w:color w:val="auto"/>
                <w:w w:val="100"/>
                <w:sz w:val="21"/>
                <w:highlight w:val="none"/>
                <w:lang w:val="en-US" w:eastAsia="zh-CN"/>
              </w:rPr>
              <w:t>废润滑油产生量0.1t/a，废切削液产生量0.1t/a，废油桶产生量0.01t/a，暂存于铁桶中，转移至危险废物暂存间，按GB15562.2的规定设置警示标志，定期交有资质单位处置。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漆渣：喷漆室设置地面格栅，格栅平面下方，漆雾分离模组之前设置有空气导流室。空气导流室总体呈T型，T型空气导流通道的内表面一般采用塑料薄膜覆盖，喷漆过程中产生的漆渣（0.1t/a）粘附在薄膜表面，定期将薄膜以及连同其上粘附固化的油漆一起揭下并盛放于带盖的桶中，转移至危废间暂存。 </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废过滤棉：废漆雾分离模组、过滤装置主要过滤油漆中的颗粒物，属于粘性物质，在漆雾通过分离模组的过程中部分漆雾在惯性力的作用下撞到并粘附于漆雾分离箱上；部分漆雾在离心力的作用流入预分离箱的中。定期将漆雾分离模组及其上粘附的油漆一起更换，产生量为0.2t/a，并盛放于带盖的桶中，转移至危废间暂存。 </w:t>
            </w:r>
          </w:p>
          <w:p>
            <w:pPr>
              <w:pStyle w:val="85"/>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有机废气处理装置定期更换的废活性炭产生量为</w:t>
            </w:r>
            <w:r>
              <w:rPr>
                <w:rFonts w:hint="eastAsia" w:cs="Times New Roman"/>
                <w:color w:val="auto"/>
                <w:kern w:val="2"/>
                <w:sz w:val="21"/>
                <w:szCs w:val="21"/>
                <w:highlight w:val="none"/>
                <w:lang w:val="en-US" w:eastAsia="zh-CN" w:bidi="ar-SA"/>
              </w:rPr>
              <w:t>2</w:t>
            </w:r>
            <w:r>
              <w:rPr>
                <w:rFonts w:hint="default" w:ascii="Times New Roman" w:hAnsi="Times New Roman" w:eastAsia="宋体" w:cs="Times New Roman"/>
                <w:color w:val="auto"/>
                <w:kern w:val="2"/>
                <w:sz w:val="21"/>
                <w:szCs w:val="21"/>
                <w:highlight w:val="none"/>
                <w:lang w:val="en-US" w:eastAsia="zh-CN" w:bidi="ar-SA"/>
              </w:rPr>
              <w:t>t/a，废催化剂产生量为0.005t/a，暂存于铁桶中，转移至危险废物暂存间，按GB15562.2的规定设置警示标志，定期交有资质单位处置。</w:t>
            </w:r>
          </w:p>
          <w:p>
            <w:pPr>
              <w:pStyle w:val="85"/>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油漆废包装桶：项目产生的油漆、稀释剂、固化剂的废包装桶集中收集，为了节省储存空间，将空桶压瘪暂存于危废暂存间，产生量为</w:t>
            </w:r>
            <w:r>
              <w:rPr>
                <w:rFonts w:hint="eastAsia" w:ascii="Times New Roman" w:hAnsi="Times New Roman" w:cs="Times New Roman"/>
                <w:color w:val="auto"/>
                <w:kern w:val="2"/>
                <w:sz w:val="21"/>
                <w:szCs w:val="21"/>
                <w:highlight w:val="none"/>
                <w:lang w:val="en-US" w:eastAsia="zh-CN" w:bidi="ar-SA"/>
              </w:rPr>
              <w:t>0.61</w:t>
            </w:r>
            <w:r>
              <w:rPr>
                <w:rFonts w:hint="default" w:ascii="Times New Roman" w:hAnsi="Times New Roman" w:eastAsia="宋体" w:cs="Times New Roman"/>
                <w:color w:val="auto"/>
                <w:kern w:val="2"/>
                <w:sz w:val="21"/>
                <w:szCs w:val="21"/>
                <w:highlight w:val="none"/>
                <w:lang w:val="en-US" w:eastAsia="zh-CN" w:bidi="ar-SA"/>
              </w:rPr>
              <w:t>t/a，按GB15562.2的规定设置警示标志，定期交有资质单位处置。</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项目危险废物情况见下表。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en-US" w:eastAsia="zh-CN"/>
              </w:rPr>
              <w:t>16</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危险废物产生、治理和排放情况一览表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645"/>
              <w:gridCol w:w="717"/>
              <w:gridCol w:w="1011"/>
              <w:gridCol w:w="605"/>
              <w:gridCol w:w="643"/>
              <w:gridCol w:w="426"/>
              <w:gridCol w:w="715"/>
              <w:gridCol w:w="436"/>
              <w:gridCol w:w="447"/>
              <w:gridCol w:w="570"/>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危险废物名称</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危险废物类别</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危险废物代码</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产生量（吨/年）</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产生工序及装置</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形态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主要</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成分</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有害</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成分</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产废周期</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特性</w:t>
                  </w:r>
                </w:p>
              </w:tc>
              <w:tc>
                <w:tcPr>
                  <w:tcW w:w="10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rPr>
                    <w:t>1</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含油金属屑</w:t>
                  </w:r>
                </w:p>
              </w:tc>
              <w:tc>
                <w:tcPr>
                  <w:tcW w:w="422"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zh-CN" w:eastAsia="zh-CN" w:bidi="ar-SA"/>
                    </w:rPr>
                  </w:pPr>
                  <w:r>
                    <w:rPr>
                      <w:rFonts w:hint="default" w:ascii="Times New Roman" w:hAnsi="Times New Roman" w:eastAsia="宋体" w:cs="Times New Roman"/>
                      <w:color w:val="auto"/>
                      <w:sz w:val="18"/>
                      <w:szCs w:val="18"/>
                      <w:highlight w:val="none"/>
                      <w:lang w:val="zh-CN" w:eastAsia="zh-CN"/>
                    </w:rPr>
                    <w:t>HW08</w:t>
                  </w:r>
                </w:p>
              </w:tc>
              <w:tc>
                <w:tcPr>
                  <w:tcW w:w="596"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zh-CN" w:eastAsia="zh-CN" w:bidi="ar-SA"/>
                    </w:rPr>
                  </w:pPr>
                  <w:r>
                    <w:rPr>
                      <w:rFonts w:hint="default" w:ascii="Times New Roman" w:hAnsi="Times New Roman" w:eastAsia="宋体" w:cs="Times New Roman"/>
                      <w:color w:val="auto"/>
                      <w:sz w:val="18"/>
                      <w:szCs w:val="18"/>
                      <w:highlight w:val="none"/>
                      <w:lang w:val="zh-CN" w:eastAsia="zh-CN"/>
                    </w:rPr>
                    <w:t>900-249-08</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0.2</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val="en-US" w:eastAsia="zh-CN"/>
                    </w:rPr>
                    <w:t>切割设备</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val="en-US" w:eastAsia="zh-CN"/>
                    </w:rPr>
                    <w:t>固态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废矿物油</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废矿物油</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 w:val="0"/>
                      <w:bCs/>
                      <w:color w:val="auto"/>
                      <w:kern w:val="0"/>
                      <w:sz w:val="18"/>
                      <w:szCs w:val="18"/>
                      <w:lang w:val="en-US" w:eastAsia="zh-CN" w:bidi="ar-SA"/>
                    </w:rPr>
                  </w:pPr>
                  <w:r>
                    <w:rPr>
                      <w:rFonts w:hint="default" w:ascii="Times New Roman" w:hAnsi="Times New Roman" w:eastAsia="宋体" w:cs="Times New Roman"/>
                      <w:bCs/>
                      <w:color w:val="auto"/>
                      <w:kern w:val="24"/>
                      <w:sz w:val="18"/>
                      <w:szCs w:val="18"/>
                      <w:highlight w:val="none"/>
                    </w:rPr>
                    <w:t>T，I</w:t>
                  </w:r>
                </w:p>
              </w:tc>
              <w:tc>
                <w:tcPr>
                  <w:tcW w:w="10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eastAsia="zh-CN"/>
                    </w:rPr>
                    <w:t>含油金属屑通过甩油机甩油后，静置无滴漏，金属屑和滤出切削液分别放置不同容器中；暂存危废间，金属屑定期外售铸造厂用于金属冶</w:t>
                  </w:r>
                  <w:r>
                    <w:rPr>
                      <w:rFonts w:hint="eastAsia" w:cs="Times New Roman"/>
                      <w:snapToGrid w:val="0"/>
                      <w:color w:val="auto"/>
                      <w:spacing w:val="10"/>
                      <w:kern w:val="28"/>
                      <w:sz w:val="18"/>
                      <w:szCs w:val="18"/>
                      <w:highlight w:val="none"/>
                      <w:lang w:val="en-US" w:eastAsia="zh-CN"/>
                    </w:rPr>
                    <w:t>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2</w:t>
                  </w:r>
                </w:p>
              </w:tc>
              <w:tc>
                <w:tcPr>
                  <w:tcW w:w="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snapToGrid w:val="0"/>
                      <w:color w:val="auto"/>
                      <w:spacing w:val="10"/>
                      <w:kern w:val="28"/>
                      <w:sz w:val="18"/>
                      <w:szCs w:val="18"/>
                      <w:highlight w:val="none"/>
                    </w:rPr>
                    <w:t>废</w:t>
                  </w:r>
                  <w:r>
                    <w:rPr>
                      <w:rFonts w:hint="default" w:ascii="Times New Roman" w:hAnsi="Times New Roman" w:eastAsia="宋体" w:cs="Times New Roman"/>
                      <w:snapToGrid w:val="0"/>
                      <w:color w:val="auto"/>
                      <w:spacing w:val="10"/>
                      <w:kern w:val="28"/>
                      <w:sz w:val="18"/>
                      <w:szCs w:val="18"/>
                      <w:highlight w:val="none"/>
                      <w:lang w:val="en-US" w:eastAsia="zh-CN"/>
                    </w:rPr>
                    <w:t>润滑油</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rPr>
                    <w:t>HW08</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rPr>
                  </w:pPr>
                  <w:r>
                    <w:rPr>
                      <w:rFonts w:hint="default" w:ascii="Times New Roman" w:hAnsi="Times New Roman" w:eastAsia="宋体" w:cs="Times New Roman"/>
                      <w:color w:val="auto"/>
                      <w:sz w:val="18"/>
                      <w:szCs w:val="18"/>
                      <w:highlight w:val="none"/>
                    </w:rPr>
                    <w:t>900-214-08</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snapToGrid w:val="0"/>
                      <w:color w:val="auto"/>
                      <w:spacing w:val="10"/>
                      <w:kern w:val="28"/>
                      <w:sz w:val="18"/>
                      <w:szCs w:val="18"/>
                      <w:highlight w:val="none"/>
                    </w:rPr>
                    <w:t>设备</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润滑</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snapToGrid w:val="0"/>
                      <w:color w:val="auto"/>
                      <w:spacing w:val="10"/>
                      <w:kern w:val="28"/>
                      <w:sz w:val="18"/>
                      <w:szCs w:val="18"/>
                      <w:highlight w:val="none"/>
                    </w:rPr>
                    <w:t>液态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rPr>
                    <w:t>废矿</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rPr>
                    <w:t>物油</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rPr>
                    <w:t>废矿物油</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snapToGrid w:val="0"/>
                      <w:color w:val="auto"/>
                      <w:spacing w:val="10"/>
                      <w:kern w:val="28"/>
                      <w:sz w:val="18"/>
                      <w:szCs w:val="18"/>
                      <w:highlight w:val="none"/>
                      <w:lang w:val="en-US" w:eastAsia="zh-CN"/>
                    </w:rPr>
                    <w:t>1年</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color w:val="auto"/>
                      <w:kern w:val="24"/>
                      <w:sz w:val="18"/>
                      <w:szCs w:val="18"/>
                      <w:highlight w:val="none"/>
                    </w:rPr>
                    <w:t>T，I</w:t>
                  </w:r>
                </w:p>
              </w:tc>
              <w:tc>
                <w:tcPr>
                  <w:tcW w:w="109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rPr>
                    <w:t>暂存于铁桶中，设置危险废物暂存间，按GB15562.2的规定设置警示标志，交有资质单位处置。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3</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废切削液</w:t>
                  </w:r>
                </w:p>
              </w:tc>
              <w:tc>
                <w:tcPr>
                  <w:tcW w:w="422"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eastAsia="zh-CN"/>
                    </w:rPr>
                    <w:t>HW09</w:t>
                  </w:r>
                </w:p>
              </w:tc>
              <w:tc>
                <w:tcPr>
                  <w:tcW w:w="596"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eastAsia="zh-CN"/>
                    </w:rPr>
                    <w:t>900-006-09</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val="en-US" w:eastAsia="zh-CN"/>
                    </w:rPr>
                    <w:t>切割设备</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val="en-US" w:eastAsia="zh-CN"/>
                    </w:rPr>
                    <w:t>液态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bCs/>
                      <w:color w:val="auto"/>
                      <w:sz w:val="18"/>
                      <w:szCs w:val="18"/>
                      <w:highlight w:val="none"/>
                    </w:rPr>
                    <w:t>废矿物油</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bCs/>
                      <w:color w:val="auto"/>
                      <w:sz w:val="18"/>
                      <w:szCs w:val="18"/>
                      <w:highlight w:val="none"/>
                    </w:rPr>
                    <w:t>废矿物油</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4"/>
                      <w:sz w:val="18"/>
                      <w:szCs w:val="18"/>
                      <w:highlight w:val="none"/>
                      <w:lang w:val="en-US" w:eastAsia="zh-CN" w:bidi="ar-SA"/>
                    </w:rPr>
                  </w:pPr>
                  <w:r>
                    <w:rPr>
                      <w:rFonts w:hint="default" w:ascii="Times New Roman" w:hAnsi="Times New Roman" w:eastAsia="宋体" w:cs="Times New Roman"/>
                      <w:bCs/>
                      <w:color w:val="auto"/>
                      <w:kern w:val="24"/>
                      <w:sz w:val="18"/>
                      <w:szCs w:val="18"/>
                      <w:highlight w:val="none"/>
                    </w:rPr>
                    <w:t>T，I</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4</w:t>
                  </w:r>
                </w:p>
              </w:tc>
              <w:tc>
                <w:tcPr>
                  <w:tcW w:w="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r>
                    <w:rPr>
                      <w:rFonts w:hint="default" w:ascii="Times New Roman" w:hAnsi="Times New Roman" w:eastAsia="宋体" w:cs="Times New Roman"/>
                      <w:snapToGrid w:val="0"/>
                      <w:color w:val="auto"/>
                      <w:spacing w:val="10"/>
                      <w:kern w:val="28"/>
                      <w:sz w:val="18"/>
                      <w:szCs w:val="18"/>
                      <w:highlight w:val="none"/>
                      <w:lang w:eastAsia="zh-CN"/>
                    </w:rPr>
                    <w:t>废油桶</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HW08</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900-249-08</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0.01</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eastAsia="zh-CN"/>
                    </w:rPr>
                  </w:pPr>
                  <w:r>
                    <w:rPr>
                      <w:rFonts w:hint="default" w:ascii="Times New Roman" w:hAnsi="Times New Roman" w:eastAsia="宋体" w:cs="Times New Roman"/>
                      <w:bCs/>
                      <w:snapToGrid w:val="0"/>
                      <w:color w:val="auto"/>
                      <w:spacing w:val="10"/>
                      <w:kern w:val="28"/>
                      <w:sz w:val="18"/>
                      <w:szCs w:val="18"/>
                      <w:highlight w:val="none"/>
                      <w:lang w:eastAsia="zh-CN"/>
                    </w:rPr>
                    <w:t>固态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r>
                    <w:rPr>
                      <w:rFonts w:hint="default" w:ascii="Times New Roman" w:hAnsi="Times New Roman" w:eastAsia="宋体" w:cs="Times New Roman"/>
                      <w:snapToGrid w:val="0"/>
                      <w:color w:val="auto"/>
                      <w:spacing w:val="10"/>
                      <w:kern w:val="28"/>
                      <w:sz w:val="18"/>
                      <w:szCs w:val="18"/>
                      <w:highlight w:val="none"/>
                      <w:lang w:eastAsia="zh-CN"/>
                    </w:rPr>
                    <w:t>铁</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rPr>
                  </w:pPr>
                  <w:r>
                    <w:rPr>
                      <w:rFonts w:hint="default" w:ascii="Times New Roman" w:hAnsi="Times New Roman" w:eastAsia="宋体" w:cs="Times New Roman"/>
                      <w:snapToGrid w:val="0"/>
                      <w:color w:val="auto"/>
                      <w:spacing w:val="10"/>
                      <w:kern w:val="28"/>
                      <w:sz w:val="18"/>
                      <w:szCs w:val="18"/>
                      <w:highlight w:val="none"/>
                      <w:lang w:eastAsia="zh-CN"/>
                    </w:rPr>
                    <w:t>废矿物油</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1年</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color w:val="auto"/>
                      <w:kern w:val="24"/>
                      <w:sz w:val="18"/>
                      <w:szCs w:val="18"/>
                      <w:highlight w:val="none"/>
                    </w:rPr>
                    <w:t>T，I</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5</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废活性炭</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HW49</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900-039-49</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eastAsia" w:cs="Times New Roman"/>
                      <w:snapToGrid w:val="0"/>
                      <w:color w:val="auto"/>
                      <w:spacing w:val="10"/>
                      <w:kern w:val="28"/>
                      <w:sz w:val="18"/>
                      <w:szCs w:val="18"/>
                      <w:highlight w:val="none"/>
                      <w:lang w:val="en-US" w:eastAsia="zh-CN"/>
                    </w:rPr>
                    <w:t>2</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废气治理</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eastAsia="zh-CN"/>
                    </w:rPr>
                    <w:t>固态</w:t>
                  </w:r>
                </w:p>
              </w:tc>
              <w:tc>
                <w:tcPr>
                  <w:tcW w:w="42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color w:val="auto"/>
                      <w:sz w:val="18"/>
                      <w:szCs w:val="18"/>
                      <w:highlight w:val="none"/>
                    </w:rPr>
                    <w:t>沾染毒性、感染性危险废物</w:t>
                  </w:r>
                </w:p>
              </w:tc>
              <w:tc>
                <w:tcPr>
                  <w:tcW w:w="25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r>
                    <w:rPr>
                      <w:rFonts w:hint="default" w:ascii="Times New Roman" w:hAnsi="Times New Roman" w:eastAsia="宋体" w:cs="Times New Roman"/>
                      <w:color w:val="auto"/>
                      <w:kern w:val="0"/>
                      <w:sz w:val="18"/>
                      <w:szCs w:val="18"/>
                      <w:highlight w:val="none"/>
                    </w:rPr>
                    <w:t>非甲烷总烃</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4"/>
                      <w:sz w:val="18"/>
                      <w:szCs w:val="18"/>
                      <w:highlight w:val="none"/>
                    </w:rPr>
                    <w:t>T</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lang w:val="en-US" w:eastAsia="zh-CN"/>
                    </w:rPr>
                    <w:t>6</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废催化剂</w:t>
                  </w:r>
                </w:p>
              </w:tc>
              <w:tc>
                <w:tcPr>
                  <w:tcW w:w="422"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HW50</w:t>
                  </w:r>
                </w:p>
              </w:tc>
              <w:tc>
                <w:tcPr>
                  <w:tcW w:w="596"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772-007-50</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0.005</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废气治理</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lang w:eastAsia="zh-CN"/>
                    </w:rPr>
                    <w:t>固态</w:t>
                  </w:r>
                </w:p>
              </w:tc>
              <w:tc>
                <w:tcPr>
                  <w:tcW w:w="4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p>
              </w:tc>
              <w:tc>
                <w:tcPr>
                  <w:tcW w:w="25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4"/>
                      <w:sz w:val="18"/>
                      <w:szCs w:val="18"/>
                      <w:highlight w:val="none"/>
                    </w:rPr>
                    <w:t>T</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7</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废过滤棉</w:t>
                  </w:r>
                </w:p>
              </w:tc>
              <w:tc>
                <w:tcPr>
                  <w:tcW w:w="422"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rPr>
                    <w:t>HW</w:t>
                  </w:r>
                  <w:r>
                    <w:rPr>
                      <w:rFonts w:hint="default" w:ascii="Times New Roman" w:hAnsi="Times New Roman" w:eastAsia="宋体" w:cs="Times New Roman"/>
                      <w:color w:val="auto"/>
                      <w:sz w:val="18"/>
                      <w:szCs w:val="18"/>
                      <w:highlight w:val="none"/>
                      <w:lang w:val="en-US" w:eastAsia="zh-CN"/>
                    </w:rPr>
                    <w:t>49</w:t>
                  </w:r>
                </w:p>
              </w:tc>
              <w:tc>
                <w:tcPr>
                  <w:tcW w:w="596"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rPr>
                    <w:t>900-</w:t>
                  </w:r>
                  <w:r>
                    <w:rPr>
                      <w:rFonts w:hint="default" w:ascii="Times New Roman" w:hAnsi="Times New Roman" w:eastAsia="宋体" w:cs="Times New Roman"/>
                      <w:color w:val="auto"/>
                      <w:sz w:val="18"/>
                      <w:szCs w:val="18"/>
                      <w:highlight w:val="none"/>
                      <w:lang w:val="en-US" w:eastAsia="zh-CN"/>
                    </w:rPr>
                    <w:t>041</w:t>
                  </w:r>
                  <w:r>
                    <w:rPr>
                      <w:rFonts w:hint="default" w:ascii="Times New Roman" w:hAnsi="Times New Roman" w:eastAsia="宋体" w:cs="Times New Roman"/>
                      <w:color w:val="auto"/>
                      <w:sz w:val="18"/>
                      <w:szCs w:val="18"/>
                      <w:highlight w:val="none"/>
                      <w:lang w:val="zh-CN"/>
                    </w:rPr>
                    <w:t>-</w:t>
                  </w:r>
                  <w:r>
                    <w:rPr>
                      <w:rFonts w:hint="default" w:ascii="Times New Roman" w:hAnsi="Times New Roman" w:eastAsia="宋体" w:cs="Times New Roman"/>
                      <w:color w:val="auto"/>
                      <w:sz w:val="18"/>
                      <w:szCs w:val="18"/>
                      <w:highlight w:val="none"/>
                      <w:lang w:val="en-US" w:eastAsia="zh-CN"/>
                    </w:rPr>
                    <w:t>49</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0.2</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val="en-US" w:eastAsia="zh-CN"/>
                    </w:rPr>
                  </w:pPr>
                  <w:r>
                    <w:rPr>
                      <w:rFonts w:hint="default" w:ascii="Times New Roman" w:hAnsi="Times New Roman" w:eastAsia="宋体" w:cs="Times New Roman"/>
                      <w:bCs/>
                      <w:snapToGrid w:val="0"/>
                      <w:color w:val="auto"/>
                      <w:spacing w:val="10"/>
                      <w:kern w:val="28"/>
                      <w:sz w:val="18"/>
                      <w:szCs w:val="18"/>
                      <w:highlight w:val="none"/>
                      <w:lang w:val="en-US" w:eastAsia="zh-CN"/>
                    </w:rPr>
                    <w:t>废气治理</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snapToGrid w:val="0"/>
                      <w:color w:val="auto"/>
                      <w:spacing w:val="10"/>
                      <w:kern w:val="28"/>
                      <w:sz w:val="18"/>
                      <w:szCs w:val="18"/>
                      <w:highlight w:val="none"/>
                      <w:lang w:eastAsia="zh-CN"/>
                    </w:rPr>
                  </w:pPr>
                  <w:r>
                    <w:rPr>
                      <w:rFonts w:hint="default" w:ascii="Times New Roman" w:hAnsi="Times New Roman" w:eastAsia="宋体" w:cs="Times New Roman"/>
                      <w:bCs/>
                      <w:snapToGrid w:val="0"/>
                      <w:color w:val="auto"/>
                      <w:spacing w:val="10"/>
                      <w:kern w:val="28"/>
                      <w:sz w:val="18"/>
                      <w:szCs w:val="18"/>
                      <w:highlight w:val="none"/>
                      <w:lang w:eastAsia="zh-CN"/>
                    </w:rPr>
                    <w:t>固态</w:t>
                  </w:r>
                </w:p>
              </w:tc>
              <w:tc>
                <w:tcPr>
                  <w:tcW w:w="42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p>
              </w:tc>
              <w:tc>
                <w:tcPr>
                  <w:tcW w:w="25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kern w:val="24"/>
                      <w:sz w:val="18"/>
                      <w:szCs w:val="18"/>
                      <w:highlight w:val="none"/>
                    </w:rPr>
                    <w:t>T</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8</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漆渣</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zh-CN" w:eastAsia="zh-CN" w:bidi="ar-SA"/>
                    </w:rPr>
                  </w:pPr>
                  <w:r>
                    <w:rPr>
                      <w:rFonts w:hint="default" w:ascii="Times New Roman" w:hAnsi="Times New Roman" w:eastAsia="宋体" w:cs="Times New Roman"/>
                      <w:color w:val="auto"/>
                      <w:sz w:val="18"/>
                      <w:szCs w:val="18"/>
                    </w:rPr>
                    <w:t>HW12燃料、涂料废物</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color w:val="auto"/>
                      <w:kern w:val="2"/>
                      <w:sz w:val="18"/>
                      <w:szCs w:val="18"/>
                      <w:lang w:val="zh-CN" w:eastAsia="zh-CN" w:bidi="ar-SA"/>
                    </w:rPr>
                  </w:pPr>
                  <w:r>
                    <w:rPr>
                      <w:rFonts w:hint="default" w:ascii="Times New Roman" w:hAnsi="Times New Roman" w:eastAsia="宋体" w:cs="Times New Roman"/>
                      <w:color w:val="auto"/>
                      <w:sz w:val="18"/>
                      <w:szCs w:val="18"/>
                    </w:rPr>
                    <w:t>900-252-12</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喷漆</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固态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树脂</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color w:val="auto"/>
                      <w:kern w:val="0"/>
                      <w:sz w:val="18"/>
                      <w:szCs w:val="18"/>
                      <w:highlight w:val="none"/>
                    </w:rPr>
                    <w:t>非甲烷总烃</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4"/>
                      <w:sz w:val="18"/>
                      <w:szCs w:val="18"/>
                      <w:highlight w:val="none"/>
                    </w:rPr>
                  </w:pPr>
                  <w:r>
                    <w:rPr>
                      <w:rFonts w:hint="default" w:ascii="Times New Roman" w:hAnsi="Times New Roman" w:eastAsia="宋体" w:cs="Times New Roman"/>
                      <w:color w:val="auto"/>
                      <w:sz w:val="18"/>
                      <w:szCs w:val="18"/>
                    </w:rPr>
                    <w:t>T/I</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9</w:t>
                  </w:r>
                </w:p>
              </w:tc>
              <w:tc>
                <w:tcPr>
                  <w:tcW w:w="380"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油漆废包装桶</w:t>
                  </w:r>
                </w:p>
              </w:tc>
              <w:tc>
                <w:tcPr>
                  <w:tcW w:w="4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zh-CN" w:eastAsia="zh-CN" w:bidi="ar-SA"/>
                    </w:rPr>
                  </w:pPr>
                  <w:r>
                    <w:rPr>
                      <w:rFonts w:hint="default" w:ascii="Times New Roman" w:hAnsi="Times New Roman" w:eastAsia="宋体" w:cs="Times New Roman"/>
                      <w:color w:val="auto"/>
                      <w:sz w:val="18"/>
                      <w:szCs w:val="18"/>
                    </w:rPr>
                    <w:t>HW49其他废物</w:t>
                  </w:r>
                </w:p>
              </w:tc>
              <w:tc>
                <w:tcPr>
                  <w:tcW w:w="5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zh-CN" w:eastAsia="zh-CN" w:bidi="ar-SA"/>
                    </w:rPr>
                  </w:pPr>
                  <w:r>
                    <w:rPr>
                      <w:rFonts w:hint="default" w:ascii="Times New Roman" w:hAnsi="Times New Roman" w:eastAsia="宋体" w:cs="Times New Roman"/>
                      <w:color w:val="auto"/>
                      <w:sz w:val="18"/>
                      <w:szCs w:val="18"/>
                    </w:rPr>
                    <w:t>900-041-049</w:t>
                  </w:r>
                </w:p>
              </w:tc>
              <w:tc>
                <w:tcPr>
                  <w:tcW w:w="3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eastAsia" w:ascii="Times New Roman" w:hAnsi="Times New Roman" w:cs="Times New Roman"/>
                      <w:snapToGrid w:val="0"/>
                      <w:color w:val="auto"/>
                      <w:spacing w:val="10"/>
                      <w:kern w:val="28"/>
                      <w:sz w:val="18"/>
                      <w:szCs w:val="18"/>
                      <w:highlight w:val="none"/>
                      <w:lang w:val="en-US" w:eastAsia="zh-CN"/>
                    </w:rPr>
                    <w:t>0.61</w:t>
                  </w:r>
                </w:p>
              </w:tc>
              <w:tc>
                <w:tcPr>
                  <w:tcW w:w="3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喷漆</w:t>
                  </w:r>
                </w:p>
              </w:tc>
              <w:tc>
                <w:tcPr>
                  <w:tcW w:w="251"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固态</w:t>
                  </w:r>
                </w:p>
              </w:tc>
              <w:tc>
                <w:tcPr>
                  <w:tcW w:w="421" w:type="pct"/>
                  <w:tcBorders>
                    <w:tl2br w:val="nil"/>
                    <w:tr2bl w:val="nil"/>
                  </w:tcBorders>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树脂、有机溶剂</w:t>
                  </w:r>
                </w:p>
              </w:tc>
              <w:tc>
                <w:tcPr>
                  <w:tcW w:w="2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eastAsia="宋体" w:cs="Times New Roman"/>
                      <w:color w:val="auto"/>
                      <w:kern w:val="0"/>
                      <w:sz w:val="18"/>
                      <w:szCs w:val="18"/>
                      <w:highlight w:val="none"/>
                    </w:rPr>
                    <w:t>非甲烷总烃</w:t>
                  </w:r>
                </w:p>
              </w:tc>
              <w:tc>
                <w:tcPr>
                  <w:tcW w:w="26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color w:val="auto"/>
                      <w:sz w:val="18"/>
                      <w:szCs w:val="18"/>
                      <w:highlight w:val="none"/>
                    </w:rPr>
                    <w:t>1年</w:t>
                  </w:r>
                </w:p>
              </w:tc>
              <w:tc>
                <w:tcPr>
                  <w:tcW w:w="336" w:type="pct"/>
                  <w:tcBorders>
                    <w:tl2br w:val="nil"/>
                    <w:tr2bl w:val="nil"/>
                  </w:tcBorders>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24"/>
                      <w:sz w:val="18"/>
                      <w:szCs w:val="18"/>
                      <w:highlight w:val="none"/>
                    </w:rPr>
                  </w:pPr>
                  <w:r>
                    <w:rPr>
                      <w:rFonts w:hint="default" w:ascii="Times New Roman" w:hAnsi="Times New Roman" w:eastAsia="宋体" w:cs="Times New Roman"/>
                      <w:color w:val="auto"/>
                      <w:sz w:val="18"/>
                      <w:szCs w:val="18"/>
                    </w:rPr>
                    <w:t>T/In</w:t>
                  </w:r>
                </w:p>
              </w:tc>
              <w:tc>
                <w:tcPr>
                  <w:tcW w:w="10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eastAsia="zh-CN"/>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rightChars="0" w:firstLine="482"/>
              <w:jc w:val="center"/>
              <w:textAlignment w:val="auto"/>
              <w:outlineLvl w:val="9"/>
              <w:rPr>
                <w:rFonts w:hint="default" w:ascii="Times New Roman" w:hAnsi="Times New Roman" w:eastAsia="宋体" w:cs="Times New Roman"/>
                <w:b/>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rightChars="0" w:firstLine="482"/>
              <w:jc w:val="center"/>
              <w:textAlignment w:val="auto"/>
              <w:outlineLvl w:val="9"/>
              <w:rPr>
                <w:rFonts w:hint="default" w:ascii="Times New Roman" w:hAnsi="Times New Roman" w:eastAsia="宋体" w:cs="Times New Roman"/>
                <w:b/>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left="0" w:leftChars="0" w:right="0" w:rightChars="0" w:firstLine="482"/>
              <w:jc w:val="center"/>
              <w:textAlignment w:val="auto"/>
              <w:outlineLvl w:val="9"/>
              <w:rPr>
                <w:rFonts w:hint="default" w:ascii="Times New Roman" w:hAnsi="Times New Roman" w:eastAsia="宋体" w:cs="Times New Roman"/>
                <w:b/>
                <w:color w:val="auto"/>
                <w:sz w:val="21"/>
                <w:szCs w:val="21"/>
                <w:highlight w:val="none"/>
              </w:rPr>
            </w:pPr>
            <w:bookmarkStart w:id="72" w:name="_GoBack"/>
            <w:bookmarkEnd w:id="72"/>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en-US" w:eastAsia="zh-CN"/>
              </w:rPr>
              <w:t>17</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 xml:space="preserve">   建设项目危险废物贮存场所（设施）基本情况表</w:t>
            </w:r>
          </w:p>
          <w:tbl>
            <w:tblPr>
              <w:tblStyle w:val="35"/>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637"/>
              <w:gridCol w:w="720"/>
              <w:gridCol w:w="725"/>
              <w:gridCol w:w="1358"/>
              <w:gridCol w:w="529"/>
              <w:gridCol w:w="583"/>
              <w:gridCol w:w="661"/>
              <w:gridCol w:w="783"/>
              <w:gridCol w:w="534"/>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序号</w:t>
                  </w:r>
                </w:p>
              </w:tc>
              <w:tc>
                <w:tcPr>
                  <w:tcW w:w="37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贮存场所名称</w:t>
                  </w:r>
                </w:p>
              </w:tc>
              <w:tc>
                <w:tcPr>
                  <w:tcW w:w="42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危险废物名称</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危险废物类别</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危险废物代码</w:t>
                  </w:r>
                </w:p>
              </w:tc>
              <w:tc>
                <w:tcPr>
                  <w:tcW w:w="31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位置</w:t>
                  </w:r>
                </w:p>
              </w:tc>
              <w:tc>
                <w:tcPr>
                  <w:tcW w:w="34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占地面积</w:t>
                  </w:r>
                  <w:r>
                    <w:rPr>
                      <w:rFonts w:hint="default" w:ascii="Times New Roman" w:hAnsi="Times New Roman" w:eastAsia="宋体" w:cs="Times New Roman"/>
                      <w:b w:val="0"/>
                      <w:bCs/>
                      <w:snapToGrid w:val="0"/>
                      <w:color w:val="auto"/>
                      <w:spacing w:val="10"/>
                      <w:kern w:val="28"/>
                      <w:sz w:val="18"/>
                      <w:szCs w:val="18"/>
                      <w:highlight w:val="none"/>
                    </w:rPr>
                    <w:t>m</w:t>
                  </w:r>
                  <w:r>
                    <w:rPr>
                      <w:rFonts w:hint="default" w:ascii="Times New Roman" w:hAnsi="Times New Roman" w:eastAsia="宋体" w:cs="Times New Roman"/>
                      <w:b w:val="0"/>
                      <w:bCs/>
                      <w:snapToGrid w:val="0"/>
                      <w:color w:val="auto"/>
                      <w:spacing w:val="10"/>
                      <w:kern w:val="28"/>
                      <w:sz w:val="18"/>
                      <w:szCs w:val="18"/>
                      <w:highlight w:val="none"/>
                      <w:vertAlign w:val="superscript"/>
                    </w:rPr>
                    <w:t>2</w:t>
                  </w:r>
                </w:p>
              </w:tc>
              <w:tc>
                <w:tcPr>
                  <w:tcW w:w="3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贮存方式</w:t>
                  </w: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贮存</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能力</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贮存</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周期</w:t>
                  </w:r>
                </w:p>
              </w:tc>
              <w:tc>
                <w:tcPr>
                  <w:tcW w:w="91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 w:val="0"/>
                      <w:bCs/>
                      <w:color w:val="auto"/>
                      <w:sz w:val="18"/>
                      <w:szCs w:val="18"/>
                      <w:highlight w:val="none"/>
                    </w:rPr>
                  </w:pPr>
                  <w:r>
                    <w:rPr>
                      <w:rFonts w:hint="default" w:ascii="Times New Roman" w:hAnsi="Times New Roman" w:eastAsia="宋体" w:cs="Times New Roman"/>
                      <w:b w:val="0"/>
                      <w:bCs/>
                      <w:color w:val="auto"/>
                      <w:sz w:val="18"/>
                      <w:szCs w:val="18"/>
                      <w:highlight w:val="none"/>
                    </w:rPr>
                    <w:t>防渗要求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1</w:t>
                  </w:r>
                </w:p>
              </w:tc>
              <w:tc>
                <w:tcPr>
                  <w:tcW w:w="376"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color w:val="auto"/>
                      <w:sz w:val="18"/>
                      <w:szCs w:val="18"/>
                      <w:highlight w:val="none"/>
                    </w:rPr>
                    <w:t>危废间</w:t>
                  </w: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含油金属屑</w:t>
                  </w:r>
                </w:p>
              </w:tc>
              <w:tc>
                <w:tcPr>
                  <w:tcW w:w="428"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zh-CN" w:eastAsia="zh-CN" w:bidi="ar-SA"/>
                    </w:rPr>
                  </w:pPr>
                  <w:r>
                    <w:rPr>
                      <w:rFonts w:hint="default" w:ascii="Times New Roman" w:hAnsi="Times New Roman" w:eastAsia="宋体" w:cs="Times New Roman"/>
                      <w:color w:val="auto"/>
                      <w:sz w:val="18"/>
                      <w:szCs w:val="18"/>
                      <w:highlight w:val="none"/>
                      <w:lang w:val="zh-CN" w:eastAsia="zh-CN"/>
                    </w:rPr>
                    <w:t>HW08</w:t>
                  </w:r>
                </w:p>
              </w:tc>
              <w:tc>
                <w:tcPr>
                  <w:tcW w:w="801"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eastAsia="zh-CN"/>
                    </w:rPr>
                    <w:t>900-249-08</w:t>
                  </w:r>
                </w:p>
              </w:tc>
              <w:tc>
                <w:tcPr>
                  <w:tcW w:w="312"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cs="Times New Roman"/>
                      <w:snapToGrid w:val="0"/>
                      <w:color w:val="auto"/>
                      <w:spacing w:val="10"/>
                      <w:kern w:val="28"/>
                      <w:sz w:val="18"/>
                      <w:szCs w:val="18"/>
                      <w:highlight w:val="none"/>
                      <w:lang w:val="en-US" w:eastAsia="zh-CN"/>
                    </w:rPr>
                    <w:t>生产车间内部</w:t>
                  </w:r>
                </w:p>
              </w:tc>
              <w:tc>
                <w:tcPr>
                  <w:tcW w:w="344"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r>
                    <w:rPr>
                      <w:rFonts w:hint="default" w:ascii="Times New Roman" w:hAnsi="Times New Roman" w:cs="Times New Roman"/>
                      <w:snapToGrid w:val="0"/>
                      <w:color w:val="auto"/>
                      <w:spacing w:val="10"/>
                      <w:kern w:val="28"/>
                      <w:sz w:val="18"/>
                      <w:szCs w:val="18"/>
                      <w:highlight w:val="none"/>
                      <w:lang w:val="en-US" w:eastAsia="zh-CN"/>
                    </w:rPr>
                    <w:t>20</w:t>
                  </w:r>
                </w:p>
              </w:tc>
              <w:tc>
                <w:tcPr>
                  <w:tcW w:w="39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snapToGrid w:val="0"/>
                      <w:color w:val="auto"/>
                      <w:spacing w:val="10"/>
                      <w:kern w:val="28"/>
                      <w:sz w:val="18"/>
                      <w:szCs w:val="18"/>
                      <w:highlight w:val="none"/>
                    </w:rPr>
                    <w:t>隔离围挡单独暂存于桶中</w:t>
                  </w: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0.2</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color w:val="auto"/>
                      <w:sz w:val="18"/>
                      <w:szCs w:val="18"/>
                      <w:highlight w:val="none"/>
                    </w:rPr>
                    <w:t>地面采取2mm厚高密度聚乙烯防渗，渗透系数≤1.0×10</w:t>
                  </w:r>
                  <w:r>
                    <w:rPr>
                      <w:rFonts w:hint="default" w:ascii="Times New Roman" w:hAnsi="Times New Roman" w:eastAsia="宋体" w:cs="Times New Roman"/>
                      <w:color w:val="auto"/>
                      <w:sz w:val="18"/>
                      <w:szCs w:val="18"/>
                      <w:highlight w:val="none"/>
                      <w:vertAlign w:val="superscript"/>
                    </w:rPr>
                    <w:t>-10</w:t>
                  </w:r>
                  <w:r>
                    <w:rPr>
                      <w:rFonts w:hint="default" w:ascii="Times New Roman" w:hAnsi="Times New Roman" w:eastAsia="宋体" w:cs="Times New Roman"/>
                      <w:color w:val="auto"/>
                      <w:sz w:val="18"/>
                      <w:szCs w:val="18"/>
                      <w:highlight w:val="none"/>
                    </w:rPr>
                    <w:t>cm/s（或采取其他具有同等防渗效力的防渗材料）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2</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rPr>
                    <w:t>废</w:t>
                  </w:r>
                  <w:r>
                    <w:rPr>
                      <w:rFonts w:hint="default" w:ascii="Times New Roman" w:hAnsi="Times New Roman" w:eastAsia="宋体" w:cs="Times New Roman"/>
                      <w:snapToGrid w:val="0"/>
                      <w:color w:val="auto"/>
                      <w:spacing w:val="10"/>
                      <w:kern w:val="28"/>
                      <w:sz w:val="18"/>
                      <w:szCs w:val="18"/>
                      <w:highlight w:val="none"/>
                      <w:lang w:val="en-US" w:eastAsia="zh-CN"/>
                    </w:rPr>
                    <w:t>润滑油</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rPr>
                    <w:t>HW08</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color w:val="auto"/>
                      <w:sz w:val="18"/>
                      <w:szCs w:val="18"/>
                      <w:highlight w:val="none"/>
                    </w:rPr>
                    <w:t>900-214-08</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eastAsia="zh-CN"/>
                    </w:rPr>
                  </w:pPr>
                  <w:r>
                    <w:rPr>
                      <w:rFonts w:hint="default" w:ascii="Times New Roman" w:hAnsi="Times New Roman" w:eastAsia="宋体" w:cs="Times New Roman"/>
                      <w:bCs/>
                      <w:color w:val="auto"/>
                      <w:sz w:val="18"/>
                      <w:szCs w:val="18"/>
                      <w:highlight w:val="none"/>
                      <w:lang w:val="en-US" w:eastAsia="zh-CN"/>
                    </w:rPr>
                    <w:t>3</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废切削液</w:t>
                  </w:r>
                </w:p>
              </w:tc>
              <w:tc>
                <w:tcPr>
                  <w:tcW w:w="428"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eastAsia="zh-CN"/>
                    </w:rPr>
                    <w:t>HW09</w:t>
                  </w:r>
                </w:p>
              </w:tc>
              <w:tc>
                <w:tcPr>
                  <w:tcW w:w="801"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eastAsia="zh-CN"/>
                    </w:rPr>
                    <w:t>900-006-09</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4</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eastAsia="zh-CN"/>
                    </w:rPr>
                    <w:t>废油桶</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HW08</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900-249-08</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rPr>
                    <w:t>隔离围挡单独</w:t>
                  </w:r>
                  <w:r>
                    <w:rPr>
                      <w:rFonts w:hint="default" w:ascii="Times New Roman" w:hAnsi="Times New Roman" w:eastAsia="宋体" w:cs="Times New Roman"/>
                      <w:snapToGrid w:val="0"/>
                      <w:color w:val="auto"/>
                      <w:spacing w:val="10"/>
                      <w:kern w:val="28"/>
                      <w:sz w:val="18"/>
                      <w:szCs w:val="18"/>
                      <w:highlight w:val="none"/>
                      <w:lang w:val="en-US" w:eastAsia="zh-CN"/>
                    </w:rPr>
                    <w:t>储存</w:t>
                  </w: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0.01</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5</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废活性炭</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 xml:space="preserve">HW49 </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900-039-49</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rPr>
                    <w:t>隔离围挡单独暂存于桶中</w:t>
                  </w: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eastAsia" w:cs="Times New Roman"/>
                      <w:snapToGrid w:val="0"/>
                      <w:color w:val="auto"/>
                      <w:spacing w:val="10"/>
                      <w:kern w:val="28"/>
                      <w:sz w:val="18"/>
                      <w:szCs w:val="18"/>
                      <w:highlight w:val="none"/>
                      <w:lang w:val="en-US" w:eastAsia="zh-CN"/>
                    </w:rPr>
                    <w:t>2</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6</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废催化剂</w:t>
                  </w:r>
                </w:p>
              </w:tc>
              <w:tc>
                <w:tcPr>
                  <w:tcW w:w="428"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HW50</w:t>
                  </w:r>
                </w:p>
              </w:tc>
              <w:tc>
                <w:tcPr>
                  <w:tcW w:w="801"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772-007-50</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0.005</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7</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废过滤棉</w:t>
                  </w:r>
                </w:p>
              </w:tc>
              <w:tc>
                <w:tcPr>
                  <w:tcW w:w="428"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rPr>
                    <w:t>HW</w:t>
                  </w:r>
                  <w:r>
                    <w:rPr>
                      <w:rFonts w:hint="default" w:ascii="Times New Roman" w:hAnsi="Times New Roman" w:eastAsia="宋体" w:cs="Times New Roman"/>
                      <w:color w:val="auto"/>
                      <w:sz w:val="18"/>
                      <w:szCs w:val="18"/>
                      <w:highlight w:val="none"/>
                      <w:lang w:val="en-US" w:eastAsia="zh-CN"/>
                    </w:rPr>
                    <w:t>49</w:t>
                  </w:r>
                </w:p>
              </w:tc>
              <w:tc>
                <w:tcPr>
                  <w:tcW w:w="801" w:type="pct"/>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ind w:left="0" w:leftChars="0" w:right="0" w:right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zh-CN"/>
                    </w:rPr>
                    <w:t>900-</w:t>
                  </w:r>
                  <w:r>
                    <w:rPr>
                      <w:rFonts w:hint="default" w:ascii="Times New Roman" w:hAnsi="Times New Roman" w:eastAsia="宋体" w:cs="Times New Roman"/>
                      <w:color w:val="auto"/>
                      <w:sz w:val="18"/>
                      <w:szCs w:val="18"/>
                      <w:highlight w:val="none"/>
                      <w:lang w:val="en-US" w:eastAsia="zh-CN"/>
                    </w:rPr>
                    <w:t>041</w:t>
                  </w:r>
                  <w:r>
                    <w:rPr>
                      <w:rFonts w:hint="default" w:ascii="Times New Roman" w:hAnsi="Times New Roman" w:eastAsia="宋体" w:cs="Times New Roman"/>
                      <w:color w:val="auto"/>
                      <w:sz w:val="18"/>
                      <w:szCs w:val="18"/>
                      <w:highlight w:val="none"/>
                      <w:lang w:val="zh-CN"/>
                    </w:rPr>
                    <w:t>-</w:t>
                  </w:r>
                  <w:r>
                    <w:rPr>
                      <w:rFonts w:hint="default" w:ascii="Times New Roman" w:hAnsi="Times New Roman" w:eastAsia="宋体" w:cs="Times New Roman"/>
                      <w:color w:val="auto"/>
                      <w:sz w:val="18"/>
                      <w:szCs w:val="18"/>
                      <w:highlight w:val="none"/>
                      <w:lang w:val="en-US" w:eastAsia="zh-CN"/>
                    </w:rPr>
                    <w:t>49</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zh-CN"/>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0.2</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kern w:val="2"/>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8</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漆渣</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HW12燃料、涂料废物</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900-252-12</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zh-CN"/>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0.1</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9</w:t>
                  </w:r>
                </w:p>
              </w:tc>
              <w:tc>
                <w:tcPr>
                  <w:tcW w:w="376"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color w:val="auto"/>
                      <w:sz w:val="18"/>
                      <w:szCs w:val="18"/>
                      <w:highlight w:val="none"/>
                    </w:rPr>
                  </w:pPr>
                </w:p>
              </w:tc>
              <w:tc>
                <w:tcPr>
                  <w:tcW w:w="425" w:type="pct"/>
                  <w:noWrap w:val="0"/>
                  <w:vAlign w:val="center"/>
                </w:tcPr>
                <w:p>
                  <w:pPr>
                    <w:keepNext w:val="0"/>
                    <w:keepLines w:val="0"/>
                    <w:pageBreakBefore w:val="0"/>
                    <w:widowControl w:val="0"/>
                    <w:tabs>
                      <w:tab w:val="left" w:pos="1725"/>
                    </w:tabs>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油漆废包装桶</w:t>
                  </w:r>
                </w:p>
              </w:tc>
              <w:tc>
                <w:tcPr>
                  <w:tcW w:w="42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HW49其他废物</w:t>
                  </w:r>
                </w:p>
              </w:tc>
              <w:tc>
                <w:tcPr>
                  <w:tcW w:w="80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900-041-049</w:t>
                  </w:r>
                </w:p>
              </w:tc>
              <w:tc>
                <w:tcPr>
                  <w:tcW w:w="3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4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spacing w:val="10"/>
                      <w:kern w:val="28"/>
                      <w:sz w:val="18"/>
                      <w:szCs w:val="18"/>
                      <w:highlight w:val="none"/>
                      <w:lang w:val="en-US" w:eastAsia="zh-CN"/>
                    </w:rPr>
                  </w:pPr>
                </w:p>
              </w:tc>
              <w:tc>
                <w:tcPr>
                  <w:tcW w:w="39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snapToGrid w:val="0"/>
                      <w:color w:val="auto"/>
                      <w:spacing w:val="10"/>
                      <w:kern w:val="28"/>
                      <w:sz w:val="18"/>
                      <w:szCs w:val="18"/>
                      <w:highlight w:val="none"/>
                    </w:rPr>
                    <w:t>隔离围挡单独</w:t>
                  </w:r>
                  <w:r>
                    <w:rPr>
                      <w:rFonts w:hint="default" w:ascii="Times New Roman" w:hAnsi="Times New Roman" w:eastAsia="宋体" w:cs="Times New Roman"/>
                      <w:snapToGrid w:val="0"/>
                      <w:color w:val="auto"/>
                      <w:spacing w:val="10"/>
                      <w:kern w:val="28"/>
                      <w:sz w:val="18"/>
                      <w:szCs w:val="18"/>
                      <w:highlight w:val="none"/>
                      <w:lang w:val="en-US" w:eastAsia="zh-CN"/>
                    </w:rPr>
                    <w:t>储存</w:t>
                  </w: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snapToGrid w:val="0"/>
                      <w:color w:val="auto"/>
                      <w:spacing w:val="10"/>
                      <w:kern w:val="28"/>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1</w:t>
                  </w:r>
                </w:p>
              </w:tc>
              <w:tc>
                <w:tcPr>
                  <w:tcW w:w="31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bCs/>
                      <w:snapToGrid w:val="0"/>
                      <w:color w:val="auto"/>
                      <w:spacing w:val="10"/>
                      <w:kern w:val="28"/>
                      <w:sz w:val="18"/>
                      <w:szCs w:val="18"/>
                      <w:highlight w:val="none"/>
                      <w:lang w:val="en-US" w:eastAsia="zh-CN" w:bidi="ar-SA"/>
                    </w:rPr>
                  </w:pPr>
                  <w:r>
                    <w:rPr>
                      <w:rFonts w:hint="default" w:ascii="Times New Roman" w:hAnsi="Times New Roman" w:eastAsia="宋体" w:cs="Times New Roman"/>
                      <w:bCs/>
                      <w:snapToGrid w:val="0"/>
                      <w:color w:val="auto"/>
                      <w:spacing w:val="10"/>
                      <w:kern w:val="28"/>
                      <w:sz w:val="18"/>
                      <w:szCs w:val="18"/>
                      <w:highlight w:val="none"/>
                    </w:rPr>
                    <w:t>1年</w:t>
                  </w:r>
                </w:p>
              </w:tc>
              <w:tc>
                <w:tcPr>
                  <w:tcW w:w="9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atLeast"/>
                    <w:ind w:left="0" w:leftChars="0" w:right="0" w:rightChars="0" w:firstLine="0" w:firstLineChars="0"/>
                    <w:jc w:val="center"/>
                    <w:textAlignment w:val="auto"/>
                    <w:outlineLvl w:val="9"/>
                    <w:rPr>
                      <w:rFonts w:hint="default" w:ascii="Times New Roman" w:hAnsi="Times New Roman" w:eastAsia="宋体" w:cs="Times New Roman"/>
                      <w:color w:val="auto"/>
                      <w:sz w:val="18"/>
                      <w:szCs w:val="18"/>
                      <w:highlight w:val="none"/>
                    </w:rPr>
                  </w:pPr>
                </w:p>
              </w:tc>
            </w:tr>
          </w:tbl>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为防止危险废物在厂内临时存储过程中对环境产生污染影响，本项目危险废物暂存间应根据《危险废物贮存污染控制标准》(</w:t>
            </w:r>
            <w:r>
              <w:rPr>
                <w:rFonts w:hint="eastAsia" w:cs="Times New Roman"/>
                <w:color w:val="auto"/>
                <w:highlight w:val="none"/>
                <w:lang w:val="en-US" w:eastAsia="zh-CN"/>
              </w:rPr>
              <w:t>GB18597-2023</w:t>
            </w:r>
            <w:r>
              <w:rPr>
                <w:rFonts w:hint="default" w:ascii="Times New Roman" w:hAnsi="Times New Roman" w:eastAsia="宋体" w:cs="Times New Roman"/>
                <w:color w:val="auto"/>
                <w:highlight w:val="none"/>
                <w:lang w:val="en-US" w:eastAsia="zh-CN"/>
              </w:rPr>
              <w:t>)中的相关内容采取措施。对于本项目危险废物处置，危险废物暂存于生产车间南侧的危废间内，面积</w:t>
            </w:r>
            <w:r>
              <w:rPr>
                <w:rFonts w:hint="default" w:ascii="Times New Roman" w:hAnsi="Times New Roman" w:cs="Times New Roman"/>
                <w:color w:val="auto"/>
                <w:highlight w:val="none"/>
                <w:lang w:val="en-US" w:eastAsia="zh-CN"/>
              </w:rPr>
              <w:t>20</w:t>
            </w:r>
            <w:r>
              <w:rPr>
                <w:rFonts w:hint="default" w:ascii="Times New Roman" w:hAnsi="Times New Roman" w:eastAsia="宋体" w:cs="Times New Roman"/>
                <w:color w:val="auto"/>
                <w:highlight w:val="none"/>
                <w:lang w:val="en-US" w:eastAsia="zh-CN"/>
              </w:rPr>
              <w:t>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eastAsia="宋体" w:cs="Times New Roman"/>
                <w:color w:val="auto"/>
                <w:highlight w:val="none"/>
                <w:lang w:val="en-US" w:eastAsia="zh-CN"/>
              </w:rPr>
              <w:t>。应采取以下措施：</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危险废物贮存器要求：</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a、应当使用符合标准的容器盛装危险废物。</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b、装载危险废物的容器及材质要满足相应的强度要求。</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c、装载危险废物的容器必须完好无损。</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d、盛装危险废物的容器材质和衬里要与危险废物兼容（不互相反应）。</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e、液体危险废物可注入开孔直径不超过70mm并有放气孔的桶中。</w:t>
            </w:r>
          </w:p>
          <w:p>
            <w:pPr>
              <w:keepNext w:val="0"/>
              <w:keepLines w:val="0"/>
              <w:pageBreakBefore w:val="0"/>
              <w:suppressLineNumbers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①项目危废间按照《危险废物贮存污染控制标准》的相关要求进行防腐防渗处理；</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②危废间防风、防雨、防晒。</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③危废间按照《环境保护图形标志 固体废物贮存（处置）场》（GB 15562.2-1995）中的规定设置警示标志。</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jc w:val="center"/>
              <w:textAlignment w:val="auto"/>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w:t>
            </w:r>
            <w:r>
              <w:rPr>
                <w:rFonts w:hint="default" w:ascii="Times New Roman" w:hAnsi="Times New Roman" w:eastAsia="宋体" w:cs="Times New Roman"/>
                <w:b/>
                <w:bCs/>
                <w:color w:val="auto"/>
                <w:szCs w:val="21"/>
                <w:highlight w:val="none"/>
                <w:lang w:val="en-US" w:eastAsia="zh-CN"/>
              </w:rPr>
              <w:t xml:space="preserve">4-18  </w:t>
            </w:r>
            <w:r>
              <w:rPr>
                <w:rFonts w:hint="default" w:ascii="Times New Roman" w:hAnsi="Times New Roman" w:eastAsia="宋体" w:cs="Times New Roman"/>
                <w:b/>
                <w:bCs/>
                <w:color w:val="auto"/>
                <w:szCs w:val="21"/>
                <w:highlight w:val="none"/>
              </w:rPr>
              <w:t xml:space="preserve">   危废规范化表</w:t>
            </w:r>
          </w:p>
          <w:tbl>
            <w:tblPr>
              <w:tblStyle w:val="35"/>
              <w:tblW w:w="81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6"/>
              <w:gridCol w:w="489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38" w:hRule="atLeast"/>
                <w:jc w:val="center"/>
              </w:trPr>
              <w:tc>
                <w:tcPr>
                  <w:tcW w:w="3296" w:type="dxa"/>
                  <w:tcBorders>
                    <w:tl2br w:val="nil"/>
                    <w:tr2bl w:val="nil"/>
                  </w:tcBorders>
                  <w:noWrap/>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drawing>
                      <wp:inline distT="0" distB="0" distL="114300" distR="114300">
                        <wp:extent cx="1122680" cy="906780"/>
                        <wp:effectExtent l="0" t="0" r="1270" b="7620"/>
                        <wp:docPr id="11" name="图片 14" descr="A_1危废警示标志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A_1危废警示标志_1"/>
                                <pic:cNvPicPr>
                                  <a:picLocks noChangeAspect="1"/>
                                </pic:cNvPicPr>
                              </pic:nvPicPr>
                              <pic:blipFill>
                                <a:blip r:embed="rId26"/>
                                <a:stretch>
                                  <a:fillRect/>
                                </a:stretch>
                              </pic:blipFill>
                              <pic:spPr>
                                <a:xfrm>
                                  <a:off x="0" y="0"/>
                                  <a:ext cx="1122680" cy="906780"/>
                                </a:xfrm>
                                <a:prstGeom prst="rect">
                                  <a:avLst/>
                                </a:prstGeom>
                                <a:noFill/>
                                <a:ln>
                                  <a:noFill/>
                                </a:ln>
                              </pic:spPr>
                            </pic:pic>
                          </a:graphicData>
                        </a:graphic>
                      </wp:inline>
                    </w:drawing>
                  </w:r>
                </w:p>
              </w:tc>
              <w:tc>
                <w:tcPr>
                  <w:tcW w:w="4890" w:type="dxa"/>
                  <w:tcBorders>
                    <w:tl2br w:val="nil"/>
                    <w:tr2bl w:val="nil"/>
                  </w:tcBorders>
                  <w:noWrap/>
                </w:tcPr>
                <w:p>
                  <w:pPr>
                    <w:pageBreakBefore w:val="0"/>
                    <w:tabs>
                      <w:tab w:val="left" w:pos="0"/>
                    </w:tabs>
                    <w:kinsoku/>
                    <w:wordWrap/>
                    <w:overflowPunct/>
                    <w:bidi w:val="0"/>
                    <w:adjustRightInd w:val="0"/>
                    <w:snapToGrid w:val="0"/>
                    <w:spacing w:beforeAutospacing="0" w:afterAutospacing="0" w:line="300" w:lineRule="exact"/>
                    <w:ind w:left="0" w:leftChars="0" w:right="0" w:rightChars="0"/>
                    <w:jc w:val="both"/>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说明：1、危险废物警告标志规格颜色形状：等边三角形，边长40cm；颜色：背景为黄色，图形为黑色。</w:t>
                  </w:r>
                </w:p>
                <w:p>
                  <w:pPr>
                    <w:pageBreakBefore w:val="0"/>
                    <w:tabs>
                      <w:tab w:val="left" w:pos="0"/>
                    </w:tabs>
                    <w:kinsoku/>
                    <w:wordWrap/>
                    <w:overflowPunct/>
                    <w:bidi w:val="0"/>
                    <w:adjustRightInd w:val="0"/>
                    <w:snapToGrid w:val="0"/>
                    <w:spacing w:beforeAutospacing="0" w:afterAutospacing="0" w:line="300" w:lineRule="exact"/>
                    <w:ind w:left="0" w:leftChars="0" w:right="0" w:rightChars="0"/>
                    <w:jc w:val="both"/>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2、警告标志外檐2.5cm。3、使用于：危险废物贮存设施为房屋的，建有围墙或防护栅栏，且高度高于100cm时；部分危险废物利用、处置场所。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01" w:hRule="atLeast"/>
                <w:jc w:val="center"/>
              </w:trPr>
              <w:tc>
                <w:tcPr>
                  <w:tcW w:w="3296" w:type="dxa"/>
                  <w:tcBorders>
                    <w:tl2br w:val="nil"/>
                    <w:tr2bl w:val="nil"/>
                  </w:tcBorders>
                  <w:noWrap/>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fldChar w:fldCharType="begin"/>
                  </w:r>
                  <w:r>
                    <w:rPr>
                      <w:rFonts w:hint="default" w:ascii="Times New Roman" w:hAnsi="Times New Roman" w:cs="Times New Roman"/>
                      <w:color w:val="auto"/>
                      <w:sz w:val="18"/>
                      <w:szCs w:val="18"/>
                      <w:highlight w:val="none"/>
                    </w:rPr>
                    <w:instrText xml:space="preserve"> INCLUDEPICTURE "http://www.lampbi.com/upload/2015/8/20/209342218.png" \* MERGEFORMATINET </w:instrText>
                  </w:r>
                  <w:r>
                    <w:rPr>
                      <w:rFonts w:hint="default" w:ascii="Times New Roman" w:hAnsi="Times New Roman" w:cs="Times New Roman"/>
                      <w:color w:val="auto"/>
                      <w:sz w:val="18"/>
                      <w:szCs w:val="18"/>
                      <w:highlight w:val="none"/>
                    </w:rPr>
                    <w:fldChar w:fldCharType="separate"/>
                  </w:r>
                  <w:r>
                    <w:rPr>
                      <w:rFonts w:hint="default" w:ascii="Times New Roman" w:hAnsi="Times New Roman" w:cs="Times New Roman"/>
                      <w:color w:val="auto"/>
                      <w:sz w:val="18"/>
                      <w:szCs w:val="18"/>
                      <w:highlight w:val="none"/>
                    </w:rPr>
                    <w:drawing>
                      <wp:inline distT="0" distB="0" distL="114300" distR="114300">
                        <wp:extent cx="1333500" cy="1009015"/>
                        <wp:effectExtent l="0" t="0" r="0" b="635"/>
                        <wp:docPr id="12" name="图片 15" descr="20934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209342218"/>
                                <pic:cNvPicPr>
                                  <a:picLocks noChangeAspect="1"/>
                                </pic:cNvPicPr>
                              </pic:nvPicPr>
                              <pic:blipFill>
                                <a:blip r:embed="rId27"/>
                                <a:stretch>
                                  <a:fillRect/>
                                </a:stretch>
                              </pic:blipFill>
                              <pic:spPr>
                                <a:xfrm>
                                  <a:off x="0" y="0"/>
                                  <a:ext cx="1333500" cy="1009015"/>
                                </a:xfrm>
                                <a:prstGeom prst="rect">
                                  <a:avLst/>
                                </a:prstGeom>
                                <a:noFill/>
                                <a:ln>
                                  <a:noFill/>
                                </a:ln>
                              </pic:spPr>
                            </pic:pic>
                          </a:graphicData>
                        </a:graphic>
                      </wp:inline>
                    </w:drawing>
                  </w:r>
                  <w:r>
                    <w:rPr>
                      <w:rFonts w:hint="default" w:ascii="Times New Roman" w:hAnsi="Times New Roman" w:cs="Times New Roman"/>
                      <w:color w:val="auto"/>
                      <w:sz w:val="18"/>
                      <w:szCs w:val="18"/>
                      <w:highlight w:val="none"/>
                    </w:rPr>
                    <w:fldChar w:fldCharType="end"/>
                  </w:r>
                </w:p>
              </w:tc>
              <w:tc>
                <w:tcPr>
                  <w:tcW w:w="4890" w:type="dxa"/>
                  <w:tcBorders>
                    <w:tl2br w:val="nil"/>
                    <w:tr2bl w:val="nil"/>
                  </w:tcBorders>
                  <w:noWrap/>
                </w:tcPr>
                <w:p>
                  <w:pPr>
                    <w:pageBreakBefore w:val="0"/>
                    <w:tabs>
                      <w:tab w:val="left" w:pos="0"/>
                    </w:tabs>
                    <w:kinsoku/>
                    <w:wordWrap/>
                    <w:overflowPunct/>
                    <w:bidi w:val="0"/>
                    <w:adjustRightInd w:val="0"/>
                    <w:snapToGrid w:val="0"/>
                    <w:spacing w:beforeAutospacing="0" w:afterAutospacing="0" w:line="300" w:lineRule="exact"/>
                    <w:ind w:left="0" w:leftChars="0" w:right="0" w:rightChars="0"/>
                    <w:jc w:val="both"/>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说明：1、危险废物标签尺寸颜色，尺寸：40×40cm；底色：醒目的橘黄色；字体：黑体字；字体颜色：黑色。2、危险类别：按危险废物种类选择。3、使用于：危险废物贮存设施为房屋的；或建有围墙或防护栅栏，且高度高于100cm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8" w:hRule="atLeast"/>
                <w:jc w:val="center"/>
              </w:trPr>
              <w:tc>
                <w:tcPr>
                  <w:tcW w:w="3296" w:type="dxa"/>
                  <w:tcBorders>
                    <w:tl2br w:val="nil"/>
                    <w:tr2bl w:val="nil"/>
                  </w:tcBorders>
                  <w:noWrap/>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fldChar w:fldCharType="begin"/>
                  </w:r>
                  <w:r>
                    <w:rPr>
                      <w:rFonts w:hint="default" w:ascii="Times New Roman" w:hAnsi="Times New Roman" w:cs="Times New Roman"/>
                      <w:color w:val="auto"/>
                      <w:sz w:val="18"/>
                      <w:szCs w:val="18"/>
                      <w:highlight w:val="none"/>
                    </w:rPr>
                    <w:instrText xml:space="preserve"> INCLUDEPICTURE "http://www.lampbi.com/upload/2015/8/20/209342218.png" \* MERGEFORMATINET </w:instrText>
                  </w:r>
                  <w:r>
                    <w:rPr>
                      <w:rFonts w:hint="default" w:ascii="Times New Roman" w:hAnsi="Times New Roman" w:cs="Times New Roman"/>
                      <w:color w:val="auto"/>
                      <w:sz w:val="18"/>
                      <w:szCs w:val="18"/>
                      <w:highlight w:val="none"/>
                    </w:rPr>
                    <w:fldChar w:fldCharType="separate"/>
                  </w:r>
                  <w:r>
                    <w:rPr>
                      <w:rFonts w:hint="default" w:ascii="Times New Roman" w:hAnsi="Times New Roman" w:cs="Times New Roman"/>
                      <w:color w:val="auto"/>
                      <w:sz w:val="18"/>
                      <w:szCs w:val="18"/>
                      <w:highlight w:val="none"/>
                    </w:rPr>
                    <w:drawing>
                      <wp:inline distT="0" distB="0" distL="114300" distR="114300">
                        <wp:extent cx="1419225" cy="1073785"/>
                        <wp:effectExtent l="0" t="0" r="9525" b="12065"/>
                        <wp:docPr id="13" name="图片 16" descr="20934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descr="209342218"/>
                                <pic:cNvPicPr>
                                  <a:picLocks noChangeAspect="1"/>
                                </pic:cNvPicPr>
                              </pic:nvPicPr>
                              <pic:blipFill>
                                <a:blip r:embed="rId27"/>
                                <a:stretch>
                                  <a:fillRect/>
                                </a:stretch>
                              </pic:blipFill>
                              <pic:spPr>
                                <a:xfrm>
                                  <a:off x="0" y="0"/>
                                  <a:ext cx="1419225" cy="1073785"/>
                                </a:xfrm>
                                <a:prstGeom prst="rect">
                                  <a:avLst/>
                                </a:prstGeom>
                                <a:noFill/>
                                <a:ln>
                                  <a:noFill/>
                                </a:ln>
                              </pic:spPr>
                            </pic:pic>
                          </a:graphicData>
                        </a:graphic>
                      </wp:inline>
                    </w:drawing>
                  </w:r>
                  <w:r>
                    <w:rPr>
                      <w:rFonts w:hint="default" w:ascii="Times New Roman" w:hAnsi="Times New Roman" w:cs="Times New Roman"/>
                      <w:color w:val="auto"/>
                      <w:sz w:val="18"/>
                      <w:szCs w:val="18"/>
                      <w:highlight w:val="none"/>
                    </w:rPr>
                    <w:fldChar w:fldCharType="end"/>
                  </w:r>
                </w:p>
              </w:tc>
              <w:tc>
                <w:tcPr>
                  <w:tcW w:w="4890" w:type="dxa"/>
                  <w:tcBorders>
                    <w:tl2br w:val="nil"/>
                    <w:tr2bl w:val="nil"/>
                  </w:tcBorders>
                  <w:noWrap/>
                </w:tcPr>
                <w:p>
                  <w:pPr>
                    <w:pageBreakBefore w:val="0"/>
                    <w:tabs>
                      <w:tab w:val="left" w:pos="0"/>
                    </w:tabs>
                    <w:kinsoku/>
                    <w:wordWrap/>
                    <w:overflowPunct/>
                    <w:bidi w:val="0"/>
                    <w:adjustRightInd w:val="0"/>
                    <w:snapToGrid w:val="0"/>
                    <w:spacing w:beforeAutospacing="0" w:afterAutospacing="0" w:line="300" w:lineRule="exact"/>
                    <w:ind w:left="0" w:leftChars="0" w:right="0" w:rightChars="0"/>
                    <w:jc w:val="both"/>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lang w:val="zh-CN"/>
                    </w:rPr>
                    <w:t>说明：1、危险废物标签尺寸颜色尺寸：20×20cm及10×10cm；底色：醒目的橘黄色；字体：黑体字；字体颜色：黑色。2、危险类别：按危险废物种类选择。3、材料为印刷品。4、使用于：贴在危险废物包装物上的危险废物标签及系挂于袋装危险废物包装物上的危险废物标签</w:t>
                  </w:r>
                </w:p>
              </w:tc>
            </w:tr>
          </w:tbl>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综上所述，本项目固体废物均得到合理处置，对周边环境影响较小。</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①危险废物运输过程的环境影响分析</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危险废物运输单位应持有危险废物经营许可证，并获得交通运输部门颁发的危险货物运输资质；主要采用公路运输，运输过程严格按照《道路危险货物运输管理规定》（交通部 令[2005]第9号）执行；运输车辆按GB13392设置车辆标志，且在危险废物包装上设置毒性及易燃性标志；工作人员应熟悉其危险特性，配备适当的个人防护装备，并设有收集槽和缓冲罐。</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综上，危险废物运输严格按照《危险废物收集贮存运输技术规范》(HJ2025-2012)相关要求执行，危险废物运输控制措施可行。</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②危险废物内部转运环境影响分析</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危险废物内部转运作业必须按照《危险废物收集、贮存、运输技术规范》（HJ2025-2012；2013-3-1实施）相关规定执行，重点内容如下：</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①危险废物内部转运应综合考虑厂区的实际情况确定转运路线，应避开办公区和生活区。</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②危险废物内部转运作业应采用专用的工具，并填写《危险废物厂内转运记录表》。</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③危险废物内部转运结束后，应对转运路线进行检查和清理，确保无危险废物遗失在转运路线上，并对转运工具进行清洗。</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项目产生的危险废物经封闭容器收集后通过厂区道路运至危废间。危险废物运输过程中全部采用封闭容器储存，运输道路较短，且路线不经过办公区等人员密集区，转运结束后及时对转运路线进行检查和清理，确保无危险废物散落或泄漏在转运路线上。危险废物运输过程中全部采用封闭容器储存，正常情况下不会发生散落或泄漏，同时本项目厂区道路均进行了硬化，可有效阻止泄漏后危险废物的下渗，因此危险废物在运输过程中发生散落或泄漏时，及时清理，不会对周边环境产生明显影响。</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由于废润滑油</w:t>
            </w:r>
            <w:r>
              <w:rPr>
                <w:rFonts w:hint="default" w:ascii="Times New Roman" w:hAnsi="Times New Roman" w:cs="Times New Roman"/>
                <w:color w:val="auto"/>
                <w:kern w:val="2"/>
                <w:sz w:val="21"/>
                <w:szCs w:val="21"/>
                <w:highlight w:val="none"/>
                <w:lang w:val="en-US" w:eastAsia="zh-CN" w:bidi="ar-SA"/>
              </w:rPr>
              <w:t>等</w:t>
            </w:r>
            <w:r>
              <w:rPr>
                <w:rFonts w:hint="default" w:ascii="Times New Roman" w:hAnsi="Times New Roman" w:eastAsia="宋体" w:cs="Times New Roman"/>
                <w:color w:val="auto"/>
                <w:kern w:val="2"/>
                <w:sz w:val="21"/>
                <w:szCs w:val="21"/>
                <w:highlight w:val="none"/>
                <w:lang w:val="en-US" w:eastAsia="zh-CN" w:bidi="ar-SA"/>
              </w:rPr>
              <w:t>不易挥发，且危废暂存间满足防风、防雨、防晒、防渗漏等要求，并设置渗漏收集措施；一旦发生泄漏事故，应立即启动突发环境事件应急预案，不会对周围环境造成影响。</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③危险废物处置单位情况分析</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项目签署协议的单位应获得由</w:t>
            </w:r>
            <w:r>
              <w:rPr>
                <w:rFonts w:hint="default" w:ascii="Times New Roman" w:hAnsi="Times New Roman" w:cs="Times New Roman"/>
                <w:color w:val="auto"/>
                <w:highlight w:val="none"/>
                <w:lang w:val="en-US" w:eastAsia="zh-CN"/>
              </w:rPr>
              <w:t>具有危险废物经营许可证</w:t>
            </w:r>
            <w:r>
              <w:rPr>
                <w:rFonts w:hint="default" w:ascii="Times New Roman" w:hAnsi="Times New Roman" w:eastAsia="宋体" w:cs="Times New Roman"/>
                <w:color w:val="auto"/>
                <w:kern w:val="2"/>
                <w:sz w:val="21"/>
                <w:szCs w:val="21"/>
                <w:highlight w:val="none"/>
                <w:lang w:val="en-US" w:eastAsia="zh-CN" w:bidi="ar-SA"/>
              </w:rPr>
              <w:t>，具有危险废物处置资格，同时应具有处理资格，且处理能力能够达到要求。项目与上述符合要求的危险废物处置单位签署处置协议后，项目危险废物可以得到合理处置。</w:t>
            </w:r>
          </w:p>
          <w:p>
            <w:pPr>
              <w:pageBreakBefore w:val="0"/>
              <w:kinsoku/>
              <w:wordWrap/>
              <w:overflowPunct/>
              <w:autoSpaceDE w:val="0"/>
              <w:autoSpaceDN w:val="0"/>
              <w:bidi w:val="0"/>
              <w:adjustRightInd w:val="0"/>
              <w:snapToGrid w:val="0"/>
              <w:spacing w:beforeAutospacing="0" w:afterAutospacing="0" w:line="360" w:lineRule="auto"/>
              <w:ind w:left="0" w:leftChars="0" w:right="0" w:rightChars="0" w:firstLine="420" w:firstLineChars="200"/>
              <w:outlineLvl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因此，固体废物不会对环境产生不良影响。</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5、地下水</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项目实施后，对地下水的影响情况如下：</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default" w:ascii="Times New Roman" w:hAnsi="Times New Roman" w:cs="Times New Roman"/>
                <w:b/>
                <w:bCs/>
                <w:color w:val="auto"/>
                <w:highlight w:val="none"/>
                <w:lang w:val="en-US" w:eastAsia="zh-CN"/>
              </w:rPr>
              <w:t xml:space="preserve">4-19 </w:t>
            </w:r>
            <w:r>
              <w:rPr>
                <w:rFonts w:hint="default" w:ascii="Times New Roman" w:hAnsi="Times New Roman" w:cs="Times New Roman"/>
                <w:b/>
                <w:bCs/>
                <w:color w:val="auto"/>
                <w:highlight w:val="none"/>
              </w:rPr>
              <w:t xml:space="preserve">  </w:t>
            </w:r>
            <w:r>
              <w:rPr>
                <w:rFonts w:hint="default" w:ascii="Times New Roman" w:hAnsi="Times New Roman" w:cs="Times New Roman"/>
                <w:b/>
                <w:bCs/>
                <w:color w:val="auto"/>
                <w:highlight w:val="none"/>
                <w:lang w:val="en-US" w:eastAsia="zh-CN"/>
              </w:rPr>
              <w:t xml:space="preserve"> </w:t>
            </w:r>
            <w:r>
              <w:rPr>
                <w:rFonts w:hint="default" w:ascii="Times New Roman" w:hAnsi="Times New Roman" w:cs="Times New Roman"/>
                <w:b/>
                <w:bCs/>
                <w:color w:val="auto"/>
                <w:highlight w:val="none"/>
              </w:rPr>
              <w:t>建设项目</w:t>
            </w:r>
            <w:r>
              <w:rPr>
                <w:rFonts w:hint="default" w:ascii="Times New Roman" w:hAnsi="Times New Roman" w:cs="Times New Roman"/>
                <w:b/>
                <w:bCs/>
                <w:color w:val="auto"/>
                <w:highlight w:val="none"/>
                <w:lang w:val="en-US" w:eastAsia="zh-CN"/>
              </w:rPr>
              <w:t>地下水</w:t>
            </w:r>
            <w:r>
              <w:rPr>
                <w:rFonts w:hint="default" w:ascii="Times New Roman" w:hAnsi="Times New Roman" w:cs="Times New Roman"/>
                <w:b/>
                <w:bCs/>
                <w:color w:val="auto"/>
                <w:highlight w:val="none"/>
              </w:rPr>
              <w:t>环境影响源及影响因子识别</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401"/>
              <w:gridCol w:w="1348"/>
              <w:gridCol w:w="1692"/>
              <w:gridCol w:w="1185"/>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污染源</w:t>
                  </w:r>
                </w:p>
              </w:tc>
              <w:tc>
                <w:tcPr>
                  <w:tcW w:w="826"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工艺流程/节点</w:t>
                  </w:r>
                </w:p>
              </w:tc>
              <w:tc>
                <w:tcPr>
                  <w:tcW w:w="795"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污染途径</w:t>
                  </w:r>
                </w:p>
              </w:tc>
              <w:tc>
                <w:tcPr>
                  <w:tcW w:w="998"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全部污染物指标</w:t>
                  </w:r>
                </w:p>
              </w:tc>
              <w:tc>
                <w:tcPr>
                  <w:tcW w:w="699"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特征因子</w:t>
                  </w:r>
                </w:p>
              </w:tc>
              <w:tc>
                <w:tcPr>
                  <w:tcW w:w="802"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危险品库房</w:t>
                  </w:r>
                </w:p>
              </w:tc>
              <w:tc>
                <w:tcPr>
                  <w:tcW w:w="826"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液态原料存储</w:t>
                  </w:r>
                </w:p>
              </w:tc>
              <w:tc>
                <w:tcPr>
                  <w:tcW w:w="795"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垂直入渗</w:t>
                  </w:r>
                </w:p>
              </w:tc>
              <w:tc>
                <w:tcPr>
                  <w:tcW w:w="998"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NH</w:t>
                  </w:r>
                  <w:r>
                    <w:rPr>
                      <w:rFonts w:hint="default" w:ascii="Times New Roman" w:hAnsi="Times New Roman" w:cs="Times New Roman"/>
                      <w:color w:val="auto"/>
                      <w:sz w:val="18"/>
                      <w:szCs w:val="18"/>
                      <w:highlight w:val="none"/>
                      <w:vertAlign w:val="subscript"/>
                    </w:rPr>
                    <w:t>3</w:t>
                  </w:r>
                  <w:r>
                    <w:rPr>
                      <w:rFonts w:hint="default" w:ascii="Times New Roman" w:hAnsi="Times New Roman" w:cs="Times New Roman"/>
                      <w:color w:val="auto"/>
                      <w:sz w:val="18"/>
                      <w:szCs w:val="18"/>
                      <w:highlight w:val="none"/>
                    </w:rPr>
                    <w:t>-N、COD等</w:t>
                  </w:r>
                </w:p>
              </w:tc>
              <w:tc>
                <w:tcPr>
                  <w:tcW w:w="699"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NH</w:t>
                  </w:r>
                  <w:r>
                    <w:rPr>
                      <w:rFonts w:hint="default" w:ascii="Times New Roman" w:hAnsi="Times New Roman" w:cs="Times New Roman"/>
                      <w:color w:val="auto"/>
                      <w:sz w:val="18"/>
                      <w:szCs w:val="18"/>
                      <w:highlight w:val="none"/>
                      <w:vertAlign w:val="subscript"/>
                    </w:rPr>
                    <w:t>3</w:t>
                  </w:r>
                  <w:r>
                    <w:rPr>
                      <w:rFonts w:hint="default" w:ascii="Times New Roman" w:hAnsi="Times New Roman" w:cs="Times New Roman"/>
                      <w:color w:val="auto"/>
                      <w:sz w:val="18"/>
                      <w:szCs w:val="18"/>
                      <w:highlight w:val="none"/>
                    </w:rPr>
                    <w:t>-N、COD</w:t>
                  </w:r>
                </w:p>
              </w:tc>
              <w:tc>
                <w:tcPr>
                  <w:tcW w:w="802"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事故状态下渗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77"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危废间</w:t>
                  </w:r>
                </w:p>
              </w:tc>
              <w:tc>
                <w:tcPr>
                  <w:tcW w:w="826"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危废暂存</w:t>
                  </w:r>
                </w:p>
              </w:tc>
              <w:tc>
                <w:tcPr>
                  <w:tcW w:w="795"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垂直入渗</w:t>
                  </w:r>
                </w:p>
              </w:tc>
              <w:tc>
                <w:tcPr>
                  <w:tcW w:w="998"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石油类等</w:t>
                  </w:r>
                </w:p>
              </w:tc>
              <w:tc>
                <w:tcPr>
                  <w:tcW w:w="699"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石油类</w:t>
                  </w:r>
                </w:p>
              </w:tc>
              <w:tc>
                <w:tcPr>
                  <w:tcW w:w="802" w:type="pct"/>
                  <w:noWrap w:val="0"/>
                  <w:vAlign w:val="center"/>
                </w:tcPr>
                <w:p>
                  <w:pPr>
                    <w:pStyle w:val="30"/>
                    <w:pageBreakBefore w:val="0"/>
                    <w:kinsoku/>
                    <w:wordWrap/>
                    <w:overflowPunct/>
                    <w:bidi w:val="0"/>
                    <w:adjustRightInd w:val="0"/>
                    <w:snapToGrid w:val="0"/>
                    <w:spacing w:beforeAutospacing="0" w:afterAutospacing="0" w:line="30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事故状态下渗</w:t>
                  </w:r>
                </w:p>
              </w:tc>
            </w:tr>
          </w:tbl>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根据《环境影响评价技术导则 地下水环境》(HJ610-2016)中地下水污染防渗分区参照表，项目</w:t>
            </w:r>
            <w:r>
              <w:rPr>
                <w:rFonts w:hint="default" w:ascii="Times New Roman" w:hAnsi="Times New Roman" w:cs="Times New Roman"/>
                <w:color w:val="auto"/>
                <w:kern w:val="0"/>
                <w:sz w:val="21"/>
                <w:szCs w:val="21"/>
                <w:highlight w:val="none"/>
              </w:rPr>
              <w:t>防渗工程的设计标准应符合下列要求：</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(1)各设备、地下管道或建构筑物防渗的设计使用年限分别不低于相应设备、地下管道或建、构筑物的设计使用年限。</w:t>
            </w:r>
          </w:p>
          <w:p>
            <w:pPr>
              <w:pStyle w:val="59"/>
              <w:keepNext w:val="0"/>
              <w:keepLines w:val="0"/>
              <w:pageBreakBefore w:val="0"/>
              <w:widowControl w:val="0"/>
              <w:kinsoku/>
              <w:wordWrap/>
              <w:overflowPunct/>
              <w:topLinePunct w:val="0"/>
              <w:bidi w:val="0"/>
              <w:adjustRightInd w:val="0"/>
              <w:snapToGrid w:val="0"/>
              <w:spacing w:beforeLines="0" w:beforeAutospacing="0" w:afterLines="0" w:afterAutospacing="0" w:line="360" w:lineRule="auto"/>
              <w:ind w:left="0" w:leftChars="0" w:right="0" w:rightChars="0" w:firstLine="420" w:firstLineChars="200"/>
              <w:jc w:val="both"/>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（2）分区防渗措施</w:t>
            </w:r>
          </w:p>
          <w:p>
            <w:pPr>
              <w:pStyle w:val="59"/>
              <w:keepNext w:val="0"/>
              <w:keepLines w:val="0"/>
              <w:pageBreakBefore w:val="0"/>
              <w:widowControl w:val="0"/>
              <w:kinsoku/>
              <w:wordWrap/>
              <w:overflowPunct/>
              <w:topLinePunct w:val="0"/>
              <w:bidi w:val="0"/>
              <w:adjustRightInd w:val="0"/>
              <w:snapToGrid w:val="0"/>
              <w:spacing w:beforeLines="0" w:beforeAutospacing="0" w:afterLines="0" w:afterAutospacing="0" w:line="360" w:lineRule="auto"/>
              <w:ind w:left="0" w:leftChars="0" w:right="0" w:rightChars="0" w:firstLine="420" w:firstLineChars="200"/>
              <w:jc w:val="both"/>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对厂区进行了分区防渗处理，根据各区域可能泄漏至地面污染物的性质和各生产单元的构筑方式，将厂区划分为：重点防渗区、一般防渗区和简单防渗区。根据项目各工序可能泄漏的污染物性质，确定项目各分区防渗措施如下：</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1 \* GB3</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①</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重点防渗区</w:t>
            </w:r>
            <w:r>
              <w:rPr>
                <w:rFonts w:hint="default" w:ascii="Times New Roman" w:hAnsi="Times New Roman" w:cs="Times New Roman"/>
                <w:color w:val="auto"/>
                <w:kern w:val="0"/>
                <w:sz w:val="21"/>
                <w:szCs w:val="21"/>
                <w:highlight w:val="none"/>
                <w:lang w:bidi="ar"/>
              </w:rPr>
              <w:t>：项目危废间</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喷漆间、喷涂间、粘胶间</w:t>
            </w:r>
            <w:r>
              <w:rPr>
                <w:rFonts w:hint="default" w:ascii="Times New Roman" w:hAnsi="Times New Roman" w:cs="Times New Roman"/>
                <w:color w:val="auto"/>
                <w:sz w:val="21"/>
                <w:szCs w:val="21"/>
                <w:highlight w:val="none"/>
              </w:rPr>
              <w:t>采用防渗技术要求需达到等效黏土防渗层Mb≥6.0m，渗透系数小于10</w:t>
            </w:r>
            <w:r>
              <w:rPr>
                <w:rFonts w:hint="default" w:ascii="Times New Roman" w:hAnsi="Times New Roman" w:cs="Times New Roman"/>
                <w:color w:val="auto"/>
                <w:sz w:val="21"/>
                <w:szCs w:val="21"/>
                <w:highlight w:val="none"/>
                <w:vertAlign w:val="superscript"/>
              </w:rPr>
              <w:t>-10</w:t>
            </w:r>
            <w:r>
              <w:rPr>
                <w:rFonts w:hint="default" w:ascii="Times New Roman" w:hAnsi="Times New Roman" w:cs="Times New Roman"/>
                <w:color w:val="auto"/>
                <w:sz w:val="21"/>
                <w:szCs w:val="21"/>
                <w:highlight w:val="none"/>
              </w:rPr>
              <w:t>cm/s进行防腐防渗；</w:t>
            </w:r>
            <w:r>
              <w:rPr>
                <w:rFonts w:hint="default" w:ascii="Times New Roman" w:hAnsi="Times New Roman" w:cs="Times New Roman"/>
                <w:color w:val="auto"/>
                <w:kern w:val="0"/>
                <w:sz w:val="21"/>
                <w:szCs w:val="21"/>
                <w:highlight w:val="none"/>
                <w:lang w:bidi="ar"/>
              </w:rPr>
              <w:t>生产车间</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危险品库房</w:t>
            </w:r>
            <w:r>
              <w:rPr>
                <w:rFonts w:hint="default" w:ascii="Times New Roman" w:hAnsi="Times New Roman" w:cs="Times New Roman"/>
                <w:color w:val="auto"/>
                <w:kern w:val="0"/>
                <w:sz w:val="21"/>
                <w:szCs w:val="21"/>
                <w:highlight w:val="none"/>
                <w:lang w:bidi="ar"/>
              </w:rPr>
              <w:t>等采</w:t>
            </w:r>
            <w:r>
              <w:rPr>
                <w:rFonts w:hint="default" w:ascii="Times New Roman" w:hAnsi="Times New Roman" w:cs="Times New Roman"/>
                <w:color w:val="auto"/>
                <w:sz w:val="21"/>
                <w:szCs w:val="21"/>
                <w:highlight w:val="none"/>
              </w:rPr>
              <w:t>用等效黏土防渗层Mb≥6.0m，渗透系数K≤10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cm/s；危废间地面采取2mm厚高密度聚乙烯防渗，渗透系数≤1.0×10</w:t>
            </w:r>
            <w:r>
              <w:rPr>
                <w:rFonts w:hint="default" w:ascii="Times New Roman" w:hAnsi="Times New Roman" w:cs="Times New Roman"/>
                <w:color w:val="auto"/>
                <w:sz w:val="21"/>
                <w:szCs w:val="21"/>
                <w:highlight w:val="none"/>
                <w:vertAlign w:val="superscript"/>
              </w:rPr>
              <w:t>-10</w:t>
            </w:r>
            <w:r>
              <w:rPr>
                <w:rFonts w:hint="default" w:ascii="Times New Roman" w:hAnsi="Times New Roman" w:cs="Times New Roman"/>
                <w:color w:val="auto"/>
                <w:sz w:val="21"/>
                <w:szCs w:val="21"/>
                <w:highlight w:val="none"/>
              </w:rPr>
              <w:t>cm/s（或采取其他具有同等防渗效力的防渗材料）。</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②一般防渗区：车间其他生产区域采用等效黏土防渗层Mb≥1.5m，渗透系数K≤10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cm/s的材料防渗。</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③简单防渗区：办公楼、食堂等其他非污染区，进行一般地面硬化。</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采取上述防渗措施后，渗透系数满足各功能分区的防渗系数要求。不再布设地下水监测点位。</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6、土壤</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①</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正常状况下，项目已按要求采取土壤污染防渗措施，</w:t>
            </w:r>
            <w:r>
              <w:rPr>
                <w:rFonts w:hint="default" w:ascii="Times New Roman" w:hAnsi="Times New Roman" w:cs="Times New Roman"/>
                <w:color w:val="auto"/>
                <w:highlight w:val="none"/>
                <w:lang w:val="en-US" w:eastAsia="zh-CN"/>
              </w:rPr>
              <w:t>危险品库房</w:t>
            </w:r>
            <w:r>
              <w:rPr>
                <w:rFonts w:hint="default" w:ascii="Times New Roman" w:hAnsi="Times New Roman" w:cs="Times New Roman"/>
                <w:color w:val="auto"/>
                <w:kern w:val="0"/>
                <w:highlight w:val="none"/>
                <w:lang w:bidi="ar"/>
              </w:rPr>
              <w:t>、</w:t>
            </w:r>
            <w:r>
              <w:rPr>
                <w:rFonts w:hint="default" w:ascii="Times New Roman" w:hAnsi="Times New Roman" w:cs="Times New Roman"/>
                <w:color w:val="auto"/>
                <w:kern w:val="0"/>
                <w:sz w:val="21"/>
                <w:szCs w:val="21"/>
                <w:highlight w:val="none"/>
                <w:lang w:bidi="ar"/>
              </w:rPr>
              <w:t>危废间</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喷漆间、喷涂间、粘胶间</w:t>
            </w:r>
            <w:r>
              <w:rPr>
                <w:rFonts w:hint="default" w:ascii="Times New Roman" w:hAnsi="Times New Roman" w:cs="Times New Roman"/>
                <w:color w:val="auto"/>
                <w:kern w:val="0"/>
                <w:highlight w:val="none"/>
                <w:lang w:bidi="ar"/>
              </w:rPr>
              <w:t>等均</w:t>
            </w:r>
            <w:r>
              <w:rPr>
                <w:rFonts w:hint="default" w:ascii="Times New Roman" w:hAnsi="Times New Roman" w:cs="Times New Roman"/>
                <w:color w:val="auto"/>
                <w:highlight w:val="none"/>
              </w:rPr>
              <w:t>做防渗，减少对土壤的影响。项目土壤环境影响源及影响因子下表。</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82"/>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default" w:ascii="Times New Roman" w:hAnsi="Times New Roman" w:cs="Times New Roman"/>
                <w:b/>
                <w:bCs/>
                <w:color w:val="auto"/>
                <w:highlight w:val="none"/>
                <w:lang w:val="en-US" w:eastAsia="zh-CN"/>
              </w:rPr>
              <w:t xml:space="preserve">4-20  </w:t>
            </w:r>
            <w:r>
              <w:rPr>
                <w:rFonts w:hint="default" w:ascii="Times New Roman" w:hAnsi="Times New Roman" w:cs="Times New Roman"/>
                <w:b/>
                <w:bCs/>
                <w:color w:val="auto"/>
                <w:highlight w:val="none"/>
              </w:rPr>
              <w:t xml:space="preserve">  项目土壤环境影响源及影响因子识别表</w:t>
            </w:r>
          </w:p>
          <w:tbl>
            <w:tblPr>
              <w:tblStyle w:val="35"/>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2812"/>
              <w:gridCol w:w="180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pc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污染源</w:t>
                  </w:r>
                </w:p>
              </w:tc>
              <w:tc>
                <w:tcPr>
                  <w:tcW w:w="1658"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污染物</w:t>
                  </w:r>
                </w:p>
              </w:tc>
              <w:tc>
                <w:tcPr>
                  <w:tcW w:w="1064"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污染途径</w:t>
                  </w:r>
                </w:p>
              </w:tc>
              <w:tc>
                <w:tcPr>
                  <w:tcW w:w="1001"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pc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危险品库房</w:t>
                  </w:r>
                </w:p>
              </w:tc>
              <w:tc>
                <w:tcPr>
                  <w:tcW w:w="1658"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NH</w:t>
                  </w:r>
                  <w:r>
                    <w:rPr>
                      <w:rFonts w:hint="default" w:ascii="Times New Roman" w:hAnsi="Times New Roman" w:cs="Times New Roman"/>
                      <w:color w:val="auto"/>
                      <w:sz w:val="18"/>
                      <w:szCs w:val="18"/>
                      <w:highlight w:val="none"/>
                      <w:vertAlign w:val="subscript"/>
                    </w:rPr>
                    <w:t>3</w:t>
                  </w:r>
                  <w:r>
                    <w:rPr>
                      <w:rFonts w:hint="default" w:ascii="Times New Roman" w:hAnsi="Times New Roman" w:cs="Times New Roman"/>
                      <w:color w:val="auto"/>
                      <w:sz w:val="18"/>
                      <w:szCs w:val="18"/>
                      <w:highlight w:val="none"/>
                    </w:rPr>
                    <w:t>-N、COD</w:t>
                  </w:r>
                </w:p>
              </w:tc>
              <w:tc>
                <w:tcPr>
                  <w:tcW w:w="1064"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垂直入渗</w:t>
                  </w:r>
                </w:p>
              </w:tc>
              <w:tc>
                <w:tcPr>
                  <w:tcW w:w="1001"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事故工况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5" w:type="pc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危废暂存间</w:t>
                  </w:r>
                </w:p>
              </w:tc>
              <w:tc>
                <w:tcPr>
                  <w:tcW w:w="1658" w:type="pct"/>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石油类</w:t>
                  </w:r>
                </w:p>
              </w:tc>
              <w:tc>
                <w:tcPr>
                  <w:tcW w:w="1771"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垂直入渗</w:t>
                  </w:r>
                </w:p>
              </w:tc>
              <w:tc>
                <w:tcPr>
                  <w:tcW w:w="1667"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事故工况</w:t>
                  </w:r>
                </w:p>
              </w:tc>
            </w:tr>
          </w:tbl>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工程生产工艺、设备布置、物料输送、污染物产生、收集及处理、及危险废物存储等环节将厂区分为重点防渗、一般防渗区及简单防渗区。通过采取防渗措施后，项目对土壤影响很小。不再布设土壤跟踪监测点。</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7、环境风险</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(1)项目环境风险源调查</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环境风险源指“存在物质或能量意外释放”并可能产生环境危害的源。</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本项目风险源为储存于危废暂存间的废矿物油。</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(2)环境风险潜势初判及评价等级确定</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计算所涉及的每种危险物质在厂界内的最大存在总量与其在附录B中对应临界量的比值Q。在不同厂区的同一种物质，按其在厂界内的最大存在总量计算。</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当只涉及一种危险物质时，计算该物质的总量与其临界量比值，即为Q；</w:t>
            </w:r>
          </w:p>
          <w:p>
            <w:pPr>
              <w:pageBreakBefore w:val="0"/>
              <w:kinsoku/>
              <w:wordWrap/>
              <w:overflowPunct/>
              <w:bidi w:val="0"/>
              <w:adjustRightInd w:val="0"/>
              <w:snapToGrid w:val="0"/>
              <w:spacing w:beforeAutospacing="0" w:afterAutospacing="0" w:line="360" w:lineRule="auto"/>
              <w:ind w:left="0" w:leftChars="0" w:right="0" w:righ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当存在多种危险物质时，则按式（C.1）计算物质总量与其临界量比值（Q）：</w:t>
            </w: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5272405" cy="428625"/>
                  <wp:effectExtent l="0" t="0" r="4445" b="9525"/>
                  <wp:docPr id="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5"/>
                          <pic:cNvPicPr>
                            <a:picLocks noChangeAspect="1"/>
                          </pic:cNvPicPr>
                        </pic:nvPicPr>
                        <pic:blipFill>
                          <a:blip r:embed="rId28"/>
                          <a:srcRect b="68887"/>
                          <a:stretch>
                            <a:fillRect/>
                          </a:stretch>
                        </pic:blipFill>
                        <pic:spPr>
                          <a:xfrm>
                            <a:off x="0" y="0"/>
                            <a:ext cx="5272405" cy="428625"/>
                          </a:xfrm>
                          <a:prstGeom prst="rect">
                            <a:avLst/>
                          </a:prstGeom>
                          <a:noFill/>
                          <a:ln>
                            <a:noFill/>
                          </a:ln>
                        </pic:spPr>
                      </pic:pic>
                    </a:graphicData>
                  </a:graphic>
                </wp:inline>
              </w:drawing>
            </w: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5272405" cy="949325"/>
                  <wp:effectExtent l="0" t="0" r="4445" b="3175"/>
                  <wp:docPr id="1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1"/>
                          <pic:cNvPicPr>
                            <a:picLocks noChangeAspect="1"/>
                          </pic:cNvPicPr>
                        </pic:nvPicPr>
                        <pic:blipFill>
                          <a:blip r:embed="rId28"/>
                          <a:srcRect t="31093"/>
                          <a:stretch>
                            <a:fillRect/>
                          </a:stretch>
                        </pic:blipFill>
                        <pic:spPr>
                          <a:xfrm>
                            <a:off x="0" y="0"/>
                            <a:ext cx="5272405" cy="9493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项目危险物质数量与临界量比值（Q）计算结果，见表</w:t>
            </w:r>
            <w:r>
              <w:rPr>
                <w:rFonts w:hint="default" w:ascii="Times New Roman" w:hAnsi="Times New Roman" w:cs="Times New Roman"/>
                <w:color w:val="auto"/>
                <w:highlight w:val="none"/>
                <w:lang w:val="en-US" w:eastAsia="zh-CN"/>
              </w:rPr>
              <w:t>4-21</w:t>
            </w:r>
            <w:r>
              <w:rPr>
                <w:rFonts w:hint="default" w:ascii="Times New Roman" w:hAnsi="Times New Roman" w:cs="Times New Roman"/>
                <w:color w:val="auto"/>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default" w:ascii="Times New Roman" w:hAnsi="Times New Roman" w:cs="Times New Roman"/>
                <w:b/>
                <w:color w:val="auto"/>
                <w:highlight w:val="none"/>
                <w:lang w:val="en-US" w:eastAsia="zh-CN"/>
              </w:rPr>
              <w:t>4-21</w:t>
            </w:r>
            <w:r>
              <w:rPr>
                <w:rFonts w:hint="default" w:ascii="Times New Roman" w:hAnsi="Times New Roman" w:cs="Times New Roman"/>
                <w:b/>
                <w:color w:val="auto"/>
                <w:highlight w:val="none"/>
              </w:rPr>
              <w:t xml:space="preserve">    项目危险物质数量与临界量比值（Q）计算结果一览表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45"/>
              <w:gridCol w:w="1006"/>
              <w:gridCol w:w="1369"/>
              <w:gridCol w:w="950"/>
              <w:gridCol w:w="99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序号</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危险物质名称</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CAS号</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最大存在</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总量q</w:t>
                  </w:r>
                  <w:r>
                    <w:rPr>
                      <w:rFonts w:hint="default" w:ascii="Times New Roman" w:hAnsi="Times New Roman" w:cs="Times New Roman"/>
                      <w:b/>
                      <w:bCs/>
                      <w:color w:val="auto"/>
                      <w:kern w:val="0"/>
                      <w:sz w:val="18"/>
                      <w:szCs w:val="18"/>
                      <w:highlight w:val="none"/>
                      <w:vertAlign w:val="subscript"/>
                    </w:rPr>
                    <w:t>n</w:t>
                  </w:r>
                  <w:r>
                    <w:rPr>
                      <w:rFonts w:hint="default" w:ascii="Times New Roman" w:hAnsi="Times New Roman" w:cs="Times New Roman"/>
                      <w:b/>
                      <w:bCs/>
                      <w:color w:val="auto"/>
                      <w:kern w:val="0"/>
                      <w:sz w:val="18"/>
                      <w:szCs w:val="18"/>
                      <w:highlight w:val="none"/>
                    </w:rPr>
                    <w:t>/t</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临界量</w:t>
                  </w:r>
                </w:p>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Q</w:t>
                  </w:r>
                  <w:r>
                    <w:rPr>
                      <w:rFonts w:hint="default" w:ascii="Times New Roman" w:hAnsi="Times New Roman" w:cs="Times New Roman"/>
                      <w:b/>
                      <w:bCs/>
                      <w:color w:val="auto"/>
                      <w:kern w:val="0"/>
                      <w:sz w:val="18"/>
                      <w:szCs w:val="18"/>
                      <w:highlight w:val="none"/>
                      <w:vertAlign w:val="subscript"/>
                    </w:rPr>
                    <w:t>n</w:t>
                  </w:r>
                  <w:r>
                    <w:rPr>
                      <w:rFonts w:hint="default" w:ascii="Times New Roman" w:hAnsi="Times New Roman" w:cs="Times New Roman"/>
                      <w:b/>
                      <w:bCs/>
                      <w:color w:val="auto"/>
                      <w:kern w:val="0"/>
                      <w:sz w:val="18"/>
                      <w:szCs w:val="18"/>
                      <w:highlight w:val="none"/>
                    </w:rPr>
                    <w:t>/t</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q/Q值</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Q值划分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bCs/>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1</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润滑油等油类物质</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5.38</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2500</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0.0022</w:t>
                  </w:r>
                </w:p>
              </w:tc>
              <w:tc>
                <w:tcPr>
                  <w:tcW w:w="170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rPr>
                    <w:t>Q＜1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2</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废润滑油</w:t>
                  </w:r>
                  <w:r>
                    <w:rPr>
                      <w:rFonts w:hint="default" w:ascii="Times New Roman" w:hAnsi="Times New Roman" w:cs="Times New Roman"/>
                      <w:color w:val="auto"/>
                      <w:kern w:val="0"/>
                      <w:sz w:val="18"/>
                      <w:szCs w:val="18"/>
                      <w:highlight w:val="none"/>
                      <w:lang w:val="en-US" w:eastAsia="zh-CN"/>
                    </w:rPr>
                    <w:t>等油类物质</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0.2</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100</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0.00</w:t>
                  </w:r>
                  <w:r>
                    <w:rPr>
                      <w:rFonts w:hint="default" w:ascii="Times New Roman" w:hAnsi="Times New Roman" w:cs="Times New Roman"/>
                      <w:color w:val="auto"/>
                      <w:kern w:val="0"/>
                      <w:sz w:val="18"/>
                      <w:szCs w:val="18"/>
                      <w:highlight w:val="none"/>
                      <w:lang w:val="en-US" w:eastAsia="zh-CN"/>
                    </w:rPr>
                    <w:t>2</w:t>
                  </w:r>
                </w:p>
              </w:tc>
              <w:tc>
                <w:tcPr>
                  <w:tcW w:w="1701"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3</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油漆</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0.623</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100</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0.00623</w:t>
                  </w:r>
                </w:p>
              </w:tc>
              <w:tc>
                <w:tcPr>
                  <w:tcW w:w="1701"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防腐耐磨涂料</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7.912</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100</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0.079</w:t>
                  </w:r>
                </w:p>
              </w:tc>
              <w:tc>
                <w:tcPr>
                  <w:tcW w:w="1701"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5</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粘合剂</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2.06</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100</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0.021</w:t>
                  </w:r>
                </w:p>
              </w:tc>
              <w:tc>
                <w:tcPr>
                  <w:tcW w:w="1701"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6</w:t>
                  </w:r>
                </w:p>
              </w:tc>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合计</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13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w:t>
                  </w:r>
                </w:p>
              </w:tc>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0.110</w:t>
                  </w:r>
                </w:p>
              </w:tc>
              <w:tc>
                <w:tcPr>
                  <w:tcW w:w="170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0"/>
                      <w:sz w:val="18"/>
                      <w:szCs w:val="18"/>
                      <w:highlight w:val="none"/>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由上表可知，本项目Q值划分为＜1。</w:t>
            </w:r>
          </w:p>
          <w:p>
            <w:pPr>
              <w:pStyle w:val="34"/>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以下为针对本项目风险物质制定的风险防范措施：</w:t>
            </w:r>
          </w:p>
          <w:p>
            <w:pPr>
              <w:pStyle w:val="34"/>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 = 1 \* GB3 \* MERGEFORMAT </w:instrText>
            </w:r>
            <w:r>
              <w:rPr>
                <w:rFonts w:hint="default" w:ascii="Times New Roman" w:hAnsi="Times New Roman" w:cs="Times New Roman"/>
                <w:color w:val="auto"/>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润滑油、液压油：采用专用容器储存存放于</w:t>
            </w:r>
            <w:r>
              <w:rPr>
                <w:rFonts w:hint="default" w:ascii="Times New Roman" w:hAnsi="Times New Roman" w:cs="Times New Roman"/>
                <w:color w:val="auto"/>
                <w:szCs w:val="21"/>
                <w:highlight w:val="none"/>
                <w:lang w:val="en-US" w:eastAsia="zh-CN"/>
              </w:rPr>
              <w:t>原料堆存区</w:t>
            </w:r>
            <w:r>
              <w:rPr>
                <w:rFonts w:hint="default" w:ascii="Times New Roman" w:hAnsi="Times New Roman" w:cs="Times New Roman"/>
                <w:color w:val="auto"/>
                <w:szCs w:val="21"/>
                <w:highlight w:val="none"/>
              </w:rPr>
              <w:t>内，润滑油堆放区设置托盘，将所有桶装润滑油置于托盘内，润滑油托盘有效容积0.5m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，可容纳单个油桶全部泄露物料，禁止明火。</w:t>
            </w:r>
          </w:p>
          <w:p>
            <w:pPr>
              <w:pStyle w:val="34"/>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 = 2 \* GB3 \* MERGEFORMAT </w:instrText>
            </w:r>
            <w:r>
              <w:rPr>
                <w:rFonts w:hint="default" w:ascii="Times New Roman" w:hAnsi="Times New Roman" w:cs="Times New Roman"/>
                <w:color w:val="auto"/>
                <w:szCs w:val="21"/>
                <w:highlight w:val="none"/>
              </w:rPr>
              <w:fldChar w:fldCharType="separate"/>
            </w: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废润滑油、废液压油：采用专用容器储存，暂存于厂区危废暂存间内。</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w:t>
            </w:r>
            <w:r>
              <w:rPr>
                <w:rFonts w:hint="default" w:ascii="Times New Roman" w:hAnsi="Times New Roman" w:cs="Times New Roman"/>
                <w:color w:val="auto"/>
                <w:szCs w:val="21"/>
                <w:highlight w:val="none"/>
                <w:lang w:val="en-US" w:eastAsia="zh-CN"/>
              </w:rPr>
              <w:t>油漆、固化剂、稀释剂存储区采取分类、分区的隔离储存、隔开储存、分离储存方式，并有规范的化学品标识。油漆、稀释剂入库时，应严格检验物品质量、数量、包装情况、有无泄漏。入库后应采取适当的养护措施，在贮存期内，定期检查，发现其品质变化、包装破损、渗漏、稳定剂短缺等，应及时处理；油漆、固化剂、稀释剂存储区内需储存一定量的沙土等吸附剂，储存分区设有围堰，若发生泄露事故，泄露液在围堰中收集后用沙土等吸附剂吸收后送有关部门处置。</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④本项目根据防渗分区划分，生产车间属于一般防渗区，</w:t>
            </w:r>
            <w:r>
              <w:rPr>
                <w:rFonts w:hint="default" w:ascii="Times New Roman" w:hAnsi="Times New Roman" w:cs="Times New Roman"/>
                <w:color w:val="auto"/>
                <w:kern w:val="0"/>
                <w:szCs w:val="21"/>
                <w:highlight w:val="none"/>
              </w:rPr>
              <w:t>车间地面：</w:t>
            </w:r>
            <w:r>
              <w:rPr>
                <w:rFonts w:hint="default" w:ascii="Times New Roman" w:hAnsi="Times New Roman" w:cs="Times New Roman"/>
                <w:color w:val="auto"/>
                <w:szCs w:val="21"/>
                <w:highlight w:val="none"/>
              </w:rPr>
              <w:t>采用抗渗混凝土进行硬化，</w:t>
            </w:r>
            <w:r>
              <w:rPr>
                <w:rFonts w:hint="default" w:ascii="Times New Roman" w:hAnsi="Times New Roman" w:cs="Times New Roman"/>
                <w:bCs/>
                <w:color w:val="auto"/>
                <w:szCs w:val="21"/>
                <w:highlight w:val="none"/>
              </w:rPr>
              <w:t>渗透系数</w:t>
            </w:r>
            <w:r>
              <w:rPr>
                <w:rFonts w:hint="default" w:ascii="Times New Roman" w:hAnsi="Times New Roman" w:cs="Times New Roman"/>
                <w:color w:val="auto"/>
                <w:kern w:val="0"/>
                <w:szCs w:val="21"/>
                <w:highlight w:val="none"/>
              </w:rPr>
              <w:t>≤1×10</w:t>
            </w:r>
            <w:r>
              <w:rPr>
                <w:rFonts w:hint="default" w:ascii="Times New Roman" w:hAnsi="Times New Roman" w:cs="Times New Roman"/>
                <w:color w:val="auto"/>
                <w:szCs w:val="21"/>
                <w:highlight w:val="none"/>
                <w:vertAlign w:val="superscript"/>
              </w:rPr>
              <w:t>-7</w:t>
            </w:r>
            <w:r>
              <w:rPr>
                <w:rFonts w:hint="default" w:ascii="Times New Roman" w:hAnsi="Times New Roman" w:cs="Times New Roman"/>
                <w:color w:val="auto"/>
                <w:kern w:val="0"/>
                <w:szCs w:val="21"/>
                <w:highlight w:val="none"/>
              </w:rPr>
              <w:t>cm/s。</w:t>
            </w:r>
            <w:r>
              <w:rPr>
                <w:rFonts w:hint="default" w:ascii="Times New Roman" w:hAnsi="Times New Roman" w:cs="Times New Roman"/>
                <w:color w:val="auto"/>
                <w:szCs w:val="21"/>
                <w:highlight w:val="none"/>
              </w:rPr>
              <w:t>危废间属于重点防渗区，</w:t>
            </w:r>
            <w:r>
              <w:rPr>
                <w:rFonts w:hint="default" w:ascii="Times New Roman" w:hAnsi="Times New Roman" w:cs="Times New Roman"/>
                <w:color w:val="auto"/>
                <w:kern w:val="24"/>
                <w:szCs w:val="21"/>
                <w:highlight w:val="none"/>
              </w:rPr>
              <w:t>地面采用防渗混凝土浇筑，上层涂2mm厚高密度聚乙烯进行防腐防渗，</w:t>
            </w:r>
            <w:r>
              <w:rPr>
                <w:rFonts w:hint="default" w:ascii="Times New Roman" w:hAnsi="Times New Roman" w:cs="Times New Roman"/>
                <w:color w:val="auto"/>
                <w:highlight w:val="none"/>
              </w:rPr>
              <w:t>墙体和地面连接处向上做防渗20cm，</w:t>
            </w:r>
            <w:r>
              <w:rPr>
                <w:rFonts w:hint="default" w:ascii="Times New Roman" w:hAnsi="Times New Roman" w:cs="Times New Roman"/>
                <w:color w:val="auto"/>
                <w:kern w:val="24"/>
                <w:szCs w:val="21"/>
                <w:highlight w:val="none"/>
              </w:rPr>
              <w:t>渗透系数≤10</w:t>
            </w:r>
            <w:r>
              <w:rPr>
                <w:rFonts w:hint="default" w:ascii="Times New Roman" w:hAnsi="Times New Roman" w:cs="Times New Roman"/>
                <w:color w:val="auto"/>
                <w:kern w:val="24"/>
                <w:szCs w:val="21"/>
                <w:highlight w:val="none"/>
                <w:vertAlign w:val="superscript"/>
              </w:rPr>
              <w:t>-10</w:t>
            </w:r>
            <w:r>
              <w:rPr>
                <w:rFonts w:hint="default" w:ascii="Times New Roman" w:hAnsi="Times New Roman" w:cs="Times New Roman"/>
                <w:color w:val="auto"/>
                <w:kern w:val="24"/>
                <w:szCs w:val="21"/>
                <w:highlight w:val="none"/>
              </w:rPr>
              <w:t>cm/s，</w:t>
            </w:r>
            <w:r>
              <w:rPr>
                <w:rFonts w:hint="default" w:ascii="Times New Roman" w:hAnsi="Times New Roman" w:cs="Times New Roman"/>
                <w:color w:val="auto"/>
                <w:szCs w:val="21"/>
                <w:highlight w:val="none"/>
              </w:rPr>
              <w:t>或参照《危险废物贮存污染控制标准》（GB18597－20</w:t>
            </w:r>
            <w:r>
              <w:rPr>
                <w:rFonts w:hint="eastAsia" w:cs="Times New Roman"/>
                <w:color w:val="auto"/>
                <w:szCs w:val="21"/>
                <w:highlight w:val="none"/>
                <w:lang w:val="en-US" w:eastAsia="zh-CN"/>
              </w:rPr>
              <w:t>23</w:t>
            </w:r>
            <w:r>
              <w:rPr>
                <w:rFonts w:hint="default" w:ascii="Times New Roman" w:hAnsi="Times New Roman" w:cs="Times New Roman"/>
                <w:color w:val="auto"/>
                <w:szCs w:val="21"/>
                <w:highlight w:val="none"/>
              </w:rPr>
              <w:t>）要求进行建设。</w:t>
            </w:r>
          </w:p>
          <w:p>
            <w:pPr>
              <w:pStyle w:val="2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420" w:firstLineChars="200"/>
              <w:textAlignment w:val="baseline"/>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⑤如油类物质发生火灾后，使用干粉或泡沫灭火器灭火，不会产生消防废水。灭火后，消防废物作为危废，委托有资质单位处理。</w:t>
            </w:r>
          </w:p>
          <w:p>
            <w:pPr>
              <w:pStyle w:val="2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42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2"/>
                <w:sz w:val="21"/>
                <w:szCs w:val="24"/>
                <w:highlight w:val="none"/>
                <w:lang w:val="en-US" w:eastAsia="zh-CN" w:bidi="ar-SA"/>
              </w:rPr>
              <w:t>根据要求，编制环境风险应急预案。</w:t>
            </w:r>
          </w:p>
        </w:tc>
      </w:tr>
    </w:tbl>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bCs/>
          <w:color w:val="auto"/>
          <w:szCs w:val="21"/>
          <w:highlight w:val="none"/>
        </w:rPr>
        <w:sectPr>
          <w:pgSz w:w="11907" w:h="16840"/>
          <w:pgMar w:top="1701" w:right="1531" w:bottom="2126" w:left="1531" w:header="851" w:footer="850" w:gutter="0"/>
          <w:pgBorders>
            <w:top w:val="none" w:sz="0" w:space="0"/>
            <w:left w:val="none" w:sz="0" w:space="0"/>
            <w:bottom w:val="none" w:sz="0" w:space="0"/>
            <w:right w:val="none" w:sz="0" w:space="0"/>
          </w:pgBorders>
          <w:pgNumType w:fmt="decimal"/>
          <w:cols w:space="720" w:num="1"/>
          <w:rtlGutter w:val="0"/>
          <w:docGrid w:linePitch="312" w:charSpace="0"/>
        </w:sectPr>
      </w:pPr>
    </w:p>
    <w:p>
      <w:pPr>
        <w:pStyle w:val="31"/>
        <w:pageBreakBefore w:val="0"/>
        <w:kinsoku/>
        <w:wordWrap/>
        <w:overflowPunct/>
        <w:bidi w:val="0"/>
        <w:adjustRightInd w:val="0"/>
        <w:snapToGrid w:val="0"/>
        <w:spacing w:before="0" w:beforeAutospacing="0" w:after="0" w:afterAutospacing="0"/>
        <w:ind w:left="0" w:leftChars="0" w:right="0" w:rightChars="0"/>
        <w:jc w:val="center"/>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0"/>
          <w:szCs w:val="30"/>
          <w:highlight w:val="none"/>
        </w:rPr>
        <w:t>五、</w:t>
      </w:r>
      <w:bookmarkStart w:id="71" w:name="_Hlk54167917"/>
      <w:r>
        <w:rPr>
          <w:rFonts w:hint="default" w:ascii="Times New Roman" w:hAnsi="Times New Roman" w:eastAsia="宋体" w:cs="Times New Roman"/>
          <w:snapToGrid w:val="0"/>
          <w:color w:val="auto"/>
          <w:sz w:val="30"/>
          <w:szCs w:val="30"/>
          <w:highlight w:val="none"/>
        </w:rPr>
        <w:t>环境保护措施监督检查清单</w:t>
      </w:r>
      <w:bookmarkEnd w:id="71"/>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297"/>
        <w:gridCol w:w="950"/>
        <w:gridCol w:w="2576"/>
        <w:gridCol w:w="25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tcBorders>
              <w:tl2br w:val="single" w:color="auto" w:sz="4" w:space="0"/>
            </w:tcBorders>
            <w:noWrap w:val="0"/>
            <w:vAlign w:val="top"/>
          </w:tcPr>
          <w:p>
            <w:pPr>
              <w:pageBreakBefore w:val="0"/>
              <w:kinsoku/>
              <w:wordWrap/>
              <w:overflowPunct/>
              <w:bidi w:val="0"/>
              <w:adjustRightInd w:val="0"/>
              <w:snapToGrid w:val="0"/>
              <w:spacing w:beforeAutospacing="0" w:afterAutospacing="0"/>
              <w:ind w:left="0" w:leftChars="0" w:right="0" w:rightChars="0" w:firstLine="84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内容</w:t>
            </w: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要素</w:t>
            </w: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排放口(编号、名称)/污染源</w:t>
            </w: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污染物项目</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环境保护措施</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restart"/>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激光切割</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cs="Times New Roman"/>
                <w:snapToGrid w:val="0"/>
                <w:color w:val="auto"/>
                <w:sz w:val="21"/>
                <w:szCs w:val="21"/>
                <w:highlight w:val="none"/>
                <w:lang w:val="en-US" w:eastAsia="zh-CN"/>
              </w:rPr>
              <w:t>13</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钢铁工业大气污染物超低排放标准</w:t>
            </w:r>
            <w:r>
              <w:rPr>
                <w:rFonts w:hint="default" w:ascii="Times New Roman" w:hAnsi="Times New Roman" w:eastAsia="宋体" w:cs="Times New Roman"/>
                <w:bCs/>
                <w:color w:val="auto"/>
                <w:sz w:val="21"/>
                <w:szCs w:val="21"/>
                <w:highlight w:val="none"/>
                <w:lang w:eastAsia="zh-CN"/>
              </w:rPr>
              <w:t>》（DB13/2169—2018）</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颗粒物排放浓度</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等离子切割</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eastAsia="宋体" w:cs="Times New Roman"/>
                <w:snapToGrid w:val="0"/>
                <w:color w:val="auto"/>
                <w:sz w:val="21"/>
                <w:szCs w:val="21"/>
                <w:highlight w:val="none"/>
                <w:lang w:val="en-US" w:eastAsia="zh-CN"/>
              </w:rPr>
              <w:t>1</w:t>
            </w:r>
            <w:r>
              <w:rPr>
                <w:rFonts w:hint="default" w:ascii="Times New Roman" w:hAnsi="Times New Roman" w:cs="Times New Roman"/>
                <w:snapToGrid w:val="0"/>
                <w:color w:val="auto"/>
                <w:sz w:val="21"/>
                <w:szCs w:val="21"/>
                <w:highlight w:val="none"/>
                <w:lang w:val="en-US" w:eastAsia="zh-CN"/>
              </w:rPr>
              <w:t>8</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固定工位焊接+2台焊接机器人</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eastAsia="宋体" w:cs="Times New Roman"/>
                <w:snapToGrid w:val="0"/>
                <w:color w:val="auto"/>
                <w:sz w:val="21"/>
                <w:szCs w:val="21"/>
                <w:highlight w:val="none"/>
                <w:lang w:val="en-US" w:eastAsia="zh-CN"/>
              </w:rPr>
              <w:t>30</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3台焊接机器人</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eastAsia="宋体" w:cs="Times New Roman"/>
                <w:snapToGrid w:val="0"/>
                <w:color w:val="auto"/>
                <w:sz w:val="21"/>
                <w:szCs w:val="21"/>
                <w:highlight w:val="none"/>
                <w:lang w:val="en-US" w:eastAsia="zh-CN"/>
              </w:rPr>
              <w:t>15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抛丸</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eastAsia="宋体" w:cs="Times New Roman"/>
                <w:snapToGrid w:val="0"/>
                <w:color w:val="auto"/>
                <w:sz w:val="21"/>
                <w:szCs w:val="21"/>
                <w:highlight w:val="none"/>
                <w:lang w:val="en-US" w:eastAsia="zh-CN"/>
              </w:rPr>
              <w:t>30</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喷漆、晾干</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颗粒物、非甲烷总烃、苯、甲苯、二甲苯</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喷淋塔+过滤棉+活性炭吸附/脱附+催化燃烧+15m排气筒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52</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highlight w:val="none"/>
                <w:lang w:val="en-US" w:eastAsia="zh-CN"/>
              </w:rPr>
              <w:t>漆雾（颗粒物）排放浓度</w:t>
            </w:r>
            <w:r>
              <w:rPr>
                <w:rFonts w:hint="default" w:ascii="Times New Roman" w:hAnsi="Times New Roman" w:eastAsia="宋体" w:cs="Times New Roman"/>
                <w:color w:val="auto"/>
                <w:spacing w:val="-1"/>
                <w:sz w:val="21"/>
                <w:szCs w:val="21"/>
                <w:highlight w:val="none"/>
                <w:lang w:val="en-US" w:eastAsia="zh-CN"/>
              </w:rPr>
              <w:t>参照</w:t>
            </w:r>
            <w:r>
              <w:rPr>
                <w:rFonts w:hint="default" w:ascii="Times New Roman" w:hAnsi="Times New Roman" w:eastAsia="宋体" w:cs="Times New Roman"/>
                <w:color w:val="auto"/>
                <w:spacing w:val="-1"/>
                <w:sz w:val="21"/>
                <w:szCs w:val="21"/>
                <w:highlight w:val="none"/>
              </w:rPr>
              <w:t>执行</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钢铁工业大气污染物超低排放标准</w:t>
            </w:r>
            <w:r>
              <w:rPr>
                <w:rFonts w:hint="default" w:ascii="Times New Roman" w:hAnsi="Times New Roman" w:eastAsia="宋体" w:cs="Times New Roman"/>
                <w:color w:val="auto"/>
                <w:spacing w:val="-1"/>
                <w:sz w:val="21"/>
                <w:szCs w:val="21"/>
                <w:highlight w:val="none"/>
                <w:lang w:eastAsia="zh-CN"/>
              </w:rPr>
              <w:t>》（DB13/2169—2018）</w:t>
            </w:r>
            <w:r>
              <w:rPr>
                <w:rFonts w:hint="default" w:ascii="Times New Roman" w:hAnsi="Times New Roman" w:eastAsia="宋体" w:cs="Times New Roman"/>
                <w:color w:val="auto"/>
                <w:spacing w:val="-1"/>
                <w:sz w:val="21"/>
                <w:szCs w:val="21"/>
                <w:highlight w:val="none"/>
                <w:lang w:val="en-US" w:eastAsia="zh-CN"/>
              </w:rPr>
              <w:t>标准要求（10</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eastAsia="宋体" w:cs="Times New Roman"/>
                <w:color w:val="auto"/>
                <w:spacing w:val="-1"/>
                <w:sz w:val="21"/>
                <w:szCs w:val="21"/>
                <w:highlight w:val="none"/>
                <w:lang w:val="en-US" w:eastAsia="zh-CN"/>
              </w:rPr>
              <w:t>）</w:t>
            </w:r>
            <w:r>
              <w:rPr>
                <w:rFonts w:hint="default" w:ascii="Times New Roman" w:hAnsi="Times New Roman" w:cs="Times New Roman"/>
                <w:color w:val="auto"/>
                <w:sz w:val="21"/>
                <w:szCs w:val="21"/>
                <w:highlight w:val="none"/>
                <w:lang w:val="en-US" w:eastAsia="zh-CN"/>
              </w:rPr>
              <w:t>；甲苯和二甲苯合计、苯、非甲烷总烃排放浓度执行《工业企业挥发性有机物排放控制标准》（DB13/2322-2016）中“表面涂装业”标准：“甲苯与二甲苯合计”20mg/m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；苯1.0mg/m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；非甲烷总烃60mg/m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，最低去除效率70%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喷涂</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颗粒物、非甲烷总烃、苯、甲苯、二甲苯</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喷淋塔+过滤棉+活性炭吸附/脱附+催化燃烧+15m排气筒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4</w:t>
            </w:r>
            <w:r>
              <w:rPr>
                <w:rFonts w:hint="default" w:ascii="Times New Roman" w:hAnsi="Times New Roman" w:eastAsia="宋体" w:cs="Times New Roman"/>
                <w:snapToGrid w:val="0"/>
                <w:color w:val="auto"/>
                <w:sz w:val="21"/>
                <w:szCs w:val="21"/>
                <w:highlight w:val="none"/>
                <w:lang w:val="en-US" w:eastAsia="zh-CN"/>
              </w:rPr>
              <w:t>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打磨胶板</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布袋除尘器</w:t>
            </w:r>
            <w:r>
              <w:rPr>
                <w:rFonts w:hint="default" w:ascii="Times New Roman" w:hAnsi="Times New Roman" w:eastAsia="宋体" w:cs="Times New Roman"/>
                <w:snapToGrid w:val="0"/>
                <w:color w:val="auto"/>
                <w:sz w:val="21"/>
                <w:szCs w:val="21"/>
                <w:highlight w:val="none"/>
              </w:rPr>
              <w:t>+15m排气筒，风机风量</w:t>
            </w:r>
            <w:r>
              <w:rPr>
                <w:rFonts w:hint="default" w:ascii="Times New Roman" w:hAnsi="Times New Roman" w:eastAsia="宋体" w:cs="Times New Roman"/>
                <w:snapToGrid w:val="0"/>
                <w:color w:val="auto"/>
                <w:sz w:val="21"/>
                <w:szCs w:val="21"/>
                <w:highlight w:val="none"/>
                <w:lang w:val="en-US" w:eastAsia="zh-CN"/>
              </w:rPr>
              <w:t>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钢铁工业大气污染物超低排放标准</w:t>
            </w:r>
            <w:r>
              <w:rPr>
                <w:rFonts w:hint="default" w:ascii="Times New Roman" w:hAnsi="Times New Roman" w:eastAsia="宋体" w:cs="Times New Roman"/>
                <w:bCs/>
                <w:color w:val="auto"/>
                <w:sz w:val="21"/>
                <w:szCs w:val="21"/>
                <w:highlight w:val="none"/>
                <w:lang w:eastAsia="zh-CN"/>
              </w:rPr>
              <w:t>》（DB13/2169—2018）</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颗粒物排放浓度</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粘胶1</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非甲烷总烃、甲苯</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48</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color w:val="auto"/>
                <w:sz w:val="21"/>
                <w:szCs w:val="21"/>
                <w:highlight w:val="none"/>
                <w:lang w:val="en-US" w:eastAsia="zh-CN"/>
              </w:rPr>
              <w:t>甲苯和二甲苯合计、非甲烷总烃排放浓度执行《工业企业挥发性有机物排放控制标准》（DB13/2322-2016）中“表面涂装业”标准：“甲苯与二甲苯合计”20mg/m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；非甲烷总烃60mg/m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，最低去除效率70%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粘胶2</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非甲烷总烃、甲苯</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4</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配料、捏炼、开炼1</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集气罩+脉冲布袋除尘器+活性炭吸附/脱附+催化燃烧+15m排气筒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35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r>
              <w:rPr>
                <w:rFonts w:hint="eastAsia" w:cs="Times New Roman"/>
                <w:color w:val="auto"/>
                <w:sz w:val="21"/>
                <w:szCs w:val="21"/>
                <w:highlight w:val="none"/>
                <w:lang w:val="en-US" w:eastAsia="zh-CN"/>
              </w:rPr>
              <w:t>橡胶捏炼、开炼、挤出、硫化过程产生的颗粒物、非甲烷总烃执行《橡胶制品工业污染物排放标准》(GB27632-2011)表5中的排放浓度限值相关要求：颗粒物12mg/m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 xml:space="preserve"> ，非甲烷总烃10mg/m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2</w:t>
            </w:r>
            <w:r>
              <w:rPr>
                <w:rFonts w:hint="eastAsia" w:cs="Times New Roman"/>
                <w:color w:val="auto"/>
                <w:sz w:val="21"/>
                <w:szCs w:val="21"/>
                <w:highlight w:val="none"/>
                <w:lang w:val="en-US" w:eastAsia="zh-CN"/>
              </w:rPr>
              <w:t>S执行《恶臭污染物排放标准》（GB14554-93）表2相关要求：H</w:t>
            </w:r>
            <w:r>
              <w:rPr>
                <w:rFonts w:hint="eastAsia" w:cs="Times New Roman"/>
                <w:color w:val="auto"/>
                <w:sz w:val="21"/>
                <w:szCs w:val="21"/>
                <w:highlight w:val="none"/>
                <w:vertAlign w:val="subscript"/>
                <w:lang w:val="en-US" w:eastAsia="zh-CN"/>
              </w:rPr>
              <w:t>2</w:t>
            </w:r>
            <w:r>
              <w:rPr>
                <w:rFonts w:hint="eastAsia" w:cs="Times New Roman"/>
                <w:color w:val="auto"/>
                <w:sz w:val="21"/>
                <w:szCs w:val="21"/>
                <w:highlight w:val="none"/>
                <w:lang w:val="en-US" w:eastAsia="zh-CN"/>
              </w:rPr>
              <w:t>S：15m排气筒排放速率0.33kg/h。臭气浓度执行《恶臭污染物排放标准》（GB14554-93）表 2 相关要求：臭气浓度：2000。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配料、捏炼、开炼2</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集气罩+脉冲布袋除尘器+活性炭吸附/脱附+催化燃烧+15m排气筒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38</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硫化</w:t>
            </w:r>
            <w:r>
              <w:rPr>
                <w:rFonts w:hint="eastAsia" w:ascii="Times New Roman" w:hAnsi="Times New Roman" w:eastAsia="宋体" w:cs="Times New Roman"/>
                <w:color w:val="auto"/>
                <w:sz w:val="21"/>
                <w:szCs w:val="21"/>
                <w:highlight w:val="none"/>
                <w:lang w:val="en-US" w:eastAsia="zh-CN"/>
              </w:rPr>
              <w:t>1</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集气罩+活性炭吸附/脱附+催化燃烧+15m排气筒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35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硫化</w:t>
            </w:r>
            <w:r>
              <w:rPr>
                <w:rFonts w:hint="eastAsia" w:ascii="Times New Roman" w:hAnsi="Times New Roman" w:eastAsia="宋体" w:cs="Times New Roman"/>
                <w:color w:val="auto"/>
                <w:sz w:val="21"/>
                <w:szCs w:val="21"/>
                <w:highlight w:val="none"/>
                <w:lang w:val="en-US" w:eastAsia="zh-CN"/>
              </w:rPr>
              <w:t>2</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集气罩+活性炭吸附/脱附+催化燃烧+15m排气筒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37</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硫化</w:t>
            </w:r>
            <w:r>
              <w:rPr>
                <w:rFonts w:hint="eastAsia" w:ascii="Times New Roman" w:hAnsi="Times New Roman" w:eastAsia="宋体" w:cs="Times New Roman"/>
                <w:color w:val="auto"/>
                <w:sz w:val="21"/>
                <w:szCs w:val="21"/>
                <w:highlight w:val="none"/>
                <w:lang w:val="en-US" w:eastAsia="zh-CN"/>
              </w:rPr>
              <w:t>3</w:t>
            </w:r>
          </w:p>
        </w:tc>
        <w:tc>
          <w:tcPr>
            <w:tcW w:w="950" w:type="dxa"/>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rPr>
              <w:t>集气罩+活性炭吸附/脱附+催化燃烧+15m排气筒</w:t>
            </w:r>
            <w:r>
              <w:rPr>
                <w:rFonts w:hint="default" w:ascii="Times New Roman" w:hAnsi="Times New Roman" w:cs="Times New Roman"/>
                <w:snapToGrid w:val="0"/>
                <w:color w:val="auto"/>
                <w:sz w:val="21"/>
                <w:szCs w:val="21"/>
                <w:highlight w:val="none"/>
                <w:lang w:val="en-US" w:eastAsia="zh-CN"/>
              </w:rPr>
              <w:t>，</w:t>
            </w:r>
            <w:r>
              <w:rPr>
                <w:rFonts w:hint="default" w:ascii="Times New Roman" w:hAnsi="Times New Roman" w:eastAsia="宋体" w:cs="Times New Roman"/>
                <w:snapToGrid w:val="0"/>
                <w:color w:val="auto"/>
                <w:sz w:val="21"/>
                <w:szCs w:val="21"/>
                <w:highlight w:val="none"/>
              </w:rPr>
              <w:t>风机风量</w:t>
            </w:r>
            <w:r>
              <w:rPr>
                <w:rFonts w:hint="eastAsia" w:cs="Times New Roman"/>
                <w:snapToGrid w:val="0"/>
                <w:color w:val="auto"/>
                <w:sz w:val="21"/>
                <w:szCs w:val="21"/>
                <w:highlight w:val="none"/>
                <w:lang w:val="en-US" w:eastAsia="zh-CN"/>
              </w:rPr>
              <w:t>35</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，1套</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食堂</w:t>
            </w: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食堂油烟</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油烟净化器+预留烟道于食堂所在楼顶排放，1套，风机风量</w:t>
            </w:r>
            <w:r>
              <w:rPr>
                <w:rFonts w:hint="eastAsia"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《饮食业油烟排放标准（试行）》（GB18483-2001）中型规模排放限值要求（排放浓度小于 2.0mg/m</w:t>
            </w:r>
            <w:r>
              <w:rPr>
                <w:rFonts w:hint="default" w:ascii="Times New Roman" w:hAnsi="Times New Roman" w:eastAsia="宋体" w:cs="Times New Roman"/>
                <w:color w:val="auto"/>
                <w:sz w:val="21"/>
                <w:szCs w:val="21"/>
                <w:highlight w:val="none"/>
                <w:vertAlign w:val="superscript"/>
                <w:lang w:val="en-US" w:eastAsia="zh-CN"/>
              </w:rPr>
              <w:t xml:space="preserve"> 3</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lang w:val="en-US" w:eastAsia="zh-CN"/>
              </w:rPr>
              <w:t>去除率大于75%）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角磨机</w:t>
            </w: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cs="Times New Roman"/>
                <w:snapToGrid w:val="0"/>
                <w:color w:val="auto"/>
                <w:sz w:val="21"/>
                <w:szCs w:val="21"/>
                <w:highlight w:val="none"/>
                <w:lang w:val="en-US" w:eastAsia="zh-CN"/>
              </w:rPr>
              <w:t>移动式焊接烟尘净化器处理后车间内无组织排放，</w:t>
            </w:r>
            <w:r>
              <w:rPr>
                <w:rFonts w:hint="default" w:ascii="Times New Roman" w:hAnsi="Times New Roman" w:eastAsia="宋体" w:cs="Times New Roman"/>
                <w:snapToGrid w:val="0"/>
                <w:color w:val="auto"/>
                <w:sz w:val="21"/>
                <w:szCs w:val="21"/>
                <w:highlight w:val="none"/>
              </w:rPr>
              <w:t>风机风量</w:t>
            </w:r>
            <w:r>
              <w:rPr>
                <w:rFonts w:hint="default" w:ascii="Times New Roman" w:hAnsi="Times New Roman" w:eastAsia="宋体" w:cs="Times New Roman"/>
                <w:snapToGrid w:val="0"/>
                <w:color w:val="auto"/>
                <w:sz w:val="21"/>
                <w:szCs w:val="21"/>
                <w:highlight w:val="none"/>
                <w:lang w:val="en-US" w:eastAsia="zh-CN"/>
              </w:rPr>
              <w:t>2</w:t>
            </w:r>
            <w:r>
              <w:rPr>
                <w:rFonts w:hint="default" w:ascii="Times New Roman" w:hAnsi="Times New Roman" w:eastAsia="宋体" w:cs="Times New Roman"/>
                <w:snapToGrid w:val="0"/>
                <w:color w:val="auto"/>
                <w:sz w:val="21"/>
                <w:szCs w:val="21"/>
                <w:highlight w:val="none"/>
                <w:lang w:eastAsia="zh-CN"/>
              </w:rPr>
              <w:t>000</w:t>
            </w: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/h</w:t>
            </w:r>
            <w:r>
              <w:rPr>
                <w:rFonts w:hint="default" w:ascii="Times New Roman" w:hAnsi="Times New Roman" w:eastAsia="宋体" w:cs="Times New Roman"/>
                <w:color w:val="auto"/>
                <w:sz w:val="21"/>
                <w:szCs w:val="21"/>
                <w:highlight w:val="none"/>
                <w:lang w:val="en-US" w:eastAsia="zh-CN"/>
              </w:rPr>
              <w:t>，5套</w:t>
            </w:r>
          </w:p>
        </w:tc>
        <w:tc>
          <w:tcPr>
            <w:tcW w:w="2591"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rPr>
              <w:t>《大气污染物综合排放标准》（GB16297-1996）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颗粒物无组织排放浓度</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w:t>
            </w: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颗粒物</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2591"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vMerge w:val="continue"/>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129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非甲烷总烃、苯、甲苯、二甲苯</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《工业企业挥发性有机物排放控制标准》（DB13/2322-2016）</w:t>
            </w:r>
            <w:r>
              <w:rPr>
                <w:rFonts w:hint="default" w:ascii="Times New Roman" w:hAnsi="Times New Roman" w:cs="Times New Roman"/>
                <w:color w:val="auto"/>
                <w:sz w:val="21"/>
                <w:szCs w:val="21"/>
                <w:highlight w:val="none"/>
                <w:lang w:val="en-US" w:eastAsia="zh-CN"/>
              </w:rPr>
              <w:t>表2厂区边界</w:t>
            </w:r>
            <w:r>
              <w:rPr>
                <w:rFonts w:hint="default" w:ascii="Times New Roman" w:hAnsi="Times New Roman" w:eastAsia="宋体" w:cs="Times New Roman"/>
                <w:color w:val="auto"/>
                <w:sz w:val="21"/>
                <w:szCs w:val="21"/>
                <w:highlight w:val="none"/>
              </w:rPr>
              <w:t>非甲烷总烃2.0mg/m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苯0.1</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甲苯0.6</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二甲苯0.2</w:t>
            </w: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同时</w:t>
            </w:r>
            <w:r>
              <w:rPr>
                <w:rFonts w:hint="default" w:ascii="Times New Roman" w:hAnsi="Times New Roman" w:cs="Times New Roman"/>
                <w:color w:val="auto"/>
                <w:sz w:val="21"/>
                <w:szCs w:val="21"/>
              </w:rPr>
              <w:t>执行</w:t>
            </w:r>
            <w:r>
              <w:rPr>
                <w:rFonts w:hint="default" w:ascii="Times New Roman" w:hAnsi="Times New Roman" w:cs="Times New Roman"/>
                <w:bCs/>
                <w:color w:val="auto"/>
                <w:sz w:val="21"/>
                <w:szCs w:val="21"/>
              </w:rPr>
              <w:t>《挥发性有机物无组织排放控制标准》（GB37822-2019）中标准（</w:t>
            </w:r>
            <w:r>
              <w:rPr>
                <w:rFonts w:hint="default" w:ascii="Times New Roman" w:hAnsi="Times New Roman" w:cs="Times New Roman"/>
                <w:color w:val="auto"/>
                <w:sz w:val="21"/>
                <w:szCs w:val="21"/>
              </w:rPr>
              <w:t>非甲烷总烃：厂房外监控</w:t>
            </w:r>
            <w:r>
              <w:rPr>
                <w:rFonts w:hint="default" w:ascii="Times New Roman" w:hAnsi="Times New Roman" w:cs="Times New Roman"/>
                <w:color w:val="auto"/>
                <w:sz w:val="21"/>
                <w:szCs w:val="21"/>
                <w:lang w:val="en-US" w:eastAsia="zh-CN"/>
              </w:rPr>
              <w:t>点处1h平均浓度值6.0mg/m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，厂房外监控点处任意一次浓度值20.0mg/m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46" w:type="dxa"/>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地表水环境</w:t>
            </w:r>
          </w:p>
        </w:tc>
        <w:tc>
          <w:tcPr>
            <w:tcW w:w="1297" w:type="dxa"/>
            <w:noWrap w:val="0"/>
            <w:vAlign w:val="center"/>
          </w:tcPr>
          <w:p>
            <w:pPr>
              <w:keepNext w:val="0"/>
              <w:keepLines w:val="0"/>
              <w:pageBreakBefore w:val="0"/>
              <w:widowControl w:val="0"/>
              <w:kinsoku/>
              <w:wordWrap/>
              <w:overflowPunct/>
              <w:topLinePunct w:val="0"/>
              <w:bidi w:val="0"/>
              <w:adjustRightInd w:val="0"/>
              <w:snapToGrid w:val="0"/>
              <w:spacing w:beforeAutospacing="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生活污水</w:t>
            </w:r>
          </w:p>
        </w:tc>
        <w:tc>
          <w:tcPr>
            <w:tcW w:w="950" w:type="dxa"/>
            <w:noWrap w:val="0"/>
            <w:vAlign w:val="center"/>
          </w:tcPr>
          <w:p>
            <w:pPr>
              <w:keepNext w:val="0"/>
              <w:keepLines w:val="0"/>
              <w:pageBreakBefore w:val="0"/>
              <w:widowControl w:val="0"/>
              <w:kinsoku/>
              <w:wordWrap/>
              <w:overflowPunct/>
              <w:topLinePunct w:val="0"/>
              <w:bidi w:val="0"/>
              <w:adjustRightInd w:val="0"/>
              <w:snapToGrid w:val="0"/>
              <w:spacing w:beforeAutospacing="0" w:afterAutospacing="0" w:line="240" w:lineRule="auto"/>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SS、</w:t>
            </w:r>
            <w:r>
              <w:rPr>
                <w:rFonts w:hint="default" w:ascii="Times New Roman" w:hAnsi="Times New Roman" w:eastAsia="宋体" w:cs="Times New Roman"/>
                <w:color w:val="auto"/>
                <w:sz w:val="21"/>
                <w:szCs w:val="21"/>
                <w:highlight w:val="none"/>
                <w:lang w:val="en-US" w:eastAsia="zh-CN"/>
              </w:rPr>
              <w:t>COD</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总氮</w:t>
            </w:r>
            <w:r>
              <w:rPr>
                <w:rFonts w:hint="default" w:ascii="Times New Roman" w:hAnsi="Times New Roman" w:eastAsia="宋体" w:cs="Times New Roman"/>
                <w:color w:val="auto"/>
                <w:sz w:val="21"/>
                <w:szCs w:val="21"/>
                <w:highlight w:val="none"/>
                <w:lang w:eastAsia="zh-CN"/>
              </w:rPr>
              <w:t>、氨氮、</w:t>
            </w:r>
            <w:r>
              <w:rPr>
                <w:rFonts w:hint="default" w:ascii="Times New Roman" w:hAnsi="Times New Roman" w:eastAsia="宋体" w:cs="Times New Roman"/>
                <w:color w:val="auto"/>
                <w:sz w:val="21"/>
                <w:szCs w:val="21"/>
                <w:highlight w:val="none"/>
                <w:lang w:val="en-US" w:eastAsia="zh-CN"/>
              </w:rPr>
              <w:t>总磷等</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食堂废水经隔油池处理后，汇同其他生活污水排入园区污水处理厂</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外排水执行</w:t>
            </w:r>
            <w:r>
              <w:rPr>
                <w:rFonts w:hint="default" w:ascii="Times New Roman" w:hAnsi="Times New Roman" w:eastAsia="宋体" w:cs="Times New Roman"/>
                <w:bCs/>
                <w:color w:val="auto"/>
                <w:sz w:val="21"/>
                <w:szCs w:val="21"/>
                <w:highlight w:val="none"/>
                <w:lang w:val="en-US" w:eastAsia="zh-CN"/>
              </w:rPr>
              <w:t>《污水综合排放标准》（GB8978-1996）的三级标准、《污水排入城镇下水道水质标准》（GB/T31962-2015）中限值要求，同时满足</w:t>
            </w:r>
            <w:r>
              <w:rPr>
                <w:rFonts w:hint="default" w:ascii="Times New Roman" w:hAnsi="Times New Roman" w:cs="Times New Roman"/>
                <w:bCs/>
                <w:color w:val="auto"/>
                <w:sz w:val="21"/>
                <w:szCs w:val="21"/>
                <w:highlight w:val="none"/>
                <w:lang w:val="en-US" w:eastAsia="zh-CN"/>
              </w:rPr>
              <w:t>园区</w:t>
            </w:r>
            <w:r>
              <w:rPr>
                <w:rFonts w:hint="default" w:ascii="Times New Roman" w:hAnsi="Times New Roman" w:eastAsia="宋体" w:cs="Times New Roman"/>
                <w:bCs/>
                <w:color w:val="auto"/>
                <w:sz w:val="21"/>
                <w:szCs w:val="21"/>
                <w:highlight w:val="none"/>
                <w:lang w:val="en-US" w:eastAsia="zh-CN"/>
              </w:rPr>
              <w:t>污水处理厂进水水质要求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1646" w:type="dxa"/>
            <w:noWrap w:val="0"/>
            <w:vAlign w:val="center"/>
          </w:tcPr>
          <w:p>
            <w:pPr>
              <w:pageBreakBefore w:val="0"/>
              <w:kinsoku/>
              <w:wordWrap/>
              <w:overflowPunct/>
              <w:bidi w:val="0"/>
              <w:adjustRightInd w:val="0"/>
              <w:snapToGrid w:val="0"/>
              <w:spacing w:beforeAutospacing="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w:t>
            </w:r>
          </w:p>
        </w:tc>
        <w:tc>
          <w:tcPr>
            <w:tcW w:w="129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生产设备、泵类风机等</w:t>
            </w:r>
          </w:p>
        </w:tc>
        <w:tc>
          <w:tcPr>
            <w:tcW w:w="95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连续等效</w:t>
            </w:r>
            <w:r>
              <w:rPr>
                <w:rFonts w:hint="default" w:ascii="Times New Roman" w:hAnsi="Times New Roman" w:eastAsia="宋体" w:cs="Times New Roman"/>
                <w:color w:val="auto"/>
                <w:sz w:val="21"/>
                <w:szCs w:val="21"/>
                <w:highlight w:val="none"/>
                <w:lang w:val="en-US" w:eastAsia="zh-CN"/>
              </w:rPr>
              <w:t>A声级</w:t>
            </w:r>
          </w:p>
        </w:tc>
        <w:tc>
          <w:tcPr>
            <w:tcW w:w="25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厂房隔声、基础减振</w:t>
            </w:r>
          </w:p>
        </w:tc>
        <w:tc>
          <w:tcPr>
            <w:tcW w:w="259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厂界噪声可满足《工业企业厂界环境噪声排放标准》（GB12348-2008）3类标准要求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46"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7414"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rightChars="0"/>
              <w:jc w:val="lef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一般固废</w:t>
            </w:r>
            <w:r>
              <w:rPr>
                <w:rFonts w:hint="default" w:ascii="Times New Roman" w:hAnsi="Times New Roman" w:eastAsia="宋体" w:cs="Times New Roman"/>
                <w:color w:val="auto"/>
                <w:kern w:val="2"/>
                <w:sz w:val="21"/>
                <w:szCs w:val="21"/>
                <w:highlight w:val="none"/>
                <w:lang w:val="en-US" w:eastAsia="zh-CN" w:bidi="ar-SA"/>
              </w:rPr>
              <w:t>：金属边角料、废焊丝、废钢丸、除尘灰、废布袋</w:t>
            </w:r>
            <w:r>
              <w:rPr>
                <w:rFonts w:hint="default" w:ascii="Times New Roman" w:hAnsi="Times New Roman" w:cs="Times New Roman"/>
                <w:color w:val="auto"/>
                <w:kern w:val="2"/>
                <w:sz w:val="21"/>
                <w:szCs w:val="21"/>
                <w:highlight w:val="none"/>
                <w:lang w:val="en-US" w:eastAsia="zh-CN" w:bidi="ar-SA"/>
              </w:rPr>
              <w:t>暂存一般固废暂存区，定期</w:t>
            </w:r>
            <w:r>
              <w:rPr>
                <w:rFonts w:hint="default" w:ascii="Times New Roman" w:hAnsi="Times New Roman" w:eastAsia="宋体" w:cs="Times New Roman"/>
                <w:color w:val="auto"/>
                <w:kern w:val="2"/>
                <w:sz w:val="21"/>
                <w:szCs w:val="21"/>
                <w:highlight w:val="none"/>
                <w:lang w:val="en-US" w:eastAsia="zh-CN" w:bidi="ar-SA"/>
              </w:rPr>
              <w:t>外售</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rightChars="0"/>
              <w:jc w:val="left"/>
              <w:textAlignment w:val="auto"/>
              <w:rPr>
                <w:rFonts w:hint="default" w:ascii="Times New Roman" w:hAnsi="Times New Roman" w:eastAsia="宋体" w:cs="Times New Roman"/>
                <w:color w:val="auto"/>
                <w:w w:val="100"/>
                <w:kern w:val="0"/>
                <w:sz w:val="21"/>
                <w:szCs w:val="21"/>
                <w:highlight w:val="none"/>
                <w:lang w:val="en-US" w:eastAsia="zh-CN"/>
              </w:rPr>
            </w:pPr>
            <w:r>
              <w:rPr>
                <w:rFonts w:hint="default" w:ascii="Times New Roman" w:hAnsi="Times New Roman" w:eastAsia="宋体" w:cs="Times New Roman"/>
                <w:b/>
                <w:bCs/>
                <w:color w:val="auto"/>
                <w:sz w:val="21"/>
                <w:szCs w:val="21"/>
                <w:highlight w:val="none"/>
                <w:lang w:eastAsia="zh-CN"/>
              </w:rPr>
              <w:t>危险固废</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w w:val="100"/>
                <w:sz w:val="21"/>
                <w:highlight w:val="none"/>
                <w:lang w:val="en-US" w:eastAsia="zh-CN"/>
              </w:rPr>
              <w:t>含油金属屑单独收集后</w:t>
            </w:r>
            <w:r>
              <w:rPr>
                <w:rFonts w:hint="default" w:ascii="Times New Roman" w:hAnsi="Times New Roman" w:cs="Times New Roman"/>
                <w:color w:val="auto"/>
                <w:szCs w:val="21"/>
                <w:highlight w:val="none"/>
              </w:rPr>
              <w:t>含油金属屑通过甩油机甩油后，静置无滴漏，金属屑和滤出切削液分别放置不同容器中；暂存危废间，金属屑定期外售铸造厂用于金属冶炼，滤出切削液委托有资质单位定期收集处置</w:t>
            </w:r>
            <w:r>
              <w:rPr>
                <w:rFonts w:hint="default" w:ascii="Times New Roman" w:hAnsi="Times New Roman" w:cs="Times New Roman"/>
                <w:color w:val="auto"/>
                <w:szCs w:val="21"/>
                <w:highlight w:val="none"/>
                <w:lang w:eastAsia="zh-CN"/>
              </w:rPr>
              <w:t>；</w:t>
            </w:r>
            <w:r>
              <w:rPr>
                <w:rFonts w:hint="default" w:ascii="Times New Roman" w:hAnsi="Times New Roman" w:eastAsia="宋体" w:cs="Times New Roman"/>
                <w:color w:val="auto"/>
                <w:kern w:val="2"/>
                <w:sz w:val="21"/>
                <w:szCs w:val="21"/>
                <w:highlight w:val="none"/>
                <w:lang w:val="en-US" w:eastAsia="zh-CN" w:bidi="ar-SA"/>
              </w:rPr>
              <w:t>废润滑油、</w:t>
            </w:r>
            <w:r>
              <w:rPr>
                <w:rFonts w:hint="default" w:ascii="Times New Roman" w:hAnsi="Times New Roman" w:cs="Times New Roman"/>
                <w:color w:val="auto"/>
                <w:kern w:val="2"/>
                <w:sz w:val="21"/>
                <w:szCs w:val="21"/>
                <w:highlight w:val="none"/>
                <w:lang w:val="en-US" w:eastAsia="zh-CN" w:bidi="ar-SA"/>
              </w:rPr>
              <w:t>切削液</w:t>
            </w:r>
            <w:r>
              <w:rPr>
                <w:rFonts w:hint="default" w:ascii="Times New Roman" w:hAnsi="Times New Roman" w:eastAsia="宋体" w:cs="Times New Roman"/>
                <w:color w:val="auto"/>
                <w:kern w:val="2"/>
                <w:sz w:val="21"/>
                <w:szCs w:val="21"/>
                <w:highlight w:val="none"/>
                <w:lang w:val="en-US" w:eastAsia="zh-CN" w:bidi="ar-SA"/>
              </w:rPr>
              <w:t>、废油桶、废活性炭、</w:t>
            </w:r>
            <w:r>
              <w:rPr>
                <w:rFonts w:hint="default" w:ascii="Times New Roman" w:hAnsi="Times New Roman" w:cs="Times New Roman"/>
                <w:color w:val="auto"/>
                <w:kern w:val="2"/>
                <w:sz w:val="21"/>
                <w:szCs w:val="21"/>
                <w:highlight w:val="none"/>
                <w:lang w:val="en-US" w:eastAsia="zh-CN" w:bidi="ar-SA"/>
              </w:rPr>
              <w:t>废催化剂、废过滤棉、漆渣、废油漆包装桶</w:t>
            </w:r>
            <w:r>
              <w:rPr>
                <w:rFonts w:hint="default" w:ascii="Times New Roman" w:hAnsi="Times New Roman" w:eastAsia="宋体" w:cs="Times New Roman"/>
                <w:color w:val="auto"/>
                <w:kern w:val="2"/>
                <w:sz w:val="21"/>
                <w:szCs w:val="21"/>
                <w:highlight w:val="none"/>
                <w:lang w:val="en-US" w:eastAsia="zh-CN" w:bidi="ar-SA"/>
              </w:rPr>
              <w:t>暂存于危废间，定期交有资质单位处置</w:t>
            </w: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eastAsia="宋体" w:cs="Times New Roman"/>
                <w:color w:val="auto"/>
                <w:sz w:val="21"/>
                <w:szCs w:val="21"/>
                <w:highlight w:val="none"/>
              </w:rPr>
              <w:t>执行《危险废物贮存污染控制标准》(</w:t>
            </w:r>
            <w:r>
              <w:rPr>
                <w:rFonts w:hint="eastAsia" w:cs="Times New Roman"/>
                <w:color w:val="auto"/>
                <w:sz w:val="21"/>
                <w:szCs w:val="21"/>
                <w:highlight w:val="none"/>
                <w:lang w:eastAsia="zh-CN"/>
              </w:rPr>
              <w:t>GB18597-2023</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生活垃圾:</w:t>
            </w:r>
            <w:r>
              <w:rPr>
                <w:rFonts w:hint="default" w:ascii="Times New Roman" w:hAnsi="Times New Roman" w:eastAsia="宋体" w:cs="Times New Roman"/>
                <w:color w:val="auto"/>
                <w:kern w:val="2"/>
                <w:sz w:val="21"/>
                <w:szCs w:val="21"/>
                <w:highlight w:val="none"/>
                <w:lang w:val="en-US" w:eastAsia="zh-CN" w:bidi="ar-SA"/>
              </w:rPr>
              <w:t>收集后由环卫部门统一处理。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646"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土壤及地下水</w:t>
            </w:r>
          </w:p>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污染防治措施</w:t>
            </w:r>
          </w:p>
        </w:tc>
        <w:tc>
          <w:tcPr>
            <w:tcW w:w="7414" w:type="dxa"/>
            <w:gridSpan w:val="4"/>
            <w:noWrap w:val="0"/>
            <w:vAlign w:val="center"/>
          </w:tcPr>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1 \* GB3</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①</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重点防渗区</w:t>
            </w:r>
            <w:r>
              <w:rPr>
                <w:rFonts w:hint="default" w:ascii="Times New Roman" w:hAnsi="Times New Roman" w:cs="Times New Roman"/>
                <w:color w:val="auto"/>
                <w:kern w:val="0"/>
                <w:sz w:val="21"/>
                <w:szCs w:val="21"/>
                <w:highlight w:val="none"/>
                <w:lang w:bidi="ar"/>
              </w:rPr>
              <w:t>：项目危废间</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喷漆间、喷涂间、粘胶间</w:t>
            </w:r>
            <w:r>
              <w:rPr>
                <w:rFonts w:hint="default" w:ascii="Times New Roman" w:hAnsi="Times New Roman" w:cs="Times New Roman"/>
                <w:color w:val="auto"/>
                <w:sz w:val="21"/>
                <w:szCs w:val="21"/>
                <w:highlight w:val="none"/>
              </w:rPr>
              <w:t>采用防渗技术要求需达到等效黏土防渗层Mb≥6.0m，渗透系数小于10</w:t>
            </w:r>
            <w:r>
              <w:rPr>
                <w:rFonts w:hint="default" w:ascii="Times New Roman" w:hAnsi="Times New Roman" w:cs="Times New Roman"/>
                <w:color w:val="auto"/>
                <w:sz w:val="21"/>
                <w:szCs w:val="21"/>
                <w:highlight w:val="none"/>
                <w:vertAlign w:val="superscript"/>
              </w:rPr>
              <w:t>-10</w:t>
            </w:r>
            <w:r>
              <w:rPr>
                <w:rFonts w:hint="default" w:ascii="Times New Roman" w:hAnsi="Times New Roman" w:cs="Times New Roman"/>
                <w:color w:val="auto"/>
                <w:sz w:val="21"/>
                <w:szCs w:val="21"/>
                <w:highlight w:val="none"/>
              </w:rPr>
              <w:t>cm/s进行防腐防渗；</w:t>
            </w:r>
            <w:r>
              <w:rPr>
                <w:rFonts w:hint="default" w:ascii="Times New Roman" w:hAnsi="Times New Roman" w:cs="Times New Roman"/>
                <w:color w:val="auto"/>
                <w:kern w:val="0"/>
                <w:sz w:val="21"/>
                <w:szCs w:val="21"/>
                <w:highlight w:val="none"/>
                <w:lang w:bidi="ar"/>
              </w:rPr>
              <w:t>生产车间</w:t>
            </w:r>
            <w:r>
              <w:rPr>
                <w:rFonts w:hint="default" w:ascii="Times New Roman" w:hAnsi="Times New Roman"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val="en-US" w:eastAsia="zh-CN" w:bidi="ar"/>
              </w:rPr>
              <w:t>危险品库房</w:t>
            </w:r>
            <w:r>
              <w:rPr>
                <w:rFonts w:hint="default" w:ascii="Times New Roman" w:hAnsi="Times New Roman" w:cs="Times New Roman"/>
                <w:color w:val="auto"/>
                <w:kern w:val="0"/>
                <w:sz w:val="21"/>
                <w:szCs w:val="21"/>
                <w:highlight w:val="none"/>
                <w:lang w:bidi="ar"/>
              </w:rPr>
              <w:t>等采</w:t>
            </w:r>
            <w:r>
              <w:rPr>
                <w:rFonts w:hint="default" w:ascii="Times New Roman" w:hAnsi="Times New Roman" w:cs="Times New Roman"/>
                <w:color w:val="auto"/>
                <w:sz w:val="21"/>
                <w:szCs w:val="21"/>
                <w:highlight w:val="none"/>
              </w:rPr>
              <w:t>用等效黏土防渗层Mb≥6.0m，渗透系数K≤10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cm/s；危废间地面采取2mm厚高密度聚乙烯防渗，渗透系数≤1.0×10</w:t>
            </w:r>
            <w:r>
              <w:rPr>
                <w:rFonts w:hint="default" w:ascii="Times New Roman" w:hAnsi="Times New Roman" w:cs="Times New Roman"/>
                <w:color w:val="auto"/>
                <w:sz w:val="21"/>
                <w:szCs w:val="21"/>
                <w:highlight w:val="none"/>
                <w:vertAlign w:val="superscript"/>
              </w:rPr>
              <w:t>-10</w:t>
            </w:r>
            <w:r>
              <w:rPr>
                <w:rFonts w:hint="default" w:ascii="Times New Roman" w:hAnsi="Times New Roman" w:cs="Times New Roman"/>
                <w:color w:val="auto"/>
                <w:sz w:val="21"/>
                <w:szCs w:val="21"/>
                <w:highlight w:val="none"/>
              </w:rPr>
              <w:t>cm/s（或采取其他具有同等防渗效力的防渗材料）。</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②一般防渗区：车间其他生产区域采用等效黏土防渗层Mb≥1.5m，渗透系数K≤10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cm/s的材料防渗。</w:t>
            </w:r>
          </w:p>
          <w:p>
            <w:pPr>
              <w:keepNext w:val="0"/>
              <w:keepLines w:val="0"/>
              <w:pageBreakBefore w:val="0"/>
              <w:widowControl w:val="0"/>
              <w:kinsoku/>
              <w:wordWrap/>
              <w:overflowPunct/>
              <w:topLinePunct w:val="0"/>
              <w:bidi w:val="0"/>
              <w:adjustRightInd w:val="0"/>
              <w:snapToGrid w:val="0"/>
              <w:spacing w:beforeAutospacing="0" w:afterAutospacing="0" w:line="360" w:lineRule="auto"/>
              <w:ind w:left="0" w:leftChars="0" w:right="0" w:rightChars="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③简单防渗区：办公楼、食堂等其他非污染区，进行一般地面硬化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646"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生态保护措施</w:t>
            </w:r>
          </w:p>
        </w:tc>
        <w:tc>
          <w:tcPr>
            <w:tcW w:w="7414" w:type="dxa"/>
            <w:gridSpan w:val="4"/>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对厂区进行绿化和硬化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46"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环境风险</w:t>
            </w:r>
          </w:p>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防范措施</w:t>
            </w:r>
          </w:p>
        </w:tc>
        <w:tc>
          <w:tcPr>
            <w:tcW w:w="7414" w:type="dxa"/>
            <w:gridSpan w:val="4"/>
            <w:noWrap w:val="0"/>
            <w:vAlign w:val="center"/>
          </w:tcPr>
          <w:p>
            <w:pPr>
              <w:pStyle w:val="34"/>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 = 1 \* GB3 \* MERGEFORMAT </w:instrText>
            </w:r>
            <w:r>
              <w:rPr>
                <w:rFonts w:hint="default" w:ascii="Times New Roman" w:hAnsi="Times New Roman" w:cs="Times New Roman"/>
                <w:color w:val="auto"/>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润滑油、液压油：采用专用容器储存存放于</w:t>
            </w:r>
            <w:r>
              <w:rPr>
                <w:rFonts w:hint="default" w:ascii="Times New Roman" w:hAnsi="Times New Roman" w:cs="Times New Roman"/>
                <w:color w:val="auto"/>
                <w:szCs w:val="21"/>
                <w:highlight w:val="none"/>
                <w:lang w:val="en-US" w:eastAsia="zh-CN"/>
              </w:rPr>
              <w:t>危险品库房</w:t>
            </w:r>
            <w:r>
              <w:rPr>
                <w:rFonts w:hint="default" w:ascii="Times New Roman" w:hAnsi="Times New Roman" w:cs="Times New Roman"/>
                <w:color w:val="auto"/>
                <w:szCs w:val="21"/>
                <w:highlight w:val="none"/>
              </w:rPr>
              <w:t>内，润滑油堆放区设置托盘，将所有桶装润滑油置于托盘内，润滑油托盘有效容积0.5m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，可容纳单个油桶全部泄露物料，禁止明火。</w:t>
            </w:r>
          </w:p>
          <w:p>
            <w:pPr>
              <w:pStyle w:val="34"/>
              <w:keepNext w:val="0"/>
              <w:keepLines w:val="0"/>
              <w:pageBreakBefore w:val="0"/>
              <w:widowControl w:val="0"/>
              <w:kinsoku/>
              <w:wordWrap/>
              <w:overflowPunct/>
              <w:topLinePunct w:val="0"/>
              <w:autoSpaceDE/>
              <w:autoSpaceDN/>
              <w:bidi w:val="0"/>
              <w:adjustRightInd w:val="0"/>
              <w:snapToGrid w:val="0"/>
              <w:spacing w:beforeAutospacing="0" w:after="0" w:afterAutospacing="0" w:line="360" w:lineRule="auto"/>
              <w:ind w:left="0" w:leftChars="0" w:right="0" w:righ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 = 2 \* GB3 \* MERGEFORMAT </w:instrText>
            </w:r>
            <w:r>
              <w:rPr>
                <w:rFonts w:hint="default" w:ascii="Times New Roman" w:hAnsi="Times New Roman" w:cs="Times New Roman"/>
                <w:color w:val="auto"/>
                <w:szCs w:val="21"/>
                <w:highlight w:val="none"/>
              </w:rPr>
              <w:fldChar w:fldCharType="separate"/>
            </w: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废润滑油、废液压油：采用专用容器储存，暂存于厂区危废暂存间内。</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w:t>
            </w:r>
            <w:r>
              <w:rPr>
                <w:rFonts w:hint="default" w:ascii="Times New Roman" w:hAnsi="Times New Roman" w:cs="Times New Roman"/>
                <w:color w:val="auto"/>
                <w:szCs w:val="21"/>
                <w:highlight w:val="none"/>
                <w:lang w:val="en-US" w:eastAsia="zh-CN"/>
              </w:rPr>
              <w:t>油漆、固化剂、稀释剂存储区采取分类、分区的隔离储存、隔开储存、分离储存方式，并有规范的化学品标识。油漆、稀释剂入库时，应严格检验物品质量、数量、包装情况、有无泄漏。入库后应采取适当的养护措施，在贮存期内，定期检查，发现其品质变化、包装破损、渗漏、稳定剂短缺等，应及时处理；油漆、固化剂、稀释剂存储区内需储存一定量的沙土等吸附剂，储存分区设有围堰，若发生泄露事故，泄露液在围堰中收集后用沙土等吸附剂吸收后送有关部门处置。</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④本项目根据防渗分区要求进行建设。</w:t>
            </w:r>
          </w:p>
          <w:p>
            <w:pPr>
              <w:pStyle w:val="2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420" w:firstLineChars="200"/>
              <w:textAlignment w:val="baseline"/>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⑤如油类物质发生火灾后，使用干粉或泡沫灭火器灭火，不会产生消防废水。灭火后，消防废物作为危废，委托有资质单位处理。</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rightChars="0"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4"/>
                <w:highlight w:val="none"/>
                <w:lang w:val="en-US" w:eastAsia="zh-CN" w:bidi="ar-SA"/>
              </w:rPr>
              <w:t>根据要求，编制环境风险应急预案。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646" w:type="dxa"/>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其他环境</w:t>
            </w:r>
          </w:p>
          <w:p>
            <w:pPr>
              <w:keepNext w:val="0"/>
              <w:keepLines w:val="0"/>
              <w:pageBreakBefore w:val="0"/>
              <w:kinsoku/>
              <w:wordWrap/>
              <w:overflowPunct/>
              <w:topLinePunct w:val="0"/>
              <w:autoSpaceDE/>
              <w:autoSpaceDN/>
              <w:bidi w:val="0"/>
              <w:adjustRightInd w:val="0"/>
              <w:snapToGrid w:val="0"/>
              <w:spacing w:beforeAutospacing="0" w:afterAutospacing="0" w:line="360" w:lineRule="exact"/>
              <w:ind w:left="0" w:leftChars="0" w:right="0" w:rightChars="0"/>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管理要求</w:t>
            </w:r>
          </w:p>
        </w:tc>
        <w:tc>
          <w:tcPr>
            <w:tcW w:w="7414" w:type="dxa"/>
            <w:gridSpan w:val="4"/>
            <w:noWrap w:val="0"/>
            <w:vAlign w:val="center"/>
          </w:tcPr>
          <w:p>
            <w:pPr>
              <w:pStyle w:val="43"/>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jc w:val="left"/>
              <w:textAlignment w:val="auto"/>
              <w:rPr>
                <w:rFonts w:hint="default" w:ascii="Times New Roman" w:hAnsi="Times New Roman" w:eastAsia="宋体" w:cs="Times New Roman"/>
                <w:b/>
                <w:bCs/>
                <w:color w:val="auto"/>
                <w:w w:val="100"/>
                <w:kern w:val="24"/>
                <w:sz w:val="21"/>
                <w:szCs w:val="21"/>
                <w:highlight w:val="none"/>
                <w:lang w:val="en-US" w:eastAsia="zh-CN" w:bidi="ar-SA"/>
              </w:rPr>
            </w:pPr>
            <w:r>
              <w:rPr>
                <w:rFonts w:hint="default" w:ascii="Times New Roman" w:hAnsi="Times New Roman" w:eastAsia="宋体" w:cs="Times New Roman"/>
                <w:b/>
                <w:bCs/>
                <w:color w:val="auto"/>
                <w:w w:val="100"/>
                <w:kern w:val="24"/>
                <w:sz w:val="21"/>
                <w:szCs w:val="21"/>
                <w:highlight w:val="none"/>
                <w:lang w:val="en-US" w:eastAsia="zh-CN" w:bidi="ar-SA"/>
              </w:rPr>
              <w:t>一、环境管理</w:t>
            </w:r>
          </w:p>
          <w:p>
            <w:pPr>
              <w:pStyle w:val="43"/>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w w:val="100"/>
                <w:kern w:val="24"/>
                <w:sz w:val="21"/>
                <w:szCs w:val="21"/>
                <w:highlight w:val="none"/>
                <w:lang w:val="en-US" w:eastAsia="zh-CN" w:bidi="ar-SA"/>
              </w:rPr>
            </w:pPr>
            <w:r>
              <w:rPr>
                <w:rFonts w:hint="default" w:ascii="Times New Roman" w:hAnsi="Times New Roman" w:eastAsia="宋体" w:cs="Times New Roman"/>
                <w:color w:val="auto"/>
                <w:w w:val="100"/>
                <w:kern w:val="24"/>
                <w:sz w:val="21"/>
                <w:szCs w:val="21"/>
                <w:highlight w:val="none"/>
                <w:lang w:val="en-US" w:eastAsia="zh-CN" w:bidi="ar-SA"/>
              </w:rPr>
              <w:t>（1）严格执行“环境保护措施监督检查清单”，确保各类环保设施与主体工程同时设计、同时施工、同时投入运行。</w:t>
            </w:r>
          </w:p>
          <w:p>
            <w:pPr>
              <w:pStyle w:val="43"/>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w w:val="100"/>
                <w:kern w:val="24"/>
                <w:sz w:val="21"/>
                <w:szCs w:val="21"/>
                <w:highlight w:val="none"/>
                <w:lang w:val="en-US" w:eastAsia="zh-CN" w:bidi="ar-SA"/>
              </w:rPr>
            </w:pPr>
            <w:r>
              <w:rPr>
                <w:rFonts w:hint="default" w:ascii="Times New Roman" w:hAnsi="Times New Roman" w:eastAsia="宋体" w:cs="Times New Roman"/>
                <w:color w:val="auto"/>
                <w:w w:val="100"/>
                <w:kern w:val="24"/>
                <w:sz w:val="21"/>
                <w:szCs w:val="21"/>
                <w:highlight w:val="none"/>
                <w:lang w:val="en-US" w:eastAsia="zh-CN" w:bidi="ar-SA"/>
              </w:rPr>
              <w:t>（2）加强企业环境管理的制度化、规范化，确保各类环保设施正常运行。</w:t>
            </w:r>
          </w:p>
          <w:p>
            <w:pPr>
              <w:pStyle w:val="20"/>
              <w:pageBreakBefore w:val="0"/>
              <w:kinsoku/>
              <w:wordWrap/>
              <w:overflowPunct/>
              <w:topLinePunct w:val="0"/>
              <w:bidi w:val="0"/>
              <w:adjustRightInd w:val="0"/>
              <w:snapToGrid w:val="0"/>
              <w:spacing w:beforeAutospacing="0" w:afterAutospacing="0" w:line="360" w:lineRule="auto"/>
              <w:ind w:left="0" w:leftChars="0" w:right="0" w:rightChars="0" w:firstLine="422" w:firstLineChars="200"/>
              <w:jc w:val="left"/>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1</w:t>
            </w:r>
            <w:r>
              <w:rPr>
                <w:rFonts w:hint="default" w:ascii="Times New Roman" w:hAnsi="Times New Roman" w:eastAsia="宋体" w:cs="Times New Roman"/>
                <w:b/>
                <w:color w:val="auto"/>
                <w:sz w:val="21"/>
                <w:szCs w:val="21"/>
                <w:highlight w:val="none"/>
              </w:rPr>
              <w:t>、环境管理与监测计划</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环境管理体系是企业生产管理体系的重要组成部分，建立环境管理体系可使企业在发展生产的同时提高清洁生产水平，控制污染物排放，减小对环境的影响，为企业创造良好的社会效益、经济效益和环境效益。公司设置专门的环保机构，负责项目的环境管理与环境监测工作。</w:t>
            </w:r>
          </w:p>
          <w:p>
            <w:pPr>
              <w:keepNext/>
              <w:keepLines/>
              <w:pageBreakBefore w:val="0"/>
              <w:kinsoku/>
              <w:wordWrap/>
              <w:overflowPunct/>
              <w:topLinePunct w:val="0"/>
              <w:autoSpaceDE w:val="0"/>
              <w:autoSpaceDN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（1）日常环境保护管理</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①根据国家环保政策、标准及环境监测要求，制定该项目运行期环保管理规章制度、各种污染物排放控制指标。</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②负责该项目内所有环保设施的日常运行管理，保障各环保设施的正常运行，负责该项目运行期环境监测工作，及时掌握该项目污染状况，整理监测数据，建立污染源档案。</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③对环保设施的改进提出积极的建议。</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④建立健全环境档案管理与保密制度、污染防治设施设计技术改进及运行资料、污染源调查技术档案、环境监测及评价资料、项目平面图和给排水管网图等。</w:t>
            </w:r>
          </w:p>
          <w:p>
            <w:pPr>
              <w:keepNext/>
              <w:keepLines/>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（2）环境监测计划</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监测计划是指项目在建设期、运行期对项目主要污染对象进行的环境样品、化验、数据处理以及编制报告，为环境管理部门强化环境管理，编制环保计划，制定污染防治对象，提供科学依据。根据该项目生产特点和主要污染物排放情况，提出如下监测要求：</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①厂方应委托有资质单位定期对产生的废气、厂界噪声进行监测；</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②定期向环境管理部门上报监测结果；</w:t>
            </w:r>
          </w:p>
          <w:p>
            <w:pPr>
              <w:pageBreakBefore w:val="0"/>
              <w:kinsoku/>
              <w:wordWrap/>
              <w:overflowPunct/>
              <w:topLinePunct w:val="0"/>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③监测中发现超标排放或其它异常情况，及时报告企业环保管理部门查找原因、解决处理，遇有特殊情况时应随时监测。</w:t>
            </w:r>
          </w:p>
          <w:p>
            <w:pPr>
              <w:pStyle w:val="66"/>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2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监测点位、监测项目和监测频率见表</w:t>
            </w:r>
            <w:r>
              <w:rPr>
                <w:rFonts w:hint="default" w:ascii="Times New Roman" w:hAnsi="Times New Roman" w:eastAsia="宋体" w:cs="Times New Roman"/>
                <w:color w:val="auto"/>
                <w:sz w:val="21"/>
                <w:szCs w:val="21"/>
                <w:highlight w:val="none"/>
                <w:lang w:val="en-US" w:eastAsia="zh-CN"/>
              </w:rPr>
              <w:t>5-1</w:t>
            </w:r>
            <w:r>
              <w:rPr>
                <w:rFonts w:hint="default" w:ascii="Times New Roman" w:hAnsi="Times New Roman" w:eastAsia="宋体" w:cs="Times New Roman"/>
                <w:color w:val="auto"/>
                <w:sz w:val="21"/>
                <w:szCs w:val="21"/>
                <w:highlight w:val="none"/>
              </w:rPr>
              <w:t>。</w:t>
            </w:r>
          </w:p>
          <w:p>
            <w:pPr>
              <w:pStyle w:val="70"/>
              <w:keepNext w:val="0"/>
              <w:keepLines w:val="0"/>
              <w:pageBreakBefore w:val="0"/>
              <w:suppressLineNumbers w:val="0"/>
              <w:kinsoku/>
              <w:wordWrap/>
              <w:overflowPunct/>
              <w:topLinePunct w:val="0"/>
              <w:bidi w:val="0"/>
              <w:adjustRightInd w:val="0"/>
              <w:snapToGrid w:val="0"/>
              <w:spacing w:beforeAutospacing="0" w:afterAutospacing="0" w:line="360" w:lineRule="auto"/>
              <w:ind w:left="0" w:leftChars="0" w:right="0" w:rightChars="0" w:firstLine="482"/>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5-1</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 xml:space="preserve"> 环境监测计划一览表</w:t>
            </w:r>
          </w:p>
          <w:tbl>
            <w:tblPr>
              <w:tblStyle w:val="3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236"/>
              <w:gridCol w:w="945"/>
              <w:gridCol w:w="1035"/>
              <w:gridCol w:w="899"/>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监测类别</w:t>
                  </w:r>
                </w:p>
              </w:tc>
              <w:tc>
                <w:tcPr>
                  <w:tcW w:w="85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监测点位</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采样位置</w:t>
                  </w:r>
                </w:p>
              </w:tc>
              <w:tc>
                <w:tcPr>
                  <w:tcW w:w="720"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监测项目</w:t>
                  </w:r>
                </w:p>
              </w:tc>
              <w:tc>
                <w:tcPr>
                  <w:tcW w:w="625"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监测频率</w:t>
                  </w:r>
                </w:p>
              </w:tc>
              <w:tc>
                <w:tcPr>
                  <w:tcW w:w="139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执行排放标准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废气</w:t>
                  </w: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漆雾（颗粒物）排放浓度</w:t>
                  </w:r>
                  <w:r>
                    <w:rPr>
                      <w:rFonts w:hint="default" w:ascii="Times New Roman" w:hAnsi="Times New Roman" w:eastAsia="宋体" w:cs="Times New Roman"/>
                      <w:color w:val="auto"/>
                      <w:spacing w:val="-1"/>
                      <w:sz w:val="18"/>
                      <w:szCs w:val="18"/>
                      <w:highlight w:val="none"/>
                      <w:lang w:val="en-US" w:eastAsia="zh-CN"/>
                    </w:rPr>
                    <w:t>参照</w:t>
                  </w:r>
                  <w:r>
                    <w:rPr>
                      <w:rFonts w:hint="default" w:ascii="Times New Roman" w:hAnsi="Times New Roman" w:eastAsia="宋体" w:cs="Times New Roman"/>
                      <w:color w:val="auto"/>
                      <w:spacing w:val="-1"/>
                      <w:sz w:val="18"/>
                      <w:szCs w:val="18"/>
                      <w:highlight w:val="none"/>
                    </w:rPr>
                    <w:t>执行</w:t>
                  </w:r>
                  <w:r>
                    <w:rPr>
                      <w:rFonts w:hint="default" w:ascii="Times New Roman" w:hAnsi="Times New Roman" w:eastAsia="宋体" w:cs="Times New Roman"/>
                      <w:color w:val="auto"/>
                      <w:spacing w:val="-1"/>
                      <w:sz w:val="18"/>
                      <w:szCs w:val="18"/>
                      <w:highlight w:val="none"/>
                      <w:lang w:eastAsia="zh-CN"/>
                    </w:rPr>
                    <w:t>《</w:t>
                  </w:r>
                  <w:r>
                    <w:rPr>
                      <w:rFonts w:hint="default" w:ascii="Times New Roman" w:hAnsi="Times New Roman" w:eastAsia="宋体" w:cs="Times New Roman"/>
                      <w:color w:val="auto"/>
                      <w:spacing w:val="-1"/>
                      <w:sz w:val="18"/>
                      <w:szCs w:val="18"/>
                      <w:highlight w:val="none"/>
                    </w:rPr>
                    <w:t>钢铁工业大气污染物超低排放标准</w:t>
                  </w:r>
                  <w:r>
                    <w:rPr>
                      <w:rFonts w:hint="default" w:ascii="Times New Roman" w:hAnsi="Times New Roman" w:eastAsia="宋体" w:cs="Times New Roman"/>
                      <w:color w:val="auto"/>
                      <w:spacing w:val="-1"/>
                      <w:sz w:val="18"/>
                      <w:szCs w:val="18"/>
                      <w:highlight w:val="none"/>
                      <w:lang w:eastAsia="zh-CN"/>
                    </w:rPr>
                    <w:t>》（DB13/2169—2018）</w:t>
                  </w:r>
                  <w:r>
                    <w:rPr>
                      <w:rFonts w:hint="default" w:ascii="Times New Roman" w:hAnsi="Times New Roman" w:eastAsia="宋体" w:cs="Times New Roman"/>
                      <w:color w:val="auto"/>
                      <w:spacing w:val="-1"/>
                      <w:sz w:val="18"/>
                      <w:szCs w:val="18"/>
                      <w:highlight w:val="none"/>
                      <w:lang w:val="en-US" w:eastAsia="zh-CN"/>
                    </w:rPr>
                    <w:t>标准要求（10</w:t>
                  </w:r>
                  <w:r>
                    <w:rPr>
                      <w:rFonts w:hint="default" w:ascii="Times New Roman" w:hAnsi="Times New Roman" w:eastAsia="宋体" w:cs="Times New Roman"/>
                      <w:color w:val="auto"/>
                      <w:sz w:val="18"/>
                      <w:szCs w:val="18"/>
                      <w:highlight w:val="none"/>
                      <w:lang w:val="en-US" w:eastAsia="zh-CN"/>
                    </w:rPr>
                    <w:t>mg</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eastAsia="宋体" w:cs="Times New Roman"/>
                      <w:color w:val="auto"/>
                      <w:spacing w:val="-1"/>
                      <w:sz w:val="18"/>
                      <w:szCs w:val="18"/>
                      <w:highlight w:val="none"/>
                      <w:lang w:val="en-US" w:eastAsia="zh-CN"/>
                    </w:rPr>
                    <w:t>）</w:t>
                  </w:r>
                  <w:r>
                    <w:rPr>
                      <w:rFonts w:hint="default" w:ascii="Times New Roman" w:hAnsi="Times New Roman" w:cs="Times New Roman"/>
                      <w:color w:val="auto"/>
                      <w:sz w:val="18"/>
                      <w:szCs w:val="18"/>
                      <w:highlight w:val="none"/>
                      <w:lang w:val="en-US" w:eastAsia="zh-CN"/>
                    </w:rPr>
                    <w:t>；甲苯和二甲苯合计、苯、非甲烷总烃排放浓度执行《工业企业挥发性有机物排放控制标准》（DB13/2322-2016）中“表面涂装业”标准：“甲苯与二甲苯合计”20mg/m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lang w:val="en-US" w:eastAsia="zh-CN"/>
                    </w:rPr>
                    <w:t>；苯1.0mg/m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lang w:val="en-US" w:eastAsia="zh-CN"/>
                    </w:rPr>
                    <w:t>；非甲烷总烃60mg/m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lang w:val="en-US" w:eastAsia="zh-CN"/>
                    </w:rPr>
                    <w:t>，最低去除效率70%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P2</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P3</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P4</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P5</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P6</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颗粒物、非甲烷总烃、苯、甲苯、二甲苯</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P7</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颗粒物、非甲烷总烃、苯、甲苯、二甲苯</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P8</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颗粒物</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P9</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非甲烷总烃、甲苯</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P10</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非甲烷总烃、甲苯</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1</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《橡胶制品工业污染物排放标准》(GB27632-2011)表 5 中的排放浓度限值相关要求：颗粒物12mg/m3，非甲烷总烃10mg/m3的要求，硫化氢《恶臭污染物排放标准》（GB14554-93）表2相关要求：H2S：15m排气筒排放速率0.33kg/h。臭气浓度执行《恶臭污染物排放标准》（GB14554-93）表 2 相关要求：臭气浓度：2000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2</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颗粒物、非甲烷总烃、</w:t>
                  </w:r>
                  <w:r>
                    <w:rPr>
                      <w:rFonts w:hint="eastAsia" w:cs="Times New Roman"/>
                      <w:color w:val="auto"/>
                      <w:sz w:val="18"/>
                      <w:szCs w:val="18"/>
                      <w:highlight w:val="none"/>
                      <w:lang w:val="en-US" w:eastAsia="zh-CN"/>
                    </w:rPr>
                    <w:t>硫化氢、臭气浓度</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3</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4</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P1</w:t>
                  </w:r>
                  <w:r>
                    <w:rPr>
                      <w:rFonts w:hint="eastAsia" w:cs="Times New Roman"/>
                      <w:color w:val="auto"/>
                      <w:sz w:val="18"/>
                      <w:szCs w:val="18"/>
                      <w:highlight w:val="none"/>
                      <w:lang w:val="en-US" w:eastAsia="zh-CN"/>
                    </w:rPr>
                    <w:t>5</w:t>
                  </w:r>
                </w:p>
              </w:tc>
              <w:tc>
                <w:tcPr>
                  <w:tcW w:w="65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排气筒</w:t>
                  </w:r>
                </w:p>
              </w:tc>
              <w:tc>
                <w:tcPr>
                  <w:tcW w:w="720"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非甲烷总烃、</w:t>
                  </w:r>
                  <w:r>
                    <w:rPr>
                      <w:rFonts w:hint="eastAsia" w:cs="Times New Roman"/>
                      <w:color w:val="auto"/>
                      <w:sz w:val="18"/>
                      <w:szCs w:val="18"/>
                      <w:highlight w:val="none"/>
                      <w:lang w:val="en-US" w:eastAsia="zh-CN"/>
                    </w:rPr>
                    <w:t>硫化氢、臭气浓度</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每半年1次</w:t>
                  </w:r>
                </w:p>
              </w:tc>
              <w:tc>
                <w:tcPr>
                  <w:tcW w:w="139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p>
              </w:tc>
              <w:tc>
                <w:tcPr>
                  <w:tcW w:w="85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厂界</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厂界</w:t>
                  </w:r>
                </w:p>
              </w:tc>
              <w:tc>
                <w:tcPr>
                  <w:tcW w:w="720"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颗粒物、非甲烷总烃</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每年1次</w:t>
                  </w:r>
                </w:p>
              </w:tc>
              <w:tc>
                <w:tcPr>
                  <w:tcW w:w="139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《大气污染物综合排放标准》（GB16297-1996）、</w:t>
                  </w:r>
                  <w:r>
                    <w:rPr>
                      <w:rFonts w:hint="default" w:ascii="Times New Roman" w:hAnsi="Times New Roman" w:eastAsia="宋体" w:cs="Times New Roman"/>
                      <w:color w:val="auto"/>
                      <w:sz w:val="18"/>
                      <w:szCs w:val="18"/>
                      <w:highlight w:val="none"/>
                    </w:rPr>
                    <w:t>《工业企业挥发性有机物排放控制标准》（DB13/2322-2016）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废水</w:t>
                  </w:r>
                </w:p>
              </w:tc>
              <w:tc>
                <w:tcPr>
                  <w:tcW w:w="85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DW001</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污水排放口</w:t>
                  </w:r>
                </w:p>
              </w:tc>
              <w:tc>
                <w:tcPr>
                  <w:tcW w:w="720"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COD、BOD</w:t>
                  </w:r>
                  <w:r>
                    <w:rPr>
                      <w:rFonts w:hint="default" w:ascii="Times New Roman" w:hAnsi="Times New Roman" w:eastAsia="宋体" w:cs="Times New Roman"/>
                      <w:color w:val="auto"/>
                      <w:sz w:val="18"/>
                      <w:szCs w:val="18"/>
                      <w:highlight w:val="none"/>
                      <w:vertAlign w:val="subscript"/>
                      <w:lang w:val="en-US" w:eastAsia="zh-CN"/>
                    </w:rPr>
                    <w:t>5</w:t>
                  </w:r>
                  <w:r>
                    <w:rPr>
                      <w:rFonts w:hint="default" w:ascii="Times New Roman" w:hAnsi="Times New Roman" w:eastAsia="宋体" w:cs="Times New Roman"/>
                      <w:color w:val="auto"/>
                      <w:sz w:val="18"/>
                      <w:szCs w:val="18"/>
                      <w:highlight w:val="none"/>
                      <w:lang w:val="en-US" w:eastAsia="zh-CN"/>
                    </w:rPr>
                    <w:t>、SS、氨氮、总氮、总磷</w:t>
                  </w:r>
                </w:p>
              </w:tc>
              <w:tc>
                <w:tcPr>
                  <w:tcW w:w="625" w:type="pct"/>
                  <w:noWrap w:val="0"/>
                  <w:vAlign w:val="center"/>
                </w:tcPr>
                <w:p>
                  <w:pPr>
                    <w:pageBreakBefore w:val="0"/>
                    <w:widowControl/>
                    <w:kinsoku/>
                    <w:wordWrap/>
                    <w:overflowPunct/>
                    <w:bidi w:val="0"/>
                    <w:adjustRightInd w:val="0"/>
                    <w:snapToGrid w:val="0"/>
                    <w:spacing w:beforeAutospacing="0" w:afterAutospacing="0" w:line="240" w:lineRule="exact"/>
                    <w:ind w:left="0" w:leftChars="0" w:right="0" w:rightChars="0"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1次/年</w:t>
                  </w:r>
                </w:p>
              </w:tc>
              <w:tc>
                <w:tcPr>
                  <w:tcW w:w="139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《污水综合排放标准》（GB8978-1996）表四中三级标准、《污水排入城镇下水道水质标准》（GB/T31962-2015）及</w:t>
                  </w:r>
                  <w:r>
                    <w:rPr>
                      <w:rFonts w:hint="default" w:ascii="Times New Roman" w:hAnsi="Times New Roman" w:cs="Times New Roman"/>
                      <w:color w:val="auto"/>
                      <w:sz w:val="18"/>
                      <w:szCs w:val="18"/>
                      <w:highlight w:val="none"/>
                      <w:lang w:val="en-US" w:eastAsia="zh-CN"/>
                    </w:rPr>
                    <w:t>园区</w:t>
                  </w:r>
                  <w:r>
                    <w:rPr>
                      <w:rFonts w:hint="default" w:ascii="Times New Roman" w:hAnsi="Times New Roman" w:eastAsia="宋体" w:cs="Times New Roman"/>
                      <w:color w:val="auto"/>
                      <w:sz w:val="18"/>
                      <w:szCs w:val="18"/>
                      <w:highlight w:val="none"/>
                      <w:lang w:val="en-US" w:eastAsia="zh-CN"/>
                    </w:rPr>
                    <w:t>污水处理厂进水水质要求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噪声</w:t>
                  </w:r>
                </w:p>
              </w:tc>
              <w:tc>
                <w:tcPr>
                  <w:tcW w:w="85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厂界</w:t>
                  </w:r>
                </w:p>
              </w:tc>
              <w:tc>
                <w:tcPr>
                  <w:tcW w:w="657"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厂界外1m</w:t>
                  </w:r>
                </w:p>
              </w:tc>
              <w:tc>
                <w:tcPr>
                  <w:tcW w:w="720"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Leq(A)</w:t>
                  </w:r>
                </w:p>
              </w:tc>
              <w:tc>
                <w:tcPr>
                  <w:tcW w:w="625"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每季1次（昼、夜）</w:t>
                  </w:r>
                </w:p>
              </w:tc>
              <w:tc>
                <w:tcPr>
                  <w:tcW w:w="139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《工业企业厂界环境噪声排放标准》（GB12348-2008）</w:t>
                  </w:r>
                  <w:r>
                    <w:rPr>
                      <w:rFonts w:hint="default" w:ascii="Times New Roman" w:hAnsi="Times New Roman" w:cs="Times New Roman"/>
                      <w:color w:val="auto"/>
                      <w:sz w:val="18"/>
                      <w:szCs w:val="18"/>
                      <w:highlight w:val="none"/>
                      <w:lang w:val="en-US" w:eastAsia="zh-CN"/>
                    </w:rPr>
                    <w:t>3</w:t>
                  </w:r>
                  <w:r>
                    <w:rPr>
                      <w:rFonts w:hint="default" w:ascii="Times New Roman" w:hAnsi="Times New Roman" w:eastAsia="宋体" w:cs="Times New Roman"/>
                      <w:color w:val="auto"/>
                      <w:sz w:val="18"/>
                      <w:szCs w:val="18"/>
                      <w:highlight w:val="none"/>
                    </w:rPr>
                    <w:t>类标准</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二</w:t>
            </w:r>
            <w:r>
              <w:rPr>
                <w:rFonts w:hint="default" w:ascii="Times New Roman" w:hAnsi="Times New Roman" w:eastAsia="宋体" w:cs="Times New Roman"/>
                <w:b/>
                <w:color w:val="auto"/>
                <w:sz w:val="21"/>
                <w:szCs w:val="21"/>
                <w:highlight w:val="none"/>
                <w:lang w:val="en-US" w:eastAsia="zh-CN"/>
              </w:rPr>
              <w:t>、排污许可管理</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跟</w:t>
            </w:r>
            <w:r>
              <w:rPr>
                <w:rFonts w:hint="default" w:ascii="Times New Roman" w:hAnsi="Times New Roman" w:eastAsia="宋体" w:cs="Times New Roman"/>
                <w:color w:val="auto"/>
                <w:sz w:val="21"/>
                <w:szCs w:val="21"/>
                <w:highlight w:val="none"/>
              </w:rPr>
              <w:t>据《关于做好环境影响评价制度与排污许可制衔接相关工作》(环办环评[2017]84号)、《关于进一步完善排污许可制实施工作的通知》(冀环评函[2018]689号)的通知，本项目与排污许可制衔接工作如下：</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①在排污许可管理中，应严格按照本评价的要求核发排污许可证；</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②在核发排污许可证时应严格核定排放口数量、位置以及每个排放口的污染物种类、允许排放浓度和允许排放量、排放方式、排放去向、自行监测计划等与污染物排放相关的主要内容；</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③项目在发生实际排污行为之前，排污单位应当按照国家环境保护相关法律法规以及排污许可证申请与核发技术规范要求申请排污许可证，不得无证排污或不按证排污。</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textAlignment w:val="auto"/>
              <w:outlineLvl w:val="2"/>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根据《固定污染源排污许可分类管理名录（2019年版）》</w:t>
            </w:r>
            <w:r>
              <w:rPr>
                <w:rFonts w:hint="default" w:ascii="Times New Roman" w:hAnsi="Times New Roman" w:eastAsia="宋体" w:cs="Times New Roman"/>
                <w:color w:val="auto"/>
                <w:sz w:val="21"/>
                <w:szCs w:val="21"/>
                <w:highlight w:val="none"/>
              </w:rPr>
              <w:t>，本项目属于</w:t>
            </w:r>
            <w:r>
              <w:rPr>
                <w:rFonts w:hint="default" w:ascii="Times New Roman" w:hAnsi="Times New Roman" w:cs="Times New Roman"/>
                <w:color w:val="auto"/>
                <w:sz w:val="21"/>
                <w:szCs w:val="21"/>
                <w:highlight w:val="none"/>
                <w:lang w:val="en-US" w:eastAsia="zh-CN"/>
              </w:rPr>
              <w:t>专用设备制造</w:t>
            </w:r>
            <w:r>
              <w:rPr>
                <w:rFonts w:hint="default" w:ascii="Times New Roman" w:hAnsi="Times New Roman" w:eastAsia="宋体" w:cs="Times New Roman"/>
                <w:color w:val="auto"/>
                <w:sz w:val="21"/>
                <w:szCs w:val="21"/>
                <w:highlight w:val="none"/>
                <w:lang w:val="en-US" w:eastAsia="zh-CN"/>
              </w:rPr>
              <w:t>业</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应按照要求申领排污许可证</w:t>
            </w:r>
            <w:r>
              <w:rPr>
                <w:rFonts w:hint="default" w:ascii="Times New Roman" w:hAnsi="Times New Roman" w:eastAsia="宋体"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22" w:firstLineChars="200"/>
              <w:textAlignment w:val="auto"/>
              <w:outlineLvl w:val="2"/>
              <w:rPr>
                <w:rFonts w:hint="default" w:ascii="Times New Roman" w:hAnsi="Times New Roman" w:eastAsia="宋体" w:cs="Times New Roman"/>
                <w:b/>
                <w:bCs/>
                <w:caps w:val="0"/>
                <w:smallCaps w:val="0"/>
                <w:color w:val="auto"/>
                <w:sz w:val="21"/>
                <w:szCs w:val="21"/>
                <w:highlight w:val="none"/>
                <w:lang w:val="en-US" w:eastAsia="zh-CN"/>
              </w:rPr>
            </w:pPr>
            <w:r>
              <w:rPr>
                <w:rFonts w:hint="default" w:ascii="Times New Roman" w:hAnsi="Times New Roman" w:cs="Times New Roman"/>
                <w:b/>
                <w:bCs/>
                <w:caps w:val="0"/>
                <w:smallCaps w:val="0"/>
                <w:color w:val="auto"/>
                <w:sz w:val="21"/>
                <w:szCs w:val="21"/>
                <w:highlight w:val="none"/>
                <w:lang w:val="en-US" w:eastAsia="zh-CN"/>
              </w:rPr>
              <w:t>三</w:t>
            </w:r>
            <w:r>
              <w:rPr>
                <w:rFonts w:hint="default" w:ascii="Times New Roman" w:hAnsi="Times New Roman" w:eastAsia="宋体" w:cs="Times New Roman"/>
                <w:b/>
                <w:bCs/>
                <w:caps w:val="0"/>
                <w:smallCaps w:val="0"/>
                <w:color w:val="auto"/>
                <w:sz w:val="21"/>
                <w:szCs w:val="21"/>
                <w:highlight w:val="none"/>
                <w:lang w:val="en-US" w:eastAsia="zh-CN"/>
              </w:rPr>
              <w:t>、排污口规范化</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eastAsia="宋体" w:cs="Times New Roman"/>
                <w:bCs w:val="0"/>
                <w:color w:val="auto"/>
                <w:kern w:val="2"/>
                <w:sz w:val="21"/>
                <w:szCs w:val="21"/>
                <w:highlight w:val="none"/>
                <w:lang w:val="en-US" w:eastAsia="zh-CN" w:bidi="ar-SA"/>
              </w:rPr>
              <w:t>1</w:t>
            </w:r>
            <w:r>
              <w:rPr>
                <w:rFonts w:hint="default" w:ascii="Times New Roman" w:hAnsi="Times New Roman" w:cs="Times New Roman" w:eastAsiaTheme="minorEastAsia"/>
                <w:color w:val="auto"/>
                <w:sz w:val="21"/>
                <w:szCs w:val="21"/>
                <w:highlight w:val="none"/>
                <w:lang w:val="en-US" w:eastAsia="zh-CN"/>
              </w:rPr>
              <w:t>、排污口规范化</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（1）排污口规范化管理的基本原则</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①向环境排放污染物的排污口必须规范化。</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②排污口应便于采样与计量监测，便于日常现场监督检查。</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（2）排污口的技术要求</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①排污口位置须合理确定，依据环监〔1996〕470号文件要求进行规范化管理。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②排放污染物的采样点设置应按照《污染源监测技术规范》要求，设置在企业污染物总排口等处。</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（3）排污口立标管理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企业污染物排放口标志，应按照《环境保护图形标志排放口》（15562.1-1995）及《环境保护图形标志固体废物储存(处置)场》(15562.2-1995)的规定，设置环保部统一制作的环境保护图形标志牌。污染物排放口的环保图形标志牌，应当设置在靠近采样点的醒目处，标志牌设置高度为其上缘距地面2m。</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（4）排污口建档管理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①要求使用国家环保局统一印刷的《中华人民共和国规范化排污口标志登记证》，并按要求填写有关内容；</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②根据排污口管理档案内容要求，项目建成后，应将主要污染物种类、数量、浓度、排放去向、达标情况及设施运行情况记录于档案。</w:t>
            </w:r>
          </w:p>
          <w:p>
            <w:pPr>
              <w:pStyle w:val="43"/>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b/>
                <w:color w:val="auto"/>
                <w:kern w:val="2"/>
                <w:sz w:val="21"/>
                <w:szCs w:val="21"/>
                <w:highlight w:val="none"/>
              </w:rPr>
              <w:t>表</w:t>
            </w:r>
            <w:r>
              <w:rPr>
                <w:rFonts w:hint="default" w:ascii="Times New Roman" w:hAnsi="Times New Roman" w:cs="Times New Roman"/>
                <w:b/>
                <w:color w:val="auto"/>
                <w:kern w:val="2"/>
                <w:sz w:val="21"/>
                <w:szCs w:val="21"/>
                <w:highlight w:val="none"/>
                <w:lang w:val="en-US" w:eastAsia="zh-CN"/>
              </w:rPr>
              <w:t>5-2</w:t>
            </w:r>
            <w:r>
              <w:rPr>
                <w:rFonts w:hint="default" w:ascii="Times New Roman" w:hAnsi="Times New Roman" w:eastAsia="宋体" w:cs="Times New Roman"/>
                <w:b/>
                <w:color w:val="auto"/>
                <w:kern w:val="2"/>
                <w:sz w:val="21"/>
                <w:szCs w:val="21"/>
                <w:highlight w:val="none"/>
              </w:rPr>
              <w:t xml:space="preserve">   </w:t>
            </w:r>
            <w:r>
              <w:rPr>
                <w:rFonts w:hint="default" w:ascii="Times New Roman" w:hAnsi="Times New Roman" w:cs="Times New Roman"/>
                <w:b/>
                <w:color w:val="auto"/>
                <w:kern w:val="2"/>
                <w:sz w:val="21"/>
                <w:szCs w:val="21"/>
                <w:highlight w:val="none"/>
                <w:lang w:val="en-US" w:eastAsia="zh-CN"/>
              </w:rPr>
              <w:t xml:space="preserve"> </w:t>
            </w:r>
            <w:r>
              <w:rPr>
                <w:rFonts w:hint="default" w:ascii="Times New Roman" w:hAnsi="Times New Roman" w:eastAsia="宋体" w:cs="Times New Roman"/>
                <w:b/>
                <w:color w:val="auto"/>
                <w:kern w:val="2"/>
                <w:sz w:val="21"/>
                <w:szCs w:val="21"/>
                <w:highlight w:val="none"/>
              </w:rPr>
              <w:t>排放口规范化标志</w:t>
            </w:r>
          </w:p>
          <w:tbl>
            <w:tblPr>
              <w:tblStyle w:val="3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2079"/>
              <w:gridCol w:w="1872"/>
              <w:gridCol w:w="1111"/>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提示图形符号</w:t>
                  </w: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背景颜色：绿色</w:t>
                  </w: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图形颜色：白色</w:t>
                  </w: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警告图形符号</w:t>
                  </w: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背景颜色：黄色</w:t>
                  </w: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图形颜色：黑色</w:t>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2336" behindDoc="0" locked="0" layoutInCell="1" allowOverlap="1">
                        <wp:simplePos x="0" y="0"/>
                        <wp:positionH relativeFrom="column">
                          <wp:posOffset>92075</wp:posOffset>
                        </wp:positionH>
                        <wp:positionV relativeFrom="paragraph">
                          <wp:posOffset>19685</wp:posOffset>
                        </wp:positionV>
                        <wp:extent cx="879475" cy="670560"/>
                        <wp:effectExtent l="0" t="0" r="15875" b="15240"/>
                        <wp:wrapNone/>
                        <wp:docPr id="19" name="Picture 3" descr="QQ截图2014101414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QQ截图20141014144442"/>
                                <pic:cNvPicPr>
                                  <a:picLocks noChangeAspect="1"/>
                                </pic:cNvPicPr>
                              </pic:nvPicPr>
                              <pic:blipFill>
                                <a:blip r:embed="rId29"/>
                                <a:stretch>
                                  <a:fillRect/>
                                </a:stretch>
                              </pic:blipFill>
                              <pic:spPr>
                                <a:xfrm>
                                  <a:off x="0" y="0"/>
                                  <a:ext cx="879475" cy="670560"/>
                                </a:xfrm>
                                <a:prstGeom prst="rect">
                                  <a:avLst/>
                                </a:prstGeom>
                                <a:noFill/>
                                <a:ln>
                                  <a:noFill/>
                                </a:ln>
                              </pic:spPr>
                            </pic:pic>
                          </a:graphicData>
                        </a:graphic>
                      </wp:anchor>
                    </w:drawing>
                  </w: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3360" behindDoc="0" locked="0" layoutInCell="1" allowOverlap="1">
                        <wp:simplePos x="0" y="0"/>
                        <wp:positionH relativeFrom="column">
                          <wp:posOffset>20320</wp:posOffset>
                        </wp:positionH>
                        <wp:positionV relativeFrom="paragraph">
                          <wp:posOffset>29210</wp:posOffset>
                        </wp:positionV>
                        <wp:extent cx="935990" cy="711200"/>
                        <wp:effectExtent l="0" t="0" r="16510" b="12700"/>
                        <wp:wrapNone/>
                        <wp:docPr id="20" name="Picture 4" descr="QQ截图2014101414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QQ截图20141014144603"/>
                                <pic:cNvPicPr>
                                  <a:picLocks noChangeAspect="1"/>
                                </pic:cNvPicPr>
                              </pic:nvPicPr>
                              <pic:blipFill>
                                <a:blip r:embed="rId30"/>
                                <a:stretch>
                                  <a:fillRect/>
                                </a:stretch>
                              </pic:blipFill>
                              <pic:spPr>
                                <a:xfrm>
                                  <a:off x="0" y="0"/>
                                  <a:ext cx="935990" cy="711200"/>
                                </a:xfrm>
                                <a:prstGeom prst="rect">
                                  <a:avLst/>
                                </a:prstGeom>
                                <a:noFill/>
                                <a:ln>
                                  <a:noFill/>
                                </a:ln>
                              </pic:spPr>
                            </pic:pic>
                          </a:graphicData>
                        </a:graphic>
                      </wp:anchor>
                    </w:drawing>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废水排放口</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表示废水向环境排放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8480" behindDoc="0" locked="0" layoutInCell="1" allowOverlap="1">
                        <wp:simplePos x="0" y="0"/>
                        <wp:positionH relativeFrom="column">
                          <wp:posOffset>50165</wp:posOffset>
                        </wp:positionH>
                        <wp:positionV relativeFrom="paragraph">
                          <wp:posOffset>113665</wp:posOffset>
                        </wp:positionV>
                        <wp:extent cx="885825" cy="755650"/>
                        <wp:effectExtent l="0" t="0" r="9525" b="6350"/>
                        <wp:wrapNone/>
                        <wp:docPr id="21" name="Picture 10" descr="QQ截图2014101414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descr="QQ截图20141014144550"/>
                                <pic:cNvPicPr>
                                  <a:picLocks noChangeAspect="1"/>
                                </pic:cNvPicPr>
                              </pic:nvPicPr>
                              <pic:blipFill>
                                <a:blip r:embed="rId31"/>
                                <a:stretch>
                                  <a:fillRect/>
                                </a:stretch>
                              </pic:blipFill>
                              <pic:spPr>
                                <a:xfrm>
                                  <a:off x="0" y="0"/>
                                  <a:ext cx="885825" cy="755650"/>
                                </a:xfrm>
                                <a:prstGeom prst="rect">
                                  <a:avLst/>
                                </a:prstGeom>
                                <a:noFill/>
                                <a:ln>
                                  <a:noFill/>
                                </a:ln>
                              </pic:spPr>
                            </pic:pic>
                          </a:graphicData>
                        </a:graphic>
                      </wp:anchor>
                    </w:drawing>
                  </w: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4384" behindDoc="0" locked="0" layoutInCell="1" allowOverlap="1">
                        <wp:simplePos x="0" y="0"/>
                        <wp:positionH relativeFrom="column">
                          <wp:posOffset>43180</wp:posOffset>
                        </wp:positionH>
                        <wp:positionV relativeFrom="paragraph">
                          <wp:posOffset>83820</wp:posOffset>
                        </wp:positionV>
                        <wp:extent cx="899795" cy="840740"/>
                        <wp:effectExtent l="0" t="0" r="14605" b="16510"/>
                        <wp:wrapNone/>
                        <wp:docPr id="22" name="Picture 5" descr="QQ截图2014101414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QQ截图20141014144613"/>
                                <pic:cNvPicPr>
                                  <a:picLocks noChangeAspect="1"/>
                                </pic:cNvPicPr>
                              </pic:nvPicPr>
                              <pic:blipFill>
                                <a:blip r:embed="rId32"/>
                                <a:stretch>
                                  <a:fillRect/>
                                </a:stretch>
                              </pic:blipFill>
                              <pic:spPr>
                                <a:xfrm>
                                  <a:off x="0" y="0"/>
                                  <a:ext cx="899795" cy="840740"/>
                                </a:xfrm>
                                <a:prstGeom prst="rect">
                                  <a:avLst/>
                                </a:prstGeom>
                                <a:noFill/>
                                <a:ln>
                                  <a:noFill/>
                                </a:ln>
                              </pic:spPr>
                            </pic:pic>
                          </a:graphicData>
                        </a:graphic>
                      </wp:anchor>
                    </w:drawing>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废气排放口</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表示废气向大气排放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7456" behindDoc="0" locked="0" layoutInCell="1" allowOverlap="1">
                        <wp:simplePos x="0" y="0"/>
                        <wp:positionH relativeFrom="column">
                          <wp:posOffset>79375</wp:posOffset>
                        </wp:positionH>
                        <wp:positionV relativeFrom="paragraph">
                          <wp:posOffset>55245</wp:posOffset>
                        </wp:positionV>
                        <wp:extent cx="890270" cy="762635"/>
                        <wp:effectExtent l="0" t="0" r="5080" b="18415"/>
                        <wp:wrapNone/>
                        <wp:docPr id="23" name="Picture 9" descr="QQ截图2014101414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descr="QQ截图20141014144508"/>
                                <pic:cNvPicPr>
                                  <a:picLocks noChangeAspect="1"/>
                                </pic:cNvPicPr>
                              </pic:nvPicPr>
                              <pic:blipFill>
                                <a:blip r:embed="rId33"/>
                                <a:stretch>
                                  <a:fillRect/>
                                </a:stretch>
                              </pic:blipFill>
                              <pic:spPr>
                                <a:xfrm>
                                  <a:off x="0" y="0"/>
                                  <a:ext cx="890270" cy="762635"/>
                                </a:xfrm>
                                <a:prstGeom prst="rect">
                                  <a:avLst/>
                                </a:prstGeom>
                                <a:noFill/>
                                <a:ln>
                                  <a:noFill/>
                                </a:ln>
                              </pic:spPr>
                            </pic:pic>
                          </a:graphicData>
                        </a:graphic>
                      </wp:anchor>
                    </w:drawing>
                  </w: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5408" behindDoc="0" locked="0" layoutInCell="1" allowOverlap="1">
                        <wp:simplePos x="0" y="0"/>
                        <wp:positionH relativeFrom="column">
                          <wp:posOffset>-17780</wp:posOffset>
                        </wp:positionH>
                        <wp:positionV relativeFrom="paragraph">
                          <wp:posOffset>33020</wp:posOffset>
                        </wp:positionV>
                        <wp:extent cx="972185" cy="785495"/>
                        <wp:effectExtent l="0" t="0" r="18415" b="14605"/>
                        <wp:wrapNone/>
                        <wp:docPr id="24" name="Picture 6" descr="QQ截图2014101414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descr="QQ截图20141014144623"/>
                                <pic:cNvPicPr>
                                  <a:picLocks noChangeAspect="1"/>
                                </pic:cNvPicPr>
                              </pic:nvPicPr>
                              <pic:blipFill>
                                <a:blip r:embed="rId34"/>
                                <a:stretch>
                                  <a:fillRect/>
                                </a:stretch>
                              </pic:blipFill>
                              <pic:spPr>
                                <a:xfrm>
                                  <a:off x="0" y="0"/>
                                  <a:ext cx="972185" cy="785495"/>
                                </a:xfrm>
                                <a:prstGeom prst="rect">
                                  <a:avLst/>
                                </a:prstGeom>
                                <a:noFill/>
                                <a:ln>
                                  <a:noFill/>
                                </a:ln>
                              </pic:spPr>
                            </pic:pic>
                          </a:graphicData>
                        </a:graphic>
                      </wp:anchor>
                    </w:drawing>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噪声源</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表示噪声向外环境排放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102870</wp:posOffset>
                        </wp:positionV>
                        <wp:extent cx="857885" cy="887730"/>
                        <wp:effectExtent l="0" t="0" r="18415" b="7620"/>
                        <wp:wrapNone/>
                        <wp:docPr id="25" name="Picture 11" descr="QQ截图2014101414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1" descr="QQ截图20141014144517"/>
                                <pic:cNvPicPr>
                                  <a:picLocks noChangeAspect="1"/>
                                </pic:cNvPicPr>
                              </pic:nvPicPr>
                              <pic:blipFill>
                                <a:blip r:embed="rId35"/>
                                <a:stretch>
                                  <a:fillRect/>
                                </a:stretch>
                              </pic:blipFill>
                              <pic:spPr>
                                <a:xfrm>
                                  <a:off x="0" y="0"/>
                                  <a:ext cx="857885" cy="887730"/>
                                </a:xfrm>
                                <a:prstGeom prst="rect">
                                  <a:avLst/>
                                </a:prstGeom>
                                <a:noFill/>
                                <a:ln>
                                  <a:noFill/>
                                </a:ln>
                              </pic:spPr>
                            </pic:pic>
                          </a:graphicData>
                        </a:graphic>
                      </wp:anchor>
                    </w:drawing>
                  </w: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66432" behindDoc="0" locked="0" layoutInCell="1" allowOverlap="1">
                        <wp:simplePos x="0" y="0"/>
                        <wp:positionH relativeFrom="column">
                          <wp:posOffset>8255</wp:posOffset>
                        </wp:positionH>
                        <wp:positionV relativeFrom="paragraph">
                          <wp:posOffset>92710</wp:posOffset>
                        </wp:positionV>
                        <wp:extent cx="935990" cy="838200"/>
                        <wp:effectExtent l="0" t="0" r="16510" b="0"/>
                        <wp:wrapNone/>
                        <wp:docPr id="26" name="Picture 7" descr="QQ截图2014101414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QQ截图20141014144632"/>
                                <pic:cNvPicPr>
                                  <a:picLocks noChangeAspect="1"/>
                                </pic:cNvPicPr>
                              </pic:nvPicPr>
                              <pic:blipFill>
                                <a:blip r:embed="rId36"/>
                                <a:stretch>
                                  <a:fillRect/>
                                </a:stretch>
                              </pic:blipFill>
                              <pic:spPr>
                                <a:xfrm>
                                  <a:off x="0" y="0"/>
                                  <a:ext cx="935990" cy="838200"/>
                                </a:xfrm>
                                <a:prstGeom prst="rect">
                                  <a:avLst/>
                                </a:prstGeom>
                                <a:noFill/>
                                <a:ln>
                                  <a:noFill/>
                                </a:ln>
                              </pic:spPr>
                            </pic:pic>
                          </a:graphicData>
                        </a:graphic>
                      </wp:anchor>
                    </w:drawing>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一般固废储存</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表示固废存储场所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left"/>
                    <w:textAlignment w:val="auto"/>
                    <w:rPr>
                      <w:rFonts w:hint="default" w:ascii="Times New Roman" w:hAnsi="Times New Roman" w:eastAsia="宋体" w:cs="Times New Roman"/>
                      <w:color w:val="auto"/>
                      <w:sz w:val="18"/>
                      <w:szCs w:val="18"/>
                      <w:highlight w:val="none"/>
                    </w:rPr>
                  </w:pPr>
                </w:p>
              </w:tc>
              <w:tc>
                <w:tcPr>
                  <w:tcW w:w="13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outlineLvl w:val="1"/>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drawing>
                      <wp:anchor distT="0" distB="0" distL="114300" distR="114300" simplePos="0" relativeHeight="251670528" behindDoc="0" locked="0" layoutInCell="1" allowOverlap="1">
                        <wp:simplePos x="0" y="0"/>
                        <wp:positionH relativeFrom="column">
                          <wp:posOffset>93345</wp:posOffset>
                        </wp:positionH>
                        <wp:positionV relativeFrom="paragraph">
                          <wp:posOffset>188595</wp:posOffset>
                        </wp:positionV>
                        <wp:extent cx="913765" cy="751840"/>
                        <wp:effectExtent l="0" t="0" r="635" b="10160"/>
                        <wp:wrapNone/>
                        <wp:docPr id="27" name="图片 1" descr="http://www.xyhb.gov.cn/UploadFile/eweb/201310181110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http://www.xyhb.gov.cn/UploadFile/eweb/2013101811105353.jpg"/>
                                <pic:cNvPicPr>
                                  <a:picLocks noChangeAspect="1"/>
                                </pic:cNvPicPr>
                              </pic:nvPicPr>
                              <pic:blipFill>
                                <a:blip r:embed="rId37"/>
                                <a:srcRect l="40157" t="63120" r="34688" b="3960"/>
                                <a:stretch>
                                  <a:fillRect/>
                                </a:stretch>
                              </pic:blipFill>
                              <pic:spPr>
                                <a:xfrm>
                                  <a:off x="0" y="0"/>
                                  <a:ext cx="913765" cy="751840"/>
                                </a:xfrm>
                                <a:prstGeom prst="rect">
                                  <a:avLst/>
                                </a:prstGeom>
                                <a:noFill/>
                                <a:ln>
                                  <a:noFill/>
                                </a:ln>
                              </pic:spPr>
                            </pic:pic>
                          </a:graphicData>
                        </a:graphic>
                      </wp:anchor>
                    </w:drawing>
                  </w:r>
                </w:p>
              </w:tc>
              <w:tc>
                <w:tcPr>
                  <w:tcW w:w="7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outlineLvl w:val="1"/>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危险废物储存</w:t>
                  </w:r>
                </w:p>
              </w:tc>
              <w:tc>
                <w:tcPr>
                  <w:tcW w:w="11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val="0"/>
                    <w:snapToGrid w:val="0"/>
                    <w:spacing w:beforeAutospacing="0" w:afterAutospacing="0" w:line="300" w:lineRule="exact"/>
                    <w:ind w:left="0" w:leftChars="0" w:right="0" w:rightChars="0" w:firstLine="0" w:firstLineChars="0"/>
                    <w:jc w:val="center"/>
                    <w:textAlignment w:val="auto"/>
                    <w:outlineLvl w:val="1"/>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表示危废暂存场所</w:t>
                  </w:r>
                </w:p>
              </w:tc>
            </w:tr>
          </w:tbl>
          <w:p>
            <w:pPr>
              <w:pStyle w:val="43"/>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420" w:lineRule="exact"/>
              <w:ind w:right="0" w:rightChars="0"/>
              <w:jc w:val="left"/>
              <w:textAlignment w:val="auto"/>
              <w:rPr>
                <w:rFonts w:hint="default" w:ascii="Times New Roman" w:hAnsi="Times New Roman" w:eastAsia="宋体" w:cs="Times New Roman"/>
                <w:color w:val="auto"/>
                <w:w w:val="100"/>
                <w:kern w:val="24"/>
                <w:sz w:val="21"/>
                <w:szCs w:val="21"/>
                <w:highlight w:val="none"/>
                <w:lang w:val="en-US" w:eastAsia="zh-CN" w:bidi="ar-SA"/>
              </w:rPr>
            </w:pPr>
          </w:p>
        </w:tc>
      </w:tr>
    </w:tbl>
    <w:p>
      <w:pPr>
        <w:pStyle w:val="31"/>
        <w:keepNext w:val="0"/>
        <w:keepLines w:val="0"/>
        <w:pageBreakBefore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21"/>
          <w:szCs w:val="21"/>
          <w:highlight w:val="none"/>
        </w:rPr>
        <w:br w:type="page"/>
      </w:r>
      <w:r>
        <w:rPr>
          <w:rFonts w:hint="default" w:ascii="Times New Roman" w:hAnsi="Times New Roman" w:eastAsia="宋体" w:cs="Times New Roman"/>
          <w:snapToGrid w:val="0"/>
          <w:color w:val="auto"/>
          <w:sz w:val="30"/>
          <w:szCs w:val="30"/>
          <w:highlight w:val="none"/>
        </w:rPr>
        <w:t>六、结论</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pageBreakBefore w:val="0"/>
              <w:kinsoku/>
              <w:wordWrap/>
              <w:overflowPunct/>
              <w:bidi w:val="0"/>
              <w:adjustRightInd w:val="0"/>
              <w:snapToGrid w:val="0"/>
              <w:spacing w:beforeAutospacing="0" w:afterAutospacing="0" w:line="500" w:lineRule="exact"/>
              <w:ind w:left="0" w:leftChars="0" w:right="0" w:rightChars="0" w:firstLine="420" w:firstLineChars="20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21"/>
                <w:szCs w:val="21"/>
                <w:highlight w:val="none"/>
                <w:lang w:eastAsia="zh-CN"/>
              </w:rPr>
              <w:t>唐山陆凯科技有限公司大型成套筛分装备数字化制造基地项目</w:t>
            </w:r>
            <w:r>
              <w:rPr>
                <w:rFonts w:hint="default" w:ascii="Times New Roman" w:hAnsi="Times New Roman" w:eastAsia="宋体" w:cs="Times New Roman"/>
                <w:color w:val="auto"/>
                <w:sz w:val="21"/>
                <w:szCs w:val="21"/>
                <w:highlight w:val="none"/>
              </w:rPr>
              <w:t>位于</w:t>
            </w:r>
            <w:r>
              <w:rPr>
                <w:rFonts w:hint="default" w:ascii="Times New Roman" w:hAnsi="Times New Roman" w:cs="Times New Roman"/>
                <w:color w:val="auto"/>
                <w:sz w:val="21"/>
                <w:szCs w:val="21"/>
                <w:highlight w:val="none"/>
                <w:lang w:eastAsia="zh-CN"/>
              </w:rPr>
              <w:t>河北省唐山市高新区京唐智慧港纬三路南侧，经七路西侧</w:t>
            </w:r>
            <w:r>
              <w:rPr>
                <w:rFonts w:hint="default" w:ascii="Times New Roman" w:hAnsi="Times New Roman" w:eastAsia="宋体" w:cs="Times New Roman"/>
                <w:color w:val="auto"/>
                <w:sz w:val="21"/>
                <w:szCs w:val="21"/>
                <w:highlight w:val="none"/>
              </w:rPr>
              <w:t>，项目符合产业政策、符合土地利用规划，在运营期间所产生的废气、废水、噪声、固废等均采取了合理有效的治理措施，在落实环评中提出的各项环保措施后可达标排放，对周围环境的影响程度在可接受的范围内，不会改变周围地区目前大气环境、水环境、声环境、土壤环境的现有功能；项目采取了风险防范及风险应急措施，环境风险可接受。在执行环保“三同时”制度和认真落实本环评提出的各项环保措施后，从环保角度分析，该项目建设可行。</w:t>
            </w:r>
          </w:p>
          <w:p>
            <w:pPr>
              <w:pageBreakBefore w:val="0"/>
              <w:kinsoku/>
              <w:wordWrap/>
              <w:overflowPunct/>
              <w:bidi w:val="0"/>
              <w:adjustRightInd w:val="0"/>
              <w:snapToGrid w:val="0"/>
              <w:spacing w:beforeAutospacing="0" w:afterAutospacing="0" w:line="500" w:lineRule="exact"/>
              <w:ind w:left="0" w:leftChars="0" w:right="0" w:rightChars="0" w:firstLine="480" w:firstLineChars="200"/>
              <w:jc w:val="both"/>
              <w:rPr>
                <w:rFonts w:hint="default" w:ascii="Times New Roman" w:hAnsi="Times New Roman" w:eastAsia="宋体" w:cs="Times New Roman"/>
                <w:color w:val="auto"/>
                <w:sz w:val="24"/>
                <w:szCs w:val="24"/>
                <w:highlight w:val="none"/>
                <w:lang w:eastAsia="zh-CN"/>
              </w:rPr>
            </w:pPr>
          </w:p>
          <w:p>
            <w:pPr>
              <w:pageBreakBefore w:val="0"/>
              <w:kinsoku/>
              <w:wordWrap/>
              <w:overflowPunct/>
              <w:bidi w:val="0"/>
              <w:adjustRightInd w:val="0"/>
              <w:snapToGrid w:val="0"/>
              <w:spacing w:beforeAutospacing="0" w:afterAutospacing="0" w:line="360" w:lineRule="auto"/>
              <w:ind w:left="0" w:leftChars="0" w:right="0" w:rightChars="0"/>
              <w:jc w:val="both"/>
              <w:rPr>
                <w:rFonts w:hint="default" w:ascii="Times New Roman" w:hAnsi="Times New Roman" w:eastAsia="宋体" w:cs="Times New Roman"/>
                <w:color w:val="auto"/>
                <w:sz w:val="24"/>
                <w:highlight w:val="none"/>
                <w:lang w:eastAsia="zh-CN"/>
              </w:rPr>
            </w:pPr>
          </w:p>
        </w:tc>
      </w:tr>
    </w:tbl>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eastAsia="宋体"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outlineLvl w:val="0"/>
        <w:rPr>
          <w:rFonts w:hint="default" w:ascii="Times New Roman" w:hAnsi="Times New Roman" w:eastAsia="宋体" w:cs="Times New Roman"/>
          <w:snapToGrid w:val="0"/>
          <w:color w:val="auto"/>
          <w:sz w:val="32"/>
          <w:szCs w:val="32"/>
          <w:highlight w:val="none"/>
        </w:rPr>
      </w:pPr>
      <w:r>
        <w:rPr>
          <w:rFonts w:hint="default" w:ascii="Times New Roman" w:hAnsi="Times New Roman" w:eastAsia="宋体" w:cs="Times New Roman"/>
          <w:snapToGrid w:val="0"/>
          <w:color w:val="auto"/>
          <w:sz w:val="32"/>
          <w:szCs w:val="32"/>
          <w:highlight w:val="none"/>
        </w:rPr>
        <w:t>附表</w:t>
      </w:r>
    </w:p>
    <w:p>
      <w:pPr>
        <w:pStyle w:val="3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0"/>
        <w:rPr>
          <w:rFonts w:hint="default" w:ascii="Times New Roman" w:hAnsi="Times New Roman" w:eastAsia="宋体" w:cs="Times New Roman"/>
          <w:snapToGrid w:val="0"/>
          <w:color w:val="auto"/>
          <w:sz w:val="38"/>
          <w:szCs w:val="38"/>
          <w:highlight w:val="none"/>
        </w:rPr>
      </w:pPr>
      <w:r>
        <w:rPr>
          <w:rFonts w:hint="default" w:ascii="Times New Roman" w:hAnsi="Times New Roman" w:eastAsia="宋体" w:cs="Times New Roman"/>
          <w:snapToGrid w:val="0"/>
          <w:color w:val="auto"/>
          <w:sz w:val="38"/>
          <w:szCs w:val="38"/>
          <w:highlight w:val="none"/>
        </w:rPr>
        <w:t>建设项目污染物排放量汇总表</w:t>
      </w:r>
    </w:p>
    <w:tbl>
      <w:tblPr>
        <w:tblStyle w:val="35"/>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680"/>
        <w:gridCol w:w="1701"/>
        <w:gridCol w:w="1276"/>
        <w:gridCol w:w="1701"/>
        <w:gridCol w:w="1559"/>
        <w:gridCol w:w="1761"/>
        <w:gridCol w:w="1832"/>
        <w:gridCol w:w="9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tcBorders>
              <w:tl2br w:val="single" w:color="auto" w:sz="4" w:space="0"/>
            </w:tcBorders>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lang w:val="en-US" w:eastAsia="zh-CN"/>
              </w:rPr>
              <w:t xml:space="preserve">           </w:t>
            </w:r>
            <w:r>
              <w:rPr>
                <w:rFonts w:hint="default" w:ascii="Times New Roman" w:hAnsi="Times New Roman" w:eastAsia="宋体" w:cs="Times New Roman"/>
                <w:snapToGrid w:val="0"/>
                <w:color w:val="auto"/>
                <w:spacing w:val="-6"/>
                <w:kern w:val="21"/>
                <w:sz w:val="18"/>
                <w:szCs w:val="18"/>
                <w:highlight w:val="none"/>
              </w:rPr>
              <w:t>项目</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both"/>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分类</w:t>
            </w:r>
          </w:p>
        </w:tc>
        <w:tc>
          <w:tcPr>
            <w:tcW w:w="1680"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污染物名称</w:t>
            </w:r>
          </w:p>
        </w:tc>
        <w:tc>
          <w:tcPr>
            <w:tcW w:w="1701"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现有工程</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lang w:val="en-US" w:eastAsia="zh-CN"/>
              </w:rPr>
            </w:pPr>
            <w:r>
              <w:rPr>
                <w:rFonts w:hint="default" w:ascii="Times New Roman" w:hAnsi="Times New Roman" w:eastAsia="宋体" w:cs="Times New Roman"/>
                <w:snapToGrid w:val="0"/>
                <w:color w:val="auto"/>
                <w:spacing w:val="-6"/>
                <w:kern w:val="21"/>
                <w:sz w:val="18"/>
                <w:szCs w:val="18"/>
                <w:highlight w:val="none"/>
              </w:rPr>
              <w:t>排放量（固体废物产生量）</w:t>
            </w: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fldChar w:fldCharType="begin"/>
            </w:r>
            <w:r>
              <w:rPr>
                <w:rFonts w:hint="default" w:ascii="Times New Roman" w:hAnsi="Times New Roman" w:eastAsia="宋体" w:cs="Times New Roman"/>
                <w:snapToGrid w:val="0"/>
                <w:color w:val="auto"/>
                <w:spacing w:val="-6"/>
                <w:kern w:val="21"/>
                <w:sz w:val="18"/>
                <w:szCs w:val="18"/>
                <w:highlight w:val="none"/>
              </w:rPr>
              <w:instrText xml:space="preserve"> = 1 \* GB3 \* MERGEFORMAT </w:instrText>
            </w:r>
            <w:r>
              <w:rPr>
                <w:rFonts w:hint="default" w:ascii="Times New Roman" w:hAnsi="Times New Roman" w:eastAsia="宋体" w:cs="Times New Roman"/>
                <w:snapToGrid w:val="0"/>
                <w:color w:val="auto"/>
                <w:spacing w:val="-6"/>
                <w:kern w:val="21"/>
                <w:sz w:val="18"/>
                <w:szCs w:val="18"/>
                <w:highlight w:val="none"/>
              </w:rPr>
              <w:fldChar w:fldCharType="separate"/>
            </w:r>
            <w:r>
              <w:rPr>
                <w:rFonts w:hint="default" w:ascii="Times New Roman" w:hAnsi="Times New Roman" w:eastAsia="宋体" w:cs="Times New Roman"/>
                <w:color w:val="auto"/>
                <w:kern w:val="2"/>
                <w:sz w:val="18"/>
                <w:szCs w:val="18"/>
                <w:highlight w:val="none"/>
              </w:rPr>
              <w:t>①</w:t>
            </w:r>
            <w:r>
              <w:rPr>
                <w:rFonts w:hint="default" w:ascii="Times New Roman" w:hAnsi="Times New Roman" w:eastAsia="宋体" w:cs="Times New Roman"/>
                <w:snapToGrid w:val="0"/>
                <w:color w:val="auto"/>
                <w:spacing w:val="-6"/>
                <w:kern w:val="21"/>
                <w:sz w:val="18"/>
                <w:szCs w:val="18"/>
                <w:highlight w:val="none"/>
              </w:rPr>
              <w:fldChar w:fldCharType="end"/>
            </w:r>
          </w:p>
        </w:tc>
        <w:tc>
          <w:tcPr>
            <w:tcW w:w="1276"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现有工程</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许可排放量</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fldChar w:fldCharType="begin"/>
            </w:r>
            <w:r>
              <w:rPr>
                <w:rFonts w:hint="default" w:ascii="Times New Roman" w:hAnsi="Times New Roman" w:eastAsia="宋体" w:cs="Times New Roman"/>
                <w:snapToGrid w:val="0"/>
                <w:color w:val="auto"/>
                <w:spacing w:val="-6"/>
                <w:kern w:val="21"/>
                <w:sz w:val="18"/>
                <w:szCs w:val="18"/>
                <w:highlight w:val="none"/>
              </w:rPr>
              <w:instrText xml:space="preserve"> = 2 \* GB3 \* MERGEFORMAT </w:instrText>
            </w:r>
            <w:r>
              <w:rPr>
                <w:rFonts w:hint="default" w:ascii="Times New Roman" w:hAnsi="Times New Roman" w:eastAsia="宋体" w:cs="Times New Roman"/>
                <w:snapToGrid w:val="0"/>
                <w:color w:val="auto"/>
                <w:spacing w:val="-6"/>
                <w:kern w:val="21"/>
                <w:sz w:val="18"/>
                <w:szCs w:val="18"/>
                <w:highlight w:val="none"/>
              </w:rPr>
              <w:fldChar w:fldCharType="separate"/>
            </w:r>
            <w:r>
              <w:rPr>
                <w:rFonts w:hint="default" w:ascii="Times New Roman" w:hAnsi="Times New Roman" w:eastAsia="宋体" w:cs="Times New Roman"/>
                <w:snapToGrid w:val="0"/>
                <w:color w:val="auto"/>
                <w:spacing w:val="-6"/>
                <w:kern w:val="21"/>
                <w:sz w:val="18"/>
                <w:szCs w:val="18"/>
                <w:highlight w:val="none"/>
              </w:rPr>
              <w:t>②</w:t>
            </w:r>
            <w:r>
              <w:rPr>
                <w:rFonts w:hint="default" w:ascii="Times New Roman" w:hAnsi="Times New Roman" w:eastAsia="宋体" w:cs="Times New Roman"/>
                <w:snapToGrid w:val="0"/>
                <w:color w:val="auto"/>
                <w:spacing w:val="-6"/>
                <w:kern w:val="21"/>
                <w:sz w:val="18"/>
                <w:szCs w:val="18"/>
                <w:highlight w:val="none"/>
              </w:rPr>
              <w:fldChar w:fldCharType="end"/>
            </w:r>
          </w:p>
        </w:tc>
        <w:tc>
          <w:tcPr>
            <w:tcW w:w="1701"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在建工程</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排放量（固体废物产生量）</w:t>
            </w: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fldChar w:fldCharType="begin"/>
            </w:r>
            <w:r>
              <w:rPr>
                <w:rFonts w:hint="default" w:ascii="Times New Roman" w:hAnsi="Times New Roman" w:eastAsia="宋体" w:cs="Times New Roman"/>
                <w:snapToGrid w:val="0"/>
                <w:color w:val="auto"/>
                <w:spacing w:val="-6"/>
                <w:kern w:val="21"/>
                <w:sz w:val="18"/>
                <w:szCs w:val="18"/>
                <w:highlight w:val="none"/>
              </w:rPr>
              <w:instrText xml:space="preserve"> = 3 \* GB3 \* MERGEFORMAT </w:instrText>
            </w:r>
            <w:r>
              <w:rPr>
                <w:rFonts w:hint="default" w:ascii="Times New Roman" w:hAnsi="Times New Roman" w:eastAsia="宋体" w:cs="Times New Roman"/>
                <w:snapToGrid w:val="0"/>
                <w:color w:val="auto"/>
                <w:spacing w:val="-6"/>
                <w:kern w:val="21"/>
                <w:sz w:val="18"/>
                <w:szCs w:val="18"/>
                <w:highlight w:val="none"/>
              </w:rPr>
              <w:fldChar w:fldCharType="separate"/>
            </w:r>
            <w:r>
              <w:rPr>
                <w:rFonts w:hint="default" w:ascii="Times New Roman" w:hAnsi="Times New Roman" w:eastAsia="宋体" w:cs="Times New Roman"/>
                <w:color w:val="auto"/>
                <w:kern w:val="2"/>
                <w:sz w:val="18"/>
                <w:szCs w:val="18"/>
                <w:highlight w:val="none"/>
              </w:rPr>
              <w:t>③</w:t>
            </w:r>
            <w:r>
              <w:rPr>
                <w:rFonts w:hint="default" w:ascii="Times New Roman" w:hAnsi="Times New Roman" w:eastAsia="宋体" w:cs="Times New Roman"/>
                <w:snapToGrid w:val="0"/>
                <w:color w:val="auto"/>
                <w:spacing w:val="-6"/>
                <w:kern w:val="21"/>
                <w:sz w:val="18"/>
                <w:szCs w:val="18"/>
                <w:highlight w:val="none"/>
              </w:rPr>
              <w:fldChar w:fldCharType="end"/>
            </w:r>
          </w:p>
        </w:tc>
        <w:tc>
          <w:tcPr>
            <w:tcW w:w="1559"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本项目</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排放量（固体废物产生量）</w:t>
            </w: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fldChar w:fldCharType="begin"/>
            </w:r>
            <w:r>
              <w:rPr>
                <w:rFonts w:hint="default" w:ascii="Times New Roman" w:hAnsi="Times New Roman" w:eastAsia="宋体" w:cs="Times New Roman"/>
                <w:snapToGrid w:val="0"/>
                <w:color w:val="auto"/>
                <w:spacing w:val="-6"/>
                <w:kern w:val="21"/>
                <w:sz w:val="18"/>
                <w:szCs w:val="18"/>
                <w:highlight w:val="none"/>
              </w:rPr>
              <w:instrText xml:space="preserve"> = 4 \* GB3 \* MERGEFORMAT </w:instrText>
            </w:r>
            <w:r>
              <w:rPr>
                <w:rFonts w:hint="default" w:ascii="Times New Roman" w:hAnsi="Times New Roman" w:eastAsia="宋体" w:cs="Times New Roman"/>
                <w:snapToGrid w:val="0"/>
                <w:color w:val="auto"/>
                <w:spacing w:val="-6"/>
                <w:kern w:val="21"/>
                <w:sz w:val="18"/>
                <w:szCs w:val="18"/>
                <w:highlight w:val="none"/>
              </w:rPr>
              <w:fldChar w:fldCharType="separate"/>
            </w:r>
            <w:r>
              <w:rPr>
                <w:rFonts w:hint="default" w:ascii="Times New Roman" w:hAnsi="Times New Roman" w:eastAsia="宋体" w:cs="Times New Roman"/>
                <w:color w:val="auto"/>
                <w:kern w:val="2"/>
                <w:sz w:val="18"/>
                <w:szCs w:val="18"/>
                <w:highlight w:val="none"/>
              </w:rPr>
              <w:t>④</w:t>
            </w:r>
            <w:r>
              <w:rPr>
                <w:rFonts w:hint="default" w:ascii="Times New Roman" w:hAnsi="Times New Roman" w:eastAsia="宋体" w:cs="Times New Roman"/>
                <w:snapToGrid w:val="0"/>
                <w:color w:val="auto"/>
                <w:spacing w:val="-6"/>
                <w:kern w:val="21"/>
                <w:sz w:val="18"/>
                <w:szCs w:val="18"/>
                <w:highlight w:val="none"/>
              </w:rPr>
              <w:fldChar w:fldCharType="end"/>
            </w:r>
          </w:p>
        </w:tc>
        <w:tc>
          <w:tcPr>
            <w:tcW w:w="1761"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以新带老削减量</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1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（新建项目不填</w:t>
            </w: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t>）</w:t>
            </w:r>
            <w:r>
              <w:rPr>
                <w:rFonts w:hint="default" w:ascii="Times New Roman" w:hAnsi="Times New Roman" w:eastAsia="宋体" w:cs="Times New Roman"/>
                <w:snapToGrid w:val="0"/>
                <w:color w:val="auto"/>
                <w:spacing w:val="-16"/>
                <w:kern w:val="21"/>
                <w:sz w:val="18"/>
                <w:szCs w:val="18"/>
                <w:highlight w:val="none"/>
              </w:rPr>
              <w:fldChar w:fldCharType="begin"/>
            </w:r>
            <w:r>
              <w:rPr>
                <w:rFonts w:hint="default" w:ascii="Times New Roman" w:hAnsi="Times New Roman" w:eastAsia="宋体" w:cs="Times New Roman"/>
                <w:snapToGrid w:val="0"/>
                <w:color w:val="auto"/>
                <w:spacing w:val="-16"/>
                <w:kern w:val="21"/>
                <w:sz w:val="18"/>
                <w:szCs w:val="18"/>
                <w:highlight w:val="none"/>
              </w:rPr>
              <w:instrText xml:space="preserve"> = 5 \* GB3 \* MERGEFORMAT </w:instrText>
            </w:r>
            <w:r>
              <w:rPr>
                <w:rFonts w:hint="default" w:ascii="Times New Roman" w:hAnsi="Times New Roman" w:eastAsia="宋体" w:cs="Times New Roman"/>
                <w:snapToGrid w:val="0"/>
                <w:color w:val="auto"/>
                <w:spacing w:val="-16"/>
                <w:kern w:val="21"/>
                <w:sz w:val="18"/>
                <w:szCs w:val="18"/>
                <w:highlight w:val="none"/>
              </w:rPr>
              <w:fldChar w:fldCharType="separate"/>
            </w:r>
            <w:r>
              <w:rPr>
                <w:rFonts w:hint="default" w:ascii="Times New Roman" w:hAnsi="Times New Roman" w:eastAsia="宋体" w:cs="Times New Roman"/>
                <w:color w:val="auto"/>
                <w:kern w:val="2"/>
                <w:sz w:val="18"/>
                <w:szCs w:val="18"/>
                <w:highlight w:val="none"/>
              </w:rPr>
              <w:t>⑤</w:t>
            </w:r>
            <w:r>
              <w:rPr>
                <w:rFonts w:hint="default" w:ascii="Times New Roman" w:hAnsi="Times New Roman" w:eastAsia="宋体" w:cs="Times New Roman"/>
                <w:snapToGrid w:val="0"/>
                <w:color w:val="auto"/>
                <w:spacing w:val="-16"/>
                <w:kern w:val="21"/>
                <w:sz w:val="18"/>
                <w:szCs w:val="18"/>
                <w:highlight w:val="none"/>
              </w:rPr>
              <w:fldChar w:fldCharType="end"/>
            </w:r>
          </w:p>
        </w:tc>
        <w:tc>
          <w:tcPr>
            <w:tcW w:w="1832"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本项目建成后</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1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全厂排放量（固体废物产生量）</w:t>
            </w: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16"/>
                <w:kern w:val="21"/>
                <w:sz w:val="18"/>
                <w:szCs w:val="18"/>
                <w:highlight w:val="none"/>
              </w:rPr>
              <w:fldChar w:fldCharType="begin"/>
            </w:r>
            <w:r>
              <w:rPr>
                <w:rFonts w:hint="default" w:ascii="Times New Roman" w:hAnsi="Times New Roman" w:eastAsia="宋体" w:cs="Times New Roman"/>
                <w:snapToGrid w:val="0"/>
                <w:color w:val="auto"/>
                <w:spacing w:val="-16"/>
                <w:kern w:val="21"/>
                <w:sz w:val="18"/>
                <w:szCs w:val="18"/>
                <w:highlight w:val="none"/>
              </w:rPr>
              <w:instrText xml:space="preserve"> = 6 \* GB3 \* MERGEFORMAT </w:instrText>
            </w:r>
            <w:r>
              <w:rPr>
                <w:rFonts w:hint="default" w:ascii="Times New Roman" w:hAnsi="Times New Roman" w:eastAsia="宋体" w:cs="Times New Roman"/>
                <w:snapToGrid w:val="0"/>
                <w:color w:val="auto"/>
                <w:spacing w:val="-16"/>
                <w:kern w:val="21"/>
                <w:sz w:val="18"/>
                <w:szCs w:val="18"/>
                <w:highlight w:val="none"/>
              </w:rPr>
              <w:fldChar w:fldCharType="separate"/>
            </w:r>
            <w:r>
              <w:rPr>
                <w:rFonts w:hint="default" w:ascii="Times New Roman" w:hAnsi="Times New Roman" w:eastAsia="宋体" w:cs="Times New Roman"/>
                <w:color w:val="auto"/>
                <w:kern w:val="2"/>
                <w:sz w:val="18"/>
                <w:szCs w:val="18"/>
                <w:highlight w:val="none"/>
              </w:rPr>
              <w:t>⑥</w:t>
            </w:r>
            <w:r>
              <w:rPr>
                <w:rFonts w:hint="default" w:ascii="Times New Roman" w:hAnsi="Times New Roman" w:eastAsia="宋体" w:cs="Times New Roman"/>
                <w:snapToGrid w:val="0"/>
                <w:color w:val="auto"/>
                <w:spacing w:val="-16"/>
                <w:kern w:val="21"/>
                <w:sz w:val="18"/>
                <w:szCs w:val="18"/>
                <w:highlight w:val="none"/>
              </w:rPr>
              <w:fldChar w:fldCharType="end"/>
            </w:r>
          </w:p>
        </w:tc>
        <w:tc>
          <w:tcPr>
            <w:tcW w:w="953" w:type="dxa"/>
            <w:noWrap w:val="0"/>
            <w:tcMar>
              <w:left w:w="28" w:type="dxa"/>
              <w:right w:w="28" w:type="dxa"/>
            </w:tcMar>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rPr>
              <w:t>变化量</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spacing w:val="-6"/>
                <w:kern w:val="21"/>
                <w:sz w:val="18"/>
                <w:szCs w:val="18"/>
                <w:highlight w:val="none"/>
              </w:rPr>
            </w:pPr>
            <w:r>
              <w:rPr>
                <w:rFonts w:hint="default" w:ascii="Times New Roman" w:hAnsi="Times New Roman" w:eastAsia="宋体" w:cs="Times New Roman"/>
                <w:snapToGrid w:val="0"/>
                <w:color w:val="auto"/>
                <w:spacing w:val="-6"/>
                <w:kern w:val="21"/>
                <w:sz w:val="18"/>
                <w:szCs w:val="18"/>
                <w:highlight w:val="none"/>
                <w:lang w:val="en-US" w:eastAsia="zh-CN"/>
              </w:rPr>
              <w:t>t/a</w:t>
            </w:r>
            <w:r>
              <w:rPr>
                <w:rFonts w:hint="default" w:ascii="Times New Roman" w:hAnsi="Times New Roman" w:eastAsia="宋体" w:cs="Times New Roman"/>
                <w:snapToGrid w:val="0"/>
                <w:color w:val="auto"/>
                <w:spacing w:val="-6"/>
                <w:kern w:val="21"/>
                <w:sz w:val="18"/>
                <w:szCs w:val="18"/>
                <w:highlight w:val="none"/>
              </w:rPr>
              <w:fldChar w:fldCharType="begin"/>
            </w:r>
            <w:r>
              <w:rPr>
                <w:rFonts w:hint="default" w:ascii="Times New Roman" w:hAnsi="Times New Roman" w:eastAsia="宋体" w:cs="Times New Roman"/>
                <w:snapToGrid w:val="0"/>
                <w:color w:val="auto"/>
                <w:spacing w:val="-6"/>
                <w:kern w:val="21"/>
                <w:sz w:val="18"/>
                <w:szCs w:val="18"/>
                <w:highlight w:val="none"/>
              </w:rPr>
              <w:instrText xml:space="preserve"> = 7 \* GB3 \* MERGEFORMAT </w:instrText>
            </w:r>
            <w:r>
              <w:rPr>
                <w:rFonts w:hint="default" w:ascii="Times New Roman" w:hAnsi="Times New Roman" w:eastAsia="宋体" w:cs="Times New Roman"/>
                <w:snapToGrid w:val="0"/>
                <w:color w:val="auto"/>
                <w:spacing w:val="-6"/>
                <w:kern w:val="21"/>
                <w:sz w:val="18"/>
                <w:szCs w:val="18"/>
                <w:highlight w:val="none"/>
              </w:rPr>
              <w:fldChar w:fldCharType="separate"/>
            </w:r>
            <w:r>
              <w:rPr>
                <w:rFonts w:hint="default" w:ascii="Times New Roman" w:hAnsi="Times New Roman" w:eastAsia="宋体" w:cs="Times New Roman"/>
                <w:snapToGrid w:val="0"/>
                <w:color w:val="auto"/>
                <w:spacing w:val="-6"/>
                <w:kern w:val="21"/>
                <w:sz w:val="18"/>
                <w:szCs w:val="18"/>
                <w:highlight w:val="none"/>
              </w:rPr>
              <w:t>⑦</w:t>
            </w:r>
            <w:r>
              <w:rPr>
                <w:rFonts w:hint="default" w:ascii="Times New Roman" w:hAnsi="Times New Roman" w:eastAsia="宋体" w:cs="Times New Roman"/>
                <w:snapToGrid w:val="0"/>
                <w:color w:val="auto"/>
                <w:spacing w:val="-6"/>
                <w:kern w:val="21"/>
                <w:sz w:val="18"/>
                <w:szCs w:val="18"/>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restar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r>
              <w:rPr>
                <w:rFonts w:hint="default" w:ascii="Times New Roman" w:hAnsi="Times New Roman" w:eastAsia="宋体" w:cs="Times New Roman"/>
                <w:snapToGrid w:val="0"/>
                <w:color w:val="auto"/>
                <w:kern w:val="21"/>
                <w:sz w:val="18"/>
                <w:szCs w:val="18"/>
                <w:highlight w:val="none"/>
              </w:rPr>
              <w:t>废气</w:t>
            </w: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eastAsia="zh-CN"/>
              </w:rPr>
            </w:pPr>
            <w:r>
              <w:rPr>
                <w:rFonts w:hint="default" w:ascii="Times New Roman" w:hAnsi="Times New Roman" w:eastAsia="宋体" w:cs="Times New Roman"/>
                <w:snapToGrid w:val="0"/>
                <w:color w:val="auto"/>
                <w:kern w:val="21"/>
                <w:sz w:val="18"/>
                <w:szCs w:val="18"/>
                <w:highlight w:val="none"/>
                <w:lang w:eastAsia="zh-CN"/>
              </w:rPr>
              <w:t>颗粒物</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eastAsia" w:cs="Times New Roman"/>
                <w:snapToGrid w:val="0"/>
                <w:color w:val="auto"/>
                <w:kern w:val="21"/>
                <w:sz w:val="18"/>
                <w:szCs w:val="18"/>
                <w:highlight w:val="none"/>
                <w:lang w:val="en-US" w:eastAsia="zh-CN"/>
              </w:rPr>
              <w:t>1.833</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eastAsia" w:cs="Times New Roman"/>
                <w:snapToGrid w:val="0"/>
                <w:color w:val="auto"/>
                <w:kern w:val="21"/>
                <w:sz w:val="18"/>
                <w:szCs w:val="18"/>
                <w:highlight w:val="none"/>
                <w:lang w:val="en-US" w:eastAsia="zh-CN"/>
              </w:rPr>
              <w:t>1.833</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w:t>
            </w:r>
            <w:r>
              <w:rPr>
                <w:rFonts w:hint="eastAsia" w:cs="Times New Roman"/>
                <w:snapToGrid w:val="0"/>
                <w:color w:val="auto"/>
                <w:kern w:val="21"/>
                <w:sz w:val="18"/>
                <w:szCs w:val="18"/>
                <w:highlight w:val="none"/>
                <w:lang w:val="en-US" w:eastAsia="zh-CN"/>
              </w:rPr>
              <w:t>1.833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eastAsia="zh-CN"/>
              </w:rPr>
            </w:pPr>
            <w:r>
              <w:rPr>
                <w:rFonts w:hint="default" w:ascii="Times New Roman" w:hAnsi="Times New Roman" w:eastAsia="宋体" w:cs="Times New Roman"/>
                <w:snapToGrid w:val="0"/>
                <w:color w:val="auto"/>
                <w:kern w:val="21"/>
                <w:sz w:val="18"/>
                <w:szCs w:val="18"/>
                <w:highlight w:val="none"/>
                <w:lang w:val="en-US" w:eastAsia="zh-CN"/>
              </w:rPr>
              <w:t>SO</w:t>
            </w:r>
            <w:r>
              <w:rPr>
                <w:rFonts w:hint="default" w:ascii="Times New Roman" w:hAnsi="Times New Roman" w:eastAsia="宋体" w:cs="Times New Roman"/>
                <w:snapToGrid w:val="0"/>
                <w:color w:val="auto"/>
                <w:kern w:val="21"/>
                <w:sz w:val="18"/>
                <w:szCs w:val="18"/>
                <w:highlight w:val="none"/>
                <w:vertAlign w:val="subscript"/>
                <w:lang w:val="en-US" w:eastAsia="zh-CN"/>
              </w:rPr>
              <w:t>2</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NOx</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非甲烷总烃</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eastAsia" w:cs="Times New Roman"/>
                <w:snapToGrid w:val="0"/>
                <w:color w:val="auto"/>
                <w:kern w:val="21"/>
                <w:sz w:val="18"/>
                <w:szCs w:val="18"/>
                <w:highlight w:val="none"/>
                <w:lang w:val="en-US" w:eastAsia="zh-CN"/>
              </w:rPr>
              <w:t>7.539</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eastAsia" w:cs="Times New Roman"/>
                <w:snapToGrid w:val="0"/>
                <w:color w:val="auto"/>
                <w:kern w:val="21"/>
                <w:sz w:val="18"/>
                <w:szCs w:val="18"/>
                <w:highlight w:val="none"/>
                <w:lang w:val="en-US" w:eastAsia="zh-CN"/>
              </w:rPr>
              <w:t>7.539</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w:t>
            </w:r>
            <w:r>
              <w:rPr>
                <w:rFonts w:hint="eastAsia" w:cs="Times New Roman"/>
                <w:snapToGrid w:val="0"/>
                <w:color w:val="auto"/>
                <w:kern w:val="21"/>
                <w:sz w:val="18"/>
                <w:szCs w:val="18"/>
                <w:highlight w:val="none"/>
                <w:lang w:val="en-US" w:eastAsia="zh-CN"/>
              </w:rPr>
              <w:t>7.539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restar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r>
              <w:rPr>
                <w:rFonts w:hint="default" w:ascii="Times New Roman" w:hAnsi="Times New Roman" w:eastAsia="宋体" w:cs="Times New Roman"/>
                <w:snapToGrid w:val="0"/>
                <w:color w:val="auto"/>
                <w:kern w:val="21"/>
                <w:sz w:val="18"/>
                <w:szCs w:val="18"/>
                <w:highlight w:val="none"/>
              </w:rPr>
              <w:t>废水</w:t>
            </w: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COD</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eastAsia="zh-CN"/>
              </w:rPr>
            </w:pPr>
            <w:r>
              <w:rPr>
                <w:rFonts w:hint="default" w:ascii="Times New Roman" w:hAnsi="Times New Roman" w:eastAsia="宋体" w:cs="Times New Roman"/>
                <w:snapToGrid w:val="0"/>
                <w:color w:val="auto"/>
                <w:kern w:val="21"/>
                <w:sz w:val="18"/>
                <w:szCs w:val="18"/>
                <w:highlight w:val="none"/>
                <w:lang w:eastAsia="zh-CN"/>
              </w:rPr>
              <w:t>氨氮</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eastAsia="zh-CN"/>
              </w:rPr>
            </w:pPr>
            <w:r>
              <w:rPr>
                <w:rFonts w:hint="default" w:ascii="Times New Roman" w:hAnsi="Times New Roman" w:eastAsia="宋体" w:cs="Times New Roman"/>
                <w:snapToGrid w:val="0"/>
                <w:color w:val="auto"/>
                <w:kern w:val="21"/>
                <w:sz w:val="18"/>
                <w:szCs w:val="18"/>
                <w:highlight w:val="none"/>
                <w:lang w:eastAsia="zh-CN"/>
              </w:rPr>
              <w:t>总磷</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eastAsia="zh-CN"/>
              </w:rPr>
            </w:pPr>
            <w:r>
              <w:rPr>
                <w:rFonts w:hint="default" w:ascii="Times New Roman" w:hAnsi="Times New Roman" w:eastAsia="宋体" w:cs="Times New Roman"/>
                <w:snapToGrid w:val="0"/>
                <w:color w:val="auto"/>
                <w:kern w:val="21"/>
                <w:sz w:val="18"/>
                <w:szCs w:val="18"/>
                <w:highlight w:val="none"/>
                <w:lang w:eastAsia="zh-CN"/>
              </w:rPr>
              <w:t>总氮</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restar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r>
              <w:rPr>
                <w:rFonts w:hint="default" w:ascii="Times New Roman" w:hAnsi="Times New Roman" w:eastAsia="宋体" w:cs="Times New Roman"/>
                <w:snapToGrid w:val="0"/>
                <w:color w:val="auto"/>
                <w:kern w:val="21"/>
                <w:sz w:val="18"/>
                <w:szCs w:val="18"/>
                <w:highlight w:val="none"/>
              </w:rPr>
              <w:t>一般工业</w:t>
            </w:r>
          </w:p>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r>
              <w:rPr>
                <w:rFonts w:hint="default" w:ascii="Times New Roman" w:hAnsi="Times New Roman" w:eastAsia="宋体" w:cs="Times New Roman"/>
                <w:snapToGrid w:val="0"/>
                <w:color w:val="auto"/>
                <w:kern w:val="21"/>
                <w:sz w:val="18"/>
                <w:szCs w:val="18"/>
                <w:highlight w:val="none"/>
              </w:rPr>
              <w:t>固体废物</w:t>
            </w: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生活垃圾</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7.5</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7.5</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金属边角料</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10</w:t>
            </w:r>
            <w:r>
              <w:rPr>
                <w:rFonts w:hint="eastAsia" w:cs="Times New Roman"/>
                <w:snapToGrid w:val="0"/>
                <w:color w:val="auto"/>
                <w:kern w:val="21"/>
                <w:sz w:val="18"/>
                <w:szCs w:val="18"/>
                <w:highlight w:val="none"/>
                <w:lang w:val="en-US" w:eastAsia="zh-CN"/>
              </w:rPr>
              <w:t>0</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10</w:t>
            </w:r>
            <w:r>
              <w:rPr>
                <w:rFonts w:hint="eastAsia" w:cs="Times New Roman"/>
                <w:snapToGrid w:val="0"/>
                <w:color w:val="auto"/>
                <w:kern w:val="21"/>
                <w:sz w:val="18"/>
                <w:szCs w:val="18"/>
                <w:highlight w:val="none"/>
                <w:lang w:val="en-US" w:eastAsia="zh-CN"/>
              </w:rPr>
              <w:t>0</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+10</w:t>
            </w:r>
            <w:r>
              <w:rPr>
                <w:rFonts w:hint="eastAsia" w:cs="Times New Roman"/>
                <w:snapToGrid w:val="0"/>
                <w:color w:val="auto"/>
                <w:kern w:val="21"/>
                <w:sz w:val="18"/>
                <w:szCs w:val="18"/>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废焊丝</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0"/>
                <w:sz w:val="18"/>
                <w:szCs w:val="18"/>
                <w:highlight w:val="none"/>
              </w:rPr>
              <w:t>除尘灰</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10.5</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10.5</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+10.5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废钢丸</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firstLineChars="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bidi="ar-SA"/>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5</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5</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废布袋</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restart"/>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r>
              <w:rPr>
                <w:rFonts w:hint="default" w:ascii="Times New Roman" w:hAnsi="Times New Roman" w:eastAsia="宋体" w:cs="Times New Roman"/>
                <w:snapToGrid w:val="0"/>
                <w:color w:val="auto"/>
                <w:kern w:val="21"/>
                <w:sz w:val="18"/>
                <w:szCs w:val="18"/>
                <w:highlight w:val="none"/>
              </w:rPr>
              <w:t>危险废物</w:t>
            </w: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废催化剂</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kern w:val="21"/>
                <w:sz w:val="18"/>
                <w:szCs w:val="18"/>
                <w:highlight w:val="none"/>
                <w:lang w:val="en-US" w:eastAsia="zh-CN"/>
              </w:rPr>
              <w:t>0.005</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0.005</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kern w:val="21"/>
                <w:sz w:val="18"/>
                <w:szCs w:val="18"/>
                <w:highlight w:val="none"/>
                <w:lang w:val="en-US" w:eastAsia="zh-CN"/>
              </w:rPr>
              <w:t>+0.005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废润滑油</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废</w:t>
            </w:r>
            <w:r>
              <w:rPr>
                <w:rFonts w:hint="default" w:ascii="Times New Roman" w:hAnsi="Times New Roman" w:cs="Times New Roman"/>
                <w:color w:val="auto"/>
                <w:kern w:val="2"/>
                <w:sz w:val="18"/>
                <w:szCs w:val="18"/>
                <w:highlight w:val="none"/>
                <w:lang w:val="en-US" w:eastAsia="zh-CN" w:bidi="ar-SA"/>
              </w:rPr>
              <w:t>切削液</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废油桶</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eastAsia="宋体" w:cs="Times New Roman"/>
                <w:snapToGrid w:val="0"/>
                <w:color w:val="auto"/>
                <w:spacing w:val="10"/>
                <w:kern w:val="28"/>
                <w:sz w:val="18"/>
                <w:szCs w:val="18"/>
                <w:highlight w:val="none"/>
                <w:lang w:val="en-US" w:eastAsia="zh-CN"/>
              </w:rPr>
              <w:t>0.01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eastAsia="宋体" w:cs="Times New Roman"/>
                <w:snapToGrid w:val="0"/>
                <w:color w:val="auto"/>
                <w:spacing w:val="10"/>
                <w:kern w:val="28"/>
                <w:sz w:val="18"/>
                <w:szCs w:val="18"/>
                <w:highlight w:val="none"/>
                <w:lang w:val="en-US" w:eastAsia="zh-CN"/>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eastAsia="宋体" w:cs="Times New Roman"/>
                <w:snapToGrid w:val="0"/>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废活性炭</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r>
              <w:rPr>
                <w:rFonts w:hint="eastAsia" w:cs="Times New Roman"/>
                <w:snapToGrid w:val="0"/>
                <w:color w:val="auto"/>
                <w:kern w:val="21"/>
                <w:sz w:val="18"/>
                <w:szCs w:val="18"/>
                <w:highlight w:val="none"/>
                <w:lang w:val="en-US" w:eastAsia="zh-CN"/>
              </w:rPr>
              <w:t>2</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eastAsia" w:cs="Times New Roman"/>
                <w:snapToGrid w:val="0"/>
                <w:color w:val="auto"/>
                <w:kern w:val="21"/>
                <w:sz w:val="18"/>
                <w:szCs w:val="18"/>
                <w:highlight w:val="none"/>
                <w:lang w:val="en-US" w:eastAsia="zh-CN"/>
              </w:rPr>
              <w:t>2</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w:t>
            </w:r>
            <w:r>
              <w:rPr>
                <w:rFonts w:hint="eastAsia" w:cs="Times New Roman"/>
                <w:snapToGrid w:val="0"/>
                <w:color w:val="auto"/>
                <w:kern w:val="21"/>
                <w:sz w:val="18"/>
                <w:szCs w:val="18"/>
                <w:highlight w:val="none"/>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废过滤棉</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0.2</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0.2</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18"/>
                <w:szCs w:val="18"/>
                <w:highlight w:val="none"/>
                <w:lang w:val="en-US" w:eastAsia="zh-CN" w:bidi="ar-SA"/>
              </w:rPr>
            </w:pPr>
            <w:r>
              <w:rPr>
                <w:rFonts w:hint="default" w:ascii="Times New Roman" w:hAnsi="Times New Roman" w:cs="Times New Roman"/>
                <w:snapToGrid w:val="0"/>
                <w:color w:val="auto"/>
                <w:kern w:val="21"/>
                <w:sz w:val="18"/>
                <w:szCs w:val="18"/>
                <w:highlight w:val="none"/>
                <w:lang w:val="en-US" w:eastAsia="zh-CN"/>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含油金属屑</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0.2</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0.2</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漆渣</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25" w:type="dxa"/>
            <w:vMerge w:val="continue"/>
            <w:noWrap w:val="0"/>
            <w:vAlign w:val="center"/>
          </w:tcPr>
          <w:p>
            <w:pPr>
              <w:pStyle w:val="59"/>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rPr>
            </w:pPr>
          </w:p>
        </w:tc>
        <w:tc>
          <w:tcPr>
            <w:tcW w:w="16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油漆废包装桶</w:t>
            </w: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ind w:left="0" w:leftChars="0" w:right="0" w:rightChars="0" w:firstLine="0"/>
              <w:jc w:val="center"/>
              <w:textAlignment w:val="center"/>
              <w:rPr>
                <w:rFonts w:hint="default" w:ascii="Times New Roman" w:hAnsi="Times New Roman" w:eastAsia="宋体" w:cs="Times New Roman"/>
                <w:color w:val="auto"/>
                <w:kern w:val="2"/>
                <w:sz w:val="18"/>
                <w:szCs w:val="18"/>
                <w:highlight w:val="none"/>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0" w:lineRule="atLeast"/>
              <w:ind w:left="0" w:leftChars="0" w:right="0" w:rightChars="0" w:firstLine="0"/>
              <w:jc w:val="center"/>
              <w:textAlignment w:val="auto"/>
              <w:outlineLvl w:val="9"/>
              <w:rPr>
                <w:rFonts w:hint="default" w:ascii="Times New Roman" w:hAnsi="Times New Roman" w:eastAsia="宋体" w:cs="Times New Roman"/>
                <w:snapToGrid w:val="0"/>
                <w:color w:val="auto"/>
                <w:kern w:val="21"/>
                <w:sz w:val="18"/>
                <w:szCs w:val="18"/>
                <w:highlight w:val="none"/>
                <w:lang w:val="en-US" w:eastAsia="zh-CN"/>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cs="Times New Roman"/>
                <w:snapToGrid w:val="0"/>
                <w:color w:val="auto"/>
                <w:kern w:val="21"/>
                <w:sz w:val="18"/>
                <w:szCs w:val="18"/>
                <w:highlight w:val="none"/>
                <w:lang w:val="en-US" w:eastAsia="zh-CN"/>
              </w:rPr>
            </w:pPr>
            <w:r>
              <w:rPr>
                <w:rFonts w:hint="eastAsia" w:ascii="Times New Roman" w:hAnsi="Times New Roman" w:cs="Times New Roman"/>
                <w:snapToGrid w:val="0"/>
                <w:color w:val="auto"/>
                <w:kern w:val="21"/>
                <w:sz w:val="18"/>
                <w:szCs w:val="18"/>
                <w:highlight w:val="none"/>
                <w:lang w:val="en-US" w:eastAsia="zh-CN"/>
              </w:rPr>
              <w:t>0.61</w:t>
            </w:r>
          </w:p>
        </w:tc>
        <w:tc>
          <w:tcPr>
            <w:tcW w:w="176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jc w:val="center"/>
              <w:rPr>
                <w:rFonts w:hint="default" w:ascii="Times New Roman" w:hAnsi="Times New Roman" w:eastAsia="宋体" w:cs="Times New Roman"/>
                <w:snapToGrid w:val="0"/>
                <w:color w:val="auto"/>
                <w:kern w:val="21"/>
                <w:sz w:val="18"/>
                <w:szCs w:val="18"/>
                <w:highlight w:val="none"/>
                <w:lang w:val="en-US" w:eastAsia="zh-CN"/>
              </w:rPr>
            </w:pPr>
          </w:p>
        </w:tc>
        <w:tc>
          <w:tcPr>
            <w:tcW w:w="18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eastAsia" w:ascii="Times New Roman" w:hAnsi="Times New Roman" w:cs="Times New Roman"/>
                <w:snapToGrid w:val="0"/>
                <w:color w:val="auto"/>
                <w:kern w:val="21"/>
                <w:sz w:val="18"/>
                <w:szCs w:val="18"/>
                <w:highlight w:val="none"/>
                <w:lang w:val="en-US" w:eastAsia="zh-CN"/>
              </w:rPr>
              <w:t>0.61</w:t>
            </w:r>
          </w:p>
        </w:tc>
        <w:tc>
          <w:tcPr>
            <w:tcW w:w="953"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default" w:ascii="Times New Roman" w:hAnsi="Times New Roman" w:cs="Times New Roman"/>
                <w:snapToGrid w:val="0"/>
                <w:color w:val="auto"/>
                <w:kern w:val="21"/>
                <w:sz w:val="18"/>
                <w:szCs w:val="18"/>
                <w:highlight w:val="none"/>
                <w:lang w:val="en-US" w:eastAsia="zh-CN"/>
              </w:rPr>
            </w:pPr>
            <w:r>
              <w:rPr>
                <w:rFonts w:hint="default" w:ascii="Times New Roman" w:hAnsi="Times New Roman" w:cs="Times New Roman"/>
                <w:snapToGrid w:val="0"/>
                <w:color w:val="auto"/>
                <w:kern w:val="21"/>
                <w:sz w:val="18"/>
                <w:szCs w:val="18"/>
                <w:highlight w:val="none"/>
                <w:lang w:val="en-US" w:eastAsia="zh-CN"/>
              </w:rPr>
              <w:t>+</w:t>
            </w:r>
            <w:r>
              <w:rPr>
                <w:rFonts w:hint="eastAsia" w:ascii="Times New Roman" w:hAnsi="Times New Roman" w:cs="Times New Roman"/>
                <w:snapToGrid w:val="0"/>
                <w:color w:val="auto"/>
                <w:kern w:val="21"/>
                <w:sz w:val="18"/>
                <w:szCs w:val="18"/>
                <w:highlight w:val="none"/>
                <w:lang w:val="en-US" w:eastAsia="zh-CN"/>
              </w:rPr>
              <w:t>0.61</w:t>
            </w:r>
          </w:p>
        </w:tc>
      </w:tr>
    </w:tbl>
    <w:p>
      <w:pPr>
        <w:pStyle w:val="59"/>
        <w:pageBreakBefore w:val="0"/>
        <w:kinsoku/>
        <w:wordWrap/>
        <w:overflowPunct/>
        <w:bidi w:val="0"/>
        <w:adjustRightInd w:val="0"/>
        <w:snapToGrid w:val="0"/>
        <w:spacing w:beforeLines="0" w:beforeAutospacing="0" w:afterLines="0" w:afterAutospacing="0"/>
        <w:ind w:left="0" w:leftChars="0" w:right="0" w:rightChars="0"/>
        <w:jc w:val="left"/>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kern w:val="21"/>
          <w:szCs w:val="21"/>
          <w:highlight w:val="none"/>
        </w:rPr>
        <w:t>注：</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③</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④</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⑤</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⑦</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p>
    <w:p>
      <w:pPr>
        <w:pageBreakBefore w:val="0"/>
        <w:kinsoku/>
        <w:wordWrap/>
        <w:overflowPunct/>
        <w:bidi w:val="0"/>
        <w:adjustRightInd w:val="0"/>
        <w:snapToGrid w:val="0"/>
        <w:spacing w:beforeAutospacing="0" w:afterAutospacing="0"/>
        <w:ind w:left="0" w:leftChars="0" w:right="0" w:rightChars="0"/>
        <w:rPr>
          <w:rFonts w:hint="default" w:ascii="Times New Roman" w:hAnsi="Times New Roman" w:cs="Times New Roman"/>
          <w:color w:val="auto"/>
          <w:highlight w:val="none"/>
        </w:rPr>
      </w:pP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39"/>
      </w:rPr>
    </w:pPr>
    <w:r>
      <w:fldChar w:fldCharType="begin"/>
    </w:r>
    <w:r>
      <w:rPr>
        <w:rStyle w:val="39"/>
      </w:rPr>
      <w:instrText xml:space="preserve">PAGE  </w:instrText>
    </w:r>
    <w:r>
      <w:fldChar w:fldCharType="end"/>
    </w:r>
  </w:p>
  <w:p>
    <w:pPr>
      <w:pStyle w:val="2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Fonts w:ascii="宋体" w:hAnsi="宋体"/>
                              <w:sz w:val="20"/>
                              <w:szCs w:val="20"/>
                            </w:rPr>
                            <w:fldChar w:fldCharType="begin"/>
                          </w:r>
                          <w:r>
                            <w:rPr>
                              <w:rStyle w:val="39"/>
                              <w:rFonts w:ascii="宋体" w:hAnsi="宋体"/>
                              <w:sz w:val="20"/>
                              <w:szCs w:val="20"/>
                            </w:rPr>
                            <w:instrText xml:space="preserve">PAGE  </w:instrText>
                          </w:r>
                          <w:r>
                            <w:rPr>
                              <w:rFonts w:ascii="宋体" w:hAnsi="宋体"/>
                              <w:sz w:val="20"/>
                              <w:szCs w:val="20"/>
                            </w:rPr>
                            <w:fldChar w:fldCharType="separate"/>
                          </w:r>
                          <w:r>
                            <w:rPr>
                              <w:rStyle w:val="39"/>
                              <w:rFonts w:ascii="宋体" w:hAnsi="宋体"/>
                              <w:sz w:val="20"/>
                              <w:szCs w:val="20"/>
                            </w:rPr>
                            <w:t>9</w:t>
                          </w:r>
                          <w:r>
                            <w:rPr>
                              <w:rFonts w:ascii="宋体" w:hAnsi="宋体"/>
                              <w:sz w:val="20"/>
                              <w:szCs w:val="20"/>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5"/>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Fonts w:ascii="宋体" w:hAnsi="宋体"/>
                        <w:sz w:val="20"/>
                        <w:szCs w:val="20"/>
                      </w:rPr>
                      <w:fldChar w:fldCharType="begin"/>
                    </w:r>
                    <w:r>
                      <w:rPr>
                        <w:rStyle w:val="39"/>
                        <w:rFonts w:ascii="宋体" w:hAnsi="宋体"/>
                        <w:sz w:val="20"/>
                        <w:szCs w:val="20"/>
                      </w:rPr>
                      <w:instrText xml:space="preserve">PAGE  </w:instrText>
                    </w:r>
                    <w:r>
                      <w:rPr>
                        <w:rFonts w:ascii="宋体" w:hAnsi="宋体"/>
                        <w:sz w:val="20"/>
                        <w:szCs w:val="20"/>
                      </w:rPr>
                      <w:fldChar w:fldCharType="separate"/>
                    </w:r>
                    <w:r>
                      <w:rPr>
                        <w:rStyle w:val="39"/>
                        <w:rFonts w:ascii="宋体" w:hAnsi="宋体"/>
                        <w:sz w:val="20"/>
                        <w:szCs w:val="20"/>
                      </w:rPr>
                      <w:t>9</w:t>
                    </w:r>
                    <w:r>
                      <w:rPr>
                        <w:rFonts w:ascii="宋体" w:hAnsi="宋体"/>
                        <w:sz w:val="20"/>
                        <w:szCs w:val="20"/>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Fonts w:ascii="宋体" w:hAnsi="宋体"/>
                              <w:sz w:val="26"/>
                              <w:szCs w:val="26"/>
                            </w:rPr>
                            <w:fldChar w:fldCharType="begin"/>
                          </w:r>
                          <w:r>
                            <w:rPr>
                              <w:rStyle w:val="39"/>
                              <w:rFonts w:ascii="宋体" w:hAnsi="宋体"/>
                              <w:sz w:val="26"/>
                              <w:szCs w:val="26"/>
                            </w:rPr>
                            <w:instrText xml:space="preserve">PAGE  </w:instrText>
                          </w:r>
                          <w:r>
                            <w:rPr>
                              <w:rFonts w:ascii="宋体" w:hAnsi="宋体"/>
                              <w:sz w:val="26"/>
                              <w:szCs w:val="26"/>
                            </w:rPr>
                            <w:fldChar w:fldCharType="separate"/>
                          </w:r>
                          <w:r>
                            <w:rPr>
                              <w:rStyle w:val="39"/>
                              <w:rFonts w:ascii="宋体" w:hAnsi="宋体"/>
                              <w:sz w:val="26"/>
                              <w:szCs w:val="26"/>
                            </w:rPr>
                            <w:t>11</w:t>
                          </w:r>
                          <w:r>
                            <w:rPr>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pStyle w:val="25"/>
                      <w:rPr>
                        <w:rStyle w:val="39"/>
                        <w:rFonts w:ascii="宋体" w:hAnsi="宋体"/>
                        <w:sz w:val="28"/>
                        <w:szCs w:val="28"/>
                      </w:rPr>
                    </w:pPr>
                    <w:r>
                      <w:rPr>
                        <w:rStyle w:val="39"/>
                        <w:rFonts w:hint="eastAsia" w:ascii="宋体" w:hAnsi="宋体"/>
                        <w:sz w:val="28"/>
                        <w:szCs w:val="28"/>
                      </w:rPr>
                      <w:t>—</w:t>
                    </w:r>
                    <w:r>
                      <w:rPr>
                        <w:rStyle w:val="39"/>
                        <w:rFonts w:hint="eastAsia" w:ascii="宋体" w:hAnsi="宋体"/>
                        <w:sz w:val="20"/>
                      </w:rPr>
                      <w:t xml:space="preserve">  </w:t>
                    </w:r>
                    <w:r>
                      <w:rPr>
                        <w:rFonts w:ascii="宋体" w:hAnsi="宋体"/>
                        <w:sz w:val="26"/>
                        <w:szCs w:val="26"/>
                      </w:rPr>
                      <w:fldChar w:fldCharType="begin"/>
                    </w:r>
                    <w:r>
                      <w:rPr>
                        <w:rStyle w:val="39"/>
                        <w:rFonts w:ascii="宋体" w:hAnsi="宋体"/>
                        <w:sz w:val="26"/>
                        <w:szCs w:val="26"/>
                      </w:rPr>
                      <w:instrText xml:space="preserve">PAGE  </w:instrText>
                    </w:r>
                    <w:r>
                      <w:rPr>
                        <w:rFonts w:ascii="宋体" w:hAnsi="宋体"/>
                        <w:sz w:val="26"/>
                        <w:szCs w:val="26"/>
                      </w:rPr>
                      <w:fldChar w:fldCharType="separate"/>
                    </w:r>
                    <w:r>
                      <w:rPr>
                        <w:rStyle w:val="39"/>
                        <w:rFonts w:ascii="宋体" w:hAnsi="宋体"/>
                        <w:sz w:val="26"/>
                        <w:szCs w:val="26"/>
                      </w:rPr>
                      <w:t>11</w:t>
                    </w:r>
                    <w:r>
                      <w:rPr>
                        <w:rFonts w:ascii="宋体" w:hAnsi="宋体"/>
                        <w:sz w:val="26"/>
                        <w:szCs w:val="26"/>
                      </w:rPr>
                      <w:fldChar w:fldCharType="end"/>
                    </w:r>
                    <w:r>
                      <w:rPr>
                        <w:rStyle w:val="39"/>
                        <w:rFonts w:hint="eastAsia" w:ascii="宋体" w:hAnsi="宋体"/>
                        <w:sz w:val="20"/>
                      </w:rPr>
                      <w:t xml:space="preserve">  </w:t>
                    </w:r>
                    <w:r>
                      <w:rPr>
                        <w:rStyle w:val="39"/>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20A4F"/>
    <w:multiLevelType w:val="singleLevel"/>
    <w:tmpl w:val="9B520A4F"/>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1">
    <w:nsid w:val="B6081923"/>
    <w:multiLevelType w:val="singleLevel"/>
    <w:tmpl w:val="B6081923"/>
    <w:lvl w:ilvl="0" w:tentative="0">
      <w:start w:val="1"/>
      <w:numFmt w:val="decimal"/>
      <w:suff w:val="nothing"/>
      <w:lvlText w:val="%1、"/>
      <w:lvlJc w:val="left"/>
    </w:lvl>
  </w:abstractNum>
  <w:abstractNum w:abstractNumId="2">
    <w:nsid w:val="0F7843BF"/>
    <w:multiLevelType w:val="multilevel"/>
    <w:tmpl w:val="0F7843BF"/>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575" w:hanging="575"/>
      </w:pPr>
      <w:rPr>
        <w:rFonts w:hint="default"/>
      </w:rPr>
    </w:lvl>
    <w:lvl w:ilvl="2" w:tentative="0">
      <w:start w:val="1"/>
      <w:numFmt w:val="decimal"/>
      <w:suff w:val="nothing"/>
      <w:lvlText w:val="%1.%2.%3."/>
      <w:lvlJc w:val="left"/>
      <w:pPr>
        <w:ind w:left="720" w:hanging="720"/>
      </w:pPr>
      <w:rPr>
        <w:rFonts w:hint="default"/>
      </w:rPr>
    </w:lvl>
    <w:lvl w:ilvl="3" w:tentative="0">
      <w:start w:val="1"/>
      <w:numFmt w:val="decimal"/>
      <w:pStyle w:val="5"/>
      <w:suff w:val="nothing"/>
      <w:lvlText w:val="%1.%2.%3.%4."/>
      <w:lvlJc w:val="left"/>
      <w:pPr>
        <w:ind w:left="864" w:hanging="864"/>
      </w:pPr>
      <w:rPr>
        <w:rFonts w:hint="default"/>
      </w:rPr>
    </w:lvl>
    <w:lvl w:ilvl="4" w:tentative="0">
      <w:start w:val="1"/>
      <w:numFmt w:val="decimal"/>
      <w:pStyle w:val="11"/>
      <w:lvlText w:val="%1.%2.%3.%4.%5."/>
      <w:lvlJc w:val="left"/>
      <w:pPr>
        <w:ind w:left="1008" w:hanging="1008"/>
      </w:pPr>
      <w:rPr>
        <w:rFonts w:hint="default"/>
      </w:rPr>
    </w:lvl>
    <w:lvl w:ilvl="5" w:tentative="0">
      <w:start w:val="1"/>
      <w:numFmt w:val="decimal"/>
      <w:pStyle w:val="12"/>
      <w:lvlText w:val="%1.%2.%3.%4.%5.%6."/>
      <w:lvlJc w:val="left"/>
      <w:pPr>
        <w:ind w:left="1151" w:hanging="1151"/>
      </w:pPr>
      <w:rPr>
        <w:rFonts w:hint="default"/>
      </w:rPr>
    </w:lvl>
    <w:lvl w:ilvl="6" w:tentative="0">
      <w:start w:val="1"/>
      <w:numFmt w:val="decimal"/>
      <w:pStyle w:val="13"/>
      <w:lvlText w:val="%1.%2.%3.%4.%5.%6.%7."/>
      <w:lvlJc w:val="left"/>
      <w:pPr>
        <w:ind w:left="1296" w:hanging="1296"/>
      </w:pPr>
      <w:rPr>
        <w:rFonts w:hint="default"/>
      </w:rPr>
    </w:lvl>
    <w:lvl w:ilvl="7" w:tentative="0">
      <w:start w:val="1"/>
      <w:numFmt w:val="decimal"/>
      <w:pStyle w:val="14"/>
      <w:lvlText w:val="%1.%2.%3.%4.%5.%6.%7.%8."/>
      <w:lvlJc w:val="left"/>
      <w:pPr>
        <w:ind w:left="1440" w:hanging="1440"/>
      </w:pPr>
      <w:rPr>
        <w:rFonts w:hint="default"/>
      </w:rPr>
    </w:lvl>
    <w:lvl w:ilvl="8" w:tentative="0">
      <w:start w:val="1"/>
      <w:numFmt w:val="decimal"/>
      <w:pStyle w:val="15"/>
      <w:lvlText w:val="%1.%2.%3.%4.%5.%6.%7.%8.%9."/>
      <w:lvlJc w:val="left"/>
      <w:pPr>
        <w:ind w:left="1583" w:hanging="1583"/>
      </w:pPr>
      <w:rPr>
        <w:rFonts w:hint="default"/>
      </w:rPr>
    </w:lvl>
  </w:abstractNum>
  <w:abstractNum w:abstractNumId="3">
    <w:nsid w:val="1FAEB0A3"/>
    <w:multiLevelType w:val="singleLevel"/>
    <w:tmpl w:val="1FAEB0A3"/>
    <w:lvl w:ilvl="0" w:tentative="0">
      <w:start w:val="1"/>
      <w:numFmt w:val="decimal"/>
      <w:suff w:val="nothing"/>
      <w:lvlText w:val="%1、"/>
      <w:lvlJc w:val="left"/>
    </w:lvl>
  </w:abstractNum>
  <w:abstractNum w:abstractNumId="4">
    <w:nsid w:val="3BA3B7C8"/>
    <w:multiLevelType w:val="multilevel"/>
    <w:tmpl w:val="3BA3B7C8"/>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851"/>
        </w:tabs>
        <w:ind w:left="851" w:hanging="709"/>
      </w:pPr>
      <w:rPr>
        <w:rFonts w:hint="default" w:ascii="Times New Roman" w:hAnsi="Times New Roman" w:cs="Times New Roman"/>
        <w:b/>
        <w:i w:val="0"/>
        <w:iCs w:val="0"/>
        <w:caps w:val="0"/>
        <w:strike w:val="0"/>
        <w:dstrike w:val="0"/>
        <w:outline w:val="0"/>
        <w:shadow w:val="0"/>
        <w:emboss w:val="0"/>
        <w:imprint w:val="0"/>
        <w:vanish w:val="0"/>
        <w:spacing w:val="0"/>
        <w:position w:val="0"/>
        <w:u w:val="none"/>
        <w:vertAlign w:val="baseline"/>
      </w:rPr>
    </w:lvl>
    <w:lvl w:ilvl="3" w:tentative="0">
      <w:start w:val="1"/>
      <w:numFmt w:val="decimal"/>
      <w:pStyle w:val="4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56096B2A"/>
    <w:multiLevelType w:val="singleLevel"/>
    <w:tmpl w:val="56096B2A"/>
    <w:lvl w:ilvl="0" w:tentative="0">
      <w:start w:val="1"/>
      <w:numFmt w:val="decimal"/>
      <w:suff w:val="nothing"/>
      <w:lvlText w:val="%1、"/>
      <w:lvlJc w:val="left"/>
    </w:lvl>
  </w:abstractNum>
  <w:abstractNum w:abstractNumId="6">
    <w:nsid w:val="57AEC917"/>
    <w:multiLevelType w:val="singleLevel"/>
    <w:tmpl w:val="57AEC917"/>
    <w:lvl w:ilvl="0" w:tentative="0">
      <w:start w:val="1"/>
      <w:numFmt w:val="decimal"/>
      <w:suff w:val="nothing"/>
      <w:lvlText w:val="%1、"/>
      <w:lvlJc w:val="left"/>
    </w:lvl>
  </w:abstractNum>
  <w:abstractNum w:abstractNumId="7">
    <w:nsid w:val="7B3F8E7D"/>
    <w:multiLevelType w:val="multilevel"/>
    <w:tmpl w:val="7B3F8E7D"/>
    <w:lvl w:ilvl="0" w:tentative="0">
      <w:start w:val="1"/>
      <w:numFmt w:val="decimal"/>
      <w:pStyle w:val="3"/>
      <w:lvlText w:val="%1."/>
      <w:lvlJc w:val="left"/>
      <w:pPr>
        <w:tabs>
          <w:tab w:val="left" w:pos="425"/>
        </w:tabs>
        <w:ind w:left="425" w:hanging="425"/>
      </w:pPr>
      <w:rPr>
        <w:rFonts w:hint="default" w:ascii="黑体" w:hAnsi="黑体" w:eastAsia="黑体" w:cs="黑体"/>
        <w:b w:val="0"/>
        <w:bCs w:val="0"/>
      </w:rPr>
    </w:lvl>
    <w:lvl w:ilvl="1" w:tentative="0">
      <w:start w:val="1"/>
      <w:numFmt w:val="decimal"/>
      <w:lvlText w:val="%1.%2."/>
      <w:lvlJc w:val="left"/>
      <w:pPr>
        <w:tabs>
          <w:tab w:val="left" w:pos="567"/>
        </w:tabs>
        <w:ind w:left="567" w:hanging="567"/>
      </w:pPr>
      <w:rPr>
        <w:rFonts w:hint="default" w:ascii="黑体" w:hAnsi="黑体" w:eastAsia="黑体" w:cs="黑体"/>
      </w:rPr>
    </w:lvl>
    <w:lvl w:ilvl="2" w:tentative="0">
      <w:start w:val="1"/>
      <w:numFmt w:val="decimal"/>
      <w:lvlText w:val="%1.%2.%3."/>
      <w:lvlJc w:val="left"/>
      <w:pPr>
        <w:tabs>
          <w:tab w:val="left" w:pos="851"/>
        </w:tabs>
        <w:ind w:left="851" w:hanging="709"/>
      </w:pPr>
      <w:rPr>
        <w:rFonts w:hint="default" w:ascii="黑体" w:hAnsi="黑体" w:eastAsia="黑体" w:cs="黑体"/>
        <w:b w:val="0"/>
        <w:bCs/>
        <w:i w:val="0"/>
        <w:iCs w:val="0"/>
        <w: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7"/>
  </w:num>
  <w:num w:numId="2">
    <w:abstractNumId w:val="2"/>
  </w:num>
  <w:num w:numId="3">
    <w:abstractNumId w:val="0"/>
  </w:num>
  <w:num w:numId="4">
    <w:abstractNumId w:val="4"/>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5NmNhODhmZmIwMDk4N2NlNjZhODkzMjhhZDk4ZTUifQ=="/>
  </w:docVars>
  <w:rsids>
    <w:rsidRoot w:val="17202AB1"/>
    <w:rsid w:val="000774DB"/>
    <w:rsid w:val="0013411F"/>
    <w:rsid w:val="00195FE4"/>
    <w:rsid w:val="004479E5"/>
    <w:rsid w:val="00815D6C"/>
    <w:rsid w:val="00942B50"/>
    <w:rsid w:val="00B72759"/>
    <w:rsid w:val="00C85F20"/>
    <w:rsid w:val="00CA613C"/>
    <w:rsid w:val="00D64E06"/>
    <w:rsid w:val="010D7DD7"/>
    <w:rsid w:val="0134108D"/>
    <w:rsid w:val="0146104A"/>
    <w:rsid w:val="01463895"/>
    <w:rsid w:val="015A1FF0"/>
    <w:rsid w:val="01602953"/>
    <w:rsid w:val="018A3253"/>
    <w:rsid w:val="019B3009"/>
    <w:rsid w:val="01B6221C"/>
    <w:rsid w:val="01CD2A31"/>
    <w:rsid w:val="01F01BD2"/>
    <w:rsid w:val="020B4CCA"/>
    <w:rsid w:val="020E6922"/>
    <w:rsid w:val="02132890"/>
    <w:rsid w:val="02197294"/>
    <w:rsid w:val="023A109F"/>
    <w:rsid w:val="023C70CF"/>
    <w:rsid w:val="024C2B81"/>
    <w:rsid w:val="027C0B8B"/>
    <w:rsid w:val="02816CCE"/>
    <w:rsid w:val="029816D1"/>
    <w:rsid w:val="02B250DA"/>
    <w:rsid w:val="02BE582C"/>
    <w:rsid w:val="02D311C4"/>
    <w:rsid w:val="02D45050"/>
    <w:rsid w:val="02D869BF"/>
    <w:rsid w:val="02E7522C"/>
    <w:rsid w:val="02FB3AC6"/>
    <w:rsid w:val="036C5AA6"/>
    <w:rsid w:val="0379139B"/>
    <w:rsid w:val="03863E70"/>
    <w:rsid w:val="038764C0"/>
    <w:rsid w:val="038E37EF"/>
    <w:rsid w:val="03934FDA"/>
    <w:rsid w:val="0397353D"/>
    <w:rsid w:val="03A51054"/>
    <w:rsid w:val="03A72764"/>
    <w:rsid w:val="03AE68B3"/>
    <w:rsid w:val="03AE6D61"/>
    <w:rsid w:val="03BF6CEB"/>
    <w:rsid w:val="03C3352B"/>
    <w:rsid w:val="03EE7569"/>
    <w:rsid w:val="03F16B30"/>
    <w:rsid w:val="040B2368"/>
    <w:rsid w:val="04145925"/>
    <w:rsid w:val="0415532F"/>
    <w:rsid w:val="04367644"/>
    <w:rsid w:val="04511EA2"/>
    <w:rsid w:val="04986A1A"/>
    <w:rsid w:val="04B86D12"/>
    <w:rsid w:val="04C8598B"/>
    <w:rsid w:val="04DA26C6"/>
    <w:rsid w:val="04F07DB8"/>
    <w:rsid w:val="04F602A4"/>
    <w:rsid w:val="04F83365"/>
    <w:rsid w:val="050F6E9B"/>
    <w:rsid w:val="051D1A35"/>
    <w:rsid w:val="0534167B"/>
    <w:rsid w:val="05472E2D"/>
    <w:rsid w:val="05576D79"/>
    <w:rsid w:val="05596782"/>
    <w:rsid w:val="05642C81"/>
    <w:rsid w:val="0595565C"/>
    <w:rsid w:val="05B253F0"/>
    <w:rsid w:val="05C226D2"/>
    <w:rsid w:val="05D15695"/>
    <w:rsid w:val="061225E7"/>
    <w:rsid w:val="061236A2"/>
    <w:rsid w:val="061A3DF8"/>
    <w:rsid w:val="061F375B"/>
    <w:rsid w:val="06292417"/>
    <w:rsid w:val="063E5898"/>
    <w:rsid w:val="06554B4F"/>
    <w:rsid w:val="06554F6B"/>
    <w:rsid w:val="06695AAF"/>
    <w:rsid w:val="067B7FF7"/>
    <w:rsid w:val="06976B15"/>
    <w:rsid w:val="06A02D7C"/>
    <w:rsid w:val="06B156A8"/>
    <w:rsid w:val="06B63DE9"/>
    <w:rsid w:val="06CE1903"/>
    <w:rsid w:val="070B7D3F"/>
    <w:rsid w:val="07163C30"/>
    <w:rsid w:val="072A53B6"/>
    <w:rsid w:val="07331398"/>
    <w:rsid w:val="07712FA8"/>
    <w:rsid w:val="077D1961"/>
    <w:rsid w:val="07BB23A7"/>
    <w:rsid w:val="07E32184"/>
    <w:rsid w:val="07E6312F"/>
    <w:rsid w:val="08031F33"/>
    <w:rsid w:val="08147C9D"/>
    <w:rsid w:val="0822060B"/>
    <w:rsid w:val="082C721F"/>
    <w:rsid w:val="08606776"/>
    <w:rsid w:val="086C279C"/>
    <w:rsid w:val="08931509"/>
    <w:rsid w:val="08A6300A"/>
    <w:rsid w:val="08A915C9"/>
    <w:rsid w:val="08B4450F"/>
    <w:rsid w:val="08BD20E2"/>
    <w:rsid w:val="08CA572C"/>
    <w:rsid w:val="08E753B1"/>
    <w:rsid w:val="092D6441"/>
    <w:rsid w:val="093F343F"/>
    <w:rsid w:val="09647BA9"/>
    <w:rsid w:val="097A5C3C"/>
    <w:rsid w:val="09912964"/>
    <w:rsid w:val="09AA4D5C"/>
    <w:rsid w:val="09DC429A"/>
    <w:rsid w:val="09E3413B"/>
    <w:rsid w:val="0A011D83"/>
    <w:rsid w:val="0A0B0881"/>
    <w:rsid w:val="0A4A5867"/>
    <w:rsid w:val="0A6C68B5"/>
    <w:rsid w:val="0AD33E3F"/>
    <w:rsid w:val="0AD67863"/>
    <w:rsid w:val="0AE778EA"/>
    <w:rsid w:val="0AF021C6"/>
    <w:rsid w:val="0B183F48"/>
    <w:rsid w:val="0B250B22"/>
    <w:rsid w:val="0B251377"/>
    <w:rsid w:val="0B4F3615"/>
    <w:rsid w:val="0B6B22C9"/>
    <w:rsid w:val="0B7A42BB"/>
    <w:rsid w:val="0B7C021F"/>
    <w:rsid w:val="0B8909A2"/>
    <w:rsid w:val="0BBD2FB4"/>
    <w:rsid w:val="0BC63728"/>
    <w:rsid w:val="0C083FBC"/>
    <w:rsid w:val="0C1B26A2"/>
    <w:rsid w:val="0C41127C"/>
    <w:rsid w:val="0C430B50"/>
    <w:rsid w:val="0C450D6C"/>
    <w:rsid w:val="0C631644"/>
    <w:rsid w:val="0C684A5B"/>
    <w:rsid w:val="0C801DA5"/>
    <w:rsid w:val="0C96202E"/>
    <w:rsid w:val="0CAD4C07"/>
    <w:rsid w:val="0CB45FF2"/>
    <w:rsid w:val="0D2C5A88"/>
    <w:rsid w:val="0D464D9C"/>
    <w:rsid w:val="0D5C3FAB"/>
    <w:rsid w:val="0D606871"/>
    <w:rsid w:val="0D904269"/>
    <w:rsid w:val="0D9A7314"/>
    <w:rsid w:val="0DA3580C"/>
    <w:rsid w:val="0DC04213"/>
    <w:rsid w:val="0DD355CB"/>
    <w:rsid w:val="0E0D1A67"/>
    <w:rsid w:val="0E552DBD"/>
    <w:rsid w:val="0E692FE0"/>
    <w:rsid w:val="0E934903"/>
    <w:rsid w:val="0E9A16AB"/>
    <w:rsid w:val="0EA63D16"/>
    <w:rsid w:val="0F034ED0"/>
    <w:rsid w:val="0F177C8C"/>
    <w:rsid w:val="0F220EF1"/>
    <w:rsid w:val="0F2541EF"/>
    <w:rsid w:val="0F256F74"/>
    <w:rsid w:val="0F2A11A4"/>
    <w:rsid w:val="0F3059C8"/>
    <w:rsid w:val="0F3F7919"/>
    <w:rsid w:val="0F402A15"/>
    <w:rsid w:val="0F421593"/>
    <w:rsid w:val="0F6173DE"/>
    <w:rsid w:val="0FA301C4"/>
    <w:rsid w:val="0FB5770C"/>
    <w:rsid w:val="0FC82718"/>
    <w:rsid w:val="0FCA3251"/>
    <w:rsid w:val="0FCC66F1"/>
    <w:rsid w:val="0FE258DF"/>
    <w:rsid w:val="100131FC"/>
    <w:rsid w:val="10262945"/>
    <w:rsid w:val="103245D2"/>
    <w:rsid w:val="103F1AE1"/>
    <w:rsid w:val="10423BF8"/>
    <w:rsid w:val="10524A9C"/>
    <w:rsid w:val="106F16EB"/>
    <w:rsid w:val="1088747A"/>
    <w:rsid w:val="108F2924"/>
    <w:rsid w:val="10A07A0D"/>
    <w:rsid w:val="10A45801"/>
    <w:rsid w:val="10CE75D0"/>
    <w:rsid w:val="11374ED6"/>
    <w:rsid w:val="11473B78"/>
    <w:rsid w:val="115143DF"/>
    <w:rsid w:val="1178129C"/>
    <w:rsid w:val="1192760B"/>
    <w:rsid w:val="11BD1727"/>
    <w:rsid w:val="11C64829"/>
    <w:rsid w:val="11E46932"/>
    <w:rsid w:val="120037A5"/>
    <w:rsid w:val="12114F54"/>
    <w:rsid w:val="12612E3B"/>
    <w:rsid w:val="1268164D"/>
    <w:rsid w:val="127B4D28"/>
    <w:rsid w:val="128A6B95"/>
    <w:rsid w:val="12921DCF"/>
    <w:rsid w:val="12962B40"/>
    <w:rsid w:val="129A3494"/>
    <w:rsid w:val="12B46304"/>
    <w:rsid w:val="12C42121"/>
    <w:rsid w:val="12CF75E2"/>
    <w:rsid w:val="133E642D"/>
    <w:rsid w:val="135D4BEE"/>
    <w:rsid w:val="13A7550E"/>
    <w:rsid w:val="13B30CB1"/>
    <w:rsid w:val="13BE434A"/>
    <w:rsid w:val="13C06F2A"/>
    <w:rsid w:val="13CF20BF"/>
    <w:rsid w:val="13D053C0"/>
    <w:rsid w:val="13D201D8"/>
    <w:rsid w:val="13E1479B"/>
    <w:rsid w:val="13E317E1"/>
    <w:rsid w:val="13E92407"/>
    <w:rsid w:val="140E413A"/>
    <w:rsid w:val="141B7F8B"/>
    <w:rsid w:val="14295B98"/>
    <w:rsid w:val="144D6AC7"/>
    <w:rsid w:val="1450096F"/>
    <w:rsid w:val="1460172F"/>
    <w:rsid w:val="14902AD9"/>
    <w:rsid w:val="14AF76CB"/>
    <w:rsid w:val="14BA0C50"/>
    <w:rsid w:val="14E55366"/>
    <w:rsid w:val="151829DD"/>
    <w:rsid w:val="15190FE8"/>
    <w:rsid w:val="15194B44"/>
    <w:rsid w:val="151C4A78"/>
    <w:rsid w:val="15227E9D"/>
    <w:rsid w:val="15377A61"/>
    <w:rsid w:val="154E064D"/>
    <w:rsid w:val="1598015F"/>
    <w:rsid w:val="15AB2FF3"/>
    <w:rsid w:val="15B31F9B"/>
    <w:rsid w:val="15BE749A"/>
    <w:rsid w:val="15CB3D1F"/>
    <w:rsid w:val="160938BE"/>
    <w:rsid w:val="161B0AC8"/>
    <w:rsid w:val="1624283C"/>
    <w:rsid w:val="165C7A0E"/>
    <w:rsid w:val="166242C9"/>
    <w:rsid w:val="16692514"/>
    <w:rsid w:val="1672301B"/>
    <w:rsid w:val="16CC5BA1"/>
    <w:rsid w:val="16D33FA6"/>
    <w:rsid w:val="16FB5EE0"/>
    <w:rsid w:val="17193AE3"/>
    <w:rsid w:val="17202AB1"/>
    <w:rsid w:val="172333F2"/>
    <w:rsid w:val="17397720"/>
    <w:rsid w:val="174A7237"/>
    <w:rsid w:val="174F2638"/>
    <w:rsid w:val="175C4BE8"/>
    <w:rsid w:val="17742506"/>
    <w:rsid w:val="17780248"/>
    <w:rsid w:val="17C950EA"/>
    <w:rsid w:val="18321566"/>
    <w:rsid w:val="185145F5"/>
    <w:rsid w:val="187546F0"/>
    <w:rsid w:val="18865893"/>
    <w:rsid w:val="18A3224B"/>
    <w:rsid w:val="18AB29C3"/>
    <w:rsid w:val="18BA03EC"/>
    <w:rsid w:val="18C87BC3"/>
    <w:rsid w:val="18DF1533"/>
    <w:rsid w:val="18EC0BA6"/>
    <w:rsid w:val="190653E0"/>
    <w:rsid w:val="192A2D35"/>
    <w:rsid w:val="1934092B"/>
    <w:rsid w:val="194566ED"/>
    <w:rsid w:val="197E766C"/>
    <w:rsid w:val="1996115B"/>
    <w:rsid w:val="199A59BC"/>
    <w:rsid w:val="19C21FF7"/>
    <w:rsid w:val="19CB02FF"/>
    <w:rsid w:val="1A3D3E6B"/>
    <w:rsid w:val="1A444411"/>
    <w:rsid w:val="1A562397"/>
    <w:rsid w:val="1AB51945"/>
    <w:rsid w:val="1ABF4C55"/>
    <w:rsid w:val="1AE469B6"/>
    <w:rsid w:val="1B1E590D"/>
    <w:rsid w:val="1B80258D"/>
    <w:rsid w:val="1B8C5E1B"/>
    <w:rsid w:val="1B9815C6"/>
    <w:rsid w:val="1B996AA5"/>
    <w:rsid w:val="1BC007FC"/>
    <w:rsid w:val="1BE73521"/>
    <w:rsid w:val="1C0302FC"/>
    <w:rsid w:val="1C2344FA"/>
    <w:rsid w:val="1C27223D"/>
    <w:rsid w:val="1C542906"/>
    <w:rsid w:val="1C5841A4"/>
    <w:rsid w:val="1C76752A"/>
    <w:rsid w:val="1C7A2B77"/>
    <w:rsid w:val="1C861F4B"/>
    <w:rsid w:val="1CA613B3"/>
    <w:rsid w:val="1CAA0778"/>
    <w:rsid w:val="1CBB1806"/>
    <w:rsid w:val="1D174F10"/>
    <w:rsid w:val="1D2332D3"/>
    <w:rsid w:val="1D327113"/>
    <w:rsid w:val="1D59519E"/>
    <w:rsid w:val="1D8965DF"/>
    <w:rsid w:val="1D9531D6"/>
    <w:rsid w:val="1D9E4C07"/>
    <w:rsid w:val="1DAC618C"/>
    <w:rsid w:val="1DB4365C"/>
    <w:rsid w:val="1DD81FE2"/>
    <w:rsid w:val="1DDB3C9A"/>
    <w:rsid w:val="1DDC7057"/>
    <w:rsid w:val="1E100D9F"/>
    <w:rsid w:val="1E3933D6"/>
    <w:rsid w:val="1E426EBA"/>
    <w:rsid w:val="1E4337F7"/>
    <w:rsid w:val="1E461105"/>
    <w:rsid w:val="1E465CA1"/>
    <w:rsid w:val="1E743E4F"/>
    <w:rsid w:val="1E855AEA"/>
    <w:rsid w:val="1E8700CD"/>
    <w:rsid w:val="1EA731C1"/>
    <w:rsid w:val="1EAE09F3"/>
    <w:rsid w:val="1EB10B32"/>
    <w:rsid w:val="1ECC2C27"/>
    <w:rsid w:val="1EF10990"/>
    <w:rsid w:val="1EFD3AC8"/>
    <w:rsid w:val="1F074B01"/>
    <w:rsid w:val="1F176598"/>
    <w:rsid w:val="1F281DCF"/>
    <w:rsid w:val="1F452949"/>
    <w:rsid w:val="1F4E188E"/>
    <w:rsid w:val="1F592D14"/>
    <w:rsid w:val="1F745799"/>
    <w:rsid w:val="1F8B2D92"/>
    <w:rsid w:val="1F957385"/>
    <w:rsid w:val="1FAB2A10"/>
    <w:rsid w:val="1FAD4807"/>
    <w:rsid w:val="1FB02549"/>
    <w:rsid w:val="1FB042F7"/>
    <w:rsid w:val="1FF93EF0"/>
    <w:rsid w:val="200762AE"/>
    <w:rsid w:val="2013456E"/>
    <w:rsid w:val="202074A0"/>
    <w:rsid w:val="20452C91"/>
    <w:rsid w:val="204911E8"/>
    <w:rsid w:val="20542EE2"/>
    <w:rsid w:val="2059498F"/>
    <w:rsid w:val="206770AC"/>
    <w:rsid w:val="20694BCD"/>
    <w:rsid w:val="20733DD8"/>
    <w:rsid w:val="207812B9"/>
    <w:rsid w:val="208A4610"/>
    <w:rsid w:val="20D11476"/>
    <w:rsid w:val="20F12E5A"/>
    <w:rsid w:val="20FB51FD"/>
    <w:rsid w:val="21186FC3"/>
    <w:rsid w:val="21274A11"/>
    <w:rsid w:val="212D5679"/>
    <w:rsid w:val="213253A9"/>
    <w:rsid w:val="216C14EC"/>
    <w:rsid w:val="217D0A3C"/>
    <w:rsid w:val="217F311B"/>
    <w:rsid w:val="218E68BA"/>
    <w:rsid w:val="21A10B56"/>
    <w:rsid w:val="21A25EC1"/>
    <w:rsid w:val="21A810FD"/>
    <w:rsid w:val="21B300CF"/>
    <w:rsid w:val="21DB5880"/>
    <w:rsid w:val="21E12E8E"/>
    <w:rsid w:val="21F66977"/>
    <w:rsid w:val="21FF00FB"/>
    <w:rsid w:val="22550ACB"/>
    <w:rsid w:val="225C0280"/>
    <w:rsid w:val="22680EB9"/>
    <w:rsid w:val="228D5D09"/>
    <w:rsid w:val="22970BAB"/>
    <w:rsid w:val="229E6D21"/>
    <w:rsid w:val="22BD3052"/>
    <w:rsid w:val="22D6753F"/>
    <w:rsid w:val="22E9037C"/>
    <w:rsid w:val="22F00799"/>
    <w:rsid w:val="230A01C2"/>
    <w:rsid w:val="230C5CE8"/>
    <w:rsid w:val="232B2612"/>
    <w:rsid w:val="232C67F1"/>
    <w:rsid w:val="233139A1"/>
    <w:rsid w:val="234611FA"/>
    <w:rsid w:val="23601F11"/>
    <w:rsid w:val="23690EFA"/>
    <w:rsid w:val="23797C9C"/>
    <w:rsid w:val="23B9512F"/>
    <w:rsid w:val="23CF212E"/>
    <w:rsid w:val="23D231AA"/>
    <w:rsid w:val="240F3CE2"/>
    <w:rsid w:val="244270F4"/>
    <w:rsid w:val="244A2F6C"/>
    <w:rsid w:val="24553074"/>
    <w:rsid w:val="24821D59"/>
    <w:rsid w:val="24B959FC"/>
    <w:rsid w:val="24C42CDC"/>
    <w:rsid w:val="24DE2935"/>
    <w:rsid w:val="24E74446"/>
    <w:rsid w:val="250F667D"/>
    <w:rsid w:val="255F2A47"/>
    <w:rsid w:val="2588111E"/>
    <w:rsid w:val="25914AA0"/>
    <w:rsid w:val="259E5842"/>
    <w:rsid w:val="25BD776E"/>
    <w:rsid w:val="25D328A4"/>
    <w:rsid w:val="25E876E0"/>
    <w:rsid w:val="26420C20"/>
    <w:rsid w:val="26613394"/>
    <w:rsid w:val="266479B2"/>
    <w:rsid w:val="269F3049"/>
    <w:rsid w:val="26C64400"/>
    <w:rsid w:val="26D9372A"/>
    <w:rsid w:val="26EF1BA9"/>
    <w:rsid w:val="270712C0"/>
    <w:rsid w:val="271D04C4"/>
    <w:rsid w:val="273B094A"/>
    <w:rsid w:val="273D57D8"/>
    <w:rsid w:val="274F0899"/>
    <w:rsid w:val="27544728"/>
    <w:rsid w:val="275B0FEC"/>
    <w:rsid w:val="276571DE"/>
    <w:rsid w:val="277F0B43"/>
    <w:rsid w:val="27805B96"/>
    <w:rsid w:val="278B60C4"/>
    <w:rsid w:val="278E682B"/>
    <w:rsid w:val="27AC6415"/>
    <w:rsid w:val="27B3634E"/>
    <w:rsid w:val="27B758E4"/>
    <w:rsid w:val="27BD414A"/>
    <w:rsid w:val="27EE044B"/>
    <w:rsid w:val="28011B94"/>
    <w:rsid w:val="283F446A"/>
    <w:rsid w:val="284F4664"/>
    <w:rsid w:val="28634946"/>
    <w:rsid w:val="287B5726"/>
    <w:rsid w:val="289933AC"/>
    <w:rsid w:val="289B5D70"/>
    <w:rsid w:val="28A7353A"/>
    <w:rsid w:val="28BE7A85"/>
    <w:rsid w:val="28DB23E5"/>
    <w:rsid w:val="28EC7A64"/>
    <w:rsid w:val="29053906"/>
    <w:rsid w:val="290B39DC"/>
    <w:rsid w:val="290D6316"/>
    <w:rsid w:val="291A7161"/>
    <w:rsid w:val="292D4C11"/>
    <w:rsid w:val="294F01B7"/>
    <w:rsid w:val="298F31CF"/>
    <w:rsid w:val="298F6739"/>
    <w:rsid w:val="29BF5862"/>
    <w:rsid w:val="29CD6057"/>
    <w:rsid w:val="2A257690"/>
    <w:rsid w:val="2A3C3357"/>
    <w:rsid w:val="2A6A7F9D"/>
    <w:rsid w:val="2A885CDF"/>
    <w:rsid w:val="2AB83E9B"/>
    <w:rsid w:val="2AC33AAD"/>
    <w:rsid w:val="2AD16A96"/>
    <w:rsid w:val="2AE82B97"/>
    <w:rsid w:val="2AF552B4"/>
    <w:rsid w:val="2B1C3C7F"/>
    <w:rsid w:val="2B1F0D6E"/>
    <w:rsid w:val="2B2A7FEE"/>
    <w:rsid w:val="2B2B3FEC"/>
    <w:rsid w:val="2B6D6F0D"/>
    <w:rsid w:val="2BD20463"/>
    <w:rsid w:val="2BD3392E"/>
    <w:rsid w:val="2BF2332E"/>
    <w:rsid w:val="2BFF468C"/>
    <w:rsid w:val="2C212804"/>
    <w:rsid w:val="2C4C4267"/>
    <w:rsid w:val="2C65649E"/>
    <w:rsid w:val="2CAE6F0E"/>
    <w:rsid w:val="2CFD1E22"/>
    <w:rsid w:val="2D391DD0"/>
    <w:rsid w:val="2D411F95"/>
    <w:rsid w:val="2D6F0EEB"/>
    <w:rsid w:val="2D7A47F1"/>
    <w:rsid w:val="2D80355B"/>
    <w:rsid w:val="2D967B74"/>
    <w:rsid w:val="2DBF605F"/>
    <w:rsid w:val="2DD11368"/>
    <w:rsid w:val="2DDF1C49"/>
    <w:rsid w:val="2DE93B36"/>
    <w:rsid w:val="2DEE51F3"/>
    <w:rsid w:val="2E0C7CB5"/>
    <w:rsid w:val="2E0E6DB8"/>
    <w:rsid w:val="2E10644A"/>
    <w:rsid w:val="2E1343CF"/>
    <w:rsid w:val="2E2C4310"/>
    <w:rsid w:val="2E382207"/>
    <w:rsid w:val="2E48361C"/>
    <w:rsid w:val="2E4A01C6"/>
    <w:rsid w:val="2E6D11E3"/>
    <w:rsid w:val="2E7035CF"/>
    <w:rsid w:val="2E7D3F3E"/>
    <w:rsid w:val="2E982510"/>
    <w:rsid w:val="2EE20623"/>
    <w:rsid w:val="2EE61AE3"/>
    <w:rsid w:val="2F0D407F"/>
    <w:rsid w:val="2F104DB2"/>
    <w:rsid w:val="2F234AE5"/>
    <w:rsid w:val="2F9E4D80"/>
    <w:rsid w:val="2FA07EE4"/>
    <w:rsid w:val="2FA24BF0"/>
    <w:rsid w:val="2FBB4D1E"/>
    <w:rsid w:val="2FD61515"/>
    <w:rsid w:val="2FE77F6F"/>
    <w:rsid w:val="301D445D"/>
    <w:rsid w:val="304F3D12"/>
    <w:rsid w:val="305D6754"/>
    <w:rsid w:val="307736CC"/>
    <w:rsid w:val="30AB1FBD"/>
    <w:rsid w:val="30D009A6"/>
    <w:rsid w:val="30DF2C8E"/>
    <w:rsid w:val="30E441E4"/>
    <w:rsid w:val="310C5404"/>
    <w:rsid w:val="31245944"/>
    <w:rsid w:val="312B0C81"/>
    <w:rsid w:val="314A3772"/>
    <w:rsid w:val="315C0774"/>
    <w:rsid w:val="315E791D"/>
    <w:rsid w:val="31774C75"/>
    <w:rsid w:val="3192385D"/>
    <w:rsid w:val="319770C5"/>
    <w:rsid w:val="31A16195"/>
    <w:rsid w:val="31A67308"/>
    <w:rsid w:val="31CF685F"/>
    <w:rsid w:val="31DB28E5"/>
    <w:rsid w:val="31DB7B50"/>
    <w:rsid w:val="31E57E30"/>
    <w:rsid w:val="31ED630E"/>
    <w:rsid w:val="31FF6744"/>
    <w:rsid w:val="32121068"/>
    <w:rsid w:val="32180206"/>
    <w:rsid w:val="32737B32"/>
    <w:rsid w:val="32827D75"/>
    <w:rsid w:val="32B052F1"/>
    <w:rsid w:val="33266952"/>
    <w:rsid w:val="333F7A14"/>
    <w:rsid w:val="33614DD0"/>
    <w:rsid w:val="33757AD9"/>
    <w:rsid w:val="3379042C"/>
    <w:rsid w:val="33AA7583"/>
    <w:rsid w:val="33AB0CEA"/>
    <w:rsid w:val="33BB3AE0"/>
    <w:rsid w:val="33C6541B"/>
    <w:rsid w:val="34063B58"/>
    <w:rsid w:val="341D120D"/>
    <w:rsid w:val="344A1740"/>
    <w:rsid w:val="344A6670"/>
    <w:rsid w:val="34A35D81"/>
    <w:rsid w:val="34BA161A"/>
    <w:rsid w:val="34CF3054"/>
    <w:rsid w:val="34D422F1"/>
    <w:rsid w:val="34F63B5B"/>
    <w:rsid w:val="35201023"/>
    <w:rsid w:val="353F5AA9"/>
    <w:rsid w:val="355043B4"/>
    <w:rsid w:val="35646E1B"/>
    <w:rsid w:val="357301E2"/>
    <w:rsid w:val="35743506"/>
    <w:rsid w:val="35865286"/>
    <w:rsid w:val="358D4A67"/>
    <w:rsid w:val="35CF2E43"/>
    <w:rsid w:val="363E6B4A"/>
    <w:rsid w:val="36486245"/>
    <w:rsid w:val="364A15FA"/>
    <w:rsid w:val="364D27EF"/>
    <w:rsid w:val="3653232A"/>
    <w:rsid w:val="3689653D"/>
    <w:rsid w:val="369817C2"/>
    <w:rsid w:val="369B1405"/>
    <w:rsid w:val="36A302BA"/>
    <w:rsid w:val="36B16E7A"/>
    <w:rsid w:val="36CC4181"/>
    <w:rsid w:val="36E302E1"/>
    <w:rsid w:val="37294C63"/>
    <w:rsid w:val="372C6501"/>
    <w:rsid w:val="3743150C"/>
    <w:rsid w:val="3748158D"/>
    <w:rsid w:val="376156CD"/>
    <w:rsid w:val="37661A13"/>
    <w:rsid w:val="37702892"/>
    <w:rsid w:val="379A60CE"/>
    <w:rsid w:val="37AB3F07"/>
    <w:rsid w:val="37BA1D5F"/>
    <w:rsid w:val="37C11782"/>
    <w:rsid w:val="381E7EEB"/>
    <w:rsid w:val="38253A62"/>
    <w:rsid w:val="38507FCD"/>
    <w:rsid w:val="38792A54"/>
    <w:rsid w:val="38850B54"/>
    <w:rsid w:val="38A02997"/>
    <w:rsid w:val="38C35493"/>
    <w:rsid w:val="38FD3FB5"/>
    <w:rsid w:val="392C0A3B"/>
    <w:rsid w:val="393339A4"/>
    <w:rsid w:val="396E4430"/>
    <w:rsid w:val="396F6922"/>
    <w:rsid w:val="398744D8"/>
    <w:rsid w:val="39934616"/>
    <w:rsid w:val="39972358"/>
    <w:rsid w:val="399A3BF6"/>
    <w:rsid w:val="399D4EF7"/>
    <w:rsid w:val="39B60304"/>
    <w:rsid w:val="39BE5B37"/>
    <w:rsid w:val="39DA54EF"/>
    <w:rsid w:val="39E23756"/>
    <w:rsid w:val="39F26F76"/>
    <w:rsid w:val="39F91339"/>
    <w:rsid w:val="39FC040D"/>
    <w:rsid w:val="3A187A48"/>
    <w:rsid w:val="3A2B16D5"/>
    <w:rsid w:val="3A31504F"/>
    <w:rsid w:val="3A537A35"/>
    <w:rsid w:val="3A5D7C84"/>
    <w:rsid w:val="3A6E6E56"/>
    <w:rsid w:val="3A7E52C6"/>
    <w:rsid w:val="3AC945FD"/>
    <w:rsid w:val="3ACA22B9"/>
    <w:rsid w:val="3ACB1E7C"/>
    <w:rsid w:val="3ACF18D3"/>
    <w:rsid w:val="3AD44EE6"/>
    <w:rsid w:val="3B0D51B9"/>
    <w:rsid w:val="3B2A3D28"/>
    <w:rsid w:val="3B39180C"/>
    <w:rsid w:val="3B4068E3"/>
    <w:rsid w:val="3B485F06"/>
    <w:rsid w:val="3B5F5322"/>
    <w:rsid w:val="3B693880"/>
    <w:rsid w:val="3B6D5F98"/>
    <w:rsid w:val="3B783AC3"/>
    <w:rsid w:val="3BCE7B87"/>
    <w:rsid w:val="3BFC3572"/>
    <w:rsid w:val="3C44427C"/>
    <w:rsid w:val="3C480D99"/>
    <w:rsid w:val="3C517B33"/>
    <w:rsid w:val="3C626204"/>
    <w:rsid w:val="3C864EF2"/>
    <w:rsid w:val="3C8C5CCA"/>
    <w:rsid w:val="3C9C3207"/>
    <w:rsid w:val="3CBE24EE"/>
    <w:rsid w:val="3CE43A2A"/>
    <w:rsid w:val="3D15558E"/>
    <w:rsid w:val="3D6267D9"/>
    <w:rsid w:val="3D6A3662"/>
    <w:rsid w:val="3D973CB0"/>
    <w:rsid w:val="3D9E3872"/>
    <w:rsid w:val="3DA908AC"/>
    <w:rsid w:val="3DAB60B8"/>
    <w:rsid w:val="3DC751D2"/>
    <w:rsid w:val="3DCB0822"/>
    <w:rsid w:val="3DD36E29"/>
    <w:rsid w:val="3DF51A4E"/>
    <w:rsid w:val="3E032ABD"/>
    <w:rsid w:val="3E3143FD"/>
    <w:rsid w:val="3E391046"/>
    <w:rsid w:val="3E492211"/>
    <w:rsid w:val="3E4D5E7E"/>
    <w:rsid w:val="3E6F38A3"/>
    <w:rsid w:val="3E833C64"/>
    <w:rsid w:val="3E894058"/>
    <w:rsid w:val="3E9165F7"/>
    <w:rsid w:val="3E970013"/>
    <w:rsid w:val="3E9C6EB8"/>
    <w:rsid w:val="3EED0943"/>
    <w:rsid w:val="3EFA5B79"/>
    <w:rsid w:val="3F222679"/>
    <w:rsid w:val="3F487B4C"/>
    <w:rsid w:val="3F4975B1"/>
    <w:rsid w:val="3F4D4C82"/>
    <w:rsid w:val="3F5F35D8"/>
    <w:rsid w:val="3F82749C"/>
    <w:rsid w:val="3F9D1EB2"/>
    <w:rsid w:val="3FB672B0"/>
    <w:rsid w:val="3FDF2B6D"/>
    <w:rsid w:val="3FE72B21"/>
    <w:rsid w:val="3FE83E2E"/>
    <w:rsid w:val="3FF309C1"/>
    <w:rsid w:val="3FF36EC0"/>
    <w:rsid w:val="4002729A"/>
    <w:rsid w:val="40050BBD"/>
    <w:rsid w:val="40267B91"/>
    <w:rsid w:val="40326890"/>
    <w:rsid w:val="40443AC7"/>
    <w:rsid w:val="405257D8"/>
    <w:rsid w:val="4068122F"/>
    <w:rsid w:val="406F1488"/>
    <w:rsid w:val="407B22C9"/>
    <w:rsid w:val="40A57D15"/>
    <w:rsid w:val="40B578E9"/>
    <w:rsid w:val="40D87635"/>
    <w:rsid w:val="40ED187E"/>
    <w:rsid w:val="40FC5196"/>
    <w:rsid w:val="413B1FBD"/>
    <w:rsid w:val="415475F9"/>
    <w:rsid w:val="41765BEF"/>
    <w:rsid w:val="41813A12"/>
    <w:rsid w:val="41990C37"/>
    <w:rsid w:val="41AF7178"/>
    <w:rsid w:val="41BA772A"/>
    <w:rsid w:val="41EF2605"/>
    <w:rsid w:val="421E3921"/>
    <w:rsid w:val="42380450"/>
    <w:rsid w:val="426D634C"/>
    <w:rsid w:val="4273433F"/>
    <w:rsid w:val="428E4CC2"/>
    <w:rsid w:val="429513FF"/>
    <w:rsid w:val="42961A8E"/>
    <w:rsid w:val="42B00620"/>
    <w:rsid w:val="42B06763"/>
    <w:rsid w:val="42CF094E"/>
    <w:rsid w:val="42D2280E"/>
    <w:rsid w:val="42D31F27"/>
    <w:rsid w:val="42E10668"/>
    <w:rsid w:val="42E3660E"/>
    <w:rsid w:val="42EF4FB3"/>
    <w:rsid w:val="42F27ED7"/>
    <w:rsid w:val="430545D6"/>
    <w:rsid w:val="435A1A73"/>
    <w:rsid w:val="436112E1"/>
    <w:rsid w:val="43727992"/>
    <w:rsid w:val="438B115D"/>
    <w:rsid w:val="43941F7D"/>
    <w:rsid w:val="43944E6A"/>
    <w:rsid w:val="43B03E7E"/>
    <w:rsid w:val="43B7531D"/>
    <w:rsid w:val="43C40B3F"/>
    <w:rsid w:val="43CC22D5"/>
    <w:rsid w:val="441C29B6"/>
    <w:rsid w:val="442940EF"/>
    <w:rsid w:val="44434612"/>
    <w:rsid w:val="445C02FF"/>
    <w:rsid w:val="44865110"/>
    <w:rsid w:val="448D5D46"/>
    <w:rsid w:val="44995A3B"/>
    <w:rsid w:val="44A60DA1"/>
    <w:rsid w:val="44A973E3"/>
    <w:rsid w:val="44CB735A"/>
    <w:rsid w:val="44F22952"/>
    <w:rsid w:val="45175107"/>
    <w:rsid w:val="4521033D"/>
    <w:rsid w:val="45292AC9"/>
    <w:rsid w:val="452E7CA6"/>
    <w:rsid w:val="454840D7"/>
    <w:rsid w:val="455160F5"/>
    <w:rsid w:val="4552724E"/>
    <w:rsid w:val="45906D8A"/>
    <w:rsid w:val="45C131D9"/>
    <w:rsid w:val="45FB5A1D"/>
    <w:rsid w:val="46026447"/>
    <w:rsid w:val="460C3316"/>
    <w:rsid w:val="46202413"/>
    <w:rsid w:val="462C76BB"/>
    <w:rsid w:val="46472A10"/>
    <w:rsid w:val="46804AC7"/>
    <w:rsid w:val="468945C4"/>
    <w:rsid w:val="46C40504"/>
    <w:rsid w:val="46C8779B"/>
    <w:rsid w:val="46D00C57"/>
    <w:rsid w:val="471274C2"/>
    <w:rsid w:val="47193F81"/>
    <w:rsid w:val="471F52F0"/>
    <w:rsid w:val="472745EF"/>
    <w:rsid w:val="47401170"/>
    <w:rsid w:val="476C456E"/>
    <w:rsid w:val="476F5CD3"/>
    <w:rsid w:val="478D08F6"/>
    <w:rsid w:val="47944204"/>
    <w:rsid w:val="47C016D8"/>
    <w:rsid w:val="47F80276"/>
    <w:rsid w:val="47F86550"/>
    <w:rsid w:val="48064139"/>
    <w:rsid w:val="480C3F11"/>
    <w:rsid w:val="48103C5D"/>
    <w:rsid w:val="48141C1B"/>
    <w:rsid w:val="485D065B"/>
    <w:rsid w:val="48762752"/>
    <w:rsid w:val="487A30EC"/>
    <w:rsid w:val="487E2EFD"/>
    <w:rsid w:val="48AD4E73"/>
    <w:rsid w:val="48AE321A"/>
    <w:rsid w:val="48B00D40"/>
    <w:rsid w:val="48B107F5"/>
    <w:rsid w:val="48C06AA9"/>
    <w:rsid w:val="48C214D6"/>
    <w:rsid w:val="48C924B4"/>
    <w:rsid w:val="48CA3D62"/>
    <w:rsid w:val="48DD765B"/>
    <w:rsid w:val="49396F88"/>
    <w:rsid w:val="494715BB"/>
    <w:rsid w:val="49534C90"/>
    <w:rsid w:val="495E079C"/>
    <w:rsid w:val="496B1DFA"/>
    <w:rsid w:val="497952B4"/>
    <w:rsid w:val="498434BD"/>
    <w:rsid w:val="498E09B2"/>
    <w:rsid w:val="49B44860"/>
    <w:rsid w:val="49C70FAA"/>
    <w:rsid w:val="49CD147E"/>
    <w:rsid w:val="49E32A20"/>
    <w:rsid w:val="4A0264C4"/>
    <w:rsid w:val="4A0453B7"/>
    <w:rsid w:val="4A123335"/>
    <w:rsid w:val="4A1A5351"/>
    <w:rsid w:val="4A5358A9"/>
    <w:rsid w:val="4A5A600A"/>
    <w:rsid w:val="4A7139F3"/>
    <w:rsid w:val="4A800BE6"/>
    <w:rsid w:val="4A8A590D"/>
    <w:rsid w:val="4A904CF3"/>
    <w:rsid w:val="4AA46C6B"/>
    <w:rsid w:val="4AAE6601"/>
    <w:rsid w:val="4AB50890"/>
    <w:rsid w:val="4ABA5EA6"/>
    <w:rsid w:val="4ACF7499"/>
    <w:rsid w:val="4AEF64BB"/>
    <w:rsid w:val="4AF171AF"/>
    <w:rsid w:val="4B2E23F0"/>
    <w:rsid w:val="4B521983"/>
    <w:rsid w:val="4B64529E"/>
    <w:rsid w:val="4B7631A5"/>
    <w:rsid w:val="4B80232E"/>
    <w:rsid w:val="4B9E4BFB"/>
    <w:rsid w:val="4BA4555B"/>
    <w:rsid w:val="4BAE1C06"/>
    <w:rsid w:val="4BB2766B"/>
    <w:rsid w:val="4BB52B12"/>
    <w:rsid w:val="4BC51560"/>
    <w:rsid w:val="4C0C3C89"/>
    <w:rsid w:val="4C713CCB"/>
    <w:rsid w:val="4C9D211C"/>
    <w:rsid w:val="4C9F5404"/>
    <w:rsid w:val="4CD30122"/>
    <w:rsid w:val="4CD91CA8"/>
    <w:rsid w:val="4CDB5302"/>
    <w:rsid w:val="4CFB09F8"/>
    <w:rsid w:val="4D5D0D6B"/>
    <w:rsid w:val="4D612C56"/>
    <w:rsid w:val="4D700A9E"/>
    <w:rsid w:val="4D714816"/>
    <w:rsid w:val="4D777E69"/>
    <w:rsid w:val="4D783DF7"/>
    <w:rsid w:val="4D814A59"/>
    <w:rsid w:val="4DC3603D"/>
    <w:rsid w:val="4DC442C6"/>
    <w:rsid w:val="4DCE1C69"/>
    <w:rsid w:val="4DE1374A"/>
    <w:rsid w:val="4E3221F7"/>
    <w:rsid w:val="4E425E87"/>
    <w:rsid w:val="4E636E93"/>
    <w:rsid w:val="4E643942"/>
    <w:rsid w:val="4E7B11AC"/>
    <w:rsid w:val="4E965A41"/>
    <w:rsid w:val="4E9E2E83"/>
    <w:rsid w:val="4ECD19D6"/>
    <w:rsid w:val="4EFE738A"/>
    <w:rsid w:val="4F0449C7"/>
    <w:rsid w:val="4F06353B"/>
    <w:rsid w:val="4F55409C"/>
    <w:rsid w:val="4F6726AA"/>
    <w:rsid w:val="4F6C34E7"/>
    <w:rsid w:val="4F6F5EE7"/>
    <w:rsid w:val="4F717CEE"/>
    <w:rsid w:val="4FBA3171"/>
    <w:rsid w:val="4FD07F1A"/>
    <w:rsid w:val="4FEB4E15"/>
    <w:rsid w:val="50021665"/>
    <w:rsid w:val="5002211E"/>
    <w:rsid w:val="50113623"/>
    <w:rsid w:val="501C4F0D"/>
    <w:rsid w:val="503A2840"/>
    <w:rsid w:val="505C5BC8"/>
    <w:rsid w:val="505E72D4"/>
    <w:rsid w:val="5069276C"/>
    <w:rsid w:val="506A2048"/>
    <w:rsid w:val="50884DA9"/>
    <w:rsid w:val="508D5E0B"/>
    <w:rsid w:val="50903205"/>
    <w:rsid w:val="50A50F59"/>
    <w:rsid w:val="50B047BD"/>
    <w:rsid w:val="50B667D3"/>
    <w:rsid w:val="50EA0B67"/>
    <w:rsid w:val="51052624"/>
    <w:rsid w:val="51092B6B"/>
    <w:rsid w:val="51271401"/>
    <w:rsid w:val="512B60F6"/>
    <w:rsid w:val="51597A9B"/>
    <w:rsid w:val="51780EAC"/>
    <w:rsid w:val="51791632"/>
    <w:rsid w:val="517F31A5"/>
    <w:rsid w:val="51986815"/>
    <w:rsid w:val="51A01F5C"/>
    <w:rsid w:val="51B61EBE"/>
    <w:rsid w:val="51B9608E"/>
    <w:rsid w:val="51DA146E"/>
    <w:rsid w:val="51E4360B"/>
    <w:rsid w:val="520D29AC"/>
    <w:rsid w:val="520D7A81"/>
    <w:rsid w:val="52195BA8"/>
    <w:rsid w:val="52397FF8"/>
    <w:rsid w:val="528F18AE"/>
    <w:rsid w:val="52A86F2C"/>
    <w:rsid w:val="52BB5B6A"/>
    <w:rsid w:val="52E350B6"/>
    <w:rsid w:val="52EA7FFB"/>
    <w:rsid w:val="52F5695D"/>
    <w:rsid w:val="52F804B8"/>
    <w:rsid w:val="530D4FE1"/>
    <w:rsid w:val="53146370"/>
    <w:rsid w:val="53412F0C"/>
    <w:rsid w:val="53615BB4"/>
    <w:rsid w:val="53676868"/>
    <w:rsid w:val="53683185"/>
    <w:rsid w:val="53731B00"/>
    <w:rsid w:val="538B22E8"/>
    <w:rsid w:val="53A45945"/>
    <w:rsid w:val="53AE1CDF"/>
    <w:rsid w:val="53C264FF"/>
    <w:rsid w:val="53D855EF"/>
    <w:rsid w:val="53DA1367"/>
    <w:rsid w:val="53F516AF"/>
    <w:rsid w:val="53FC02D7"/>
    <w:rsid w:val="5406215C"/>
    <w:rsid w:val="541A4BF8"/>
    <w:rsid w:val="541C1980"/>
    <w:rsid w:val="54352AF5"/>
    <w:rsid w:val="543C3A47"/>
    <w:rsid w:val="54554E92"/>
    <w:rsid w:val="54662BFB"/>
    <w:rsid w:val="54663047"/>
    <w:rsid w:val="546D3C12"/>
    <w:rsid w:val="5471417C"/>
    <w:rsid w:val="547B766F"/>
    <w:rsid w:val="548817A0"/>
    <w:rsid w:val="548B3B30"/>
    <w:rsid w:val="54CA326C"/>
    <w:rsid w:val="55207253"/>
    <w:rsid w:val="5526184F"/>
    <w:rsid w:val="55286102"/>
    <w:rsid w:val="5531145B"/>
    <w:rsid w:val="55663F2C"/>
    <w:rsid w:val="55A60382"/>
    <w:rsid w:val="55BB2AD2"/>
    <w:rsid w:val="55EA1110"/>
    <w:rsid w:val="55F10A29"/>
    <w:rsid w:val="56053BDD"/>
    <w:rsid w:val="560721BC"/>
    <w:rsid w:val="56092A25"/>
    <w:rsid w:val="56101070"/>
    <w:rsid w:val="561D01A9"/>
    <w:rsid w:val="563F62C4"/>
    <w:rsid w:val="565847C5"/>
    <w:rsid w:val="56627843"/>
    <w:rsid w:val="56670CF5"/>
    <w:rsid w:val="567C55EA"/>
    <w:rsid w:val="568376D6"/>
    <w:rsid w:val="56A1421F"/>
    <w:rsid w:val="56A874FB"/>
    <w:rsid w:val="56A906C7"/>
    <w:rsid w:val="56B20379"/>
    <w:rsid w:val="56BC0894"/>
    <w:rsid w:val="56DB14E3"/>
    <w:rsid w:val="57476D14"/>
    <w:rsid w:val="57622118"/>
    <w:rsid w:val="57803098"/>
    <w:rsid w:val="57AD3E6E"/>
    <w:rsid w:val="57AD7BC7"/>
    <w:rsid w:val="57B10631"/>
    <w:rsid w:val="57BE68AA"/>
    <w:rsid w:val="57FB18AC"/>
    <w:rsid w:val="58296419"/>
    <w:rsid w:val="58331046"/>
    <w:rsid w:val="583D3C73"/>
    <w:rsid w:val="584E0089"/>
    <w:rsid w:val="5853793A"/>
    <w:rsid w:val="586C4558"/>
    <w:rsid w:val="586E6043"/>
    <w:rsid w:val="5886201B"/>
    <w:rsid w:val="58873140"/>
    <w:rsid w:val="588B6C28"/>
    <w:rsid w:val="58975289"/>
    <w:rsid w:val="58AD704A"/>
    <w:rsid w:val="58C44394"/>
    <w:rsid w:val="58C45E43"/>
    <w:rsid w:val="58D830C0"/>
    <w:rsid w:val="58EB7B73"/>
    <w:rsid w:val="58ED7E9D"/>
    <w:rsid w:val="58F855D9"/>
    <w:rsid w:val="590B2DFA"/>
    <w:rsid w:val="59101AD9"/>
    <w:rsid w:val="59374885"/>
    <w:rsid w:val="593A7617"/>
    <w:rsid w:val="593C33C2"/>
    <w:rsid w:val="594C6863"/>
    <w:rsid w:val="596B4552"/>
    <w:rsid w:val="596E71B4"/>
    <w:rsid w:val="5998630B"/>
    <w:rsid w:val="59B145DB"/>
    <w:rsid w:val="59C5743D"/>
    <w:rsid w:val="59D2663D"/>
    <w:rsid w:val="59D800F7"/>
    <w:rsid w:val="59DD395F"/>
    <w:rsid w:val="59E80E84"/>
    <w:rsid w:val="59FB327B"/>
    <w:rsid w:val="59FF2DBC"/>
    <w:rsid w:val="5A1924BD"/>
    <w:rsid w:val="5A1B6E95"/>
    <w:rsid w:val="5A7062DF"/>
    <w:rsid w:val="5A7E1D74"/>
    <w:rsid w:val="5A805435"/>
    <w:rsid w:val="5A83487D"/>
    <w:rsid w:val="5A8C48E1"/>
    <w:rsid w:val="5A8D78A2"/>
    <w:rsid w:val="5AD20D4F"/>
    <w:rsid w:val="5AEC4941"/>
    <w:rsid w:val="5AFC1D99"/>
    <w:rsid w:val="5AFD0B51"/>
    <w:rsid w:val="5B2A2F5A"/>
    <w:rsid w:val="5B460DF6"/>
    <w:rsid w:val="5B5002AF"/>
    <w:rsid w:val="5B7E2649"/>
    <w:rsid w:val="5B80134A"/>
    <w:rsid w:val="5BA53244"/>
    <w:rsid w:val="5BC528FD"/>
    <w:rsid w:val="5BF50AFC"/>
    <w:rsid w:val="5BF8682E"/>
    <w:rsid w:val="5C113F6F"/>
    <w:rsid w:val="5C2A7B88"/>
    <w:rsid w:val="5C3B4F3C"/>
    <w:rsid w:val="5C680693"/>
    <w:rsid w:val="5C693288"/>
    <w:rsid w:val="5C723888"/>
    <w:rsid w:val="5C7957F0"/>
    <w:rsid w:val="5C814A76"/>
    <w:rsid w:val="5C841E70"/>
    <w:rsid w:val="5C8E7193"/>
    <w:rsid w:val="5CB04F81"/>
    <w:rsid w:val="5CBA3AE4"/>
    <w:rsid w:val="5CCD01DC"/>
    <w:rsid w:val="5CFB0C71"/>
    <w:rsid w:val="5CFF1E3E"/>
    <w:rsid w:val="5D0130F2"/>
    <w:rsid w:val="5D163B50"/>
    <w:rsid w:val="5D2666F8"/>
    <w:rsid w:val="5D31251D"/>
    <w:rsid w:val="5D342320"/>
    <w:rsid w:val="5D433C86"/>
    <w:rsid w:val="5D537A94"/>
    <w:rsid w:val="5D554255"/>
    <w:rsid w:val="5DA1268A"/>
    <w:rsid w:val="5DAE4DA8"/>
    <w:rsid w:val="5DC2175C"/>
    <w:rsid w:val="5DDB75CE"/>
    <w:rsid w:val="5E05686B"/>
    <w:rsid w:val="5E1B4A56"/>
    <w:rsid w:val="5E2E29DB"/>
    <w:rsid w:val="5E546E20"/>
    <w:rsid w:val="5E5B0188"/>
    <w:rsid w:val="5E6261E1"/>
    <w:rsid w:val="5E9D5E35"/>
    <w:rsid w:val="5E9F2DBA"/>
    <w:rsid w:val="5EDD0682"/>
    <w:rsid w:val="5EDD61AF"/>
    <w:rsid w:val="5F033F15"/>
    <w:rsid w:val="5F04518C"/>
    <w:rsid w:val="5F047298"/>
    <w:rsid w:val="5F0B6C4A"/>
    <w:rsid w:val="5F197B34"/>
    <w:rsid w:val="5F253DB4"/>
    <w:rsid w:val="5F38304B"/>
    <w:rsid w:val="5F5521EA"/>
    <w:rsid w:val="5F5C6A78"/>
    <w:rsid w:val="5F912EB9"/>
    <w:rsid w:val="5F990328"/>
    <w:rsid w:val="5F9C262F"/>
    <w:rsid w:val="5FA2068C"/>
    <w:rsid w:val="5FA35602"/>
    <w:rsid w:val="5FA937A9"/>
    <w:rsid w:val="5FD52192"/>
    <w:rsid w:val="5FD653D9"/>
    <w:rsid w:val="5FD9175D"/>
    <w:rsid w:val="5FF21143"/>
    <w:rsid w:val="5FFB5CA8"/>
    <w:rsid w:val="60275934"/>
    <w:rsid w:val="603663B4"/>
    <w:rsid w:val="60902D45"/>
    <w:rsid w:val="609833D0"/>
    <w:rsid w:val="60AE3960"/>
    <w:rsid w:val="60C969EB"/>
    <w:rsid w:val="60E40D03"/>
    <w:rsid w:val="61175CCE"/>
    <w:rsid w:val="611B7FFB"/>
    <w:rsid w:val="611D6D37"/>
    <w:rsid w:val="612E29D1"/>
    <w:rsid w:val="61462BEF"/>
    <w:rsid w:val="61485B40"/>
    <w:rsid w:val="614905B2"/>
    <w:rsid w:val="61734BA9"/>
    <w:rsid w:val="61823CB2"/>
    <w:rsid w:val="61C06A8D"/>
    <w:rsid w:val="61CC2EAD"/>
    <w:rsid w:val="61F91C70"/>
    <w:rsid w:val="61FC694D"/>
    <w:rsid w:val="622F6D7D"/>
    <w:rsid w:val="6243457B"/>
    <w:rsid w:val="6256605D"/>
    <w:rsid w:val="62582A4B"/>
    <w:rsid w:val="627B76B3"/>
    <w:rsid w:val="6288488F"/>
    <w:rsid w:val="628E28E5"/>
    <w:rsid w:val="62C65FF9"/>
    <w:rsid w:val="62CC2A7F"/>
    <w:rsid w:val="62E3335D"/>
    <w:rsid w:val="63614144"/>
    <w:rsid w:val="63716EC6"/>
    <w:rsid w:val="63757B50"/>
    <w:rsid w:val="638E5CCA"/>
    <w:rsid w:val="638E6C7A"/>
    <w:rsid w:val="639D5F0D"/>
    <w:rsid w:val="63AD5DF8"/>
    <w:rsid w:val="63C67212"/>
    <w:rsid w:val="63D749A0"/>
    <w:rsid w:val="63E679FF"/>
    <w:rsid w:val="63F60B61"/>
    <w:rsid w:val="63F61121"/>
    <w:rsid w:val="64004C4F"/>
    <w:rsid w:val="640F1FDA"/>
    <w:rsid w:val="64242C25"/>
    <w:rsid w:val="64283A29"/>
    <w:rsid w:val="64430863"/>
    <w:rsid w:val="646C4AB8"/>
    <w:rsid w:val="648E3BD2"/>
    <w:rsid w:val="649615B9"/>
    <w:rsid w:val="649F085B"/>
    <w:rsid w:val="64B330A9"/>
    <w:rsid w:val="64B654D9"/>
    <w:rsid w:val="64BB664B"/>
    <w:rsid w:val="64CD375F"/>
    <w:rsid w:val="64DF4B1B"/>
    <w:rsid w:val="650177D3"/>
    <w:rsid w:val="65197815"/>
    <w:rsid w:val="65555B5F"/>
    <w:rsid w:val="65660CAD"/>
    <w:rsid w:val="65874911"/>
    <w:rsid w:val="65973E37"/>
    <w:rsid w:val="65A42B5B"/>
    <w:rsid w:val="65A610A9"/>
    <w:rsid w:val="65C64C9C"/>
    <w:rsid w:val="65DD1CCA"/>
    <w:rsid w:val="65E46075"/>
    <w:rsid w:val="65FC33BF"/>
    <w:rsid w:val="661F5123"/>
    <w:rsid w:val="66373AEF"/>
    <w:rsid w:val="66701586"/>
    <w:rsid w:val="66821699"/>
    <w:rsid w:val="66A53C52"/>
    <w:rsid w:val="66FA16EA"/>
    <w:rsid w:val="670B4F1B"/>
    <w:rsid w:val="671C3C0A"/>
    <w:rsid w:val="672A6364"/>
    <w:rsid w:val="672C1A82"/>
    <w:rsid w:val="67515045"/>
    <w:rsid w:val="67537D45"/>
    <w:rsid w:val="675A23DE"/>
    <w:rsid w:val="675E49EC"/>
    <w:rsid w:val="67646A18"/>
    <w:rsid w:val="67654F94"/>
    <w:rsid w:val="677241F3"/>
    <w:rsid w:val="67C91DE0"/>
    <w:rsid w:val="67F351CC"/>
    <w:rsid w:val="68282249"/>
    <w:rsid w:val="68433DA6"/>
    <w:rsid w:val="68541818"/>
    <w:rsid w:val="686C7A9F"/>
    <w:rsid w:val="689618A9"/>
    <w:rsid w:val="68B31743"/>
    <w:rsid w:val="68D24018"/>
    <w:rsid w:val="68DD38F7"/>
    <w:rsid w:val="68EE4BAC"/>
    <w:rsid w:val="68F644A7"/>
    <w:rsid w:val="68FC73A0"/>
    <w:rsid w:val="69085BD7"/>
    <w:rsid w:val="69310349"/>
    <w:rsid w:val="69397975"/>
    <w:rsid w:val="6948576C"/>
    <w:rsid w:val="69497D71"/>
    <w:rsid w:val="694A1716"/>
    <w:rsid w:val="696F6F67"/>
    <w:rsid w:val="6986491A"/>
    <w:rsid w:val="69B53FB1"/>
    <w:rsid w:val="69C86033"/>
    <w:rsid w:val="69C97A5C"/>
    <w:rsid w:val="69D62568"/>
    <w:rsid w:val="69D6510F"/>
    <w:rsid w:val="69F72F37"/>
    <w:rsid w:val="69F765FE"/>
    <w:rsid w:val="6A010FA4"/>
    <w:rsid w:val="6A0445F0"/>
    <w:rsid w:val="6A0C2C57"/>
    <w:rsid w:val="6A1E3B75"/>
    <w:rsid w:val="6A3B1BCB"/>
    <w:rsid w:val="6A4813FA"/>
    <w:rsid w:val="6A4C52F6"/>
    <w:rsid w:val="6A546AED"/>
    <w:rsid w:val="6A5F2917"/>
    <w:rsid w:val="6A666390"/>
    <w:rsid w:val="6A7B1A9C"/>
    <w:rsid w:val="6AA61B4B"/>
    <w:rsid w:val="6ABA13F3"/>
    <w:rsid w:val="6AC6238E"/>
    <w:rsid w:val="6AE52E48"/>
    <w:rsid w:val="6AEB3BB5"/>
    <w:rsid w:val="6B0B19AE"/>
    <w:rsid w:val="6B0B6985"/>
    <w:rsid w:val="6B370279"/>
    <w:rsid w:val="6B4D1FC7"/>
    <w:rsid w:val="6B560E7C"/>
    <w:rsid w:val="6B5C337A"/>
    <w:rsid w:val="6B7043C1"/>
    <w:rsid w:val="6B777885"/>
    <w:rsid w:val="6B7D28AC"/>
    <w:rsid w:val="6BA02A3F"/>
    <w:rsid w:val="6BA8343D"/>
    <w:rsid w:val="6BC80397"/>
    <w:rsid w:val="6BD16BCB"/>
    <w:rsid w:val="6BF30DC0"/>
    <w:rsid w:val="6C5035B2"/>
    <w:rsid w:val="6C6B6AF6"/>
    <w:rsid w:val="6C6E6699"/>
    <w:rsid w:val="6C6F7383"/>
    <w:rsid w:val="6C8D5174"/>
    <w:rsid w:val="6C8F0E9F"/>
    <w:rsid w:val="6C972DFC"/>
    <w:rsid w:val="6CB14B50"/>
    <w:rsid w:val="6CC344CD"/>
    <w:rsid w:val="6CF22E26"/>
    <w:rsid w:val="6CF638B9"/>
    <w:rsid w:val="6D1A1643"/>
    <w:rsid w:val="6D38732A"/>
    <w:rsid w:val="6D742357"/>
    <w:rsid w:val="6D864955"/>
    <w:rsid w:val="6D91190E"/>
    <w:rsid w:val="6D990C78"/>
    <w:rsid w:val="6D9A3A02"/>
    <w:rsid w:val="6DC32345"/>
    <w:rsid w:val="6DF224F3"/>
    <w:rsid w:val="6DFC1189"/>
    <w:rsid w:val="6E067091"/>
    <w:rsid w:val="6E0B6B0F"/>
    <w:rsid w:val="6E0E5A3E"/>
    <w:rsid w:val="6E1D68F4"/>
    <w:rsid w:val="6E210115"/>
    <w:rsid w:val="6E22773B"/>
    <w:rsid w:val="6E296D1B"/>
    <w:rsid w:val="6E3062DB"/>
    <w:rsid w:val="6E455876"/>
    <w:rsid w:val="6E494F0E"/>
    <w:rsid w:val="6E5673E4"/>
    <w:rsid w:val="6E5D335B"/>
    <w:rsid w:val="6E83356A"/>
    <w:rsid w:val="6E974629"/>
    <w:rsid w:val="6E9879FD"/>
    <w:rsid w:val="6EAA34D8"/>
    <w:rsid w:val="6EAB2FB6"/>
    <w:rsid w:val="6ED85BFD"/>
    <w:rsid w:val="6EE964AB"/>
    <w:rsid w:val="6EEE4B82"/>
    <w:rsid w:val="6EF46C46"/>
    <w:rsid w:val="6F0E59AC"/>
    <w:rsid w:val="6F1451A0"/>
    <w:rsid w:val="6F1D16BA"/>
    <w:rsid w:val="6F42195E"/>
    <w:rsid w:val="6F7C7C3D"/>
    <w:rsid w:val="6F8306AD"/>
    <w:rsid w:val="6F9E54E7"/>
    <w:rsid w:val="6FA04DBB"/>
    <w:rsid w:val="6FA56875"/>
    <w:rsid w:val="6FB937F0"/>
    <w:rsid w:val="6FC96806"/>
    <w:rsid w:val="70027FD6"/>
    <w:rsid w:val="70187047"/>
    <w:rsid w:val="702C2AF3"/>
    <w:rsid w:val="70324DFC"/>
    <w:rsid w:val="704A5ECE"/>
    <w:rsid w:val="708015FF"/>
    <w:rsid w:val="70860455"/>
    <w:rsid w:val="70C364EC"/>
    <w:rsid w:val="70D23795"/>
    <w:rsid w:val="71185FB7"/>
    <w:rsid w:val="71272EDB"/>
    <w:rsid w:val="71B60AA8"/>
    <w:rsid w:val="71C6395B"/>
    <w:rsid w:val="71CB7924"/>
    <w:rsid w:val="71D074AE"/>
    <w:rsid w:val="72163F85"/>
    <w:rsid w:val="722C13C8"/>
    <w:rsid w:val="723569B5"/>
    <w:rsid w:val="72373025"/>
    <w:rsid w:val="723B7A2C"/>
    <w:rsid w:val="724A34C0"/>
    <w:rsid w:val="72770F43"/>
    <w:rsid w:val="72AC3A77"/>
    <w:rsid w:val="72D124F2"/>
    <w:rsid w:val="72DD6326"/>
    <w:rsid w:val="72F42B80"/>
    <w:rsid w:val="72F878BD"/>
    <w:rsid w:val="73045C47"/>
    <w:rsid w:val="730647AA"/>
    <w:rsid w:val="73502E3C"/>
    <w:rsid w:val="736071C4"/>
    <w:rsid w:val="736F13E1"/>
    <w:rsid w:val="738A1B7C"/>
    <w:rsid w:val="73920EBF"/>
    <w:rsid w:val="739B6529"/>
    <w:rsid w:val="73B01C95"/>
    <w:rsid w:val="73D96AC5"/>
    <w:rsid w:val="73E334C8"/>
    <w:rsid w:val="740D7688"/>
    <w:rsid w:val="742D7F41"/>
    <w:rsid w:val="743C0348"/>
    <w:rsid w:val="74521888"/>
    <w:rsid w:val="7470597E"/>
    <w:rsid w:val="747607E0"/>
    <w:rsid w:val="74776A1B"/>
    <w:rsid w:val="749022B7"/>
    <w:rsid w:val="74A217D6"/>
    <w:rsid w:val="74A964C0"/>
    <w:rsid w:val="74B03CF2"/>
    <w:rsid w:val="74C23A26"/>
    <w:rsid w:val="74EB5E32"/>
    <w:rsid w:val="74F00593"/>
    <w:rsid w:val="751B4A79"/>
    <w:rsid w:val="75375252"/>
    <w:rsid w:val="755F1D16"/>
    <w:rsid w:val="756E3266"/>
    <w:rsid w:val="75B105E8"/>
    <w:rsid w:val="75BA2606"/>
    <w:rsid w:val="75C56285"/>
    <w:rsid w:val="75D55B86"/>
    <w:rsid w:val="75E33C54"/>
    <w:rsid w:val="76182881"/>
    <w:rsid w:val="763D5EC9"/>
    <w:rsid w:val="76521C10"/>
    <w:rsid w:val="766F4367"/>
    <w:rsid w:val="767B3762"/>
    <w:rsid w:val="768076F4"/>
    <w:rsid w:val="768203CE"/>
    <w:rsid w:val="76C67657"/>
    <w:rsid w:val="76FC1FA3"/>
    <w:rsid w:val="76FF7B6B"/>
    <w:rsid w:val="77000835"/>
    <w:rsid w:val="77213339"/>
    <w:rsid w:val="772E2A0A"/>
    <w:rsid w:val="77354799"/>
    <w:rsid w:val="774E6E46"/>
    <w:rsid w:val="77626DFA"/>
    <w:rsid w:val="77905715"/>
    <w:rsid w:val="77976AA4"/>
    <w:rsid w:val="77C058E5"/>
    <w:rsid w:val="77DA29C5"/>
    <w:rsid w:val="780B56E4"/>
    <w:rsid w:val="7816626F"/>
    <w:rsid w:val="782C2386"/>
    <w:rsid w:val="78770683"/>
    <w:rsid w:val="789A0BA2"/>
    <w:rsid w:val="78A141F4"/>
    <w:rsid w:val="78BC2CAF"/>
    <w:rsid w:val="78BE62B2"/>
    <w:rsid w:val="78DF4BA6"/>
    <w:rsid w:val="791B1956"/>
    <w:rsid w:val="791E2B1D"/>
    <w:rsid w:val="793B581A"/>
    <w:rsid w:val="79821933"/>
    <w:rsid w:val="79872B48"/>
    <w:rsid w:val="798A6E57"/>
    <w:rsid w:val="798F5311"/>
    <w:rsid w:val="79964022"/>
    <w:rsid w:val="79CC323E"/>
    <w:rsid w:val="79F2470D"/>
    <w:rsid w:val="79F97D60"/>
    <w:rsid w:val="7A1A0158"/>
    <w:rsid w:val="7A385657"/>
    <w:rsid w:val="7A4B17BB"/>
    <w:rsid w:val="7A590988"/>
    <w:rsid w:val="7A5E7D4D"/>
    <w:rsid w:val="7A6C0B40"/>
    <w:rsid w:val="7A771C84"/>
    <w:rsid w:val="7A7D4D94"/>
    <w:rsid w:val="7AB11D10"/>
    <w:rsid w:val="7AB160CE"/>
    <w:rsid w:val="7ABB2C05"/>
    <w:rsid w:val="7AED5640"/>
    <w:rsid w:val="7AFB1A3F"/>
    <w:rsid w:val="7B205002"/>
    <w:rsid w:val="7B3A4316"/>
    <w:rsid w:val="7B566C76"/>
    <w:rsid w:val="7B60164A"/>
    <w:rsid w:val="7B642F91"/>
    <w:rsid w:val="7B6C5B5E"/>
    <w:rsid w:val="7B71305D"/>
    <w:rsid w:val="7B8475BA"/>
    <w:rsid w:val="7B887DAD"/>
    <w:rsid w:val="7BA044A6"/>
    <w:rsid w:val="7BD42D6C"/>
    <w:rsid w:val="7BDD4C4E"/>
    <w:rsid w:val="7BE148BB"/>
    <w:rsid w:val="7BF700B4"/>
    <w:rsid w:val="7C014E34"/>
    <w:rsid w:val="7C025685"/>
    <w:rsid w:val="7C050CD5"/>
    <w:rsid w:val="7C354ADD"/>
    <w:rsid w:val="7C465613"/>
    <w:rsid w:val="7C817D22"/>
    <w:rsid w:val="7C873180"/>
    <w:rsid w:val="7C8B328D"/>
    <w:rsid w:val="7C975798"/>
    <w:rsid w:val="7C9C6796"/>
    <w:rsid w:val="7CA436D6"/>
    <w:rsid w:val="7CB37140"/>
    <w:rsid w:val="7CCE35F1"/>
    <w:rsid w:val="7D1F7C67"/>
    <w:rsid w:val="7D232E8C"/>
    <w:rsid w:val="7D470F6C"/>
    <w:rsid w:val="7D591E45"/>
    <w:rsid w:val="7D5D078F"/>
    <w:rsid w:val="7D6A0E2C"/>
    <w:rsid w:val="7D6E02A7"/>
    <w:rsid w:val="7D9B3066"/>
    <w:rsid w:val="7D9F4904"/>
    <w:rsid w:val="7DAB1420"/>
    <w:rsid w:val="7DB06E16"/>
    <w:rsid w:val="7DBF151D"/>
    <w:rsid w:val="7DD06B77"/>
    <w:rsid w:val="7DD97964"/>
    <w:rsid w:val="7DF27CA6"/>
    <w:rsid w:val="7E0B49FD"/>
    <w:rsid w:val="7E222813"/>
    <w:rsid w:val="7E3A0BBC"/>
    <w:rsid w:val="7E590DAD"/>
    <w:rsid w:val="7E7A711F"/>
    <w:rsid w:val="7E871F51"/>
    <w:rsid w:val="7E961DD0"/>
    <w:rsid w:val="7EC0639D"/>
    <w:rsid w:val="7EE66563"/>
    <w:rsid w:val="7EEE47A8"/>
    <w:rsid w:val="7F0445F8"/>
    <w:rsid w:val="7F1E3F4E"/>
    <w:rsid w:val="7F346D5B"/>
    <w:rsid w:val="7F3E014D"/>
    <w:rsid w:val="7F8B2D1C"/>
    <w:rsid w:val="7FB82E79"/>
    <w:rsid w:val="7FC44509"/>
    <w:rsid w:val="7FF759C4"/>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iPriority="99"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1"/>
    <w:qFormat/>
    <w:uiPriority w:val="0"/>
    <w:pPr>
      <w:keepNext/>
      <w:keepLines/>
      <w:numPr>
        <w:ilvl w:val="0"/>
        <w:numId w:val="1"/>
      </w:numPr>
      <w:spacing w:before="180" w:after="180"/>
      <w:ind w:left="425" w:hanging="425" w:firstLineChars="0"/>
      <w:jc w:val="left"/>
      <w:outlineLvl w:val="0"/>
    </w:pPr>
    <w:rPr>
      <w:rFonts w:ascii="黑体" w:hAnsi="黑体" w:eastAsia="黑体"/>
      <w:bCs/>
      <w:kern w:val="44"/>
      <w:sz w:val="30"/>
      <w:szCs w:val="44"/>
    </w:rPr>
  </w:style>
  <w:style w:type="paragraph" w:styleId="2">
    <w:name w:val="heading 2"/>
    <w:basedOn w:val="1"/>
    <w:next w:val="1"/>
    <w:link w:val="50"/>
    <w:semiHidden/>
    <w:unhideWhenUsed/>
    <w:qFormat/>
    <w:uiPriority w:val="0"/>
    <w:pPr>
      <w:keepNext/>
      <w:keepLines/>
      <w:tabs>
        <w:tab w:val="left" w:pos="0"/>
      </w:tabs>
      <w:ind w:firstLine="0" w:firstLineChars="0"/>
      <w:outlineLvl w:val="1"/>
    </w:pPr>
    <w:rPr>
      <w:rFonts w:ascii="Arial" w:hAnsi="Arial" w:eastAsia="黑体" w:cs="Times New Roman"/>
      <w:sz w:val="28"/>
    </w:rPr>
  </w:style>
  <w:style w:type="paragraph" w:styleId="4">
    <w:name w:val="heading 3"/>
    <w:basedOn w:val="1"/>
    <w:next w:val="1"/>
    <w:link w:val="48"/>
    <w:semiHidden/>
    <w:unhideWhenUsed/>
    <w:qFormat/>
    <w:uiPriority w:val="0"/>
    <w:pPr>
      <w:keepNext/>
      <w:keepLines/>
      <w:tabs>
        <w:tab w:val="left" w:pos="0"/>
      </w:tabs>
      <w:ind w:firstLine="0" w:firstLineChars="0"/>
      <w:outlineLvl w:val="2"/>
    </w:pPr>
    <w:rPr>
      <w:rFonts w:ascii="Times New Roman" w:hAnsi="Times New Roman" w:cs="Times New Roman"/>
    </w:rPr>
  </w:style>
  <w:style w:type="paragraph" w:styleId="5">
    <w:name w:val="heading 4"/>
    <w:basedOn w:val="6"/>
    <w:next w:val="7"/>
    <w:link w:val="42"/>
    <w:semiHidden/>
    <w:unhideWhenUsed/>
    <w:qFormat/>
    <w:uiPriority w:val="0"/>
    <w:pPr>
      <w:keepNext/>
      <w:keepLines/>
      <w:numPr>
        <w:ilvl w:val="3"/>
        <w:numId w:val="2"/>
      </w:numPr>
      <w:adjustRightInd w:val="0"/>
      <w:snapToGrid w:val="0"/>
      <w:spacing w:line="360" w:lineRule="auto"/>
      <w:ind w:left="864" w:hanging="864" w:firstLineChars="0"/>
      <w:outlineLvl w:val="3"/>
    </w:pPr>
    <w:rPr>
      <w:rFonts w:ascii="黑体" w:hAnsi="黑体" w:eastAsia="黑体"/>
      <w:bCs/>
      <w:szCs w:val="28"/>
    </w:rPr>
  </w:style>
  <w:style w:type="paragraph" w:styleId="11">
    <w:name w:val="heading 5"/>
    <w:basedOn w:val="1"/>
    <w:next w:val="1"/>
    <w:link w:val="54"/>
    <w:semiHidden/>
    <w:unhideWhenUsed/>
    <w:qFormat/>
    <w:uiPriority w:val="0"/>
    <w:pPr>
      <w:keepNext/>
      <w:keepLines/>
      <w:numPr>
        <w:ilvl w:val="4"/>
        <w:numId w:val="2"/>
      </w:numPr>
      <w:adjustRightInd w:val="0"/>
      <w:spacing w:line="360" w:lineRule="auto"/>
      <w:ind w:left="1008" w:hanging="1008" w:firstLineChars="0"/>
      <w:textAlignment w:val="baseline"/>
      <w:outlineLvl w:val="4"/>
    </w:pPr>
    <w:rPr>
      <w:rFonts w:ascii="黑体" w:hAnsi="黑体" w:eastAsia="黑体"/>
      <w:kern w:val="0"/>
      <w:szCs w:val="20"/>
    </w:rPr>
  </w:style>
  <w:style w:type="paragraph" w:styleId="12">
    <w:name w:val="heading 6"/>
    <w:basedOn w:val="1"/>
    <w:next w:val="1"/>
    <w:semiHidden/>
    <w:unhideWhenUsed/>
    <w:qFormat/>
    <w:uiPriority w:val="0"/>
    <w:pPr>
      <w:keepNext/>
      <w:keepLines/>
      <w:numPr>
        <w:ilvl w:val="5"/>
        <w:numId w:val="2"/>
      </w:numPr>
      <w:adjustRightInd w:val="0"/>
      <w:spacing w:beforeLines="0" w:afterLines="0" w:line="360" w:lineRule="auto"/>
      <w:ind w:left="1151" w:hanging="1151" w:firstLineChars="0"/>
      <w:textAlignment w:val="baseline"/>
      <w:outlineLvl w:val="5"/>
    </w:pPr>
    <w:rPr>
      <w:rFonts w:ascii="Arial" w:hAnsi="Arial" w:eastAsia="宋体"/>
      <w:b/>
      <w:kern w:val="0"/>
      <w:sz w:val="24"/>
      <w:szCs w:val="20"/>
    </w:rPr>
  </w:style>
  <w:style w:type="paragraph" w:styleId="13">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firstLineChars="0"/>
      <w:outlineLvl w:val="6"/>
    </w:pPr>
    <w:rPr>
      <w:b/>
      <w:sz w:val="24"/>
    </w:rPr>
  </w:style>
  <w:style w:type="paragraph" w:styleId="14">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5">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37">
    <w:name w:val="Default Paragraph Font"/>
    <w:link w:val="38"/>
    <w:semiHidden/>
    <w:unhideWhenUsed/>
    <w:qFormat/>
    <w:uiPriority w:val="1"/>
  </w:style>
  <w:style w:type="table" w:default="1" w:styleId="35">
    <w:name w:val="Normal Table"/>
    <w:semiHidden/>
    <w:qFormat/>
    <w:uiPriority w:val="0"/>
    <w:tblPr>
      <w:tblCellMar>
        <w:top w:w="0" w:type="dxa"/>
        <w:left w:w="108" w:type="dxa"/>
        <w:bottom w:w="0" w:type="dxa"/>
        <w:right w:w="108" w:type="dxa"/>
      </w:tblCellMar>
    </w:tblPr>
  </w:style>
  <w:style w:type="paragraph" w:styleId="6">
    <w:name w:val="toc 4"/>
    <w:basedOn w:val="1"/>
    <w:next w:val="1"/>
    <w:qFormat/>
    <w:uiPriority w:val="39"/>
    <w:pPr>
      <w:ind w:left="1260" w:leftChars="600"/>
    </w:pPr>
    <w:rPr>
      <w:szCs w:val="20"/>
    </w:rPr>
  </w:style>
  <w:style w:type="paragraph" w:styleId="7">
    <w:name w:val="Normal Indent"/>
    <w:basedOn w:val="1"/>
    <w:next w:val="8"/>
    <w:link w:val="53"/>
    <w:qFormat/>
    <w:uiPriority w:val="0"/>
    <w:pPr>
      <w:spacing w:line="280" w:lineRule="exact"/>
      <w:ind w:firstLine="0" w:firstLineChars="0"/>
      <w:jc w:val="center"/>
    </w:pPr>
    <w:rPr>
      <w:rFonts w:ascii="Times New Roman" w:hAnsi="Times New Roman" w:eastAsia="宋体"/>
      <w:sz w:val="18"/>
      <w:szCs w:val="20"/>
    </w:rPr>
  </w:style>
  <w:style w:type="paragraph" w:customStyle="1" w:styleId="8">
    <w:name w:val="样式 正文文本 + 首行缩进:  2 字符"/>
    <w:basedOn w:val="9"/>
    <w:qFormat/>
    <w:uiPriority w:val="0"/>
    <w:pPr>
      <w:spacing w:before="100" w:beforeAutospacing="1" w:after="200" w:line="480" w:lineRule="exact"/>
      <w:ind w:firstLine="480" w:firstLineChars="200"/>
    </w:pPr>
  </w:style>
  <w:style w:type="paragraph" w:styleId="9">
    <w:name w:val="Body Text"/>
    <w:basedOn w:val="1"/>
    <w:next w:val="10"/>
    <w:qFormat/>
    <w:uiPriority w:val="0"/>
    <w:pPr>
      <w:widowControl/>
      <w:snapToGrid w:val="0"/>
      <w:spacing w:before="60" w:after="160" w:line="259" w:lineRule="auto"/>
      <w:ind w:right="113"/>
    </w:pPr>
    <w:rPr>
      <w:kern w:val="0"/>
      <w:sz w:val="18"/>
      <w:szCs w:val="20"/>
    </w:rPr>
  </w:style>
  <w:style w:type="paragraph" w:styleId="10">
    <w:name w:val="List Bullet 5"/>
    <w:basedOn w:val="1"/>
    <w:qFormat/>
    <w:uiPriority w:val="0"/>
    <w:pPr>
      <w:numPr>
        <w:ilvl w:val="0"/>
        <w:numId w:val="3"/>
      </w:numPr>
    </w:pPr>
  </w:style>
  <w:style w:type="paragraph" w:styleId="16">
    <w:name w:val="caption"/>
    <w:basedOn w:val="1"/>
    <w:next w:val="1"/>
    <w:semiHidden/>
    <w:unhideWhenUsed/>
    <w:qFormat/>
    <w:uiPriority w:val="0"/>
    <w:pPr>
      <w:ind w:firstLine="0" w:firstLineChars="0"/>
      <w:jc w:val="center"/>
    </w:pPr>
    <w:rPr>
      <w:rFonts w:ascii="Calibri Light" w:hAnsi="Calibri Light" w:eastAsia="宋体" w:cs="Times New Roman"/>
      <w:b/>
      <w:szCs w:val="20"/>
    </w:rPr>
  </w:style>
  <w:style w:type="paragraph" w:styleId="17">
    <w:name w:val="index 5"/>
    <w:basedOn w:val="1"/>
    <w:next w:val="1"/>
    <w:qFormat/>
    <w:uiPriority w:val="0"/>
    <w:pPr>
      <w:ind w:left="800" w:leftChars="800"/>
    </w:pPr>
  </w:style>
  <w:style w:type="paragraph" w:styleId="18">
    <w:name w:val="annotation text"/>
    <w:basedOn w:val="1"/>
    <w:qFormat/>
    <w:uiPriority w:val="0"/>
    <w:pPr>
      <w:jc w:val="left"/>
    </w:pPr>
  </w:style>
  <w:style w:type="paragraph" w:styleId="19">
    <w:name w:val="Body Text Indent"/>
    <w:basedOn w:val="1"/>
    <w:next w:val="16"/>
    <w:qFormat/>
    <w:uiPriority w:val="0"/>
    <w:pPr>
      <w:spacing w:after="120"/>
      <w:ind w:left="420" w:leftChars="200"/>
    </w:pPr>
    <w:rPr>
      <w:kern w:val="0"/>
      <w:sz w:val="24"/>
      <w:szCs w:val="20"/>
    </w:rPr>
  </w:style>
  <w:style w:type="paragraph" w:styleId="20">
    <w:name w:val="Block Text"/>
    <w:basedOn w:val="1"/>
    <w:next w:val="1"/>
    <w:qFormat/>
    <w:uiPriority w:val="0"/>
    <w:pPr>
      <w:ind w:left="113" w:right="113" w:firstLine="555"/>
      <w:jc w:val="left"/>
    </w:pPr>
    <w:rPr>
      <w:sz w:val="28"/>
    </w:rPr>
  </w:style>
  <w:style w:type="paragraph" w:styleId="21">
    <w:name w:val="Plain Text"/>
    <w:basedOn w:val="1"/>
    <w:next w:val="22"/>
    <w:qFormat/>
    <w:uiPriority w:val="0"/>
    <w:pPr>
      <w:spacing w:line="480" w:lineRule="exact"/>
    </w:pPr>
    <w:rPr>
      <w:rFonts w:ascii="宋体" w:hAnsi="Courier New" w:cs="Courier New"/>
      <w:sz w:val="28"/>
      <w:szCs w:val="21"/>
    </w:rPr>
  </w:style>
  <w:style w:type="paragraph" w:styleId="22">
    <w:name w:val="List Continue 5"/>
    <w:basedOn w:val="1"/>
    <w:unhideWhenUsed/>
    <w:qFormat/>
    <w:uiPriority w:val="99"/>
    <w:pPr>
      <w:spacing w:after="120" w:afterLines="0"/>
      <w:ind w:left="2100" w:leftChars="1000"/>
    </w:pPr>
  </w:style>
  <w:style w:type="paragraph" w:styleId="23">
    <w:name w:val="Body Text Indent 2"/>
    <w:basedOn w:val="1"/>
    <w:qFormat/>
    <w:uiPriority w:val="0"/>
    <w:pPr>
      <w:spacing w:before="120" w:beforeLines="0"/>
      <w:ind w:right="113" w:firstLine="570"/>
    </w:pPr>
    <w:rPr>
      <w:kern w:val="24"/>
      <w:sz w:val="28"/>
      <w:szCs w:val="20"/>
    </w:rPr>
  </w:style>
  <w:style w:type="paragraph" w:styleId="24">
    <w:name w:val="endnote text"/>
    <w:basedOn w:val="1"/>
    <w:unhideWhenUsed/>
    <w:qFormat/>
    <w:uiPriority w:val="0"/>
    <w:pPr>
      <w:snapToGrid w:val="0"/>
      <w:jc w:val="left"/>
    </w:pPr>
    <w:rPr>
      <w:rFonts w:ascii="Calibri" w:hAnsi="Calibri"/>
      <w:sz w:val="24"/>
      <w:szCs w:val="22"/>
    </w:rPr>
  </w:style>
  <w:style w:type="paragraph" w:styleId="25">
    <w:name w:val="footer"/>
    <w:basedOn w:val="1"/>
    <w:qFormat/>
    <w:uiPriority w:val="99"/>
    <w:pPr>
      <w:tabs>
        <w:tab w:val="center" w:pos="4153"/>
        <w:tab w:val="right" w:pos="8306"/>
      </w:tabs>
      <w:snapToGrid w:val="0"/>
      <w:jc w:val="left"/>
    </w:pPr>
    <w:rPr>
      <w:kern w:val="0"/>
      <w:sz w:val="18"/>
      <w:szCs w:val="20"/>
    </w:rPr>
  </w:style>
  <w:style w:type="paragraph" w:styleId="26">
    <w:name w:val="header"/>
    <w:basedOn w:val="1"/>
    <w:next w:val="27"/>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7">
    <w:name w:val="样式5"/>
    <w:basedOn w:val="28"/>
    <w:next w:val="24"/>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28">
    <w:name w:val="正文1"/>
    <w:basedOn w:val="1"/>
    <w:next w:val="1"/>
    <w:qFormat/>
    <w:uiPriority w:val="0"/>
    <w:pPr>
      <w:spacing w:before="25" w:beforeLines="25" w:after="25" w:afterLines="25" w:line="360" w:lineRule="auto"/>
      <w:ind w:firstLine="420" w:firstLineChars="175"/>
    </w:pPr>
    <w:rPr>
      <w:rFonts w:ascii="Calibri" w:hAnsi="Calibri"/>
      <w:sz w:val="24"/>
    </w:rPr>
  </w:style>
  <w:style w:type="paragraph" w:styleId="29">
    <w:name w:val="toc 1"/>
    <w:basedOn w:val="1"/>
    <w:next w:val="1"/>
    <w:qFormat/>
    <w:uiPriority w:val="0"/>
  </w:style>
  <w:style w:type="paragraph" w:styleId="30">
    <w:name w:val="toc 2"/>
    <w:basedOn w:val="1"/>
    <w:next w:val="1"/>
    <w:qFormat/>
    <w:uiPriority w:val="0"/>
    <w:pPr>
      <w:ind w:left="420" w:leftChars="200"/>
    </w:pPr>
  </w:style>
  <w:style w:type="paragraph" w:styleId="31">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32">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33">
    <w:name w:val="Body Text First Indent"/>
    <w:basedOn w:val="9"/>
    <w:next w:val="1"/>
    <w:qFormat/>
    <w:uiPriority w:val="0"/>
    <w:pPr>
      <w:ind w:firstLine="420" w:firstLineChars="100"/>
    </w:pPr>
    <w:rPr>
      <w:szCs w:val="24"/>
    </w:rPr>
  </w:style>
  <w:style w:type="paragraph" w:styleId="34">
    <w:name w:val="Body Text First Indent 2"/>
    <w:basedOn w:val="19"/>
    <w:next w:val="1"/>
    <w:qFormat/>
    <w:uiPriority w:val="0"/>
    <w:pPr>
      <w:spacing w:after="120"/>
      <w:ind w:left="420" w:leftChars="200" w:firstLine="420"/>
    </w:pPr>
    <w:rPr>
      <w:rFonts w:ascii="Times New Roman" w:hAnsi="Times New Roman"/>
      <w:sz w:val="21"/>
    </w:rPr>
  </w:style>
  <w:style w:type="table" w:styleId="36">
    <w:name w:val="Table Grid"/>
    <w:basedOn w:val="3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 Char Char Char Char"/>
    <w:basedOn w:val="1"/>
    <w:link w:val="37"/>
    <w:qFormat/>
    <w:uiPriority w:val="0"/>
    <w:pPr>
      <w:widowControl/>
      <w:adjustRightInd w:val="0"/>
      <w:spacing w:after="160" w:afterLines="0" w:line="240" w:lineRule="exact"/>
      <w:jc w:val="left"/>
      <w:textAlignment w:val="baseline"/>
    </w:pPr>
  </w:style>
  <w:style w:type="character" w:styleId="39">
    <w:name w:val="page number"/>
    <w:basedOn w:val="37"/>
    <w:qFormat/>
    <w:uiPriority w:val="0"/>
  </w:style>
  <w:style w:type="character" w:styleId="40">
    <w:name w:val="Hyperlink"/>
    <w:basedOn w:val="37"/>
    <w:qFormat/>
    <w:uiPriority w:val="0"/>
    <w:rPr>
      <w:color w:val="0000FF"/>
      <w:u w:val="single"/>
    </w:rPr>
  </w:style>
  <w:style w:type="character" w:styleId="41">
    <w:name w:val="annotation reference"/>
    <w:basedOn w:val="37"/>
    <w:semiHidden/>
    <w:qFormat/>
    <w:uiPriority w:val="0"/>
    <w:rPr>
      <w:sz w:val="21"/>
    </w:rPr>
  </w:style>
  <w:style w:type="character" w:customStyle="1" w:styleId="42">
    <w:name w:val="标题 4 Char"/>
    <w:link w:val="5"/>
    <w:qFormat/>
    <w:uiPriority w:val="0"/>
    <w:rPr>
      <w:rFonts w:ascii="黑体" w:hAnsi="黑体" w:eastAsia="黑体"/>
      <w:bCs/>
      <w:kern w:val="2"/>
      <w:sz w:val="24"/>
      <w:szCs w:val="28"/>
      <w:lang w:val="en-US" w:eastAsia="zh-CN" w:bidi="ar-SA"/>
    </w:rPr>
  </w:style>
  <w:style w:type="paragraph" w:customStyle="1" w:styleId="43">
    <w:name w:val="Default"/>
    <w:basedOn w:val="44"/>
    <w:next w:val="1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纯文本1"/>
    <w:basedOn w:val="1"/>
    <w:qFormat/>
    <w:uiPriority w:val="99"/>
    <w:pPr>
      <w:autoSpaceDE w:val="0"/>
      <w:autoSpaceDN w:val="0"/>
      <w:adjustRightInd w:val="0"/>
      <w:textAlignment w:val="baseline"/>
    </w:pPr>
    <w:rPr>
      <w:rFonts w:ascii="宋体"/>
      <w:szCs w:val="20"/>
    </w:rPr>
  </w:style>
  <w:style w:type="paragraph" w:customStyle="1" w:styleId="45">
    <w:name w:val="样式 样式 样式 四号 左侧:  1.53 厘米 + 首行缩进:  2 字符 + 居中 左侧:  2 字符 首行缩进:  2..."/>
    <w:basedOn w:val="46"/>
    <w:qFormat/>
    <w:uiPriority w:val="0"/>
    <w:pPr>
      <w:ind w:firstLine="0" w:firstLineChars="0"/>
      <w:jc w:val="center"/>
    </w:pPr>
  </w:style>
  <w:style w:type="paragraph" w:customStyle="1" w:styleId="46">
    <w:name w:val="样式 样式 四号 左侧:  1.53 厘米 + 首行缩进:  2 字符"/>
    <w:basedOn w:val="47"/>
    <w:qFormat/>
    <w:uiPriority w:val="0"/>
    <w:pPr>
      <w:ind w:left="200" w:leftChars="200"/>
    </w:pPr>
    <w:rPr>
      <w:szCs w:val="20"/>
    </w:rPr>
  </w:style>
  <w:style w:type="paragraph" w:customStyle="1" w:styleId="47">
    <w:name w:val="样式 四号 左侧:  1.53 厘米"/>
    <w:basedOn w:val="1"/>
    <w:qFormat/>
    <w:uiPriority w:val="0"/>
    <w:pPr>
      <w:adjustRightInd w:val="0"/>
    </w:pPr>
    <w:rPr>
      <w:w w:val="90"/>
      <w:sz w:val="28"/>
      <w:szCs w:val="28"/>
    </w:rPr>
  </w:style>
  <w:style w:type="character" w:customStyle="1" w:styleId="48">
    <w:name w:val="标题 3 Char"/>
    <w:basedOn w:val="37"/>
    <w:link w:val="4"/>
    <w:qFormat/>
    <w:uiPriority w:val="0"/>
    <w:rPr>
      <w:rFonts w:ascii="Times New Roman" w:hAnsi="Times New Roman" w:eastAsia="宋体" w:cs="Times New Roman"/>
      <w:kern w:val="2"/>
      <w:sz w:val="24"/>
      <w:szCs w:val="24"/>
    </w:rPr>
  </w:style>
  <w:style w:type="paragraph" w:customStyle="1" w:styleId="49">
    <w:name w:val="标题4"/>
    <w:basedOn w:val="1"/>
    <w:next w:val="1"/>
    <w:qFormat/>
    <w:uiPriority w:val="0"/>
    <w:pPr>
      <w:numPr>
        <w:ilvl w:val="3"/>
        <w:numId w:val="4"/>
      </w:numPr>
      <w:spacing w:line="480" w:lineRule="exact"/>
      <w:ind w:left="851" w:hanging="851" w:firstLineChars="0"/>
    </w:pPr>
    <w:rPr>
      <w:rFonts w:ascii="Times New Roman" w:hAnsi="Times New Roman" w:eastAsia="宋体" w:cs="Tahoma"/>
      <w:b/>
      <w:spacing w:val="-6"/>
    </w:rPr>
  </w:style>
  <w:style w:type="character" w:customStyle="1" w:styleId="50">
    <w:name w:val="标题 2 Char"/>
    <w:link w:val="2"/>
    <w:qFormat/>
    <w:uiPriority w:val="0"/>
    <w:rPr>
      <w:rFonts w:ascii="Arial" w:hAnsi="Arial" w:eastAsia="黑体" w:cs="Times New Roman"/>
      <w:kern w:val="2"/>
      <w:sz w:val="28"/>
      <w:szCs w:val="24"/>
    </w:rPr>
  </w:style>
  <w:style w:type="character" w:customStyle="1" w:styleId="51">
    <w:name w:val="标题 1 Char"/>
    <w:link w:val="3"/>
    <w:qFormat/>
    <w:uiPriority w:val="0"/>
    <w:rPr>
      <w:rFonts w:ascii="黑体" w:hAnsi="黑体" w:eastAsia="黑体"/>
      <w:bCs/>
      <w:kern w:val="44"/>
      <w:sz w:val="30"/>
      <w:szCs w:val="44"/>
    </w:rPr>
  </w:style>
  <w:style w:type="paragraph" w:customStyle="1" w:styleId="52">
    <w:name w:val="表格样式"/>
    <w:basedOn w:val="1"/>
    <w:qFormat/>
    <w:uiPriority w:val="0"/>
    <w:pPr>
      <w:spacing w:line="280" w:lineRule="exact"/>
      <w:ind w:firstLine="0" w:firstLineChars="0"/>
    </w:pPr>
    <w:rPr>
      <w:rFonts w:ascii="Times New Roman" w:hAnsi="Times New Roman" w:eastAsia="宋体"/>
      <w:sz w:val="18"/>
    </w:rPr>
  </w:style>
  <w:style w:type="character" w:customStyle="1" w:styleId="53">
    <w:name w:val="正文缩进 Char1"/>
    <w:link w:val="7"/>
    <w:qFormat/>
    <w:uiPriority w:val="0"/>
    <w:rPr>
      <w:rFonts w:ascii="Times New Roman" w:hAnsi="Times New Roman" w:eastAsia="宋体"/>
      <w:kern w:val="2"/>
      <w:sz w:val="18"/>
      <w:lang w:val="en-US" w:eastAsia="zh-CN" w:bidi="ar-SA"/>
    </w:rPr>
  </w:style>
  <w:style w:type="character" w:customStyle="1" w:styleId="54">
    <w:name w:val="标题 5 Char"/>
    <w:link w:val="11"/>
    <w:qFormat/>
    <w:uiPriority w:val="0"/>
    <w:rPr>
      <w:rFonts w:ascii="Times New Roman" w:hAnsi="Times New Roman" w:eastAsia="宋体"/>
      <w:b/>
      <w:kern w:val="0"/>
      <w:sz w:val="24"/>
      <w:szCs w:val="20"/>
    </w:rPr>
  </w:style>
  <w:style w:type="paragraph" w:customStyle="1" w:styleId="55">
    <w:name w:val="表标题"/>
    <w:basedOn w:val="1"/>
    <w:qFormat/>
    <w:uiPriority w:val="0"/>
    <w:pPr>
      <w:spacing w:line="360" w:lineRule="auto"/>
      <w:ind w:firstLine="200" w:firstLineChars="200"/>
      <w:jc w:val="center"/>
    </w:pPr>
    <w:rPr>
      <w:rFonts w:ascii="Verdana" w:hAnsi="Verdana" w:cs="Verdana"/>
      <w:b/>
      <w:sz w:val="24"/>
      <w:szCs w:val="24"/>
    </w:rPr>
  </w:style>
  <w:style w:type="paragraph" w:customStyle="1" w:styleId="56">
    <w:name w:val="正文正"/>
    <w:basedOn w:val="19"/>
    <w:qFormat/>
    <w:uiPriority w:val="0"/>
    <w:pPr>
      <w:ind w:firstLine="560" w:firstLineChars="200"/>
    </w:pPr>
    <w:rPr>
      <w:sz w:val="28"/>
    </w:rPr>
  </w:style>
  <w:style w:type="paragraph" w:customStyle="1" w:styleId="57">
    <w:name w:val="报告书表格"/>
    <w:basedOn w:val="1"/>
    <w:qFormat/>
    <w:uiPriority w:val="0"/>
    <w:pPr>
      <w:adjustRightInd w:val="0"/>
      <w:spacing w:before="60" w:beforeLines="0" w:after="60" w:afterLines="0" w:line="240" w:lineRule="atLeast"/>
      <w:jc w:val="center"/>
      <w:textAlignment w:val="baseline"/>
    </w:pPr>
    <w:rPr>
      <w:kern w:val="0"/>
      <w:szCs w:val="20"/>
    </w:rPr>
  </w:style>
  <w:style w:type="table" w:customStyle="1" w:styleId="58">
    <w:name w:val="Table Normal"/>
    <w:unhideWhenUsed/>
    <w:qFormat/>
    <w:uiPriority w:val="0"/>
    <w:tblPr>
      <w:tblCellMar>
        <w:top w:w="0" w:type="dxa"/>
        <w:left w:w="0" w:type="dxa"/>
        <w:bottom w:w="0" w:type="dxa"/>
        <w:right w:w="0" w:type="dxa"/>
      </w:tblCellMar>
    </w:tblPr>
  </w:style>
  <w:style w:type="paragraph" w:customStyle="1" w:styleId="59">
    <w:name w:val="表格"/>
    <w:basedOn w:val="7"/>
    <w:next w:val="1"/>
    <w:qFormat/>
    <w:uiPriority w:val="0"/>
    <w:pPr>
      <w:adjustRightInd w:val="0"/>
      <w:snapToGrid w:val="0"/>
      <w:spacing w:beforeLines="10" w:afterLines="10" w:line="259" w:lineRule="auto"/>
      <w:jc w:val="center"/>
    </w:pPr>
    <w:rPr>
      <w:rFonts w:ascii="宋体"/>
      <w:kern w:val="0"/>
      <w:szCs w:val="20"/>
    </w:rPr>
  </w:style>
  <w:style w:type="paragraph" w:customStyle="1" w:styleId="60">
    <w:name w:val="1.1.1"/>
    <w:basedOn w:val="1"/>
    <w:qFormat/>
    <w:uiPriority w:val="0"/>
    <w:rPr>
      <w:rFonts w:ascii="黑体"/>
      <w:sz w:val="28"/>
    </w:rPr>
  </w:style>
  <w:style w:type="paragraph" w:customStyle="1" w:styleId="61">
    <w:name w:val="...正文"/>
    <w:basedOn w:val="62"/>
    <w:qFormat/>
    <w:uiPriority w:val="0"/>
    <w:pPr>
      <w:spacing w:before="60" w:line="360" w:lineRule="auto"/>
      <w:ind w:firstLine="200" w:firstLineChars="200"/>
      <w:jc w:val="both"/>
    </w:pPr>
    <w:rPr>
      <w:rFonts w:ascii="Times New Roman" w:hAnsi="Times New Roman" w:eastAsia="宋体" w:cs="Times New Roman"/>
      <w:color w:val="000000"/>
      <w:spacing w:val="4"/>
      <w:sz w:val="24"/>
      <w:szCs w:val="24"/>
      <w:lang w:val="en-US" w:eastAsia="zh-CN" w:bidi="ar-SA"/>
    </w:rPr>
  </w:style>
  <w:style w:type="paragraph" w:customStyle="1" w:styleId="62">
    <w:name w:val="——"/>
    <w:basedOn w:val="63"/>
    <w:qFormat/>
    <w:uiPriority w:val="0"/>
    <w:pPr>
      <w:ind w:left="0" w:firstLine="660" w:firstLineChars="300"/>
    </w:pPr>
  </w:style>
  <w:style w:type="paragraph" w:customStyle="1" w:styleId="63">
    <w:name w:val="Texte"/>
    <w:basedOn w:val="1"/>
    <w:qFormat/>
    <w:uiPriority w:val="0"/>
    <w:pPr>
      <w:widowControl/>
      <w:spacing w:before="120" w:after="120" w:line="480" w:lineRule="exact"/>
      <w:ind w:left="851" w:firstLine="200" w:firstLineChars="200"/>
    </w:pPr>
    <w:rPr>
      <w:rFonts w:ascii="Arial" w:hAnsi="Arial"/>
      <w:kern w:val="0"/>
      <w:sz w:val="22"/>
      <w:lang w:val="en-GB"/>
    </w:rPr>
  </w:style>
  <w:style w:type="paragraph" w:customStyle="1" w:styleId="64">
    <w:name w:val="(.a表格内容"/>
    <w:basedOn w:val="65"/>
    <w:qFormat/>
    <w:uiPriority w:val="0"/>
    <w:pPr>
      <w:spacing w:line="0" w:lineRule="atLeast"/>
      <w:ind w:firstLine="0" w:firstLineChars="0"/>
      <w:jc w:val="center"/>
    </w:pPr>
    <w:rPr>
      <w:rFonts w:cs="Times New Roman"/>
      <w:sz w:val="21"/>
    </w:rPr>
  </w:style>
  <w:style w:type="paragraph" w:customStyle="1" w:styleId="65">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66">
    <w:name w:val="正文233"/>
    <w:basedOn w:val="67"/>
    <w:qFormat/>
    <w:uiPriority w:val="0"/>
  </w:style>
  <w:style w:type="paragraph" w:customStyle="1" w:styleId="67">
    <w:name w:val="样式 样式 正文 + 首行缩进:  2 字符 + 首行缩进:  2 字符"/>
    <w:basedOn w:val="68"/>
    <w:semiHidden/>
    <w:qFormat/>
    <w:uiPriority w:val="0"/>
  </w:style>
  <w:style w:type="paragraph" w:customStyle="1" w:styleId="68">
    <w:name w:val="样式 正文 + 首行缩进:  2 字符"/>
    <w:basedOn w:val="69"/>
    <w:semiHidden/>
    <w:qFormat/>
    <w:uiPriority w:val="0"/>
    <w:pPr>
      <w:spacing w:line="480" w:lineRule="exact"/>
      <w:jc w:val="both"/>
    </w:pPr>
    <w:rPr>
      <w:rFonts w:cs="宋体"/>
      <w:szCs w:val="20"/>
    </w:rPr>
  </w:style>
  <w:style w:type="paragraph" w:customStyle="1" w:styleId="69">
    <w:name w:val="正文3"/>
    <w:semiHidden/>
    <w:qFormat/>
    <w:uiPriority w:val="0"/>
    <w:pPr>
      <w:autoSpaceDE w:val="0"/>
      <w:autoSpaceDN w:val="0"/>
      <w:adjustRightInd w:val="0"/>
      <w:snapToGrid w:val="0"/>
      <w:spacing w:line="360" w:lineRule="auto"/>
      <w:ind w:firstLine="200" w:firstLineChars="200"/>
    </w:pPr>
    <w:rPr>
      <w:rFonts w:ascii="Times New Roman" w:hAnsi="Times New Roman" w:eastAsia="宋体" w:cs="Times New Roman"/>
      <w:sz w:val="24"/>
      <w:szCs w:val="24"/>
      <w:lang w:val="en-US" w:eastAsia="zh-CN" w:bidi="ar-SA"/>
    </w:rPr>
  </w:style>
  <w:style w:type="paragraph" w:customStyle="1" w:styleId="70">
    <w:name w:val="！正文"/>
    <w:basedOn w:val="1"/>
    <w:qFormat/>
    <w:uiPriority w:val="0"/>
    <w:pPr>
      <w:spacing w:line="500" w:lineRule="exact"/>
      <w:ind w:firstLine="480" w:firstLineChars="200"/>
    </w:pPr>
    <w:rPr>
      <w:sz w:val="24"/>
      <w:szCs w:val="20"/>
    </w:rPr>
  </w:style>
  <w:style w:type="paragraph" w:customStyle="1" w:styleId="71">
    <w:name w:val="...表格内容"/>
    <w:basedOn w:val="1"/>
    <w:next w:val="1"/>
    <w:qFormat/>
    <w:uiPriority w:val="0"/>
    <w:pPr>
      <w:widowControl/>
      <w:spacing w:line="240" w:lineRule="atLeast"/>
      <w:ind w:firstLine="0" w:firstLineChars="0"/>
      <w:jc w:val="center"/>
    </w:pPr>
    <w:rPr>
      <w:sz w:val="21"/>
      <w:szCs w:val="21"/>
    </w:rPr>
  </w:style>
  <w:style w:type="character" w:customStyle="1" w:styleId="72">
    <w:name w:val="zw1"/>
    <w:basedOn w:val="37"/>
    <w:qFormat/>
    <w:uiPriority w:val="0"/>
    <w:rPr>
      <w:rFonts w:hint="eastAsia" w:ascii="宋体" w:hAnsi="宋体" w:eastAsia="宋体"/>
      <w:sz w:val="22"/>
      <w:szCs w:val="22"/>
    </w:rPr>
  </w:style>
  <w:style w:type="character" w:customStyle="1" w:styleId="73">
    <w:name w:val="font11"/>
    <w:basedOn w:val="37"/>
    <w:qFormat/>
    <w:uiPriority w:val="0"/>
    <w:rPr>
      <w:rFonts w:hint="eastAsia" w:ascii="宋体" w:hAnsi="宋体" w:eastAsia="宋体" w:cs="宋体"/>
      <w:color w:val="000000"/>
      <w:sz w:val="18"/>
      <w:szCs w:val="18"/>
      <w:u w:val="none"/>
    </w:rPr>
  </w:style>
  <w:style w:type="character" w:customStyle="1" w:styleId="74">
    <w:name w:val="font31"/>
    <w:basedOn w:val="37"/>
    <w:qFormat/>
    <w:uiPriority w:val="0"/>
    <w:rPr>
      <w:rFonts w:hint="default" w:ascii="Times New Roman" w:hAnsi="Times New Roman" w:cs="Times New Roman"/>
      <w:color w:val="000000"/>
      <w:sz w:val="18"/>
      <w:szCs w:val="18"/>
      <w:u w:val="none"/>
    </w:rPr>
  </w:style>
  <w:style w:type="paragraph" w:customStyle="1" w:styleId="75">
    <w:name w:val="表头"/>
    <w:basedOn w:val="1"/>
    <w:qFormat/>
    <w:uiPriority w:val="0"/>
    <w:pPr>
      <w:ind w:firstLine="0" w:firstLineChars="0"/>
      <w:jc w:val="center"/>
    </w:pPr>
    <w:rPr>
      <w:rFonts w:ascii="Times New Roman" w:hAnsi="Times New Roman" w:eastAsia="宋体"/>
      <w:b/>
    </w:rPr>
  </w:style>
  <w:style w:type="character" w:customStyle="1" w:styleId="76">
    <w:name w:val="font21"/>
    <w:basedOn w:val="37"/>
    <w:qFormat/>
    <w:uiPriority w:val="0"/>
    <w:rPr>
      <w:rFonts w:hint="default" w:ascii="Times New Roman" w:hAnsi="Times New Roman" w:cs="Times New Roman"/>
      <w:color w:val="000000"/>
      <w:sz w:val="18"/>
      <w:szCs w:val="18"/>
      <w:u w:val="none"/>
    </w:rPr>
  </w:style>
  <w:style w:type="paragraph" w:customStyle="1" w:styleId="77">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78">
    <w:name w:val="正常格式"/>
    <w:basedOn w:val="79"/>
    <w:qFormat/>
    <w:uiPriority w:val="0"/>
    <w:pPr>
      <w:snapToGrid w:val="0"/>
      <w:spacing w:line="480" w:lineRule="exact"/>
      <w:ind w:firstLine="602"/>
    </w:pPr>
    <w:rPr>
      <w:rFonts w:ascii="Times New Roman" w:hAnsi="Times New Roman" w:eastAsia="仿宋_GB2312"/>
      <w:kern w:val="0"/>
      <w:szCs w:val="20"/>
    </w:rPr>
  </w:style>
  <w:style w:type="paragraph" w:customStyle="1" w:styleId="79">
    <w:name w:val="正文2"/>
    <w:basedOn w:val="80"/>
    <w:qFormat/>
    <w:uiPriority w:val="0"/>
    <w:pPr>
      <w:spacing w:line="360" w:lineRule="auto"/>
      <w:ind w:firstLine="480" w:firstLineChars="200"/>
    </w:pPr>
    <w:rPr>
      <w:rFonts w:ascii="宋体" w:hAnsi="宋体"/>
      <w:sz w:val="24"/>
    </w:rPr>
  </w:style>
  <w:style w:type="paragraph" w:customStyle="1" w:styleId="80">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81">
    <w:name w:val="表格正文"/>
    <w:basedOn w:val="1"/>
    <w:next w:val="1"/>
    <w:qFormat/>
    <w:uiPriority w:val="0"/>
    <w:pPr>
      <w:spacing w:line="240" w:lineRule="auto"/>
      <w:ind w:firstLine="0" w:firstLineChars="0"/>
      <w:jc w:val="center"/>
    </w:pPr>
    <w:rPr>
      <w:sz w:val="21"/>
      <w:szCs w:val="24"/>
    </w:rPr>
  </w:style>
  <w:style w:type="character" w:customStyle="1" w:styleId="82">
    <w:name w:val="NormalCharacter"/>
    <w:qFormat/>
    <w:uiPriority w:val="0"/>
  </w:style>
  <w:style w:type="character" w:customStyle="1" w:styleId="83">
    <w:name w:val="ask-title2"/>
    <w:basedOn w:val="37"/>
    <w:qFormat/>
    <w:uiPriority w:val="0"/>
  </w:style>
  <w:style w:type="paragraph" w:customStyle="1" w:styleId="84">
    <w:name w:val="Normal_162"/>
    <w:qFormat/>
    <w:uiPriority w:val="0"/>
    <w:pPr>
      <w:spacing w:before="120" w:after="240"/>
      <w:jc w:val="both"/>
    </w:pPr>
    <w:rPr>
      <w:rFonts w:ascii="Calibri" w:hAnsi="Calibri" w:eastAsia="Calibri" w:cs="Times New Roman"/>
      <w:sz w:val="22"/>
      <w:szCs w:val="22"/>
      <w:lang w:val="ru-RU" w:eastAsia="en-US" w:bidi="ar-SA"/>
    </w:rPr>
  </w:style>
  <w:style w:type="paragraph" w:customStyle="1" w:styleId="85">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kern w:val="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1.jpeg"/><Relationship Id="rId36" Type="http://schemas.openxmlformats.org/officeDocument/2006/relationships/image" Target="media/image20.jpeg"/><Relationship Id="rId35" Type="http://schemas.openxmlformats.org/officeDocument/2006/relationships/image" Target="media/image19.jpe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er" Target="footer1.xml"/><Relationship Id="rId29" Type="http://schemas.openxmlformats.org/officeDocument/2006/relationships/image" Target="media/image13.jpe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jpeg"/><Relationship Id="rId25" Type="http://schemas.openxmlformats.org/officeDocument/2006/relationships/image" Target="media/image9.wmf"/><Relationship Id="rId24" Type="http://schemas.openxmlformats.org/officeDocument/2006/relationships/oleObject" Target="embeddings/oleObject9.bin"/><Relationship Id="rId23" Type="http://schemas.openxmlformats.org/officeDocument/2006/relationships/image" Target="media/image8.wmf"/><Relationship Id="rId22" Type="http://schemas.openxmlformats.org/officeDocument/2006/relationships/oleObject" Target="embeddings/oleObject8.bin"/><Relationship Id="rId21" Type="http://schemas.openxmlformats.org/officeDocument/2006/relationships/image" Target="media/image7.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6.bin"/><Relationship Id="rId17" Type="http://schemas.openxmlformats.org/officeDocument/2006/relationships/image" Target="media/image5.wmf"/><Relationship Id="rId16" Type="http://schemas.openxmlformats.org/officeDocument/2006/relationships/oleObject" Target="embeddings/oleObject5.bin"/><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62888</Words>
  <Characters>74008</Characters>
  <Lines>0</Lines>
  <Paragraphs>0</Paragraphs>
  <TotalTime>4</TotalTime>
  <ScaleCrop>false</ScaleCrop>
  <LinksUpToDate>false</LinksUpToDate>
  <CharactersWithSpaces>74618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2022-01-27T06:15:00Z</dcterms:created>
  <dc:creator> 村花丶一小朵</dc:creator>
  <cp:lastModifiedBy>｡✧* ꧁大象꧂✧*｡</cp:lastModifiedBy>
  <dcterms:modified xsi:type="dcterms:W3CDTF">2023-02-27T05:43:14Z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E34C5C43D5424C40A54D9DD3FCD9A8F2</vt:lpwstr>
  </property>
</Properties>
</file>