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A9365">
      <w:pPr>
        <w:pStyle w:val="7"/>
        <w:spacing w:line="240" w:lineRule="atLeast"/>
        <w:ind w:firstLine="4740" w:firstLineChars="1500"/>
        <w:jc w:val="both"/>
        <w:rPr>
          <w:rFonts w:hint="eastAsia" w:ascii="仿宋" w:hAnsi="仿宋" w:eastAsia="仿宋" w:cs="仿宋"/>
          <w:color w:val="auto"/>
          <w:sz w:val="32"/>
          <w:szCs w:val="32"/>
          <w:highlight w:val="none"/>
        </w:rPr>
      </w:pPr>
      <w:r>
        <w:rPr>
          <w:rFonts w:hint="eastAsia" w:ascii="仿宋" w:hAnsi="仿宋" w:eastAsia="仿宋" w:cs="仿宋"/>
          <w:bCs/>
          <w:color w:val="auto"/>
          <w:kern w:val="2"/>
          <w:sz w:val="32"/>
          <w:szCs w:val="32"/>
          <w:lang w:val="en-US" w:eastAsia="zh-CN" w:bidi="ar-SA"/>
        </w:rPr>
        <w:t>唐高行审环表〔2026〕3号</w:t>
      </w:r>
    </w:p>
    <w:p w14:paraId="6D5F63F0">
      <w:pPr>
        <w:pStyle w:val="7"/>
        <w:spacing w:line="240" w:lineRule="atLeast"/>
        <w:ind w:firstLine="5372" w:firstLineChars="1700"/>
        <w:jc w:val="both"/>
        <w:rPr>
          <w:rFonts w:ascii="??_GB2312" w:hAnsi="宋体" w:eastAsia="Times New Roman" w:cs="宋体"/>
          <w:color w:val="auto"/>
          <w:sz w:val="32"/>
          <w:szCs w:val="32"/>
          <w:highlight w:val="cyan"/>
        </w:rPr>
      </w:pPr>
    </w:p>
    <w:p w14:paraId="47E7D3ED">
      <w:pPr>
        <w:pStyle w:val="16"/>
        <w:spacing w:line="560" w:lineRule="exact"/>
        <w:jc w:val="center"/>
        <w:rPr>
          <w:rFonts w:ascii="黑体" w:hAnsi="黑体" w:eastAsia="黑体" w:cs="黑体"/>
          <w:color w:val="auto"/>
          <w:w w:val="97"/>
          <w:sz w:val="44"/>
          <w:szCs w:val="44"/>
          <w:highlight w:val="none"/>
        </w:rPr>
      </w:pPr>
      <w:r>
        <w:rPr>
          <w:rFonts w:hint="eastAsia" w:ascii="黑体" w:hAnsi="黑体" w:eastAsia="黑体" w:cs="黑体"/>
          <w:color w:val="auto"/>
          <w:w w:val="97"/>
          <w:sz w:val="44"/>
          <w:szCs w:val="44"/>
          <w:highlight w:val="none"/>
        </w:rPr>
        <w:t>唐山高新技术产业开发区行政审批局</w:t>
      </w:r>
    </w:p>
    <w:p w14:paraId="3C9B8242">
      <w:pPr>
        <w:pStyle w:val="7"/>
        <w:spacing w:line="600" w:lineRule="exact"/>
        <w:jc w:val="center"/>
        <w:rPr>
          <w:rFonts w:hint="eastAsia" w:ascii="黑体" w:hAnsi="黑体" w:eastAsia="黑体" w:cs="黑体"/>
          <w:color w:val="auto"/>
          <w:w w:val="97"/>
          <w:kern w:val="0"/>
          <w:sz w:val="44"/>
          <w:szCs w:val="44"/>
          <w:highlight w:val="none"/>
          <w:lang w:val="en-US" w:eastAsia="zh-CN" w:bidi="ar-SA"/>
        </w:rPr>
      </w:pPr>
      <w:r>
        <w:rPr>
          <w:rFonts w:hint="eastAsia" w:ascii="黑体" w:hAnsi="黑体" w:eastAsia="黑体" w:cs="黑体"/>
          <w:color w:val="auto"/>
          <w:w w:val="97"/>
          <w:sz w:val="44"/>
          <w:szCs w:val="44"/>
          <w:highlight w:val="none"/>
        </w:rPr>
        <w:t>关</w:t>
      </w:r>
      <w:r>
        <w:rPr>
          <w:rFonts w:hint="eastAsia" w:ascii="黑体" w:hAnsi="黑体" w:eastAsia="黑体" w:cs="黑体"/>
          <w:color w:val="auto"/>
          <w:w w:val="97"/>
          <w:kern w:val="0"/>
          <w:sz w:val="44"/>
          <w:szCs w:val="44"/>
          <w:highlight w:val="none"/>
          <w:lang w:val="en-US" w:eastAsia="zh-CN" w:bidi="ar-SA"/>
        </w:rPr>
        <w:t>于北鑫加油站建设项目</w:t>
      </w:r>
    </w:p>
    <w:p w14:paraId="003413E5">
      <w:pPr>
        <w:pStyle w:val="7"/>
        <w:spacing w:line="600" w:lineRule="exact"/>
        <w:jc w:val="center"/>
        <w:rPr>
          <w:rFonts w:hint="eastAsia" w:ascii="黑体" w:hAnsi="黑体" w:eastAsia="黑体" w:cs="黑体"/>
          <w:color w:val="auto"/>
          <w:w w:val="97"/>
          <w:sz w:val="44"/>
          <w:szCs w:val="44"/>
          <w:highlight w:val="none"/>
        </w:rPr>
      </w:pPr>
      <w:r>
        <w:rPr>
          <w:rFonts w:hint="eastAsia" w:ascii="黑体" w:hAnsi="黑体" w:eastAsia="黑体" w:cs="黑体"/>
          <w:color w:val="auto"/>
          <w:w w:val="97"/>
          <w:sz w:val="44"/>
          <w:szCs w:val="44"/>
          <w:highlight w:val="none"/>
        </w:rPr>
        <w:t>环境影响报告</w:t>
      </w:r>
      <w:r>
        <w:rPr>
          <w:rFonts w:hint="eastAsia" w:ascii="黑体" w:hAnsi="黑体" w:eastAsia="黑体" w:cs="黑体"/>
          <w:color w:val="auto"/>
          <w:w w:val="97"/>
          <w:sz w:val="44"/>
          <w:szCs w:val="44"/>
          <w:highlight w:val="none"/>
          <w:lang w:val="en-US" w:eastAsia="zh-CN"/>
        </w:rPr>
        <w:t>表</w:t>
      </w:r>
      <w:r>
        <w:rPr>
          <w:rFonts w:hint="eastAsia" w:ascii="黑体" w:hAnsi="黑体" w:eastAsia="黑体" w:cs="黑体"/>
          <w:color w:val="auto"/>
          <w:w w:val="97"/>
          <w:sz w:val="44"/>
          <w:szCs w:val="44"/>
          <w:highlight w:val="none"/>
        </w:rPr>
        <w:t>的批复</w:t>
      </w:r>
    </w:p>
    <w:p w14:paraId="639777B6">
      <w:pPr>
        <w:jc w:val="center"/>
        <w:rPr>
          <w:rFonts w:ascii="宋体"/>
          <w:color w:val="auto"/>
          <w:sz w:val="44"/>
          <w:szCs w:val="44"/>
          <w:highlight w:val="cyan"/>
        </w:rPr>
      </w:pPr>
    </w:p>
    <w:p w14:paraId="5E006D92">
      <w:pPr>
        <w:numPr>
          <w:ilvl w:val="0"/>
          <w:numId w:val="0"/>
        </w:numPr>
        <w:spacing w:line="520" w:lineRule="exact"/>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唐山北鑫加油站有限公司：</w:t>
      </w:r>
    </w:p>
    <w:p w14:paraId="028818D0">
      <w:pPr>
        <w:numPr>
          <w:ilvl w:val="0"/>
          <w:numId w:val="0"/>
        </w:numPr>
        <w:spacing w:line="520" w:lineRule="exact"/>
        <w:ind w:firstLine="632" w:firstLineChars="200"/>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val="en-US" w:eastAsia="zh-CN"/>
        </w:rPr>
        <w:t>你公司所报《北鑫加油站建设项目》（</w:t>
      </w:r>
      <w:r>
        <w:rPr>
          <w:rFonts w:hint="eastAsia" w:ascii="仿宋" w:hAnsi="仿宋" w:eastAsia="仿宋" w:cs="仿宋"/>
          <w:b w:val="0"/>
          <w:bCs/>
          <w:color w:val="auto"/>
          <w:sz w:val="32"/>
          <w:szCs w:val="32"/>
          <w:highlight w:val="none"/>
          <w:lang w:eastAsia="zh-CN"/>
        </w:rPr>
        <w:t>以下简称《报告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及</w:t>
      </w:r>
      <w:r>
        <w:rPr>
          <w:rFonts w:hint="eastAsia" w:ascii="仿宋" w:hAnsi="仿宋" w:eastAsia="仿宋" w:cs="仿宋"/>
          <w:b w:val="0"/>
          <w:bCs/>
          <w:color w:val="auto"/>
          <w:sz w:val="32"/>
          <w:szCs w:val="32"/>
          <w:highlight w:val="none"/>
          <w:lang w:eastAsia="zh-CN"/>
        </w:rPr>
        <w:t>审批申请</w:t>
      </w:r>
      <w:r>
        <w:rPr>
          <w:rFonts w:hint="eastAsia" w:ascii="仿宋" w:hAnsi="仿宋" w:eastAsia="仿宋" w:cs="仿宋"/>
          <w:b w:val="0"/>
          <w:bCs/>
          <w:color w:val="auto"/>
          <w:sz w:val="32"/>
          <w:szCs w:val="32"/>
          <w:highlight w:val="none"/>
          <w:lang w:val="en-US" w:eastAsia="zh-CN"/>
        </w:rPr>
        <w:t>等</w:t>
      </w:r>
      <w:r>
        <w:rPr>
          <w:rFonts w:hint="eastAsia" w:ascii="仿宋" w:hAnsi="仿宋" w:eastAsia="仿宋" w:cs="仿宋"/>
          <w:b w:val="0"/>
          <w:bCs/>
          <w:color w:val="auto"/>
          <w:sz w:val="32"/>
          <w:szCs w:val="32"/>
          <w:highlight w:val="none"/>
          <w:lang w:eastAsia="zh-CN"/>
        </w:rPr>
        <w:t>相关材料</w:t>
      </w:r>
      <w:r>
        <w:rPr>
          <w:rFonts w:hint="eastAsia" w:ascii="仿宋" w:hAnsi="仿宋" w:eastAsia="仿宋" w:cs="仿宋"/>
          <w:b w:val="0"/>
          <w:bCs/>
          <w:color w:val="auto"/>
          <w:sz w:val="32"/>
          <w:szCs w:val="32"/>
          <w:highlight w:val="none"/>
          <w:lang w:val="en-US" w:eastAsia="zh-CN"/>
        </w:rPr>
        <w:t>我局已</w:t>
      </w:r>
      <w:r>
        <w:rPr>
          <w:rFonts w:hint="eastAsia" w:ascii="仿宋" w:hAnsi="仿宋" w:eastAsia="仿宋" w:cs="仿宋"/>
          <w:b w:val="0"/>
          <w:bCs/>
          <w:color w:val="auto"/>
          <w:sz w:val="32"/>
          <w:szCs w:val="32"/>
          <w:highlight w:val="none"/>
          <w:lang w:eastAsia="zh-CN"/>
        </w:rPr>
        <w:t>收悉。根据《报告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结论、专家评审意见，结合工程环境影响特点，经研究，现批复如下：</w:t>
      </w:r>
    </w:p>
    <w:p w14:paraId="1970E2EE">
      <w:pPr>
        <w:numPr>
          <w:ilvl w:val="0"/>
          <w:numId w:val="0"/>
        </w:numPr>
        <w:spacing w:line="520" w:lineRule="exact"/>
        <w:ind w:firstLine="632" w:firstLineChars="200"/>
        <w:rPr>
          <w:rFonts w:hint="eastAsia"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项目位于</w:t>
      </w:r>
      <w:r>
        <w:rPr>
          <w:rFonts w:hint="eastAsia" w:ascii="仿宋" w:hAnsi="仿宋" w:eastAsia="仿宋" w:cs="仿宋"/>
          <w:b w:val="0"/>
          <w:bCs/>
          <w:color w:val="auto"/>
          <w:sz w:val="32"/>
          <w:szCs w:val="32"/>
          <w:highlight w:val="none"/>
          <w:lang w:val="en-US" w:eastAsia="zh-CN"/>
        </w:rPr>
        <w:t>河北省唐山市高新技术开发区庆南西道69号</w:t>
      </w:r>
      <w:r>
        <w:rPr>
          <w:rFonts w:hint="default" w:ascii="仿宋" w:hAnsi="仿宋" w:eastAsia="仿宋" w:cs="仿宋"/>
          <w:b w:val="0"/>
          <w:bCs/>
          <w:color w:val="auto"/>
          <w:sz w:val="32"/>
          <w:szCs w:val="32"/>
          <w:highlight w:val="none"/>
          <w:lang w:val="en-US" w:eastAsia="zh-CN"/>
        </w:rPr>
        <w:t>，项目总投资</w:t>
      </w:r>
      <w:r>
        <w:rPr>
          <w:rFonts w:hint="eastAsia" w:ascii="仿宋" w:hAnsi="仿宋" w:eastAsia="仿宋" w:cs="仿宋"/>
          <w:b w:val="0"/>
          <w:bCs/>
          <w:color w:val="auto"/>
          <w:sz w:val="32"/>
          <w:szCs w:val="32"/>
          <w:highlight w:val="none"/>
          <w:lang w:val="en-US" w:eastAsia="zh-CN"/>
        </w:rPr>
        <w:t>22</w:t>
      </w:r>
      <w:r>
        <w:rPr>
          <w:rFonts w:hint="default" w:ascii="仿宋" w:hAnsi="仿宋" w:eastAsia="仿宋" w:cs="仿宋"/>
          <w:b w:val="0"/>
          <w:bCs/>
          <w:color w:val="auto"/>
          <w:sz w:val="32"/>
          <w:szCs w:val="32"/>
          <w:highlight w:val="none"/>
          <w:lang w:val="en-US" w:eastAsia="zh-CN"/>
        </w:rPr>
        <w:t>万元，其中环保投资</w:t>
      </w:r>
      <w:r>
        <w:rPr>
          <w:rFonts w:hint="eastAsia" w:ascii="仿宋" w:hAnsi="仿宋" w:eastAsia="仿宋" w:cs="仿宋"/>
          <w:b w:val="0"/>
          <w:bCs/>
          <w:color w:val="auto"/>
          <w:sz w:val="32"/>
          <w:szCs w:val="32"/>
          <w:highlight w:val="none"/>
          <w:lang w:val="en-US" w:eastAsia="zh-CN"/>
        </w:rPr>
        <w:t>5</w:t>
      </w:r>
      <w:r>
        <w:rPr>
          <w:rFonts w:hint="default" w:ascii="仿宋" w:hAnsi="仿宋" w:eastAsia="仿宋" w:cs="仿宋"/>
          <w:b w:val="0"/>
          <w:bCs/>
          <w:color w:val="auto"/>
          <w:sz w:val="32"/>
          <w:szCs w:val="32"/>
          <w:highlight w:val="none"/>
          <w:lang w:val="en-US" w:eastAsia="zh-CN"/>
        </w:rPr>
        <w:t>万元。项目建成后</w:t>
      </w:r>
      <w:r>
        <w:rPr>
          <w:rFonts w:hint="eastAsia" w:ascii="仿宋" w:hAnsi="仿宋" w:eastAsia="仿宋" w:cs="仿宋"/>
          <w:b w:val="0"/>
          <w:bCs/>
          <w:color w:val="auto"/>
          <w:sz w:val="32"/>
          <w:szCs w:val="32"/>
          <w:highlight w:val="none"/>
          <w:lang w:val="en-US" w:eastAsia="zh-CN"/>
        </w:rPr>
        <w:t>油品年销售量1500t，其中汽油年销售1000t，柴油年销售500t</w:t>
      </w:r>
      <w:r>
        <w:rPr>
          <w:rFonts w:hint="default" w:ascii="仿宋" w:hAnsi="仿宋" w:eastAsia="仿宋" w:cs="仿宋"/>
          <w:b w:val="0"/>
          <w:bCs/>
          <w:color w:val="auto"/>
          <w:sz w:val="32"/>
          <w:szCs w:val="32"/>
          <w:highlight w:val="none"/>
          <w:lang w:val="en-US" w:eastAsia="zh-CN"/>
        </w:rPr>
        <w:t>。</w:t>
      </w:r>
    </w:p>
    <w:p w14:paraId="09A8D275">
      <w:pPr>
        <w:numPr>
          <w:ilvl w:val="0"/>
          <w:numId w:val="0"/>
        </w:numPr>
        <w:spacing w:line="520" w:lineRule="exact"/>
        <w:ind w:firstLine="632"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根据你公司所报《报告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》以及报告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Cs/>
          <w:color w:val="auto"/>
          <w:sz w:val="32"/>
          <w:szCs w:val="32"/>
          <w:highlight w:val="none"/>
          <w:lang w:val="en-US" w:eastAsia="zh-CN"/>
        </w:rPr>
        <w:t>技术评估</w:t>
      </w:r>
      <w:r>
        <w:rPr>
          <w:rFonts w:hint="eastAsia" w:ascii="仿宋" w:hAnsi="仿宋" w:eastAsia="仿宋" w:cs="仿宋"/>
          <w:bCs/>
          <w:color w:val="auto"/>
          <w:sz w:val="32"/>
          <w:szCs w:val="32"/>
          <w:highlight w:val="none"/>
        </w:rPr>
        <w:t>意见</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从环境保护角度分析，我局原则</w:t>
      </w:r>
      <w:r>
        <w:rPr>
          <w:rFonts w:hint="eastAsia" w:ascii="仿宋" w:hAnsi="仿宋" w:eastAsia="仿宋" w:cs="仿宋"/>
          <w:b w:val="0"/>
          <w:bCs/>
          <w:color w:val="auto"/>
          <w:sz w:val="32"/>
          <w:szCs w:val="32"/>
          <w:highlight w:val="none"/>
          <w:lang w:val="en-US" w:eastAsia="zh-CN"/>
        </w:rPr>
        <w:t>上</w:t>
      </w:r>
      <w:r>
        <w:rPr>
          <w:rFonts w:hint="eastAsia" w:ascii="仿宋" w:hAnsi="仿宋" w:eastAsia="仿宋" w:cs="仿宋"/>
          <w:b w:val="0"/>
          <w:bCs/>
          <w:color w:val="auto"/>
          <w:sz w:val="32"/>
          <w:szCs w:val="32"/>
          <w:highlight w:val="none"/>
        </w:rPr>
        <w:t>同意《报告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》结论。</w:t>
      </w:r>
    </w:p>
    <w:p w14:paraId="1EFC0EE3">
      <w:pPr>
        <w:numPr>
          <w:ilvl w:val="0"/>
          <w:numId w:val="0"/>
        </w:numPr>
        <w:spacing w:line="520" w:lineRule="exact"/>
        <w:ind w:firstLine="632"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一、</w:t>
      </w:r>
      <w:r>
        <w:rPr>
          <w:rFonts w:hint="eastAsia" w:ascii="仿宋" w:hAnsi="仿宋" w:eastAsia="仿宋" w:cs="仿宋"/>
          <w:b w:val="0"/>
          <w:bCs/>
          <w:color w:val="auto"/>
          <w:sz w:val="32"/>
          <w:szCs w:val="32"/>
          <w:highlight w:val="none"/>
        </w:rPr>
        <w:t>你公司须严格按照《报告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》所列建设项目的性质、规模、地点、生产工艺、环保措施及要求实施项目建设。</w:t>
      </w:r>
    </w:p>
    <w:p w14:paraId="61E24F37">
      <w:pPr>
        <w:numPr>
          <w:ilvl w:val="0"/>
          <w:numId w:val="0"/>
        </w:numPr>
        <w:spacing w:line="520" w:lineRule="exact"/>
        <w:ind w:firstLine="632" w:firstLineChars="200"/>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二、项目建设和运行过程中要认真落实《报告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》及相关</w:t>
      </w:r>
    </w:p>
    <w:p w14:paraId="4CC933AE">
      <w:pPr>
        <w:numPr>
          <w:ilvl w:val="0"/>
          <w:numId w:val="0"/>
        </w:numPr>
        <w:spacing w:line="520" w:lineRule="exact"/>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的各项污染防治措施，</w:t>
      </w:r>
      <w:r>
        <w:rPr>
          <w:rFonts w:hint="eastAsia" w:ascii="仿宋" w:hAnsi="仿宋" w:eastAsia="仿宋" w:cs="仿宋"/>
          <w:b w:val="0"/>
          <w:bCs/>
          <w:color w:val="auto"/>
          <w:sz w:val="32"/>
          <w:szCs w:val="32"/>
          <w:highlight w:val="none"/>
          <w:lang w:val="en-US" w:eastAsia="zh-CN"/>
        </w:rPr>
        <w:t>并</w:t>
      </w:r>
      <w:r>
        <w:rPr>
          <w:rFonts w:hint="eastAsia" w:ascii="仿宋" w:hAnsi="仿宋" w:eastAsia="仿宋" w:cs="仿宋"/>
          <w:b w:val="0"/>
          <w:bCs/>
          <w:color w:val="auto"/>
          <w:sz w:val="32"/>
          <w:szCs w:val="32"/>
          <w:highlight w:val="none"/>
          <w:lang w:eastAsia="zh-CN"/>
        </w:rPr>
        <w:t>重点做好以下工作：</w:t>
      </w:r>
    </w:p>
    <w:p w14:paraId="3A4ADA84">
      <w:pPr>
        <w:keepNext w:val="0"/>
        <w:keepLines w:val="0"/>
        <w:widowControl/>
        <w:suppressLineNumbers w:val="0"/>
        <w:ind w:firstLine="632" w:firstLineChars="200"/>
        <w:jc w:val="lef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（一）加强施工期管理，严格按照《报告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》要求认真落实施工期各项污染防治措施，确保达到环保要求。</w:t>
      </w:r>
    </w:p>
    <w:p w14:paraId="04C24698">
      <w:pPr>
        <w:keepNext w:val="0"/>
        <w:keepLines w:val="0"/>
        <w:widowControl/>
        <w:suppressLineNumbers w:val="0"/>
        <w:ind w:firstLine="632" w:firstLineChars="200"/>
        <w:jc w:val="lef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二</w:t>
      </w:r>
      <w:r>
        <w:rPr>
          <w:rFonts w:hint="eastAsia" w:ascii="仿宋" w:hAnsi="仿宋" w:eastAsia="仿宋" w:cs="仿宋"/>
          <w:b w:val="0"/>
          <w:bCs/>
          <w:color w:val="auto"/>
          <w:sz w:val="32"/>
          <w:szCs w:val="32"/>
          <w:highlight w:val="none"/>
        </w:rPr>
        <w:t>）严格落实水环境保护措施。</w:t>
      </w:r>
    </w:p>
    <w:p w14:paraId="5CD229AD">
      <w:pPr>
        <w:keepNext w:val="0"/>
        <w:keepLines w:val="0"/>
        <w:widowControl/>
        <w:suppressLineNumbers w:val="0"/>
        <w:ind w:firstLine="632" w:firstLineChars="200"/>
        <w:jc w:val="left"/>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本项目无生产废水产生</w:t>
      </w:r>
      <w:r>
        <w:rPr>
          <w:rFonts w:hint="default" w:ascii="仿宋" w:hAnsi="仿宋" w:eastAsia="仿宋" w:cs="仿宋"/>
          <w:b w:val="0"/>
          <w:bCs/>
          <w:color w:val="auto"/>
          <w:sz w:val="32"/>
          <w:szCs w:val="32"/>
          <w:highlight w:val="none"/>
          <w:lang w:val="en-US" w:eastAsia="zh-CN"/>
        </w:rPr>
        <w:t>；生活污水排入市政污水管网。</w:t>
      </w:r>
    </w:p>
    <w:p w14:paraId="1A011056">
      <w:pPr>
        <w:keepNext w:val="0"/>
        <w:keepLines w:val="0"/>
        <w:widowControl/>
        <w:suppressLineNumbers w:val="0"/>
        <w:ind w:firstLine="632" w:firstLineChars="200"/>
        <w:jc w:val="lef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eastAsia="zh-CN"/>
        </w:rPr>
        <w:t>三</w:t>
      </w:r>
      <w:r>
        <w:rPr>
          <w:rFonts w:hint="eastAsia" w:ascii="仿宋" w:hAnsi="仿宋" w:eastAsia="仿宋" w:cs="仿宋"/>
          <w:b w:val="0"/>
          <w:bCs/>
          <w:color w:val="auto"/>
          <w:sz w:val="32"/>
          <w:szCs w:val="32"/>
          <w:highlight w:val="none"/>
        </w:rPr>
        <w:t>）严格落实</w:t>
      </w:r>
      <w:r>
        <w:rPr>
          <w:rFonts w:hint="eastAsia" w:ascii="仿宋" w:hAnsi="仿宋" w:eastAsia="仿宋" w:cs="仿宋"/>
          <w:b w:val="0"/>
          <w:bCs/>
          <w:color w:val="auto"/>
          <w:sz w:val="32"/>
          <w:szCs w:val="32"/>
          <w:highlight w:val="none"/>
          <w:lang w:val="en-US" w:eastAsia="zh-CN"/>
        </w:rPr>
        <w:t>大气</w:t>
      </w:r>
      <w:r>
        <w:rPr>
          <w:rFonts w:hint="eastAsia" w:ascii="仿宋" w:hAnsi="仿宋" w:eastAsia="仿宋" w:cs="仿宋"/>
          <w:b w:val="0"/>
          <w:bCs/>
          <w:color w:val="auto"/>
          <w:sz w:val="32"/>
          <w:szCs w:val="32"/>
          <w:highlight w:val="none"/>
        </w:rPr>
        <w:t>环境保护措施。</w:t>
      </w:r>
    </w:p>
    <w:p w14:paraId="7628B0F5">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eastAsia" w:ascii="仿宋" w:hAnsi="仿宋" w:eastAsia="仿宋" w:cs="仿宋"/>
          <w:b w:val="0"/>
          <w:bCs/>
          <w:color w:val="auto"/>
          <w:sz w:val="32"/>
          <w:szCs w:val="32"/>
          <w:highlight w:val="cyan"/>
          <w:lang w:val="en-US" w:eastAsia="zh-CN"/>
        </w:rPr>
      </w:pPr>
      <w:r>
        <w:rPr>
          <w:rFonts w:hint="default" w:ascii="仿宋" w:hAnsi="仿宋" w:eastAsia="仿宋" w:cs="仿宋"/>
          <w:b w:val="0"/>
          <w:bCs/>
          <w:color w:val="auto"/>
          <w:sz w:val="32"/>
          <w:szCs w:val="32"/>
          <w:highlight w:val="none"/>
          <w:lang w:val="en-US" w:eastAsia="zh-CN"/>
        </w:rPr>
        <w:t>本项目汽油油气回收处理装置(三次)“冷凝+</w:t>
      </w:r>
      <w:r>
        <w:rPr>
          <w:rFonts w:hint="eastAsia" w:ascii="仿宋" w:hAnsi="仿宋" w:eastAsia="仿宋" w:cs="仿宋"/>
          <w:b w:val="0"/>
          <w:bCs/>
          <w:color w:val="auto"/>
          <w:sz w:val="32"/>
          <w:szCs w:val="32"/>
          <w:highlight w:val="none"/>
          <w:lang w:val="en-US" w:eastAsia="zh-CN"/>
        </w:rPr>
        <w:t>活性炭吸附</w:t>
      </w:r>
      <w:r>
        <w:rPr>
          <w:rFonts w:hint="default" w:ascii="仿宋" w:hAnsi="仿宋" w:eastAsia="仿宋" w:cs="仿宋"/>
          <w:b w:val="0"/>
          <w:bCs/>
          <w:color w:val="auto"/>
          <w:sz w:val="32"/>
          <w:szCs w:val="32"/>
          <w:highlight w:val="none"/>
          <w:lang w:val="en-US" w:eastAsia="zh-CN"/>
        </w:rPr>
        <w:t>”+4m排气口。非甲烷总烃有组织排放须满足《加油站大气污染物排放标准》(DB13/6081一2025)相关要求。设置汽油卸油油气回收系统(一次),汽油加油油气回收系统(二次)。非甲烷总烃无组织排放须满足《加油站大气污染物排放标准》(DB13/6081一2025)相关要求。油气回收系统密闭点泄漏检测值须满足《加油站大气污染物排放标准》(DB13/6081-2025)中油气回收系统密闭点位油气泄漏检测值相关要求</w:t>
      </w:r>
      <w:r>
        <w:rPr>
          <w:rFonts w:hint="eastAsia" w:ascii="仿宋" w:hAnsi="仿宋" w:eastAsia="仿宋" w:cs="仿宋"/>
          <w:b w:val="0"/>
          <w:bCs/>
          <w:color w:val="auto"/>
          <w:sz w:val="32"/>
          <w:szCs w:val="32"/>
          <w:highlight w:val="none"/>
          <w:lang w:val="en-US" w:eastAsia="zh-CN"/>
        </w:rPr>
        <w:t>。</w:t>
      </w:r>
    </w:p>
    <w:p w14:paraId="5E5156D2">
      <w:pPr>
        <w:keepNext w:val="0"/>
        <w:keepLines w:val="0"/>
        <w:pageBreakBefore w:val="0"/>
        <w:widowControl/>
        <w:suppressLineNumbers w:val="0"/>
        <w:kinsoku/>
        <w:wordWrap/>
        <w:overflowPunct/>
        <w:topLinePunct w:val="0"/>
        <w:autoSpaceDE/>
        <w:autoSpaceDN/>
        <w:bidi w:val="0"/>
        <w:ind w:firstLine="632" w:firstLineChars="200"/>
        <w:jc w:val="both"/>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eastAsia="zh-CN"/>
        </w:rPr>
        <w:t>四</w:t>
      </w:r>
      <w:r>
        <w:rPr>
          <w:rFonts w:hint="eastAsia" w:ascii="仿宋" w:hAnsi="仿宋" w:eastAsia="仿宋" w:cs="仿宋"/>
          <w:b w:val="0"/>
          <w:bCs/>
          <w:color w:val="auto"/>
          <w:sz w:val="32"/>
          <w:szCs w:val="32"/>
          <w:highlight w:val="none"/>
        </w:rPr>
        <w:t>）严格落实噪声污染防治措施。</w:t>
      </w:r>
    </w:p>
    <w:p w14:paraId="43E0CD9D">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项目</w:t>
      </w:r>
      <w:r>
        <w:rPr>
          <w:rFonts w:hint="eastAsia" w:ascii="仿宋" w:hAnsi="仿宋" w:eastAsia="仿宋" w:cs="仿宋"/>
          <w:b w:val="0"/>
          <w:bCs/>
          <w:color w:val="auto"/>
          <w:sz w:val="32"/>
          <w:szCs w:val="32"/>
          <w:highlight w:val="none"/>
          <w:lang w:val="en-US" w:eastAsia="zh-CN"/>
        </w:rPr>
        <w:t>选用低噪声设备</w:t>
      </w:r>
      <w:r>
        <w:rPr>
          <w:rFonts w:hint="default" w:ascii="仿宋" w:hAnsi="仿宋" w:eastAsia="仿宋" w:cs="仿宋"/>
          <w:b w:val="0"/>
          <w:bCs/>
          <w:color w:val="auto"/>
          <w:sz w:val="32"/>
          <w:szCs w:val="32"/>
          <w:highlight w:val="none"/>
          <w:lang w:val="en-US" w:eastAsia="zh-CN"/>
        </w:rPr>
        <w:t>，设备基础加装减振垫，项目</w:t>
      </w:r>
      <w:r>
        <w:rPr>
          <w:rFonts w:hint="eastAsia" w:ascii="仿宋" w:hAnsi="仿宋" w:eastAsia="仿宋" w:cs="仿宋"/>
          <w:b w:val="0"/>
          <w:bCs/>
          <w:color w:val="auto"/>
          <w:sz w:val="32"/>
          <w:szCs w:val="32"/>
          <w:highlight w:val="none"/>
          <w:lang w:val="en-US" w:eastAsia="zh-CN"/>
        </w:rPr>
        <w:t>北、东、西边界</w:t>
      </w:r>
      <w:r>
        <w:rPr>
          <w:rFonts w:hint="default" w:ascii="仿宋" w:hAnsi="仿宋" w:eastAsia="仿宋" w:cs="仿宋"/>
          <w:b w:val="0"/>
          <w:bCs/>
          <w:color w:val="auto"/>
          <w:sz w:val="32"/>
          <w:szCs w:val="32"/>
          <w:highlight w:val="none"/>
          <w:lang w:val="en-US" w:eastAsia="zh-CN"/>
        </w:rPr>
        <w:t>外1m处噪声值满足《工业企业厂界环境噪声排放标准》(GB12348-2008)3类标准限值要求</w:t>
      </w:r>
      <w:r>
        <w:rPr>
          <w:rFonts w:hint="eastAsia" w:ascii="仿宋" w:hAnsi="仿宋" w:eastAsia="仿宋" w:cs="仿宋"/>
          <w:b w:val="0"/>
          <w:bCs/>
          <w:color w:val="auto"/>
          <w:sz w:val="32"/>
          <w:szCs w:val="32"/>
          <w:highlight w:val="none"/>
          <w:lang w:val="en-US" w:eastAsia="zh-CN"/>
        </w:rPr>
        <w:t>，南边界</w:t>
      </w:r>
      <w:r>
        <w:rPr>
          <w:rFonts w:hint="default" w:ascii="仿宋" w:hAnsi="仿宋" w:eastAsia="仿宋" w:cs="仿宋"/>
          <w:b w:val="0"/>
          <w:bCs/>
          <w:color w:val="auto"/>
          <w:sz w:val="32"/>
          <w:szCs w:val="32"/>
          <w:highlight w:val="none"/>
          <w:lang w:val="en-US" w:eastAsia="zh-CN"/>
        </w:rPr>
        <w:t>外1m处噪声值满足《工业企业厂界环境噪声排放标准》(GB12348-2008)</w:t>
      </w:r>
      <w:r>
        <w:rPr>
          <w:rFonts w:hint="eastAsia" w:ascii="仿宋" w:hAnsi="仿宋" w:eastAsia="仿宋" w:cs="仿宋"/>
          <w:b w:val="0"/>
          <w:bCs/>
          <w:color w:val="auto"/>
          <w:sz w:val="32"/>
          <w:szCs w:val="32"/>
          <w:highlight w:val="none"/>
          <w:lang w:val="en-US" w:eastAsia="zh-CN"/>
        </w:rPr>
        <w:t>4</w:t>
      </w:r>
      <w:r>
        <w:rPr>
          <w:rFonts w:hint="default" w:ascii="仿宋" w:hAnsi="仿宋" w:eastAsia="仿宋" w:cs="仿宋"/>
          <w:b w:val="0"/>
          <w:bCs/>
          <w:color w:val="auto"/>
          <w:sz w:val="32"/>
          <w:szCs w:val="32"/>
          <w:highlight w:val="none"/>
          <w:lang w:val="en-US" w:eastAsia="zh-CN"/>
        </w:rPr>
        <w:t>类标准限值要求。</w:t>
      </w:r>
    </w:p>
    <w:p w14:paraId="1E1BAB62">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（五）严格落</w:t>
      </w:r>
      <w:r>
        <w:rPr>
          <w:rFonts w:hint="eastAsia" w:ascii="仿宋" w:hAnsi="仿宋" w:eastAsia="仿宋" w:cs="仿宋"/>
          <w:b w:val="0"/>
          <w:bCs/>
          <w:color w:val="auto"/>
          <w:sz w:val="32"/>
          <w:szCs w:val="32"/>
          <w:highlight w:val="none"/>
        </w:rPr>
        <w:t>实固体废物污染防治措施。</w:t>
      </w:r>
    </w:p>
    <w:p w14:paraId="27E1F602">
      <w:pPr>
        <w:adjustRightInd w:val="0"/>
        <w:snapToGrid w:val="0"/>
        <w:spacing w:line="520" w:lineRule="exact"/>
        <w:ind w:firstLine="632"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严格按照有关规定，对固体废物实施分类收集和处理、处置，做到资源化、减量化、无害化。危险</w:t>
      </w:r>
      <w:r>
        <w:rPr>
          <w:rFonts w:hint="eastAsia" w:ascii="仿宋" w:hAnsi="仿宋" w:eastAsia="仿宋" w:cs="仿宋"/>
          <w:b w:val="0"/>
          <w:bCs/>
          <w:color w:val="auto"/>
          <w:sz w:val="32"/>
          <w:szCs w:val="32"/>
          <w:highlight w:val="none"/>
          <w:shd w:val="clear" w:color="auto" w:fill="FFFFFF"/>
        </w:rPr>
        <w:t>废物</w:t>
      </w:r>
      <w:r>
        <w:rPr>
          <w:rFonts w:hint="eastAsia" w:ascii="仿宋" w:hAnsi="仿宋" w:eastAsia="仿宋" w:cs="仿宋"/>
          <w:b w:val="0"/>
          <w:bCs/>
          <w:color w:val="auto"/>
          <w:sz w:val="32"/>
          <w:szCs w:val="32"/>
          <w:highlight w:val="none"/>
        </w:rPr>
        <w:t>按规定暂存，定期交有相应资质的危废处理单位处理。危险废物暂存间应满足《危险废物贮存污染控制标准》（GB18597-20</w:t>
      </w:r>
      <w:r>
        <w:rPr>
          <w:rFonts w:hint="eastAsia" w:ascii="仿宋" w:hAnsi="仿宋" w:eastAsia="仿宋" w:cs="仿宋"/>
          <w:b w:val="0"/>
          <w:bCs/>
          <w:color w:val="auto"/>
          <w:sz w:val="32"/>
          <w:szCs w:val="32"/>
          <w:highlight w:val="none"/>
          <w:lang w:val="en-US" w:eastAsia="zh-CN"/>
        </w:rPr>
        <w:t>23</w:t>
      </w:r>
      <w:r>
        <w:rPr>
          <w:rFonts w:hint="eastAsia" w:ascii="仿宋" w:hAnsi="仿宋" w:eastAsia="仿宋" w:cs="仿宋"/>
          <w:b w:val="0"/>
          <w:bCs/>
          <w:color w:val="auto"/>
          <w:sz w:val="32"/>
          <w:szCs w:val="32"/>
          <w:highlight w:val="none"/>
        </w:rPr>
        <w:t>）要求。</w:t>
      </w:r>
    </w:p>
    <w:p w14:paraId="28331CC7">
      <w:pPr>
        <w:adjustRightInd w:val="0"/>
        <w:snapToGrid w:val="0"/>
        <w:spacing w:line="520" w:lineRule="exact"/>
        <w:ind w:firstLine="632" w:firstLineChars="200"/>
        <w:rPr>
          <w:rFonts w:hint="eastAsia" w:ascii="仿宋" w:hAnsi="仿宋" w:eastAsia="仿宋" w:cs="仿宋"/>
          <w:b w:val="0"/>
          <w:bCs/>
          <w:color w:val="auto"/>
          <w:kern w:val="2"/>
          <w:sz w:val="32"/>
          <w:szCs w:val="32"/>
          <w:highlight w:val="none"/>
          <w:lang w:val="en-US" w:eastAsia="zh-CN" w:bidi="ar-SA"/>
        </w:rPr>
      </w:pPr>
      <w:r>
        <w:rPr>
          <w:rFonts w:hint="eastAsia" w:ascii="仿宋" w:hAnsi="仿宋" w:eastAsia="仿宋" w:cs="仿宋"/>
          <w:b w:val="0"/>
          <w:bCs/>
          <w:color w:val="auto"/>
          <w:kern w:val="2"/>
          <w:sz w:val="32"/>
          <w:szCs w:val="32"/>
          <w:highlight w:val="none"/>
          <w:lang w:val="en-US" w:eastAsia="zh-CN" w:bidi="ar-SA"/>
        </w:rPr>
        <w:t>（六）加强环境风险防范，落实环境风险应急措施。</w:t>
      </w:r>
    </w:p>
    <w:p w14:paraId="72F85607">
      <w:pPr>
        <w:autoSpaceDE w:val="0"/>
        <w:autoSpaceDN w:val="0"/>
        <w:adjustRightInd w:val="0"/>
        <w:snapToGrid w:val="0"/>
        <w:spacing w:line="520" w:lineRule="exact"/>
        <w:ind w:firstLine="632"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制定和完善突发环境事件应急预案，与当地政府应急预案做好衔接，按照规定报相关部门备案。配备必要的应急设备和物资，加大风险监测和监控力度，定期进行应急培训和演练，有效防范和应对环境风险。</w:t>
      </w:r>
    </w:p>
    <w:p w14:paraId="55D301BC">
      <w:pPr>
        <w:keepNext w:val="0"/>
        <w:keepLines w:val="0"/>
        <w:widowControl/>
        <w:suppressLineNumbers w:val="0"/>
        <w:ind w:firstLine="632" w:firstLineChars="200"/>
        <w:jc w:val="left"/>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三</w:t>
      </w:r>
      <w:r>
        <w:rPr>
          <w:rFonts w:hint="eastAsia" w:ascii="仿宋" w:hAnsi="仿宋" w:eastAsia="仿宋" w:cs="仿宋"/>
          <w:b w:val="0"/>
          <w:bCs/>
          <w:color w:val="auto"/>
          <w:sz w:val="32"/>
          <w:szCs w:val="32"/>
          <w:highlight w:val="none"/>
        </w:rPr>
        <w:t>、结合该报告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的计算，</w:t>
      </w:r>
      <w:r>
        <w:rPr>
          <w:rFonts w:hint="eastAsia" w:ascii="仿宋" w:hAnsi="仿宋" w:eastAsia="仿宋" w:cs="仿宋"/>
          <w:b w:val="0"/>
          <w:bCs/>
          <w:color w:val="auto"/>
          <w:sz w:val="32"/>
          <w:szCs w:val="32"/>
          <w:highlight w:val="none"/>
          <w:lang w:eastAsia="zh-CN"/>
        </w:rPr>
        <w:t>该项目</w:t>
      </w:r>
      <w:r>
        <w:rPr>
          <w:rFonts w:hint="eastAsia" w:ascii="仿宋" w:hAnsi="仿宋" w:eastAsia="仿宋" w:cs="仿宋"/>
          <w:b w:val="0"/>
          <w:bCs/>
          <w:color w:val="auto"/>
          <w:sz w:val="32"/>
          <w:szCs w:val="32"/>
          <w:highlight w:val="none"/>
        </w:rPr>
        <w:t>污染物排放总量指标为：</w:t>
      </w:r>
      <w:r>
        <w:rPr>
          <w:rFonts w:hint="default" w:ascii="仿宋" w:hAnsi="仿宋" w:eastAsia="仿宋" w:cs="仿宋"/>
          <w:bCs/>
          <w:color w:val="auto"/>
          <w:kern w:val="2"/>
          <w:sz w:val="32"/>
          <w:szCs w:val="32"/>
          <w:highlight w:val="none"/>
          <w:lang w:val="en-US" w:eastAsia="zh-CN" w:bidi="ar-SA"/>
        </w:rPr>
        <w:t>COD</w:t>
      </w:r>
      <w:r>
        <w:rPr>
          <w:rFonts w:hint="eastAsia" w:ascii="仿宋" w:hAnsi="仿宋" w:eastAsia="仿宋" w:cs="仿宋"/>
          <w:bCs/>
          <w:color w:val="auto"/>
          <w:kern w:val="2"/>
          <w:sz w:val="32"/>
          <w:szCs w:val="32"/>
          <w:highlight w:val="none"/>
          <w:lang w:val="en-US" w:eastAsia="zh-CN" w:bidi="ar-SA"/>
        </w:rPr>
        <w:t>：</w:t>
      </w:r>
      <w:r>
        <w:rPr>
          <w:rFonts w:hint="default" w:ascii="仿宋" w:hAnsi="仿宋" w:eastAsia="仿宋" w:cs="仿宋"/>
          <w:bCs/>
          <w:color w:val="auto"/>
          <w:kern w:val="2"/>
          <w:sz w:val="32"/>
          <w:szCs w:val="32"/>
          <w:highlight w:val="none"/>
          <w:lang w:val="en-US" w:eastAsia="zh-CN" w:bidi="ar-SA"/>
        </w:rPr>
        <w:t>0t/a</w:t>
      </w:r>
      <w:r>
        <w:rPr>
          <w:rFonts w:hint="eastAsia" w:ascii="仿宋" w:hAnsi="仿宋" w:eastAsia="仿宋" w:cs="仿宋"/>
          <w:bCs/>
          <w:color w:val="auto"/>
          <w:kern w:val="2"/>
          <w:sz w:val="32"/>
          <w:szCs w:val="32"/>
          <w:highlight w:val="none"/>
          <w:lang w:val="en-US" w:eastAsia="zh-CN" w:bidi="ar-SA"/>
        </w:rPr>
        <w:t>、氨氮：</w:t>
      </w:r>
      <w:r>
        <w:rPr>
          <w:rFonts w:hint="default" w:ascii="仿宋" w:hAnsi="仿宋" w:eastAsia="仿宋" w:cs="仿宋"/>
          <w:bCs/>
          <w:color w:val="auto"/>
          <w:kern w:val="2"/>
          <w:sz w:val="32"/>
          <w:szCs w:val="32"/>
          <w:highlight w:val="none"/>
          <w:lang w:val="en-US" w:eastAsia="zh-CN" w:bidi="ar-SA"/>
        </w:rPr>
        <w:t>0t/a</w:t>
      </w:r>
      <w:r>
        <w:rPr>
          <w:rFonts w:hint="eastAsia" w:ascii="仿宋" w:hAnsi="仿宋" w:eastAsia="仿宋" w:cs="仿宋"/>
          <w:bCs/>
          <w:color w:val="auto"/>
          <w:kern w:val="2"/>
          <w:sz w:val="32"/>
          <w:szCs w:val="32"/>
          <w:highlight w:val="none"/>
          <w:lang w:val="en-US" w:eastAsia="zh-CN" w:bidi="ar-SA"/>
        </w:rPr>
        <w:t>、</w:t>
      </w:r>
      <w:r>
        <w:rPr>
          <w:rFonts w:hint="default" w:ascii="仿宋" w:hAnsi="仿宋" w:eastAsia="仿宋" w:cs="仿宋"/>
          <w:bCs/>
          <w:color w:val="auto"/>
          <w:kern w:val="2"/>
          <w:sz w:val="32"/>
          <w:szCs w:val="32"/>
          <w:highlight w:val="none"/>
          <w:lang w:val="en-US" w:eastAsia="zh-CN" w:bidi="ar-SA"/>
        </w:rPr>
        <w:t>SO</w:t>
      </w:r>
      <w:r>
        <w:rPr>
          <w:rFonts w:hint="default" w:ascii="仿宋" w:hAnsi="仿宋" w:eastAsia="仿宋" w:cs="仿宋"/>
          <w:bCs/>
          <w:color w:val="auto"/>
          <w:kern w:val="2"/>
          <w:sz w:val="32"/>
          <w:szCs w:val="32"/>
          <w:highlight w:val="none"/>
          <w:vertAlign w:val="subscript"/>
          <w:lang w:val="en-US" w:eastAsia="zh-CN" w:bidi="ar-SA"/>
        </w:rPr>
        <w:t>2</w:t>
      </w:r>
      <w:r>
        <w:rPr>
          <w:rFonts w:hint="eastAsia" w:ascii="仿宋" w:hAnsi="仿宋" w:eastAsia="仿宋" w:cs="仿宋"/>
          <w:bCs/>
          <w:color w:val="auto"/>
          <w:kern w:val="2"/>
          <w:sz w:val="32"/>
          <w:szCs w:val="32"/>
          <w:highlight w:val="none"/>
          <w:lang w:val="en-US" w:eastAsia="zh-CN" w:bidi="ar-SA"/>
        </w:rPr>
        <w:t>：0</w:t>
      </w:r>
      <w:r>
        <w:rPr>
          <w:rFonts w:hint="default" w:ascii="仿宋" w:hAnsi="仿宋" w:eastAsia="仿宋" w:cs="仿宋"/>
          <w:bCs/>
          <w:color w:val="auto"/>
          <w:kern w:val="2"/>
          <w:sz w:val="32"/>
          <w:szCs w:val="32"/>
          <w:highlight w:val="none"/>
          <w:lang w:val="en-US" w:eastAsia="zh-CN" w:bidi="ar-SA"/>
        </w:rPr>
        <w:t>t/a</w:t>
      </w:r>
      <w:r>
        <w:rPr>
          <w:rFonts w:hint="eastAsia" w:ascii="仿宋" w:hAnsi="仿宋" w:eastAsia="仿宋" w:cs="仿宋"/>
          <w:bCs/>
          <w:color w:val="auto"/>
          <w:kern w:val="2"/>
          <w:sz w:val="32"/>
          <w:szCs w:val="32"/>
          <w:highlight w:val="none"/>
          <w:lang w:val="en-US" w:eastAsia="zh-CN" w:bidi="ar-SA"/>
        </w:rPr>
        <w:t>、</w:t>
      </w:r>
      <w:r>
        <w:rPr>
          <w:rFonts w:hint="default" w:ascii="仿宋" w:hAnsi="仿宋" w:eastAsia="仿宋" w:cs="仿宋"/>
          <w:bCs/>
          <w:color w:val="auto"/>
          <w:kern w:val="2"/>
          <w:sz w:val="32"/>
          <w:szCs w:val="32"/>
          <w:highlight w:val="none"/>
          <w:lang w:val="en-US" w:eastAsia="zh-CN" w:bidi="ar-SA"/>
        </w:rPr>
        <w:t>NO</w:t>
      </w:r>
      <w:r>
        <w:rPr>
          <w:rFonts w:hint="default" w:ascii="仿宋" w:hAnsi="仿宋" w:eastAsia="仿宋" w:cs="仿宋"/>
          <w:bCs/>
          <w:color w:val="auto"/>
          <w:kern w:val="2"/>
          <w:sz w:val="32"/>
          <w:szCs w:val="32"/>
          <w:highlight w:val="none"/>
          <w:vertAlign w:val="subscript"/>
          <w:lang w:val="en-US" w:eastAsia="zh-CN" w:bidi="ar-SA"/>
        </w:rPr>
        <w:t>x</w:t>
      </w:r>
      <w:r>
        <w:rPr>
          <w:rFonts w:hint="eastAsia" w:ascii="仿宋" w:hAnsi="仿宋" w:eastAsia="仿宋" w:cs="仿宋"/>
          <w:bCs/>
          <w:color w:val="auto"/>
          <w:kern w:val="2"/>
          <w:sz w:val="32"/>
          <w:szCs w:val="32"/>
          <w:highlight w:val="none"/>
          <w:lang w:val="en-US" w:eastAsia="zh-CN" w:bidi="ar-SA"/>
        </w:rPr>
        <w:t>：0</w:t>
      </w:r>
      <w:r>
        <w:rPr>
          <w:rFonts w:hint="default" w:ascii="仿宋" w:hAnsi="仿宋" w:eastAsia="仿宋" w:cs="仿宋"/>
          <w:bCs/>
          <w:color w:val="auto"/>
          <w:kern w:val="2"/>
          <w:sz w:val="32"/>
          <w:szCs w:val="32"/>
          <w:highlight w:val="none"/>
          <w:lang w:val="en-US" w:eastAsia="zh-CN" w:bidi="ar-SA"/>
        </w:rPr>
        <w:t>t/a</w:t>
      </w:r>
      <w:r>
        <w:rPr>
          <w:rFonts w:hint="eastAsia" w:ascii="仿宋" w:hAnsi="仿宋" w:eastAsia="仿宋" w:cs="仿宋"/>
          <w:bCs/>
          <w:color w:val="auto"/>
          <w:kern w:val="2"/>
          <w:sz w:val="32"/>
          <w:szCs w:val="32"/>
          <w:highlight w:val="none"/>
          <w:lang w:val="en-US" w:eastAsia="zh-CN" w:bidi="ar-SA"/>
        </w:rPr>
        <w:t>、非甲烷总烃0.0026t/a。</w:t>
      </w:r>
    </w:p>
    <w:p w14:paraId="594AA53A">
      <w:pPr>
        <w:autoSpaceDE w:val="0"/>
        <w:autoSpaceDN w:val="0"/>
        <w:adjustRightInd w:val="0"/>
        <w:snapToGrid w:val="0"/>
        <w:spacing w:line="520" w:lineRule="exact"/>
        <w:ind w:firstLine="632"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四</w:t>
      </w:r>
      <w:r>
        <w:rPr>
          <w:rFonts w:hint="eastAsia" w:ascii="仿宋" w:hAnsi="仿宋" w:eastAsia="仿宋" w:cs="仿宋"/>
          <w:b w:val="0"/>
          <w:bCs/>
          <w:color w:val="auto"/>
          <w:sz w:val="32"/>
          <w:szCs w:val="32"/>
          <w:highlight w:val="none"/>
        </w:rPr>
        <w:t>、严格落实各项建设项目环境管理要求</w:t>
      </w:r>
    </w:p>
    <w:p w14:paraId="7B4BBA31">
      <w:pPr>
        <w:autoSpaceDE w:val="0"/>
        <w:autoSpaceDN w:val="0"/>
        <w:adjustRightInd w:val="0"/>
        <w:snapToGrid w:val="0"/>
        <w:spacing w:line="520" w:lineRule="exact"/>
        <w:ind w:firstLine="626" w:firstLineChars="198"/>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（一）建立内部生态环境管理机构和制度，明确人员和生态环境保护职责。</w:t>
      </w:r>
    </w:p>
    <w:p w14:paraId="76375BC8">
      <w:pPr>
        <w:autoSpaceDE w:val="0"/>
        <w:autoSpaceDN w:val="0"/>
        <w:adjustRightInd w:val="0"/>
        <w:snapToGrid w:val="0"/>
        <w:spacing w:line="520" w:lineRule="exact"/>
        <w:ind w:firstLine="626" w:firstLineChars="198"/>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w:t>
      </w:r>
      <w:r>
        <w:rPr>
          <w:rFonts w:hint="eastAsia" w:ascii="仿宋" w:hAnsi="仿宋" w:eastAsia="仿宋" w:cs="仿宋"/>
          <w:b w:val="0"/>
          <w:bCs/>
          <w:color w:val="auto"/>
          <w:sz w:val="32"/>
          <w:szCs w:val="32"/>
          <w:highlight w:val="none"/>
          <w:lang w:val="en-US" w:eastAsia="zh-CN"/>
        </w:rPr>
        <w:t>向</w:t>
      </w:r>
      <w:r>
        <w:rPr>
          <w:rFonts w:hint="eastAsia" w:ascii="仿宋" w:hAnsi="仿宋" w:eastAsia="仿宋" w:cs="仿宋"/>
          <w:b w:val="0"/>
          <w:bCs/>
          <w:color w:val="auto"/>
          <w:sz w:val="32"/>
          <w:szCs w:val="32"/>
          <w:highlight w:val="none"/>
        </w:rPr>
        <w:t>我局重新报批或</w:t>
      </w:r>
      <w:r>
        <w:rPr>
          <w:rFonts w:hint="eastAsia" w:ascii="仿宋" w:hAnsi="仿宋" w:eastAsia="仿宋" w:cs="仿宋"/>
          <w:b w:val="0"/>
          <w:bCs/>
          <w:color w:val="auto"/>
          <w:sz w:val="32"/>
          <w:szCs w:val="32"/>
          <w:highlight w:val="none"/>
          <w:lang w:val="en-US" w:eastAsia="zh-CN"/>
        </w:rPr>
        <w:t>申请</w:t>
      </w:r>
      <w:r>
        <w:rPr>
          <w:rFonts w:hint="eastAsia" w:ascii="仿宋" w:hAnsi="仿宋" w:eastAsia="仿宋" w:cs="仿宋"/>
          <w:b w:val="0"/>
          <w:bCs/>
          <w:color w:val="auto"/>
          <w:sz w:val="32"/>
          <w:szCs w:val="32"/>
          <w:highlight w:val="none"/>
        </w:rPr>
        <w:t>重新审核该项目的环境影响报告表。</w:t>
      </w:r>
    </w:p>
    <w:p w14:paraId="68EEE302">
      <w:pPr>
        <w:pStyle w:val="2"/>
        <w:ind w:left="0" w:leftChars="0" w:firstLine="632" w:firstLineChars="200"/>
        <w:rPr>
          <w:rFonts w:hint="eastAsia" w:ascii="仿宋" w:hAnsi="仿宋" w:eastAsia="仿宋" w:cs="仿宋"/>
          <w:bCs/>
          <w:color w:val="auto"/>
          <w:sz w:val="32"/>
          <w:szCs w:val="32"/>
          <w:highlight w:val="none"/>
          <w:u w:val="none"/>
          <w:lang w:eastAsia="zh-CN"/>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三</w:t>
      </w: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u w:val="none"/>
        </w:rPr>
        <w:t>建</w:t>
      </w:r>
      <w:r>
        <w:rPr>
          <w:rFonts w:hint="eastAsia" w:ascii="仿宋" w:hAnsi="仿宋" w:eastAsia="仿宋" w:cs="仿宋"/>
          <w:bCs/>
          <w:color w:val="auto"/>
          <w:sz w:val="32"/>
          <w:szCs w:val="32"/>
          <w:highlight w:val="none"/>
          <w:u w:val="none"/>
        </w:rPr>
        <w:t>设项目竣工后，建设单位按照</w:t>
      </w:r>
      <w:r>
        <w:rPr>
          <w:rFonts w:hint="eastAsia" w:ascii="仿宋" w:hAnsi="仿宋" w:eastAsia="仿宋" w:cs="仿宋"/>
          <w:bCs/>
          <w:color w:val="auto"/>
          <w:sz w:val="32"/>
          <w:szCs w:val="32"/>
          <w:highlight w:val="none"/>
          <w:u w:val="none"/>
          <w:lang w:eastAsia="zh-CN"/>
        </w:rPr>
        <w:t>有关规定要求</w:t>
      </w:r>
      <w:r>
        <w:rPr>
          <w:rFonts w:hint="eastAsia" w:ascii="仿宋" w:hAnsi="仿宋" w:eastAsia="仿宋" w:cs="仿宋"/>
          <w:bCs/>
          <w:color w:val="auto"/>
          <w:sz w:val="32"/>
          <w:szCs w:val="32"/>
          <w:highlight w:val="none"/>
          <w:u w:val="none"/>
        </w:rPr>
        <w:t>开展自主验收或委托第三方机构编写建设项目竣工环境保护验收报告，依法向社会公开</w:t>
      </w:r>
      <w:r>
        <w:rPr>
          <w:rFonts w:hint="eastAsia" w:ascii="仿宋" w:hAnsi="仿宋" w:eastAsia="仿宋" w:cs="仿宋"/>
          <w:bCs/>
          <w:color w:val="auto"/>
          <w:sz w:val="32"/>
          <w:szCs w:val="32"/>
          <w:highlight w:val="none"/>
          <w:u w:val="none"/>
          <w:lang w:eastAsia="zh-CN"/>
        </w:rPr>
        <w:t>。</w:t>
      </w:r>
    </w:p>
    <w:p w14:paraId="2E63EA72">
      <w:pPr>
        <w:spacing w:line="540" w:lineRule="exact"/>
        <w:jc w:val="left"/>
        <w:rPr>
          <w:rFonts w:hint="eastAsia" w:ascii="仿宋" w:hAnsi="仿宋" w:eastAsia="仿宋" w:cs="宋体"/>
          <w:color w:val="auto"/>
          <w:sz w:val="32"/>
          <w:szCs w:val="32"/>
          <w:highlight w:val="cyan"/>
        </w:rPr>
      </w:pPr>
    </w:p>
    <w:p w14:paraId="5C0BD14F">
      <w:pPr>
        <w:spacing w:line="540" w:lineRule="exact"/>
        <w:jc w:val="left"/>
        <w:rPr>
          <w:rFonts w:hint="eastAsia" w:ascii="仿宋" w:hAnsi="仿宋" w:eastAsia="仿宋" w:cs="宋体"/>
          <w:color w:val="auto"/>
          <w:sz w:val="32"/>
          <w:szCs w:val="32"/>
          <w:highlight w:val="cyan"/>
        </w:rPr>
      </w:pPr>
    </w:p>
    <w:p w14:paraId="08F6C770">
      <w:pPr>
        <w:spacing w:line="540" w:lineRule="exact"/>
        <w:jc w:val="right"/>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唐山高新技术产业开发区行政审批局</w:t>
      </w:r>
    </w:p>
    <w:p w14:paraId="0D8F6770">
      <w:pPr>
        <w:spacing w:line="540" w:lineRule="exact"/>
        <w:jc w:val="center"/>
        <w:rPr>
          <w:color w:val="auto"/>
          <w:highlight w:val="none"/>
        </w:rPr>
      </w:pPr>
      <w:r>
        <w:rPr>
          <w:rFonts w:hint="eastAsia" w:ascii="仿宋" w:hAnsi="仿宋" w:eastAsia="仿宋" w:cs="宋体"/>
          <w:color w:val="auto"/>
          <w:sz w:val="32"/>
          <w:szCs w:val="32"/>
          <w:highlight w:val="none"/>
          <w:lang w:val="en-US" w:eastAsia="zh-CN"/>
        </w:rPr>
        <w:t xml:space="preserve">                        </w:t>
      </w:r>
      <w:bookmarkStart w:id="0" w:name="_GoBack"/>
      <w:bookmarkEnd w:id="0"/>
      <w:r>
        <w:rPr>
          <w:rFonts w:hint="eastAsia" w:ascii="仿宋" w:hAnsi="仿宋" w:eastAsia="仿宋" w:cs="宋体"/>
          <w:color w:val="auto"/>
          <w:sz w:val="32"/>
          <w:szCs w:val="32"/>
          <w:highlight w:val="none"/>
        </w:rPr>
        <w:t>202</w:t>
      </w:r>
      <w:r>
        <w:rPr>
          <w:rFonts w:hint="eastAsia" w:ascii="仿宋" w:hAnsi="仿宋" w:eastAsia="仿宋" w:cs="宋体"/>
          <w:color w:val="auto"/>
          <w:sz w:val="32"/>
          <w:szCs w:val="32"/>
          <w:highlight w:val="none"/>
          <w:lang w:val="en-US" w:eastAsia="zh-CN"/>
        </w:rPr>
        <w:t>6</w:t>
      </w:r>
      <w:r>
        <w:rPr>
          <w:rFonts w:hint="eastAsia" w:ascii="仿宋" w:hAnsi="仿宋" w:eastAsia="仿宋" w:cs="宋体"/>
          <w:color w:val="auto"/>
          <w:sz w:val="32"/>
          <w:szCs w:val="32"/>
          <w:highlight w:val="none"/>
        </w:rPr>
        <w:t>年</w:t>
      </w:r>
      <w:r>
        <w:rPr>
          <w:rFonts w:hint="eastAsia" w:ascii="仿宋" w:hAnsi="仿宋" w:eastAsia="仿宋" w:cs="宋体"/>
          <w:color w:val="auto"/>
          <w:sz w:val="32"/>
          <w:szCs w:val="32"/>
          <w:highlight w:val="none"/>
          <w:lang w:val="en-US" w:eastAsia="zh-CN"/>
        </w:rPr>
        <w:t xml:space="preserve"> 2 </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 xml:space="preserve"> 14 </w:t>
      </w:r>
      <w:r>
        <w:rPr>
          <w:rFonts w:hint="eastAsia" w:ascii="仿宋" w:hAnsi="仿宋" w:eastAsia="仿宋" w:cs="宋体"/>
          <w:color w:val="auto"/>
          <w:sz w:val="32"/>
          <w:szCs w:val="32"/>
          <w:highlight w:val="none"/>
        </w:rPr>
        <w:t>日</w:t>
      </w:r>
    </w:p>
    <w:sectPr>
      <w:headerReference r:id="rId4" w:type="first"/>
      <w:headerReference r:id="rId3" w:type="default"/>
      <w:footerReference r:id="rId5" w:type="default"/>
      <w:footerReference r:id="rId6" w:type="even"/>
      <w:pgSz w:w="11906" w:h="16838"/>
      <w:pgMar w:top="2098" w:right="1474" w:bottom="1701" w:left="1474"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BBCDB">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14:paraId="67DDC55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003CA">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14:paraId="57A88F02">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92522">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8108C">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1ZTQxMzYzZjY0OTUxZjljNDA5YzU2NjE0YmMxY2UifQ=="/>
  </w:docVars>
  <w:rsids>
    <w:rsidRoot w:val="28A616E4"/>
    <w:rsid w:val="01E73145"/>
    <w:rsid w:val="02842701"/>
    <w:rsid w:val="03054A79"/>
    <w:rsid w:val="053C13FF"/>
    <w:rsid w:val="059D2F85"/>
    <w:rsid w:val="069D792B"/>
    <w:rsid w:val="06B3451B"/>
    <w:rsid w:val="06CA6ACF"/>
    <w:rsid w:val="07380483"/>
    <w:rsid w:val="08834192"/>
    <w:rsid w:val="0AE20722"/>
    <w:rsid w:val="0BFF1C67"/>
    <w:rsid w:val="0DC2517F"/>
    <w:rsid w:val="0F611E32"/>
    <w:rsid w:val="0FD10543"/>
    <w:rsid w:val="109651B2"/>
    <w:rsid w:val="10E17636"/>
    <w:rsid w:val="123C7672"/>
    <w:rsid w:val="12462B2E"/>
    <w:rsid w:val="14E26DC1"/>
    <w:rsid w:val="162F468A"/>
    <w:rsid w:val="16CB3B87"/>
    <w:rsid w:val="19C553F3"/>
    <w:rsid w:val="1B3E0B82"/>
    <w:rsid w:val="1C06578C"/>
    <w:rsid w:val="1D747907"/>
    <w:rsid w:val="1D954F84"/>
    <w:rsid w:val="1E3E386E"/>
    <w:rsid w:val="1EA5462B"/>
    <w:rsid w:val="21EB1C57"/>
    <w:rsid w:val="28A616E4"/>
    <w:rsid w:val="2DE4623F"/>
    <w:rsid w:val="31A61BA1"/>
    <w:rsid w:val="31CE5C65"/>
    <w:rsid w:val="34AC4A74"/>
    <w:rsid w:val="383433D2"/>
    <w:rsid w:val="3A8B4809"/>
    <w:rsid w:val="3BF82E56"/>
    <w:rsid w:val="3CDC1F55"/>
    <w:rsid w:val="3D3019A4"/>
    <w:rsid w:val="3D49760D"/>
    <w:rsid w:val="418547AC"/>
    <w:rsid w:val="43DA69A1"/>
    <w:rsid w:val="452278BB"/>
    <w:rsid w:val="46626A6D"/>
    <w:rsid w:val="4C2167F0"/>
    <w:rsid w:val="4C38183B"/>
    <w:rsid w:val="4DDD7BBF"/>
    <w:rsid w:val="506F2CC4"/>
    <w:rsid w:val="52112BB5"/>
    <w:rsid w:val="526A33A1"/>
    <w:rsid w:val="55264138"/>
    <w:rsid w:val="58A0454E"/>
    <w:rsid w:val="58C33B87"/>
    <w:rsid w:val="5BD94E94"/>
    <w:rsid w:val="5E9071F2"/>
    <w:rsid w:val="65B94D9D"/>
    <w:rsid w:val="660A06C8"/>
    <w:rsid w:val="667F2BAE"/>
    <w:rsid w:val="6B262D61"/>
    <w:rsid w:val="6F972F3C"/>
    <w:rsid w:val="701D1DA0"/>
    <w:rsid w:val="755D7B0C"/>
    <w:rsid w:val="76C116F4"/>
    <w:rsid w:val="79650103"/>
    <w:rsid w:val="7CC77F82"/>
    <w:rsid w:val="7D1B7AC7"/>
    <w:rsid w:val="7D6652E1"/>
    <w:rsid w:val="7E4E25AE"/>
    <w:rsid w:val="7E531039"/>
    <w:rsid w:val="7E823B19"/>
    <w:rsid w:val="7FB72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99"/>
    <w:pPr>
      <w:keepNext/>
      <w:keepLines/>
      <w:spacing w:before="120" w:after="120" w:line="480" w:lineRule="exact"/>
      <w:outlineLvl w:val="1"/>
    </w:pPr>
    <w:rPr>
      <w:b/>
      <w:bCs/>
      <w:sz w:val="30"/>
      <w:szCs w:val="32"/>
    </w:rPr>
  </w:style>
  <w:style w:type="paragraph" w:styleId="3">
    <w:name w:val="heading 4"/>
    <w:basedOn w:val="4"/>
    <w:next w:val="2"/>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rPr>
      <w:szCs w:val="20"/>
    </w:rPr>
  </w:style>
  <w:style w:type="paragraph" w:styleId="4">
    <w:name w:val="toc 4"/>
    <w:basedOn w:val="1"/>
    <w:next w:val="1"/>
    <w:qFormat/>
    <w:uiPriority w:val="39"/>
    <w:pPr>
      <w:ind w:left="1260" w:leftChars="600"/>
    </w:pPr>
    <w:rPr>
      <w:szCs w:val="20"/>
    </w:rPr>
  </w:style>
  <w:style w:type="paragraph" w:styleId="6">
    <w:name w:val="Block Text"/>
    <w:basedOn w:val="1"/>
    <w:next w:val="1"/>
    <w:unhideWhenUsed/>
    <w:qFormat/>
    <w:uiPriority w:val="99"/>
    <w:pPr>
      <w:ind w:left="1440" w:leftChars="700" w:right="700" w:rightChars="700"/>
    </w:pPr>
  </w:style>
  <w:style w:type="paragraph" w:styleId="7">
    <w:name w:val="Plain Text"/>
    <w:basedOn w:val="1"/>
    <w:qFormat/>
    <w:uiPriority w:val="99"/>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3">
    <w:name w:val="page number"/>
    <w:qFormat/>
    <w:uiPriority w:val="99"/>
    <w:rPr>
      <w:rFonts w:cs="Times New Roman"/>
    </w:rPr>
  </w:style>
  <w:style w:type="paragraph" w:customStyle="1" w:styleId="14">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15">
    <w:name w:val="列出段落1"/>
    <w:basedOn w:val="1"/>
    <w:qFormat/>
    <w:uiPriority w:val="0"/>
    <w:pPr>
      <w:ind w:firstLine="420" w:firstLineChars="200"/>
    </w:pPr>
  </w:style>
  <w:style w:type="paragraph" w:customStyle="1" w:styleId="16">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1342</Words>
  <Characters>1472</Characters>
  <Lines>0</Lines>
  <Paragraphs>0</Paragraphs>
  <TotalTime>0</TotalTime>
  <ScaleCrop>false</ScaleCrop>
  <LinksUpToDate>false</LinksUpToDate>
  <CharactersWithSpaces>1478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WPS_1686796837</cp:lastModifiedBy>
  <cp:lastPrinted>2021-09-09T03:18:00Z</cp:lastPrinted>
  <dcterms:modified xsi:type="dcterms:W3CDTF">2026-02-11T05:54:17Z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9F56FF9F62CF49A9A8F6B7384AE2E627</vt:lpwstr>
  </property>
  <property fmtid="{D5CDD505-2E9C-101B-9397-08002B2CF9AE}" pid="4" name="KSOTemplateDocerSaveRecord">
    <vt:lpwstr>eyJoZGlkIjoiZTQ1OTU0ZTE5Njg0MmMzMDZhMWRhZTk2MzFlN2NkYjEiLCJ1c2VySWQiOiIxNTA1NDU3MjA3In0=</vt:lpwstr>
  </property>
</Properties>
</file>