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20" w:firstLineChars="200"/>
        <w:rPr>
          <w:szCs w:val="22"/>
        </w:rPr>
      </w:pPr>
    </w:p>
    <w:p>
      <w:pPr>
        <w:rPr>
          <w:szCs w:val="2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高新区人民法院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2024年部门预算绩效文本</w:t>
      </w:r>
    </w:p>
    <w:p>
      <w:pPr>
        <w:jc w:val="center"/>
        <w:rPr>
          <w:rFonts w:ascii="宋体" w:hAnsi="宋体" w:cs="宋体"/>
          <w:b/>
          <w:color w:val="000000"/>
          <w:sz w:val="72"/>
        </w:rPr>
      </w:pPr>
    </w:p>
    <w:p>
      <w:pPr>
        <w:jc w:val="center"/>
        <w:rPr>
          <w:rFonts w:ascii="楷体" w:hAnsi="楷体" w:eastAsia="楷体" w:cs="楷体"/>
          <w:b/>
          <w:color w:val="000000"/>
          <w:sz w:val="52"/>
        </w:rPr>
      </w:pPr>
    </w:p>
    <w:p>
      <w:pPr>
        <w:rPr>
          <w:rFonts w:ascii="楷体" w:hAnsi="楷体" w:eastAsia="楷体" w:cs="楷体"/>
          <w:b/>
          <w:color w:val="000000"/>
          <w:sz w:val="52"/>
        </w:rPr>
      </w:pPr>
    </w:p>
    <w:p>
      <w:pPr>
        <w:jc w:val="center"/>
        <w:rPr>
          <w:rFonts w:ascii="楷体" w:hAnsi="楷体" w:eastAsia="楷体" w:cs="楷体"/>
          <w:b/>
          <w:color w:val="000000"/>
          <w:sz w:val="52"/>
        </w:rPr>
      </w:pPr>
    </w:p>
    <w:p>
      <w:pPr>
        <w:jc w:val="center"/>
        <w:rPr>
          <w:rFonts w:ascii="楷体" w:hAnsi="楷体" w:eastAsia="楷体" w:cs="楷体"/>
          <w:b/>
          <w:color w:val="000000"/>
          <w:sz w:val="52"/>
        </w:rPr>
      </w:pPr>
    </w:p>
    <w:p>
      <w:pPr>
        <w:rPr>
          <w:rFonts w:ascii="楷体" w:hAnsi="楷体" w:eastAsia="楷体" w:cs="楷体"/>
          <w:b/>
          <w:color w:val="000000"/>
          <w:sz w:val="52"/>
        </w:rPr>
      </w:pPr>
    </w:p>
    <w:p>
      <w:pPr>
        <w:rPr>
          <w:rFonts w:ascii="楷体" w:hAnsi="楷体" w:eastAsia="楷体" w:cs="楷体"/>
          <w:b/>
          <w:color w:val="000000"/>
          <w:sz w:val="52"/>
        </w:rPr>
      </w:pPr>
    </w:p>
    <w:p>
      <w:pPr>
        <w:rPr>
          <w:rFonts w:ascii="楷体" w:hAnsi="楷体" w:eastAsia="楷体" w:cs="楷体"/>
          <w:b/>
          <w:color w:val="000000"/>
          <w:sz w:val="52"/>
        </w:rPr>
      </w:pPr>
    </w:p>
    <w:p>
      <w:pPr>
        <w:rPr>
          <w:rFonts w:ascii="楷体" w:hAnsi="楷体" w:eastAsia="楷体" w:cs="楷体"/>
          <w:b/>
          <w:color w:val="000000"/>
          <w:sz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唐山高新技术产业开区人民法院编制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2024年部门整体绩效目标</w:t>
      </w:r>
    </w:p>
    <w:p>
      <w:pPr>
        <w:pStyle w:val="2"/>
      </w:pPr>
    </w:p>
    <w:p>
      <w:pPr>
        <w:pStyle w:val="12"/>
        <w:spacing w:line="560" w:lineRule="exact"/>
        <w:ind w:firstLine="640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一、部门总体绩效目标</w:t>
      </w:r>
    </w:p>
    <w:p>
      <w:pPr>
        <w:pStyle w:val="3"/>
        <w:spacing w:before="46" w:line="27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根据管委会工作部署，结合本部门年度工作计划，针对主要职责、重点工作，分项制定绩效目标。</w:t>
      </w:r>
    </w:p>
    <w:p>
      <w:pPr>
        <w:pStyle w:val="3"/>
        <w:spacing w:before="46" w:line="276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首先我院</w:t>
      </w:r>
      <w:r>
        <w:rPr>
          <w:rFonts w:ascii="仿宋_GB2312" w:hAnsi="仿宋" w:eastAsia="仿宋_GB2312"/>
          <w:sz w:val="32"/>
          <w:szCs w:val="32"/>
        </w:rPr>
        <w:t>加强诉讼服务体系建设</w:t>
      </w:r>
      <w:r>
        <w:rPr>
          <w:rFonts w:hint="eastAsia" w:ascii="仿宋_GB2312" w:hAnsi="仿宋" w:eastAsia="仿宋_GB2312"/>
          <w:sz w:val="32"/>
          <w:szCs w:val="32"/>
        </w:rPr>
        <w:t>，加快</w:t>
      </w:r>
      <w:r>
        <w:rPr>
          <w:rFonts w:ascii="仿宋_GB2312" w:hAnsi="仿宋" w:eastAsia="仿宋_GB2312"/>
          <w:sz w:val="32"/>
          <w:szCs w:val="32"/>
        </w:rPr>
        <w:t>诉讼服务转型升级，</w:t>
      </w:r>
      <w:r>
        <w:rPr>
          <w:rFonts w:hint="eastAsia" w:ascii="仿宋_GB2312" w:hAnsi="仿宋" w:eastAsia="仿宋_GB2312"/>
          <w:sz w:val="32"/>
          <w:szCs w:val="32"/>
        </w:rPr>
        <w:t>努力</w:t>
      </w:r>
      <w:r>
        <w:rPr>
          <w:rFonts w:ascii="仿宋_GB2312" w:hAnsi="仿宋" w:eastAsia="仿宋_GB2312"/>
          <w:sz w:val="32"/>
          <w:szCs w:val="32"/>
        </w:rPr>
        <w:t>满足群众多元司法需求。</w:t>
      </w:r>
    </w:p>
    <w:p>
      <w:pPr>
        <w:pStyle w:val="3"/>
        <w:spacing w:before="46" w:line="276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持续深化</w:t>
      </w:r>
      <w:r>
        <w:rPr>
          <w:rFonts w:ascii="仿宋_GB2312" w:hAnsi="仿宋" w:eastAsia="仿宋_GB2312"/>
          <w:sz w:val="32"/>
          <w:szCs w:val="32"/>
        </w:rPr>
        <w:t>司法公开。坚持“以公开为原则，以不公开为例外”，不断拓宽司法公开范围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深化审判流程信息公开</w:t>
      </w:r>
      <w:r>
        <w:rPr>
          <w:rFonts w:hint="eastAsia" w:ascii="仿宋_GB2312" w:hAnsi="仿宋" w:eastAsia="仿宋_GB2312"/>
          <w:sz w:val="32"/>
          <w:szCs w:val="32"/>
        </w:rPr>
        <w:t>，提升庭审规范化水平，</w:t>
      </w:r>
      <w:r>
        <w:rPr>
          <w:rFonts w:ascii="仿宋_GB2312" w:hAnsi="仿宋" w:eastAsia="仿宋_GB2312"/>
          <w:sz w:val="32"/>
          <w:szCs w:val="32"/>
        </w:rPr>
        <w:t>深化裁判文书公开。</w:t>
      </w:r>
    </w:p>
    <w:p>
      <w:pPr>
        <w:pStyle w:val="3"/>
        <w:spacing w:before="46" w:line="276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加强信息安全软硬件建设，按照“安可”替代工作要求，做好法院信息化设备替代预算编制工作，确保法院信息安全稳定。严格</w:t>
      </w:r>
      <w:r>
        <w:rPr>
          <w:rFonts w:ascii="仿宋_GB2312" w:hAnsi="仿宋" w:eastAsia="仿宋_GB2312"/>
          <w:sz w:val="32"/>
          <w:szCs w:val="32"/>
        </w:rPr>
        <w:t>保密</w:t>
      </w:r>
      <w:r>
        <w:rPr>
          <w:rFonts w:hint="eastAsia" w:ascii="仿宋_GB2312" w:hAnsi="仿宋" w:eastAsia="仿宋_GB2312"/>
          <w:sz w:val="32"/>
          <w:szCs w:val="32"/>
        </w:rPr>
        <w:t>管理，新增涉密计算机、涉密打印机等设备，并指派专人专管，</w:t>
      </w:r>
      <w:r>
        <w:rPr>
          <w:rFonts w:ascii="仿宋_GB2312" w:hAnsi="仿宋" w:eastAsia="仿宋_GB2312"/>
          <w:sz w:val="32"/>
          <w:szCs w:val="32"/>
        </w:rPr>
        <w:t>严防失泄密</w:t>
      </w:r>
      <w:r>
        <w:rPr>
          <w:rFonts w:hint="eastAsia" w:ascii="仿宋_GB2312" w:hAnsi="仿宋" w:eastAsia="仿宋_GB2312"/>
          <w:sz w:val="32"/>
          <w:szCs w:val="32"/>
        </w:rPr>
        <w:t>事件</w:t>
      </w:r>
      <w:r>
        <w:rPr>
          <w:rFonts w:ascii="仿宋_GB2312" w:hAnsi="仿宋" w:eastAsia="仿宋_GB2312"/>
          <w:sz w:val="32"/>
          <w:szCs w:val="32"/>
        </w:rPr>
        <w:t>发生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12"/>
        <w:spacing w:line="560" w:lineRule="exact"/>
        <w:ind w:firstLine="640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二、分项绩效目标</w:t>
      </w:r>
    </w:p>
    <w:p>
      <w:pPr>
        <w:pStyle w:val="3"/>
        <w:spacing w:before="46" w:line="276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1.完成案件审判、案件判决执行、审判管理和司法技术辅助工作</w:t>
      </w:r>
    </w:p>
    <w:p>
      <w:pPr>
        <w:pStyle w:val="3"/>
        <w:spacing w:before="46" w:line="276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绩效目标：依法审判法律规定由</w:t>
      </w:r>
      <w:r>
        <w:rPr>
          <w:rFonts w:hint="eastAsia" w:ascii="仿宋_GB2312" w:hAnsi="仿宋" w:eastAsia="仿宋_GB2312"/>
          <w:sz w:val="32"/>
          <w:szCs w:val="32"/>
        </w:rPr>
        <w:t>高新区</w:t>
      </w:r>
      <w:r>
        <w:rPr>
          <w:rFonts w:ascii="仿宋_GB2312" w:hAnsi="仿宋" w:eastAsia="仿宋_GB2312"/>
          <w:sz w:val="32"/>
          <w:szCs w:val="32"/>
        </w:rPr>
        <w:t>法院管辖的刑事、民事、行政等案件。</w:t>
      </w:r>
    </w:p>
    <w:p>
      <w:pPr>
        <w:pStyle w:val="3"/>
        <w:spacing w:before="46" w:line="276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绩效指标：案件结案率≧9</w:t>
      </w: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ascii="仿宋_GB2312" w:hAnsi="仿宋" w:eastAsia="仿宋_GB2312"/>
          <w:sz w:val="32"/>
          <w:szCs w:val="32"/>
        </w:rPr>
        <w:t>%、 被发回重审率≦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%、案件流程公开率≧9</w:t>
      </w: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ascii="仿宋_GB2312" w:hAnsi="仿宋" w:eastAsia="仿宋_GB2312"/>
          <w:sz w:val="32"/>
          <w:szCs w:val="32"/>
        </w:rPr>
        <w:t>%</w:t>
      </w:r>
    </w:p>
    <w:p>
      <w:pPr>
        <w:pStyle w:val="3"/>
        <w:spacing w:before="46" w:line="276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 完成涉法涉诉类案件的息诉罢访工作，依法办理国家赔偿案件</w:t>
      </w:r>
    </w:p>
    <w:p>
      <w:pPr>
        <w:pStyle w:val="3"/>
        <w:spacing w:before="46" w:line="276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绩效目标：改革涉诉信访工作，推动涉诉信访问题在法治轨道内解决；</w:t>
      </w:r>
      <w:bookmarkStart w:id="0" w:name="_GoBack"/>
      <w:bookmarkEnd w:id="0"/>
      <w:r>
        <w:rPr>
          <w:rFonts w:ascii="仿宋_GB2312" w:hAnsi="仿宋" w:eastAsia="仿宋_GB2312"/>
          <w:sz w:val="32"/>
          <w:szCs w:val="32"/>
        </w:rPr>
        <w:t>落实司法为民措施，保护被侵权人合法利益，促进国家机关依法行使职权。</w:t>
      </w:r>
    </w:p>
    <w:p>
      <w:pPr>
        <w:pStyle w:val="3"/>
        <w:spacing w:before="46" w:line="276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绩效指标：司法救助资金</w:t>
      </w:r>
      <w:r>
        <w:rPr>
          <w:rFonts w:hint="eastAsia" w:ascii="仿宋_GB2312" w:hAnsi="仿宋" w:eastAsia="仿宋_GB2312"/>
          <w:sz w:val="32"/>
          <w:szCs w:val="32"/>
        </w:rPr>
        <w:t>及时</w:t>
      </w:r>
      <w:r>
        <w:rPr>
          <w:rFonts w:ascii="仿宋_GB2312" w:hAnsi="仿宋" w:eastAsia="仿宋_GB2312"/>
          <w:sz w:val="32"/>
          <w:szCs w:val="32"/>
        </w:rPr>
        <w:t>发放率≧100%</w:t>
      </w:r>
    </w:p>
    <w:p>
      <w:pPr>
        <w:pStyle w:val="3"/>
        <w:spacing w:before="46" w:line="276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 完成综合业务管理和综合事务管理工作</w:t>
      </w:r>
    </w:p>
    <w:p>
      <w:pPr>
        <w:pStyle w:val="3"/>
        <w:spacing w:before="46" w:line="276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绩效目标：加强法院系统队伍建设，加强法院基础设施及信息化建设；总结人民法院审判业务工作经验，建立绩效考核制度，加强对外宣传以及舆论引导，树立法院良好形象。</w:t>
      </w:r>
    </w:p>
    <w:p>
      <w:pPr>
        <w:pStyle w:val="3"/>
        <w:spacing w:before="46" w:line="276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绩效指标：综合业务管理工作完成率</w:t>
      </w:r>
      <w:r>
        <w:rPr>
          <w:rFonts w:hint="eastAsia" w:ascii="仿宋_GB2312" w:hAnsi="仿宋" w:eastAsia="仿宋_GB2312"/>
          <w:sz w:val="32"/>
          <w:szCs w:val="32"/>
        </w:rPr>
        <w:t>≧</w:t>
      </w:r>
      <w:r>
        <w:rPr>
          <w:rFonts w:ascii="仿宋_GB2312" w:hAnsi="仿宋" w:eastAsia="仿宋_GB2312"/>
          <w:sz w:val="32"/>
          <w:szCs w:val="32"/>
        </w:rPr>
        <w:t>85%</w:t>
      </w:r>
    </w:p>
    <w:p>
      <w:pPr>
        <w:pStyle w:val="12"/>
        <w:spacing w:line="560" w:lineRule="exact"/>
        <w:ind w:firstLine="640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三、工作保障措施</w:t>
      </w:r>
    </w:p>
    <w:p>
      <w:p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ascii="楷体_GB2312" w:hAnsi="楷体_GB2312" w:eastAsia="楷体_GB2312" w:cs="楷体_GB2312"/>
          <w:sz w:val="32"/>
          <w:szCs w:val="32"/>
        </w:rPr>
        <w:t>完善制度建设。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制定完善预算绩效管理制度、资金管理办法、工作保障制度等相关制度。</w:t>
      </w:r>
    </w:p>
    <w:p>
      <w:p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（二）加强支出管理。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预算，加强支出进度分析。加强支出进度分析，及时反映预算执行动态，确保财政预算支出进度顺利完成。加强预算执行的责任意识，强化财政资金使用，提高财政资金的效益性和安全性。加强预算支出执行动态。</w:t>
      </w:r>
    </w:p>
    <w:p>
      <w:pPr>
        <w:pStyle w:val="7"/>
        <w:spacing w:line="55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（三）加强绩效运行监控。</w:t>
      </w:r>
      <w:r>
        <w:rPr>
          <w:rFonts w:hint="eastAsia" w:ascii="仿宋_GB2312" w:hAnsi="仿宋_GB2312" w:cs="仿宋_GB2312"/>
          <w:szCs w:val="32"/>
        </w:rPr>
        <w:t>按照上级要求按季度开展绩效运行监控，掌握预算支出进度和项目实施情况，发现问题及时采取措施，确保绩效目标如期保质实现。</w:t>
      </w:r>
    </w:p>
    <w:p>
      <w:pPr>
        <w:pStyle w:val="7"/>
        <w:spacing w:line="55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（四）做好绩效自评工作。</w:t>
      </w:r>
      <w:r>
        <w:rPr>
          <w:rFonts w:hint="eastAsia" w:ascii="仿宋_GB2312" w:hAnsi="仿宋_GB2312" w:cs="仿宋_GB2312"/>
          <w:szCs w:val="32"/>
        </w:rPr>
        <w:t>按要求开展上年度部门预算绩效自评工作，对自评中发现的问题及时整改，调整优化支出结构，提高财政资金使用效益。</w:t>
      </w:r>
    </w:p>
    <w:p>
      <w:pPr>
        <w:pStyle w:val="7"/>
        <w:spacing w:line="55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（五）规范财务资金管理。</w:t>
      </w:r>
      <w:r>
        <w:rPr>
          <w:rFonts w:hint="eastAsia" w:ascii="仿宋_GB2312" w:hAnsi="仿宋_GB2312" w:cs="仿宋_GB2312"/>
          <w:szCs w:val="32"/>
        </w:rPr>
        <w:t>完善财务管理制度，严格审批程序，做好固定资产登记、使用报废处置管理，做到支出合理，物尽其用。</w:t>
      </w:r>
    </w:p>
    <w:p>
      <w:pPr>
        <w:pStyle w:val="7"/>
        <w:spacing w:line="55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（六）加强内部监督。</w:t>
      </w:r>
      <w:r>
        <w:rPr>
          <w:rFonts w:hint="eastAsia" w:ascii="仿宋_GB2312" w:hAnsi="仿宋_GB2312" w:cs="仿宋_GB2312"/>
          <w:szCs w:val="32"/>
        </w:rPr>
        <w:t>加强内部监督制度建设，做好内控工作，对项目绩效及资产处置工作进行督导，对会计资料进行内部审计，并配合做好财政监督等工作，确保财政资金安全有效。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（七）加强宣传培训调研等。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公检法大楼物业服务费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tbl>
      <w:tblPr>
        <w:tblStyle w:val="8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公检法大楼物业服务费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主要用于公检法办公大楼的清扫保洁，办公环境的提升提高工作质量，促进审判质效、健全司法权力运行机制，高质高效完成审判工作，提升司法公信力。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公检法办公大楼的清扫保洁，办公环境的提升提高工作质量。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综合业务管理工作完成率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综合业务管理工作完成情况占综合业务管理工作任务的比例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保障工作正常开展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按照合同约定提供物业服务，保障工作正常开展。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合同约定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支出数占预算数的比率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及时处理率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物业公司日常维护发现问题的及时处理率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合同约定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工作开展的水平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水平是否提升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社会公众满意度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对项目实施效果的满意程度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</w:tbl>
    <w:p/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公检法大楼物业服务费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8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法检大楼租赁费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600万元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600万元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2023年需支付法检办公大楼房租600万元（含税费）。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满足法检办公要求，保证法检正常运行。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指标 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租用面积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租用房屋的面积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=1000平米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合同约定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解决办公用房人数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租用房屋解决办公用房人数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≧80人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租赁服务质量合格率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租赁服务质量合格率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≧90%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维修及时性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办公楼设施设备报修及时处理率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预算控制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不超过项目金额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可持续性影响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提供良好履职基础，服务社会发展能力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提供良好履职基础，服务社会发展能力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受访人员满意度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受访人员满意度占总人数的比例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≧90%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620"/>
    <w:rsid w:val="000E3EBD"/>
    <w:rsid w:val="00151569"/>
    <w:rsid w:val="0050393C"/>
    <w:rsid w:val="00545558"/>
    <w:rsid w:val="008E03F5"/>
    <w:rsid w:val="009C6620"/>
    <w:rsid w:val="00EF1920"/>
    <w:rsid w:val="01617110"/>
    <w:rsid w:val="620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1"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character" w:customStyle="1" w:styleId="10">
    <w:name w:val="正文文本缩进 Char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2 Char"/>
    <w:basedOn w:val="10"/>
    <w:link w:val="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Char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插入文本样式-插入职责分类绩效目标文件"/>
    <w:basedOn w:val="1"/>
    <w:qFormat/>
    <w:uiPriority w:val="0"/>
    <w:pPr>
      <w:widowControl/>
      <w:spacing w:line="500" w:lineRule="exact"/>
      <w:ind w:firstLine="560"/>
      <w:jc w:val="left"/>
    </w:pPr>
    <w:rPr>
      <w:rFonts w:eastAsia="方正仿宋_GBK"/>
      <w:kern w:val="0"/>
      <w:sz w:val="2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344</Words>
  <Characters>1964</Characters>
  <Lines>16</Lines>
  <Paragraphs>4</Paragraphs>
  <TotalTime>15</TotalTime>
  <ScaleCrop>false</ScaleCrop>
  <LinksUpToDate>false</LinksUpToDate>
  <CharactersWithSpaces>2304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2024-01-09T01:42:00Z</dcterms:created>
  <dc:creator>c3067@163.com</dc:creator>
  <cp:lastModifiedBy>Master</cp:lastModifiedBy>
  <dcterms:modified xsi:type="dcterms:W3CDTF">2024-01-10T07:43:32Z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