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72"/>
          <w:szCs w:val="72"/>
        </w:rPr>
      </w:pPr>
    </w:p>
    <w:p>
      <w:pPr>
        <w:jc w:val="center"/>
        <w:rPr>
          <w:b w:val="0"/>
          <w:bCs w:val="0"/>
          <w:sz w:val="72"/>
          <w:szCs w:val="7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高新区执法大队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2023年预算绩效文本</w:t>
      </w:r>
    </w:p>
    <w:p>
      <w:pPr>
        <w:jc w:val="center"/>
        <w:rPr>
          <w:rFonts w:asciiTheme="majorEastAsia" w:hAnsiTheme="majorEastAsia" w:eastAsiaTheme="majorEastAsia"/>
          <w:b/>
          <w:bCs/>
          <w:sz w:val="72"/>
          <w:szCs w:val="72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  <w:bookmarkStart w:id="0" w:name="_GoBack"/>
      <w:bookmarkEnd w:id="0"/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rFonts w:ascii="楷体_GB2312" w:hAnsi="楷体_GB2312" w:eastAsia="楷体_GB2312" w:cs="楷体_GB2312"/>
          <w:bCs/>
          <w:sz w:val="32"/>
          <w:szCs w:val="32"/>
        </w:rPr>
      </w:pPr>
    </w:p>
    <w:p>
      <w:pPr>
        <w:jc w:val="center"/>
        <w:rPr>
          <w:rFonts w:ascii="楷体_GB2312" w:hAnsi="楷体_GB2312" w:eastAsia="楷体_GB2312" w:cs="楷体_GB2312"/>
          <w:bCs/>
          <w:sz w:val="32"/>
          <w:szCs w:val="32"/>
        </w:rPr>
      </w:pPr>
    </w:p>
    <w:p>
      <w:pPr>
        <w:rPr>
          <w:rFonts w:ascii="楷体_GB2312" w:hAnsi="楷体_GB2312" w:eastAsia="楷体_GB2312" w:cs="楷体_GB2312"/>
          <w:bCs/>
          <w:sz w:val="32"/>
          <w:szCs w:val="32"/>
        </w:rPr>
      </w:pPr>
    </w:p>
    <w:p>
      <w:pPr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高新区执法大队编制</w:t>
      </w:r>
    </w:p>
    <w:p/>
    <w:p/>
    <w:p>
      <w:pPr>
        <w:spacing w:line="700" w:lineRule="exact"/>
        <w:jc w:val="center"/>
        <w:rPr>
          <w:rFonts w:cs="方正小标宋简体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方正小标宋简体" w:asciiTheme="majorEastAsia" w:hAnsiTheme="majorEastAsia" w:eastAsiaTheme="majorEastAsia"/>
          <w:b/>
          <w:bCs/>
          <w:sz w:val="44"/>
          <w:szCs w:val="44"/>
        </w:rPr>
        <w:t>2023年部门整体绩效目标</w:t>
      </w:r>
    </w:p>
    <w:p>
      <w:pPr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ind w:firstLine="608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一、总体绩效目标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加强辖区环境卫生整治力度，确保高新区境内市容环境卫生整洁有序，提升城市形象。加大宣传力度，杜绝私搭乱建。加强法律法规学习，定期考核，提升队伍素质和执法水平。</w:t>
      </w:r>
    </w:p>
    <w:p>
      <w:pPr>
        <w:ind w:firstLine="608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二、分项绩效目标</w:t>
      </w:r>
    </w:p>
    <w:p>
      <w:pPr>
        <w:spacing w:line="580" w:lineRule="exact"/>
        <w:ind w:firstLine="63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（一）市容市貌专项治理项目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绩效目标：加强高新区境内市容市貌环境卫生综合整治工作，不断提升全区市容环境水平。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绩效指标：减少辖区违规案件发生率，实现辖区全覆盖无缝隙精细化执法。</w:t>
      </w:r>
    </w:p>
    <w:p>
      <w:pPr>
        <w:spacing w:line="580" w:lineRule="exact"/>
        <w:ind w:firstLine="63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（二）城管执法服装购置项目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绩效目标：确保城管执法队伍着装统一、规范，提升执法队伍整体形象。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绩效指标：按城管执法服装配发标准及时配备执法服装。</w:t>
      </w:r>
    </w:p>
    <w:p>
      <w:pPr>
        <w:spacing w:line="580" w:lineRule="exact"/>
        <w:ind w:firstLine="63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（三）执法车辆租赁项目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绩效目标：提高执法案件办结率，更好的完成高新区内市容环境卫生整治任务。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绩效指标：快速、机动完成突发工作任务，保证一线执法车辆配备，提高办案效率。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3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（四）城管智慧平台项目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绩效目标：保障大队智慧城管平台的正常运转，顺利开展各项执法工作。</w:t>
      </w:r>
    </w:p>
    <w:p>
      <w:pPr>
        <w:adjustRightInd w:val="0"/>
        <w:snapToGrid w:val="0"/>
        <w:spacing w:line="560" w:lineRule="exact"/>
        <w:ind w:firstLine="60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绩效指标：不断完善队伍规范化建设，降低辖区执法案件发生率。</w:t>
      </w:r>
    </w:p>
    <w:p>
      <w:pPr>
        <w:ind w:firstLine="608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三、工作保障措施</w:t>
      </w:r>
    </w:p>
    <w:p>
      <w:pPr>
        <w:ind w:firstLine="60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（一）完善制度建设。</w:t>
      </w:r>
      <w:r>
        <w:rPr>
          <w:rFonts w:hint="eastAsia" w:ascii="仿宋_GB2312" w:hAnsi="仿宋_GB2312" w:eastAsia="仿宋_GB2312" w:cs="仿宋_GB2312"/>
          <w:sz w:val="32"/>
          <w:szCs w:val="32"/>
        </w:rPr>
        <w:t>大队制定完善预算绩效管理制度、资金管理办法、工作保障制度等，为全年预算绩效目标的实现奠定制度基础。</w:t>
      </w:r>
    </w:p>
    <w:p>
      <w:pPr>
        <w:ind w:firstLine="60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（二）加强支出管理。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通过优化支出结构、编细编实预算、加快履行政府采购手续、尽快启动项目、及时支付资金、6月底前细化代编预算、按规定及时下达资金等多种措施，确保支出进度达标。</w:t>
      </w:r>
    </w:p>
    <w:p>
      <w:pPr>
        <w:ind w:firstLine="60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（三）加强绩效运行监控。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加强对预算绩效目标的跟踪管理。发现问题及时纠正整改，保证预定目标的如期完成。做到资金的支出进度与绩效目标的实现程度协调同步。</w:t>
      </w:r>
    </w:p>
    <w:p>
      <w:pPr>
        <w:ind w:firstLine="60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（四）做好绩效自评。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按要求开展上年度部门预算绩效自评和重点评价工作，对评价中发现的问题及时整改，调整优化支出结构，提高财政资金使用效益。</w:t>
      </w:r>
    </w:p>
    <w:p>
      <w:pPr>
        <w:ind w:firstLine="60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（五）规范财务资产管理。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完善财务管理制度，严格审批程序，加强固定资产登记、使用和报废处置管理，做到支出合理，物尽其用。</w:t>
      </w:r>
    </w:p>
    <w:p>
      <w:pPr>
        <w:ind w:firstLine="60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（六）加强内部监督。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内部监督制度建设，对绩效运行情况、重大支出决策、对外投资、资产处置及其他重要经济业务事项的决策和执行进行督导，对会计资料进行内部审计，并配合做好审计、财政监督等外部监督工作，确保财政资金安全有效。</w:t>
      </w:r>
    </w:p>
    <w:p>
      <w:pPr>
        <w:ind w:firstLine="608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（七）加强宣传培训调研等。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加强人员培训，提高本部门职工业务素质；加强调研，提出优化财政资金配置、提高资金使用效益的意见；加大宣传力度，强化预算绩效管理意识，促进预算绩效管理水平进一步提升。</w:t>
      </w:r>
    </w:p>
    <w:p>
      <w:pPr>
        <w:ind w:firstLine="608" w:firstLineChars="200"/>
        <w:rPr>
          <w:rFonts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08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tbl>
      <w:tblPr>
        <w:tblStyle w:val="2"/>
        <w:tblW w:w="826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288"/>
        <w:gridCol w:w="840"/>
        <w:gridCol w:w="240"/>
        <w:gridCol w:w="1290"/>
        <w:gridCol w:w="825"/>
        <w:gridCol w:w="1080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82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cs="方正小标宋简体" w:asciiTheme="majorEastAsia" w:hAnsiTheme="majorEastAsia" w:eastAsiaTheme="majorEastAsia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cs="方正小标宋简体" w:asciiTheme="majorEastAsia" w:hAnsiTheme="majorEastAsia" w:eastAsiaTheme="majorEastAsia"/>
                <w:b/>
                <w:sz w:val="44"/>
                <w:szCs w:val="44"/>
              </w:rPr>
              <w:t>市容市貌专项治理预算项目绩效表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31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市容市貌专项治理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预算规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模及资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金用途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21万元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其中：财政资金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21万元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38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主要用于1、共享单车、清运垃圾、围挡修复、广告牌匾治理及数字件等环境治理工作中租用机械、工具及人工等费用；2、各种迎检任务及临时性任务专项治理产生费用；3、支付财政内网等专用网络租赁费；4、日常环境治理产生的其他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资金支出计划（累计%）</w:t>
            </w: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 xml:space="preserve">3月底             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6月底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10月底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12月底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 xml:space="preserve">20%    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 xml:space="preserve">  60%</w:t>
            </w:r>
          </w:p>
        </w:tc>
        <w:tc>
          <w:tcPr>
            <w:tcW w:w="1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绩效目标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目标1：</w:t>
            </w:r>
          </w:p>
        </w:tc>
        <w:tc>
          <w:tcPr>
            <w:tcW w:w="555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优化居民生活环境，保证环境卫生秩序井然，提高环境卫生水平。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目标2：</w:t>
            </w:r>
          </w:p>
        </w:tc>
        <w:tc>
          <w:tcPr>
            <w:tcW w:w="555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提高违规案件处置率。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绩效指标描述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指标值确定依据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成本指标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预算资金完成率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使用资金数额占项目预算金额的百分比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≥95%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上级文件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时效指标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突发案件处置率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突发案件占发现案件的百分比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行业标准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数量指标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违规案件完成率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违规案件处置数量占违规案件数量的百分比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行业标准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质量指标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精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细化执法覆盖率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城管执法区域占全区面积的百分比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  <w:lang w:val="en-US" w:eastAsia="zh-CN"/>
              </w:rPr>
              <w:t>=</w:t>
            </w: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行业标准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效果指标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生态效益指标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辖区环境是否提升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高新区环境卫生是否得到明显改善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行业标准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服务对象满意度指标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辖区商户的满意度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商户对城管执法工作的满意度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≥95%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0"/>
                <w:szCs w:val="20"/>
              </w:rPr>
              <w:t>工作经验</w:t>
            </w:r>
          </w:p>
        </w:tc>
      </w:tr>
    </w:tbl>
    <w:p>
      <w:pPr>
        <w:ind w:firstLine="608" w:firstLineChars="200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AndChars" w:linePitch="310" w:charSpace="-34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HorizontalSpacing w:val="97"/>
  <w:drawingGridVerticalSpacing w:val="15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6C465077"/>
    <w:rsid w:val="00BC1273"/>
    <w:rsid w:val="00CD033D"/>
    <w:rsid w:val="00D53AC7"/>
    <w:rsid w:val="0F727F44"/>
    <w:rsid w:val="1EFA365A"/>
    <w:rsid w:val="248715D6"/>
    <w:rsid w:val="2B5014E8"/>
    <w:rsid w:val="2BFA7F02"/>
    <w:rsid w:val="3F1A06BD"/>
    <w:rsid w:val="465B0F99"/>
    <w:rsid w:val="69B87CDF"/>
    <w:rsid w:val="6C465077"/>
    <w:rsid w:val="77A2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80E090-9704-4307-8541-78A3961408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1448</Characters>
  <Lines>12</Lines>
  <Paragraphs>3</Paragraphs>
  <TotalTime>35</TotalTime>
  <ScaleCrop>false</ScaleCrop>
  <LinksUpToDate>false</LinksUpToDate>
  <CharactersWithSpaces>1699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2021-12-27T00:34:00Z</dcterms:created>
  <dc:creator>王颖</dc:creator>
  <cp:lastModifiedBy>Master</cp:lastModifiedBy>
  <dcterms:modified xsi:type="dcterms:W3CDTF">2023-01-04T09:12:14Z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9D32773A79ED403FB6004856A5772231</vt:lpwstr>
  </property>
</Properties>
</file>