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唐山市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自然资源和规划局高新分局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年部门预算绩效文本</w:t>
      </w: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唐山市自然资源和规划局高新分局编制</w:t>
      </w:r>
    </w:p>
    <w:p>
      <w:pPr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年部门整体绩效目标</w:t>
      </w:r>
    </w:p>
    <w:p>
      <w:pPr>
        <w:spacing w:before="156" w:beforeLines="50" w:after="156" w:afterLines="50" w:line="580" w:lineRule="exact"/>
        <w:ind w:firstLine="629"/>
        <w:rPr>
          <w:rFonts w:hint="eastAsia" w:eastAsia="方正黑体_GBK"/>
          <w:sz w:val="32"/>
          <w:szCs w:val="32"/>
        </w:rPr>
      </w:pPr>
    </w:p>
    <w:p>
      <w:pPr>
        <w:spacing w:before="156" w:beforeLines="50" w:after="156" w:afterLines="50" w:line="580" w:lineRule="exact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一、总体绩效目标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2019年3月，根据唐山市机构改革统一按排，成立唐山市自然资源和规划局高新分局。机构改革后我分局承担了自然资源和规划的全部职能，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此基础上形成了202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年我分局部门整体绩效目标，一是全力保障202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年征地拆迁补偿项目顺利完成，预计上报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个批次约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935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亩项目用地，落实征地补偿。二是严格落实国家耕地占补平衡政策，委托补充耕地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830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亩。三是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保障辖区内自然资源和不动产确权登记工作，建立健全自然资源和不动产登记信息管理基础平台，管理登记资料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。四是根据高新区统一安排部署，完成高新区国土空间规划、集聚提升类村庄规划、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国土空间生态修复规划、重点区域控规及城市设计等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。五是根据202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年工作计划，完成全区违法占地、重点建设用地等的勘测定界工作。全力保障高新区总体发展，完成市政府下达的工作目标。</w:t>
      </w:r>
    </w:p>
    <w:p>
      <w:pPr>
        <w:spacing w:before="156" w:beforeLines="50" w:after="156" w:afterLines="50" w:line="580" w:lineRule="exact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（一）落实项目用地、完成征地补偿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绩效目标：对取得建设用地批复的土地进行征收，并依据标准及时拨付征地补偿费，保障失地农民及村集体的合法权益。</w:t>
      </w:r>
    </w:p>
    <w:p>
      <w:pPr>
        <w:spacing w:line="58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年预计完成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个批次共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935</w:t>
      </w:r>
      <w:r>
        <w:rPr>
          <w:rFonts w:hint="eastAsia" w:ascii="仿宋_GB2312" w:hAnsi="仿宋_GB2312" w:eastAsia="仿宋_GB2312" w:cs="仿宋_GB2312"/>
          <w:sz w:val="32"/>
          <w:szCs w:val="32"/>
        </w:rPr>
        <w:t>亩项目用地的征地补偿工作，及时拨付征地补偿费，保障农民及村集体的合法权益。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（二）委托补充耕地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绩效目标：委托其他县区补充耕地，支付委托补充耕地费，保障建设用地批次顺利报批。</w:t>
      </w:r>
    </w:p>
    <w:p>
      <w:pPr>
        <w:spacing w:line="58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年预计委托补充耕地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830</w:t>
      </w:r>
      <w:r>
        <w:rPr>
          <w:rFonts w:hint="eastAsia" w:ascii="仿宋_GB2312" w:hAnsi="仿宋_GB2312" w:eastAsia="仿宋_GB2312" w:cs="仿宋_GB2312"/>
          <w:sz w:val="32"/>
          <w:szCs w:val="32"/>
        </w:rPr>
        <w:t>亩，及时支付委托补充耕地费，严格落实国家耕地占补平衡政策，保障后续建设用地批次报批工作顺利开展。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完成辖区内自然资源和不动产确权登记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建立健全自然资源和不动产登记信息管理基础平台，管理登记资料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绩效指标：及时申请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确保确权登记工作顺利进行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（四）国土空间规划、建立监督信息系统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高新区国土空间规划、集聚提升类村庄规划、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国土空间生态修复规划、重点区域控规及城市设计、高新区国土空间基础信息平台及国土空间规划“一张图”实施监督信息系统等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规划编制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是否满足高新区发展需要，规划编制及招标代理费及时申请、及时拨付，合理规划道路基础设施建设。</w:t>
      </w:r>
    </w:p>
    <w:p>
      <w:pPr>
        <w:spacing w:before="156" w:beforeLines="50" w:after="156" w:afterLines="50" w:line="580" w:lineRule="exact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三、工作保障措施</w:t>
      </w:r>
    </w:p>
    <w:p>
      <w:pPr>
        <w:spacing w:line="58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（一）完善制度建设，加强支出管理。</w:t>
      </w:r>
      <w:r>
        <w:rPr>
          <w:rFonts w:hint="eastAsia" w:ascii="仿宋_GB2312" w:eastAsia="仿宋_GB2312"/>
          <w:sz w:val="32"/>
          <w:szCs w:val="32"/>
        </w:rPr>
        <w:t>制定完善的预算绩效管理制度，严格按照制度执行，保障预算绩效目标顺利完成，为全年预算绩效目标的实现奠定制度基础。通过优化支出结构、编细编实预算、加快履行政府采购手续、尽快启动项目、及时与相关业务科室沟通、及时支付资金、6月底前细化代编预算、按规定及时下达资金等多种措施，确保支出进度达标。</w:t>
      </w:r>
    </w:p>
    <w:p>
      <w:pPr>
        <w:spacing w:line="58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（二）加强绩效运行监控，做好绩效自评。</w:t>
      </w:r>
      <w:r>
        <w:rPr>
          <w:rFonts w:hint="eastAsia" w:ascii="仿宋_GB2312" w:eastAsia="仿宋_GB2312"/>
          <w:sz w:val="32"/>
          <w:szCs w:val="32"/>
        </w:rPr>
        <w:t>按要求开展绩效运行监控，发现问题及时采取措施，确保绩效目标如期保质实现。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按要求进行上年度部门预算绩效自评和重点评价工作，对评价中发现的问题及时整改，调整优化支出结构，提高财政资金使用效益。</w:t>
      </w:r>
    </w:p>
    <w:p>
      <w:pPr>
        <w:spacing w:line="58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（三）规范财务资产管理，加强内部监督。</w:t>
      </w:r>
      <w:r>
        <w:rPr>
          <w:rFonts w:hint="eastAsia" w:ascii="仿宋_GB2312" w:eastAsia="仿宋_GB2312"/>
          <w:sz w:val="32"/>
          <w:szCs w:val="32"/>
        </w:rPr>
        <w:t>完善财务管理制度，严格审批程序，加强固定资产登记、使用和报废处置管理，做到支出合理，物尽其用。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>
      <w:pPr>
        <w:spacing w:line="58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（四）加强宣传培训调研等。</w:t>
      </w:r>
      <w:r>
        <w:rPr>
          <w:rFonts w:hint="eastAsia" w:ascii="仿宋_GB2312" w:eastAsia="仿宋_GB2312"/>
          <w:sz w:val="32"/>
          <w:szCs w:val="32"/>
        </w:rPr>
        <w:t>加强人员培训，提高我分局职工相关业务素质；加强调研，提出优化财政资金配置、提高资金使用效益的意见；加大宣传力度，强化预算绩效管理意识，促进预算绩效管理水平进一步提升。</w:t>
      </w:r>
    </w:p>
    <w:p>
      <w:pPr>
        <w:spacing w:line="580" w:lineRule="exact"/>
        <w:ind w:firstLine="63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自然资源管理费项目绩效目标表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18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8"/>
        <w:gridCol w:w="1403"/>
        <w:gridCol w:w="1674"/>
        <w:gridCol w:w="1500"/>
        <w:gridCol w:w="1270"/>
        <w:gridCol w:w="1170"/>
        <w:gridCol w:w="143"/>
        <w:gridCol w:w="131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————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自然资源管理费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210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210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其他资金 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3"/>
              <w:tblW w:w="927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27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0" w:hRule="atLeast"/>
              </w:trPr>
              <w:tc>
                <w:tcPr>
                  <w:tcW w:w="9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  <w:lang w:bidi="ar"/>
                    </w:rPr>
                    <w:t>主要用于2022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年违法占地勘测定界、定点防线测绘费、重点建设项目勘测定界、</w:t>
                  </w:r>
                </w:p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土地节约集约评价、土地拍卖佣金，土地评估费，社会稳定风险评估等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  <w:lang w:bidi="ar"/>
                    </w:rPr>
                    <w:t>。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30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60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全区土地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eastAsia="zh-CN" w:bidi="ar"/>
              </w:rPr>
              <w:t>违法占地勘测定界、定点防线测绘费、重点建设项目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勘测定界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eastAsia="zh-CN" w:bidi="ar"/>
              </w:rPr>
              <w:t>土地节约集约评价、土地拍卖佣金，土地评估费，社会稳定风险评估。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2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14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勘测定界完成率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土地勘测定界实际完成量占预计实施勘测定界比例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≥90%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工作计划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土地勘测定界质量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土地勘测定界是否准确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准确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工作完成时间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工作及时完成，保障工作顺利进行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2022年12月底前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工作经验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勘测定界点数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按点数收费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中标价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合同约定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保障土地流转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土地出让业务顺利开展，保障土地流转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顺利开展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工作经验</w:t>
            </w:r>
          </w:p>
        </w:tc>
      </w:tr>
    </w:tbl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委托补充耕地费项目绩效目标表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1030"/>
        <w:gridCol w:w="1315"/>
        <w:gridCol w:w="1442"/>
        <w:gridCol w:w="1078"/>
        <w:gridCol w:w="1423"/>
        <w:gridCol w:w="979"/>
        <w:gridCol w:w="96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---------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委托补充耕地费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10000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10000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2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3"/>
              <w:tblW w:w="927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27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atLeast"/>
              </w:trPr>
              <w:tc>
                <w:tcPr>
                  <w:tcW w:w="9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kern w:val="0"/>
                      <w:sz w:val="20"/>
                      <w:szCs w:val="20"/>
                      <w:lang w:bidi="ar"/>
                    </w:rPr>
                    <w:t>主要用于委托补充耕地，保障建设用地顺利批次报批。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75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委托其他县区补充耕地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保障建设用地批次顺利报批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委托其他县区补充耕地数量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本区域内耕地指标不足时，占用其他县区耕地指标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=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830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国家：耕地占补“平衡政策”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委托补充耕地完成率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年底实际委托补充耕地面积除以年初预计面积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是否按时完成报批工作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根据省厅报批时限，完成报批工作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按时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报批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省厅要求时限及市政府用地安排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单位面积成本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单位面积委托补充耕地费标准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12万元/亩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委托补充耕地费标准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顺利报批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保障建设用地批次报批工作顺利开展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顺利报批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国家：耕地占补“平衡政策”</w:t>
            </w:r>
          </w:p>
        </w:tc>
      </w:tr>
    </w:tbl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不动产业务经费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---------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不动产业务经费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63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63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主要用于不动产登记系统正常维护、软件升级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，发证经费等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75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打印不动产证书，方便群众办理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不动产登记系统正常维护、软件升级、保障不动产登记工作顺利进行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办理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人数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排队人员数量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5人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工作经验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便民度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方便快捷、服务群众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方便、快捷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出证速度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五个工作日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按时出证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软件维护成本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付软件公司维护运行成本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合同约定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项目持续发挥作用期限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不动产登记证书维持发放时间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1年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全年发证数量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群众满意度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办证群众满意程度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工作经验</w:t>
            </w:r>
          </w:p>
        </w:tc>
      </w:tr>
    </w:tbl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规划编制及招标代理费项目绩效目标表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---------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规划编制及招标代理费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主要用于高新区国土空间规划、集聚提升类村庄规划、其他规划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编制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、高新区国土空间基础信息平台及国土空间规划“一张图”实施监督信息系统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75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高新区国土空间规划、集聚提升类村庄规划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国土空间基础信息平台及国土空间规划“一张图”实施监督信息系统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规划编制数量完成情况</w:t>
            </w:r>
          </w:p>
        </w:tc>
        <w:tc>
          <w:tcPr>
            <w:tcW w:w="3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经验收合格，能投入使用的规划编制数量占比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≥90%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高新区实际规划编制情况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是否保障国土空间详细规划符合要求</w:t>
            </w:r>
          </w:p>
        </w:tc>
        <w:tc>
          <w:tcPr>
            <w:tcW w:w="3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重点区域国土空间详细规划范围是否满足高新区发展需要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工作计划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国土空间规划和集聚提升类村庄规划进度</w:t>
            </w:r>
          </w:p>
        </w:tc>
        <w:tc>
          <w:tcPr>
            <w:tcW w:w="3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按进度完成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高新区规划进度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工作经验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国土空间规划和集聚提升类村庄规划成本</w:t>
            </w:r>
          </w:p>
        </w:tc>
        <w:tc>
          <w:tcPr>
            <w:tcW w:w="3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招标公司提供国土空间规划和集聚提升类村庄规划服务费用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≥150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合同约定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道路、基础设施是否合理规划</w:t>
            </w:r>
          </w:p>
        </w:tc>
        <w:tc>
          <w:tcPr>
            <w:tcW w:w="3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道路、基础设施是否合理规划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合理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根据实际使用情况考核</w:t>
            </w:r>
          </w:p>
        </w:tc>
      </w:tr>
    </w:tbl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征地补偿费项目绩效目标表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----------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征地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补偿费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24000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24000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主要用于对取得建设用地批复的土地进行征收，并依据标准及时拨付征地补偿费，保障失地农民及村集体的合法权益。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75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对取得建设用地批复的土地进行征收，并依据标准及时拨付征地补偿费。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保障失地农民及村集体的合法权益。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征地补偿面积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需进行征地补偿土地面积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935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年度征地补偿计划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对取得建设用地的土地办理相关手续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根据高新区重点项目用地安排，对取得建设用地批复的土地办理相关手续及时高效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及时高效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征地补偿费及时拨付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征地补偿费及时拨付给农民及村集体，保障其合法权益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年12月底之前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年度计划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年末预算资金完成率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≥90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补偿标准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eastAsia="zh-CN" w:bidi="ar"/>
              </w:rPr>
              <w:t>社会效益指标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农民及村集体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合法权益</w:t>
            </w:r>
          </w:p>
        </w:tc>
        <w:tc>
          <w:tcPr>
            <w:tcW w:w="3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及时支付征地补偿费，保障村民及村集体合法权益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74"/>
              </w:tabs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保障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工作经验</w:t>
            </w:r>
          </w:p>
        </w:tc>
      </w:tr>
    </w:tbl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0" w:lineRule="atLeast"/>
        <w:jc w:val="center"/>
        <w:rPr>
          <w:rFonts w:hint="eastAsia" w:ascii="方正小标宋简体" w:eastAsia="方正小标宋简体"/>
          <w:sz w:val="10"/>
          <w:szCs w:val="10"/>
        </w:rPr>
      </w:pPr>
    </w:p>
    <w:p/>
    <w:sectPr>
      <w:footerReference r:id="rId3" w:type="default"/>
      <w:pgSz w:w="11906" w:h="16838"/>
      <w:pgMar w:top="2098" w:right="1474" w:bottom="1984" w:left="1531" w:header="1559" w:footer="1559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汉仪仿宋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354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354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20945"/>
    <w:rsid w:val="17956E50"/>
    <w:rsid w:val="25E85FDA"/>
    <w:rsid w:val="2A0965CA"/>
    <w:rsid w:val="2DFB0313"/>
    <w:rsid w:val="422A3DCE"/>
    <w:rsid w:val="67A242CA"/>
    <w:rsid w:val="75327117"/>
    <w:rsid w:val="77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Master</cp:lastModifiedBy>
  <dcterms:modified xsi:type="dcterms:W3CDTF">2022-01-05T10:46:39Z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