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2022年部门预算信息公开目录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lang w:val="en-US" w:eastAsia="zh-CN"/>
        </w:rPr>
        <w:t>3</w:t>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rPr>
          <w:rFonts w:hint="eastAsia"/>
          <w:lang w:val="en-US" w:eastAsia="zh-CN"/>
        </w:rPr>
        <w:t>5</w:t>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rPr>
          <w:rFonts w:hint="eastAsia"/>
          <w:lang w:val="en-US" w:eastAsia="zh-CN"/>
        </w:rPr>
        <w:t>6</w:t>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rPr>
          <w:rFonts w:hint="eastAsia"/>
          <w:lang w:val="en-US" w:eastAsia="zh-CN"/>
        </w:rPr>
        <w:t>7</w:t>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rPr>
          <w:rFonts w:hint="eastAsia"/>
          <w:lang w:val="en-US" w:eastAsia="zh-CN"/>
        </w:rPr>
        <w:t>9</w:t>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t>部门预算一般公共预算财政拨款基本支出表</w:t>
      </w:r>
      <w:r>
        <w:tab/>
      </w:r>
      <w:r>
        <w:rPr>
          <w:rFonts w:hint="eastAsia"/>
          <w:lang w:val="en-US" w:eastAsia="zh-CN"/>
        </w:rPr>
        <w:t>1</w:t>
      </w:r>
      <w:r>
        <w:fldChar w:fldCharType="end"/>
      </w:r>
      <w:r>
        <w:rPr>
          <w:rFonts w:hint="eastAsia"/>
          <w:lang w:val="en-US" w:eastAsia="zh-CN"/>
        </w:rPr>
        <w:t>0</w:t>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lang w:val="en-US" w:eastAsia="zh-CN"/>
        </w:rPr>
        <w:t>1</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w:t>
      </w:r>
      <w:r>
        <w:rPr>
          <w:rFonts w:hint="eastAsia"/>
          <w:lang w:val="en-US" w:eastAsia="zh-CN"/>
        </w:rPr>
        <w:t>2</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w:t>
      </w:r>
      <w:r>
        <w:rPr>
          <w:rFonts w:hint="eastAsia"/>
          <w:lang w:val="en-US" w:eastAsia="zh-CN"/>
        </w:rPr>
        <w:t>3</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w:t>
      </w:r>
      <w:r>
        <w:rPr>
          <w:rFonts w:hint="eastAsia"/>
          <w:lang w:val="en-US" w:eastAsia="zh-CN"/>
        </w:rPr>
        <w:t>4</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w:t>
      </w:r>
      <w:r>
        <w:rPr>
          <w:rFonts w:hint="eastAsia"/>
          <w:lang w:val="en-US" w:eastAsia="zh-CN"/>
        </w:rPr>
        <w:t>6</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w:t>
      </w:r>
      <w:r>
        <w:rPr>
          <w:rFonts w:hint="eastAsia"/>
          <w:lang w:val="en-US" w:eastAsia="zh-CN"/>
        </w:rPr>
        <w:t>7</w:t>
      </w:r>
      <w:r>
        <w:fldChar w:fldCharType="end"/>
      </w:r>
      <w:r>
        <w:fldChar w:fldCharType="end"/>
      </w:r>
    </w:p>
    <w:p>
      <w:pPr>
        <w:pStyle w:val="3"/>
        <w:tabs>
          <w:tab w:val="right" w:leader="dot" w:pos="14562"/>
        </w:tabs>
        <w:rPr>
          <w:rFonts w:hint="eastAsia" w:eastAsia="方正仿宋_GBK"/>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2</w:t>
      </w:r>
      <w:r>
        <w:fldChar w:fldCharType="end"/>
      </w:r>
      <w:r>
        <w:rPr>
          <w:rFonts w:hint="eastAsia"/>
          <w:lang w:val="en-US" w:eastAsia="zh-CN"/>
        </w:rPr>
        <w:t>7</w:t>
      </w:r>
    </w:p>
    <w:p>
      <w:pPr>
        <w:pStyle w:val="3"/>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t>七、国有资产信息</w:t>
      </w:r>
      <w:r>
        <w:tab/>
      </w:r>
      <w:r>
        <w:rPr>
          <w:rFonts w:hint="eastAsia"/>
          <w:lang w:val="en-US" w:eastAsia="zh-CN"/>
        </w:rPr>
        <w:t>2</w:t>
      </w:r>
      <w:r>
        <w:fldChar w:fldCharType="end"/>
      </w:r>
      <w:r>
        <w:rPr>
          <w:rFonts w:hint="eastAsia"/>
          <w:lang w:val="en-US" w:eastAsia="zh-CN"/>
        </w:rPr>
        <w:t>8</w:t>
      </w:r>
    </w:p>
    <w:p>
      <w:pPr>
        <w:pStyle w:val="3"/>
        <w:tabs>
          <w:tab w:val="right" w:leader="dot" w:pos="14562"/>
        </w:tabs>
        <w:rPr>
          <w:rFonts w:hint="eastAsia" w:eastAsia="方正仿宋_GBK"/>
          <w:lang w:val="en-US" w:eastAsia="zh-CN"/>
        </w:rPr>
      </w:pPr>
      <w:r>
        <w:fldChar w:fldCharType="begin"/>
      </w:r>
      <w:r>
        <w:instrText xml:space="preserve"> HYPERLINK \l "_Toc_3_3_0000000017" </w:instrText>
      </w:r>
      <w:r>
        <w:fldChar w:fldCharType="separate"/>
      </w:r>
      <w:r>
        <w:t>八、名词解释</w:t>
      </w:r>
      <w:r>
        <w:tab/>
      </w:r>
      <w:r>
        <w:rPr>
          <w:rFonts w:hint="eastAsia"/>
          <w:lang w:val="en-US" w:eastAsia="zh-CN"/>
        </w:rPr>
        <w:t>2</w:t>
      </w:r>
      <w:r>
        <w:fldChar w:fldCharType="end"/>
      </w:r>
      <w:r>
        <w:rPr>
          <w:rFonts w:hint="eastAsia"/>
          <w:lang w:val="en-US" w:eastAsia="zh-CN"/>
        </w:rPr>
        <w:t>9</w:t>
      </w:r>
    </w:p>
    <w:p>
      <w:pPr>
        <w:pStyle w:val="3"/>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t>九、其他需要说明的事项</w:t>
      </w:r>
      <w:r>
        <w:tab/>
      </w:r>
      <w:r>
        <w:rPr>
          <w:rFonts w:hint="eastAsia"/>
          <w:lang w:val="en-US" w:eastAsia="zh-CN"/>
        </w:rPr>
        <w:t>2</w:t>
      </w:r>
      <w:r>
        <w:fldChar w:fldCharType="end"/>
      </w:r>
      <w:r>
        <w:rPr>
          <w:rFonts w:hint="eastAsia"/>
          <w:lang w:val="en-US" w:eastAsia="zh-CN"/>
        </w:rPr>
        <w:t>9</w:t>
      </w:r>
    </w:p>
    <w:p>
      <w:r>
        <w:fldChar w:fldCharType="end"/>
      </w:r>
    </w:p>
    <w:p>
      <w:pPr>
        <w:spacing w:before="0" w:after="0" w:line="240" w:lineRule="auto"/>
        <w:ind w:firstLine="0"/>
        <w:jc w:val="center"/>
        <w:outlineLvl w:val="1"/>
        <w:rPr>
          <w:rFonts w:ascii="方正小标宋_GBK" w:hAnsi="方正小标宋_GBK" w:eastAsia="方正小标宋_GBK" w:cs="方正小标宋_GBK"/>
          <w:color w:val="000000"/>
          <w:sz w:val="36"/>
        </w:rPr>
      </w:pPr>
      <w:bookmarkStart w:id="0" w:name="_Toc_2_2_0000000001"/>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rPr>
          <w:rFonts w:ascii="方正小标宋_GBK" w:hAnsi="方正小标宋_GBK" w:eastAsia="方正小标宋_GBK" w:cs="方正小标宋_GBK"/>
          <w:color w:val="000000"/>
          <w:sz w:val="36"/>
        </w:rPr>
      </w:pPr>
    </w:p>
    <w:p>
      <w:pPr>
        <w:spacing w:before="0" w:after="0" w:line="240" w:lineRule="auto"/>
        <w:ind w:firstLine="0"/>
        <w:jc w:val="center"/>
        <w:outlineLvl w:val="1"/>
      </w:pPr>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93"/>
        <w:gridCol w:w="4418"/>
        <w:gridCol w:w="2182"/>
        <w:gridCol w:w="5118"/>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11" w:type="dxa"/>
            <w:gridSpan w:val="2"/>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2182" w:type="dxa"/>
            <w:tcBorders>
              <w:top w:val="single" w:color="FFFFFF" w:sz="6" w:space="0"/>
              <w:left w:val="single" w:color="FFFFFF" w:sz="6" w:space="0"/>
              <w:right w:val="single" w:color="FFFFFF" w:sz="6" w:space="0"/>
            </w:tcBorders>
            <w:vAlign w:val="center"/>
          </w:tcPr>
          <w:p>
            <w:pPr>
              <w:pStyle w:val="10"/>
            </w:pPr>
            <w:r>
              <w:t>预算年度：2022</w:t>
            </w:r>
          </w:p>
        </w:tc>
        <w:tc>
          <w:tcPr>
            <w:tcW w:w="7089"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Merge w:val="restart"/>
            <w:vAlign w:val="center"/>
          </w:tcPr>
          <w:p>
            <w:pPr>
              <w:pStyle w:val="12"/>
            </w:pPr>
            <w:r>
              <w:t>序号</w:t>
            </w:r>
          </w:p>
        </w:tc>
        <w:tc>
          <w:tcPr>
            <w:tcW w:w="6600" w:type="dxa"/>
            <w:gridSpan w:val="2"/>
            <w:vAlign w:val="center"/>
          </w:tcPr>
          <w:p>
            <w:pPr>
              <w:pStyle w:val="12"/>
            </w:pPr>
            <w:r>
              <w:t>收入</w:t>
            </w:r>
          </w:p>
        </w:tc>
        <w:tc>
          <w:tcPr>
            <w:tcW w:w="7089"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Merge w:val="continue"/>
          </w:tcPr>
          <w:p/>
        </w:tc>
        <w:tc>
          <w:tcPr>
            <w:tcW w:w="4418" w:type="dxa"/>
            <w:vAlign w:val="center"/>
          </w:tcPr>
          <w:p>
            <w:pPr>
              <w:pStyle w:val="12"/>
            </w:pPr>
            <w:r>
              <w:t>项  目</w:t>
            </w:r>
          </w:p>
        </w:tc>
        <w:tc>
          <w:tcPr>
            <w:tcW w:w="2182" w:type="dxa"/>
            <w:vAlign w:val="center"/>
          </w:tcPr>
          <w:p>
            <w:pPr>
              <w:pStyle w:val="12"/>
            </w:pPr>
            <w:r>
              <w:t>预算数</w:t>
            </w:r>
          </w:p>
        </w:tc>
        <w:tc>
          <w:tcPr>
            <w:tcW w:w="5118" w:type="dxa"/>
            <w:vAlign w:val="center"/>
          </w:tcPr>
          <w:p>
            <w:pPr>
              <w:pStyle w:val="12"/>
            </w:pPr>
            <w:r>
              <w:t>项  目</w:t>
            </w:r>
          </w:p>
        </w:tc>
        <w:tc>
          <w:tcPr>
            <w:tcW w:w="1971"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93" w:type="dxa"/>
            <w:vAlign w:val="center"/>
          </w:tcPr>
          <w:p>
            <w:pPr>
              <w:pStyle w:val="12"/>
            </w:pPr>
            <w:r>
              <w:t>栏次</w:t>
            </w:r>
          </w:p>
        </w:tc>
        <w:tc>
          <w:tcPr>
            <w:tcW w:w="4418" w:type="dxa"/>
            <w:vAlign w:val="center"/>
          </w:tcPr>
          <w:p>
            <w:pPr>
              <w:pStyle w:val="12"/>
            </w:pPr>
            <w:r>
              <w:t>1</w:t>
            </w:r>
          </w:p>
        </w:tc>
        <w:tc>
          <w:tcPr>
            <w:tcW w:w="2182" w:type="dxa"/>
            <w:vAlign w:val="center"/>
          </w:tcPr>
          <w:p>
            <w:pPr>
              <w:pStyle w:val="12"/>
            </w:pPr>
            <w:r>
              <w:t>2</w:t>
            </w:r>
          </w:p>
        </w:tc>
        <w:tc>
          <w:tcPr>
            <w:tcW w:w="5118" w:type="dxa"/>
            <w:vAlign w:val="center"/>
          </w:tcPr>
          <w:p>
            <w:pPr>
              <w:pStyle w:val="12"/>
            </w:pPr>
            <w:r>
              <w:t>3</w:t>
            </w:r>
          </w:p>
        </w:tc>
        <w:tc>
          <w:tcPr>
            <w:tcW w:w="1971"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w:t>
            </w:r>
          </w:p>
        </w:tc>
        <w:tc>
          <w:tcPr>
            <w:tcW w:w="4418" w:type="dxa"/>
            <w:vAlign w:val="center"/>
          </w:tcPr>
          <w:p>
            <w:pPr>
              <w:pStyle w:val="14"/>
            </w:pPr>
            <w:r>
              <w:t>一、一般公共预算拨款收入</w:t>
            </w:r>
          </w:p>
        </w:tc>
        <w:tc>
          <w:tcPr>
            <w:tcW w:w="2182" w:type="dxa"/>
            <w:vAlign w:val="center"/>
          </w:tcPr>
          <w:p>
            <w:pPr>
              <w:pStyle w:val="13"/>
            </w:pPr>
            <w:r>
              <w:t>160.34</w:t>
            </w:r>
          </w:p>
        </w:tc>
        <w:tc>
          <w:tcPr>
            <w:tcW w:w="5118" w:type="dxa"/>
            <w:vAlign w:val="center"/>
          </w:tcPr>
          <w:p>
            <w:pPr>
              <w:pStyle w:val="14"/>
            </w:pPr>
            <w:r>
              <w:t>一、一般公共服务支出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w:t>
            </w:r>
          </w:p>
        </w:tc>
        <w:tc>
          <w:tcPr>
            <w:tcW w:w="4418" w:type="dxa"/>
            <w:vAlign w:val="center"/>
          </w:tcPr>
          <w:p>
            <w:pPr>
              <w:pStyle w:val="14"/>
            </w:pPr>
            <w:r>
              <w:t>二、政府性基金预算拨款收入</w:t>
            </w:r>
          </w:p>
        </w:tc>
        <w:tc>
          <w:tcPr>
            <w:tcW w:w="2182" w:type="dxa"/>
            <w:vAlign w:val="center"/>
          </w:tcPr>
          <w:p>
            <w:pPr>
              <w:pStyle w:val="13"/>
            </w:pPr>
          </w:p>
        </w:tc>
        <w:tc>
          <w:tcPr>
            <w:tcW w:w="5118" w:type="dxa"/>
            <w:vAlign w:val="center"/>
          </w:tcPr>
          <w:p>
            <w:pPr>
              <w:pStyle w:val="14"/>
            </w:pPr>
            <w:r>
              <w:t>二、外交支出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w:t>
            </w:r>
          </w:p>
        </w:tc>
        <w:tc>
          <w:tcPr>
            <w:tcW w:w="4418" w:type="dxa"/>
            <w:vAlign w:val="center"/>
          </w:tcPr>
          <w:p>
            <w:pPr>
              <w:pStyle w:val="14"/>
            </w:pPr>
            <w:r>
              <w:t>三、国有资本经营预算拨款收入</w:t>
            </w:r>
          </w:p>
        </w:tc>
        <w:tc>
          <w:tcPr>
            <w:tcW w:w="2182" w:type="dxa"/>
            <w:vAlign w:val="center"/>
          </w:tcPr>
          <w:p>
            <w:pPr>
              <w:pStyle w:val="13"/>
            </w:pPr>
          </w:p>
        </w:tc>
        <w:tc>
          <w:tcPr>
            <w:tcW w:w="5118" w:type="dxa"/>
            <w:vAlign w:val="center"/>
          </w:tcPr>
          <w:p>
            <w:pPr>
              <w:pStyle w:val="14"/>
            </w:pPr>
            <w:r>
              <w:t>三、国防支出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4</w:t>
            </w:r>
          </w:p>
        </w:tc>
        <w:tc>
          <w:tcPr>
            <w:tcW w:w="4418" w:type="dxa"/>
            <w:vAlign w:val="center"/>
          </w:tcPr>
          <w:p>
            <w:pPr>
              <w:pStyle w:val="14"/>
            </w:pPr>
            <w:r>
              <w:t>四、财政专户管理资金收入</w:t>
            </w:r>
          </w:p>
        </w:tc>
        <w:tc>
          <w:tcPr>
            <w:tcW w:w="2182" w:type="dxa"/>
            <w:vAlign w:val="center"/>
          </w:tcPr>
          <w:p>
            <w:pPr>
              <w:pStyle w:val="13"/>
            </w:pPr>
          </w:p>
        </w:tc>
        <w:tc>
          <w:tcPr>
            <w:tcW w:w="5118" w:type="dxa"/>
            <w:vAlign w:val="center"/>
          </w:tcPr>
          <w:p>
            <w:pPr>
              <w:pStyle w:val="14"/>
            </w:pPr>
            <w:r>
              <w:t>四、公共安全支出</w:t>
            </w:r>
          </w:p>
        </w:tc>
        <w:tc>
          <w:tcPr>
            <w:tcW w:w="1971" w:type="dxa"/>
            <w:vAlign w:val="center"/>
          </w:tcPr>
          <w:p>
            <w:pPr>
              <w:pStyle w:val="13"/>
            </w:pPr>
            <w:r>
              <w:t>160.34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5</w:t>
            </w:r>
          </w:p>
        </w:tc>
        <w:tc>
          <w:tcPr>
            <w:tcW w:w="4418" w:type="dxa"/>
            <w:vAlign w:val="center"/>
          </w:tcPr>
          <w:p>
            <w:pPr>
              <w:pStyle w:val="14"/>
            </w:pPr>
            <w:r>
              <w:t>五、事业收入</w:t>
            </w:r>
          </w:p>
        </w:tc>
        <w:tc>
          <w:tcPr>
            <w:tcW w:w="2182" w:type="dxa"/>
            <w:vAlign w:val="center"/>
          </w:tcPr>
          <w:p>
            <w:pPr>
              <w:pStyle w:val="13"/>
            </w:pPr>
          </w:p>
        </w:tc>
        <w:tc>
          <w:tcPr>
            <w:tcW w:w="5118" w:type="dxa"/>
            <w:vAlign w:val="center"/>
          </w:tcPr>
          <w:p>
            <w:pPr>
              <w:pStyle w:val="14"/>
            </w:pPr>
            <w:r>
              <w:t>五、教育支出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6</w:t>
            </w:r>
          </w:p>
        </w:tc>
        <w:tc>
          <w:tcPr>
            <w:tcW w:w="4418" w:type="dxa"/>
            <w:vAlign w:val="center"/>
          </w:tcPr>
          <w:p>
            <w:pPr>
              <w:pStyle w:val="14"/>
            </w:pPr>
            <w:r>
              <w:t>六、事业单位经营收入</w:t>
            </w:r>
          </w:p>
        </w:tc>
        <w:tc>
          <w:tcPr>
            <w:tcW w:w="2182" w:type="dxa"/>
            <w:vAlign w:val="center"/>
          </w:tcPr>
          <w:p>
            <w:pPr>
              <w:pStyle w:val="13"/>
            </w:pPr>
          </w:p>
        </w:tc>
        <w:tc>
          <w:tcPr>
            <w:tcW w:w="5118" w:type="dxa"/>
            <w:vAlign w:val="center"/>
          </w:tcPr>
          <w:p>
            <w:pPr>
              <w:pStyle w:val="14"/>
            </w:pPr>
            <w:r>
              <w:t>六、科学技术支出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7</w:t>
            </w:r>
          </w:p>
        </w:tc>
        <w:tc>
          <w:tcPr>
            <w:tcW w:w="4418" w:type="dxa"/>
            <w:vAlign w:val="center"/>
          </w:tcPr>
          <w:p>
            <w:pPr>
              <w:pStyle w:val="14"/>
            </w:pPr>
            <w:r>
              <w:t>七、上级补助收入</w:t>
            </w:r>
          </w:p>
        </w:tc>
        <w:tc>
          <w:tcPr>
            <w:tcW w:w="2182" w:type="dxa"/>
            <w:vAlign w:val="center"/>
          </w:tcPr>
          <w:p>
            <w:pPr>
              <w:pStyle w:val="13"/>
            </w:pPr>
          </w:p>
        </w:tc>
        <w:tc>
          <w:tcPr>
            <w:tcW w:w="5118" w:type="dxa"/>
            <w:vAlign w:val="center"/>
          </w:tcPr>
          <w:p>
            <w:pPr>
              <w:pStyle w:val="14"/>
            </w:pPr>
            <w:r>
              <w:t>七、文化旅游体育与传媒支出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8</w:t>
            </w:r>
          </w:p>
        </w:tc>
        <w:tc>
          <w:tcPr>
            <w:tcW w:w="4418" w:type="dxa"/>
            <w:vAlign w:val="center"/>
          </w:tcPr>
          <w:p>
            <w:pPr>
              <w:pStyle w:val="14"/>
            </w:pPr>
            <w:r>
              <w:t>八、附属单位上缴收入</w:t>
            </w:r>
          </w:p>
        </w:tc>
        <w:tc>
          <w:tcPr>
            <w:tcW w:w="2182" w:type="dxa"/>
            <w:vAlign w:val="center"/>
          </w:tcPr>
          <w:p>
            <w:pPr>
              <w:pStyle w:val="13"/>
            </w:pPr>
          </w:p>
        </w:tc>
        <w:tc>
          <w:tcPr>
            <w:tcW w:w="5118" w:type="dxa"/>
            <w:vAlign w:val="center"/>
          </w:tcPr>
          <w:p>
            <w:pPr>
              <w:pStyle w:val="14"/>
            </w:pPr>
            <w:r>
              <w:t>八、社会保障和就业支出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9</w:t>
            </w:r>
          </w:p>
        </w:tc>
        <w:tc>
          <w:tcPr>
            <w:tcW w:w="4418" w:type="dxa"/>
            <w:vAlign w:val="center"/>
          </w:tcPr>
          <w:p>
            <w:pPr>
              <w:pStyle w:val="14"/>
            </w:pPr>
            <w:r>
              <w:t>九、其他收入</w:t>
            </w:r>
          </w:p>
        </w:tc>
        <w:tc>
          <w:tcPr>
            <w:tcW w:w="2182" w:type="dxa"/>
            <w:vAlign w:val="center"/>
          </w:tcPr>
          <w:p>
            <w:pPr>
              <w:pStyle w:val="13"/>
            </w:pPr>
          </w:p>
        </w:tc>
        <w:tc>
          <w:tcPr>
            <w:tcW w:w="5118" w:type="dxa"/>
            <w:vAlign w:val="center"/>
          </w:tcPr>
          <w:p>
            <w:pPr>
              <w:pStyle w:val="14"/>
            </w:pPr>
            <w:r>
              <w:t>九、社会保险基金支出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10</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十、卫生健康支出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11</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十一、节能环保支出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12</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十二、城乡社区支出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13</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十三、农林水支出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14</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十四、交通运输支出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15</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十五、资源勘探工业信息等支出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16</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十六、商业服务业等支出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17</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十七、金融支出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18</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十八、援助其他地区支出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19</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十九、自然资源海洋气象等支出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20</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二十、住房保障支出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21</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二十一、粮油物资储备支出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22</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二十二、国有资本经营预算支出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23</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二十三、灾害防治及应急管理支出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24</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二十四、预备费</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25</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二十五、其他支出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26</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二十六、转移性支出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27</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二十七、债务还本支出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28</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二十八、债务付息支出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29</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二十九、债务发行费用支出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30</w:t>
            </w:r>
          </w:p>
        </w:tc>
        <w:tc>
          <w:tcPr>
            <w:tcW w:w="4418" w:type="dxa"/>
            <w:vAlign w:val="center"/>
          </w:tcPr>
          <w:p>
            <w:pPr>
              <w:pStyle w:val="14"/>
            </w:pPr>
          </w:p>
        </w:tc>
        <w:tc>
          <w:tcPr>
            <w:tcW w:w="2182" w:type="dxa"/>
            <w:vAlign w:val="center"/>
          </w:tcPr>
          <w:p>
            <w:pPr>
              <w:pStyle w:val="13"/>
            </w:pPr>
          </w:p>
        </w:tc>
        <w:tc>
          <w:tcPr>
            <w:tcW w:w="5118" w:type="dxa"/>
            <w:vAlign w:val="center"/>
          </w:tcPr>
          <w:p>
            <w:pPr>
              <w:pStyle w:val="14"/>
            </w:pPr>
            <w:r>
              <w:t>三十、抗疫特别国债安排的支出</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31</w:t>
            </w:r>
          </w:p>
        </w:tc>
        <w:tc>
          <w:tcPr>
            <w:tcW w:w="4418" w:type="dxa"/>
            <w:vAlign w:val="center"/>
          </w:tcPr>
          <w:p>
            <w:pPr>
              <w:pStyle w:val="16"/>
            </w:pPr>
            <w:r>
              <w:t>本年收入合计</w:t>
            </w:r>
          </w:p>
        </w:tc>
        <w:tc>
          <w:tcPr>
            <w:tcW w:w="2182" w:type="dxa"/>
            <w:vAlign w:val="center"/>
          </w:tcPr>
          <w:p>
            <w:pPr>
              <w:pStyle w:val="17"/>
            </w:pPr>
            <w:r>
              <w:t>160.34</w:t>
            </w:r>
          </w:p>
        </w:tc>
        <w:tc>
          <w:tcPr>
            <w:tcW w:w="5118" w:type="dxa"/>
            <w:vAlign w:val="center"/>
          </w:tcPr>
          <w:p>
            <w:pPr>
              <w:pStyle w:val="16"/>
            </w:pPr>
            <w:r>
              <w:t>本年支出合计</w:t>
            </w:r>
          </w:p>
        </w:tc>
        <w:tc>
          <w:tcPr>
            <w:tcW w:w="1971" w:type="dxa"/>
            <w:vAlign w:val="center"/>
          </w:tcPr>
          <w:p>
            <w:pPr>
              <w:pStyle w:val="17"/>
            </w:pPr>
            <w:r>
              <w:t>160.34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32</w:t>
            </w:r>
          </w:p>
        </w:tc>
        <w:tc>
          <w:tcPr>
            <w:tcW w:w="4418" w:type="dxa"/>
            <w:vAlign w:val="center"/>
          </w:tcPr>
          <w:p>
            <w:pPr>
              <w:pStyle w:val="14"/>
            </w:pPr>
            <w:r>
              <w:t>上年结转结余</w:t>
            </w:r>
          </w:p>
        </w:tc>
        <w:tc>
          <w:tcPr>
            <w:tcW w:w="2182" w:type="dxa"/>
            <w:vAlign w:val="center"/>
          </w:tcPr>
          <w:p>
            <w:pPr>
              <w:pStyle w:val="13"/>
            </w:pPr>
          </w:p>
        </w:tc>
        <w:tc>
          <w:tcPr>
            <w:tcW w:w="5118" w:type="dxa"/>
            <w:vAlign w:val="center"/>
          </w:tcPr>
          <w:p>
            <w:pPr>
              <w:pStyle w:val="14"/>
            </w:pPr>
            <w:r>
              <w:t>年终结转结余</w:t>
            </w:r>
          </w:p>
        </w:tc>
        <w:tc>
          <w:tcPr>
            <w:tcW w:w="197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93" w:type="dxa"/>
            <w:vAlign w:val="center"/>
          </w:tcPr>
          <w:p>
            <w:pPr>
              <w:pStyle w:val="15"/>
            </w:pPr>
            <w:r>
              <w:t>33</w:t>
            </w:r>
          </w:p>
        </w:tc>
        <w:tc>
          <w:tcPr>
            <w:tcW w:w="4418" w:type="dxa"/>
            <w:vAlign w:val="center"/>
          </w:tcPr>
          <w:p>
            <w:pPr>
              <w:pStyle w:val="16"/>
            </w:pPr>
            <w:r>
              <w:t>收入总计</w:t>
            </w:r>
          </w:p>
        </w:tc>
        <w:tc>
          <w:tcPr>
            <w:tcW w:w="2182" w:type="dxa"/>
            <w:vAlign w:val="center"/>
          </w:tcPr>
          <w:p>
            <w:pPr>
              <w:pStyle w:val="17"/>
            </w:pPr>
            <w:r>
              <w:t>160.34</w:t>
            </w:r>
          </w:p>
        </w:tc>
        <w:tc>
          <w:tcPr>
            <w:tcW w:w="5118" w:type="dxa"/>
            <w:vAlign w:val="center"/>
          </w:tcPr>
          <w:p>
            <w:pPr>
              <w:pStyle w:val="16"/>
            </w:pPr>
            <w:r>
              <w:t>支出总计</w:t>
            </w:r>
          </w:p>
        </w:tc>
        <w:tc>
          <w:tcPr>
            <w:tcW w:w="1971" w:type="dxa"/>
            <w:vAlign w:val="center"/>
          </w:tcPr>
          <w:p>
            <w:pPr>
              <w:pStyle w:val="17"/>
            </w:pPr>
            <w:r>
              <w:t>160.34</w:t>
            </w:r>
          </w:p>
        </w:tc>
      </w:tr>
    </w:tbl>
    <w:p>
      <w:pPr>
        <w:sectPr>
          <w:footerReference r:id="rId3" w:type="default"/>
          <w:footerReference r:id="rId4" w:type="even"/>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5"/>
        <w:gridCol w:w="1132"/>
        <w:gridCol w:w="3613"/>
        <w:gridCol w:w="1064"/>
        <w:gridCol w:w="1377"/>
        <w:gridCol w:w="1164"/>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11" w:type="dxa"/>
            <w:gridSpan w:val="5"/>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2680" w:type="dxa"/>
            <w:gridSpan w:val="3"/>
            <w:tcBorders>
              <w:top w:val="single" w:color="FFFFFF" w:sz="6" w:space="0"/>
              <w:left w:val="single" w:color="FFFFFF" w:sz="6" w:space="0"/>
              <w:right w:val="single" w:color="FFFFFF" w:sz="6" w:space="0"/>
            </w:tcBorders>
            <w:vAlign w:val="center"/>
          </w:tcPr>
          <w:p>
            <w:pPr>
              <w:pStyle w:val="10"/>
            </w:pPr>
            <w:r>
              <w:t>预算年度：2022</w:t>
            </w:r>
          </w:p>
        </w:tc>
        <w:tc>
          <w:tcPr>
            <w:tcW w:w="3790"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5" w:type="dxa"/>
            <w:vMerge w:val="restart"/>
            <w:vAlign w:val="center"/>
          </w:tcPr>
          <w:p>
            <w:pPr>
              <w:pStyle w:val="12"/>
            </w:pPr>
            <w:r>
              <w:t>序号</w:t>
            </w:r>
          </w:p>
        </w:tc>
        <w:tc>
          <w:tcPr>
            <w:tcW w:w="4745" w:type="dxa"/>
            <w:gridSpan w:val="2"/>
            <w:vAlign w:val="center"/>
          </w:tcPr>
          <w:p>
            <w:pPr>
              <w:pStyle w:val="12"/>
            </w:pPr>
            <w:r>
              <w:t>功能分类科目</w:t>
            </w:r>
          </w:p>
        </w:tc>
        <w:tc>
          <w:tcPr>
            <w:tcW w:w="1064" w:type="dxa"/>
            <w:vMerge w:val="restart"/>
            <w:vAlign w:val="center"/>
          </w:tcPr>
          <w:p>
            <w:pPr>
              <w:pStyle w:val="12"/>
            </w:pPr>
            <w:r>
              <w:t>合计</w:t>
            </w:r>
          </w:p>
        </w:tc>
        <w:tc>
          <w:tcPr>
            <w:tcW w:w="7089" w:type="dxa"/>
            <w:gridSpan w:val="8"/>
            <w:vAlign w:val="center"/>
          </w:tcPr>
          <w:p>
            <w:pPr>
              <w:pStyle w:val="12"/>
            </w:pPr>
            <w:r>
              <w:t>本年收入</w:t>
            </w:r>
          </w:p>
        </w:tc>
        <w:tc>
          <w:tcPr>
            <w:tcW w:w="758"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5" w:type="dxa"/>
            <w:vMerge w:val="continue"/>
          </w:tcPr>
          <w:p/>
        </w:tc>
        <w:tc>
          <w:tcPr>
            <w:tcW w:w="1132" w:type="dxa"/>
            <w:vAlign w:val="center"/>
          </w:tcPr>
          <w:p>
            <w:pPr>
              <w:pStyle w:val="12"/>
            </w:pPr>
            <w:r>
              <w:t>科目    编码</w:t>
            </w:r>
          </w:p>
        </w:tc>
        <w:tc>
          <w:tcPr>
            <w:tcW w:w="3613" w:type="dxa"/>
            <w:vAlign w:val="center"/>
          </w:tcPr>
          <w:p>
            <w:pPr>
              <w:pStyle w:val="12"/>
            </w:pPr>
            <w:r>
              <w:t>科目名称</w:t>
            </w:r>
          </w:p>
        </w:tc>
        <w:tc>
          <w:tcPr>
            <w:tcW w:w="1064" w:type="dxa"/>
            <w:vMerge w:val="continue"/>
          </w:tcPr>
          <w:p/>
        </w:tc>
        <w:tc>
          <w:tcPr>
            <w:tcW w:w="1377" w:type="dxa"/>
            <w:vAlign w:val="center"/>
          </w:tcPr>
          <w:p>
            <w:pPr>
              <w:pStyle w:val="12"/>
            </w:pPr>
            <w:r>
              <w:t>小计</w:t>
            </w:r>
          </w:p>
        </w:tc>
        <w:tc>
          <w:tcPr>
            <w:tcW w:w="1164" w:type="dxa"/>
            <w:vAlign w:val="center"/>
          </w:tcPr>
          <w:p>
            <w:pPr>
              <w:pStyle w:val="12"/>
            </w:pPr>
            <w:r>
              <w:t>财政拨款 收入</w:t>
            </w:r>
          </w:p>
        </w:tc>
        <w:tc>
          <w:tcPr>
            <w:tcW w:w="758" w:type="dxa"/>
            <w:vAlign w:val="center"/>
          </w:tcPr>
          <w:p>
            <w:pPr>
              <w:pStyle w:val="12"/>
            </w:pPr>
            <w:r>
              <w:t>财政专户 收入</w:t>
            </w:r>
          </w:p>
        </w:tc>
        <w:tc>
          <w:tcPr>
            <w:tcW w:w="758" w:type="dxa"/>
            <w:vAlign w:val="center"/>
          </w:tcPr>
          <w:p>
            <w:pPr>
              <w:pStyle w:val="12"/>
            </w:pPr>
            <w:r>
              <w:t>事业收入</w:t>
            </w:r>
          </w:p>
        </w:tc>
        <w:tc>
          <w:tcPr>
            <w:tcW w:w="758" w:type="dxa"/>
            <w:vAlign w:val="center"/>
          </w:tcPr>
          <w:p>
            <w:pPr>
              <w:pStyle w:val="12"/>
            </w:pPr>
            <w:r>
              <w:t>经营收入</w:t>
            </w:r>
          </w:p>
        </w:tc>
        <w:tc>
          <w:tcPr>
            <w:tcW w:w="758" w:type="dxa"/>
            <w:vAlign w:val="center"/>
          </w:tcPr>
          <w:p>
            <w:pPr>
              <w:pStyle w:val="12"/>
            </w:pPr>
            <w:r>
              <w:t>上级补助收入</w:t>
            </w:r>
          </w:p>
        </w:tc>
        <w:tc>
          <w:tcPr>
            <w:tcW w:w="758" w:type="dxa"/>
            <w:vAlign w:val="center"/>
          </w:tcPr>
          <w:p>
            <w:pPr>
              <w:pStyle w:val="12"/>
            </w:pPr>
            <w:r>
              <w:t>附属单位上缴收入</w:t>
            </w:r>
          </w:p>
        </w:tc>
        <w:tc>
          <w:tcPr>
            <w:tcW w:w="758" w:type="dxa"/>
            <w:vAlign w:val="center"/>
          </w:tcPr>
          <w:p>
            <w:pPr>
              <w:pStyle w:val="12"/>
            </w:pPr>
            <w:r>
              <w:t>其他收入</w:t>
            </w:r>
          </w:p>
        </w:tc>
        <w:tc>
          <w:tcPr>
            <w:tcW w:w="758"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5" w:type="dxa"/>
            <w:vAlign w:val="center"/>
          </w:tcPr>
          <w:p>
            <w:pPr>
              <w:pStyle w:val="12"/>
            </w:pPr>
            <w:r>
              <w:t>栏次</w:t>
            </w:r>
          </w:p>
        </w:tc>
        <w:tc>
          <w:tcPr>
            <w:tcW w:w="1132" w:type="dxa"/>
            <w:vAlign w:val="center"/>
          </w:tcPr>
          <w:p>
            <w:pPr>
              <w:pStyle w:val="12"/>
            </w:pPr>
            <w:r>
              <w:t>1</w:t>
            </w:r>
          </w:p>
        </w:tc>
        <w:tc>
          <w:tcPr>
            <w:tcW w:w="3613" w:type="dxa"/>
            <w:vAlign w:val="center"/>
          </w:tcPr>
          <w:p>
            <w:pPr>
              <w:pStyle w:val="12"/>
            </w:pPr>
            <w:r>
              <w:t>2</w:t>
            </w:r>
          </w:p>
        </w:tc>
        <w:tc>
          <w:tcPr>
            <w:tcW w:w="1064" w:type="dxa"/>
            <w:vAlign w:val="center"/>
          </w:tcPr>
          <w:p>
            <w:pPr>
              <w:pStyle w:val="12"/>
            </w:pPr>
            <w:r>
              <w:t>3</w:t>
            </w:r>
          </w:p>
        </w:tc>
        <w:tc>
          <w:tcPr>
            <w:tcW w:w="1377" w:type="dxa"/>
            <w:vAlign w:val="center"/>
          </w:tcPr>
          <w:p>
            <w:pPr>
              <w:pStyle w:val="12"/>
            </w:pPr>
            <w:r>
              <w:t>4</w:t>
            </w:r>
          </w:p>
        </w:tc>
        <w:tc>
          <w:tcPr>
            <w:tcW w:w="1164" w:type="dxa"/>
            <w:vAlign w:val="center"/>
          </w:tcPr>
          <w:p>
            <w:pPr>
              <w:pStyle w:val="12"/>
            </w:pPr>
            <w:r>
              <w:t>5</w:t>
            </w:r>
          </w:p>
        </w:tc>
        <w:tc>
          <w:tcPr>
            <w:tcW w:w="758" w:type="dxa"/>
            <w:vAlign w:val="center"/>
          </w:tcPr>
          <w:p>
            <w:pPr>
              <w:pStyle w:val="12"/>
            </w:pPr>
            <w:r>
              <w:t>6</w:t>
            </w:r>
          </w:p>
        </w:tc>
        <w:tc>
          <w:tcPr>
            <w:tcW w:w="758" w:type="dxa"/>
            <w:vAlign w:val="center"/>
          </w:tcPr>
          <w:p>
            <w:pPr>
              <w:pStyle w:val="12"/>
            </w:pPr>
            <w:r>
              <w:t>7</w:t>
            </w:r>
          </w:p>
        </w:tc>
        <w:tc>
          <w:tcPr>
            <w:tcW w:w="758" w:type="dxa"/>
            <w:vAlign w:val="center"/>
          </w:tcPr>
          <w:p>
            <w:pPr>
              <w:pStyle w:val="12"/>
            </w:pPr>
            <w:r>
              <w:t>8</w:t>
            </w:r>
          </w:p>
        </w:tc>
        <w:tc>
          <w:tcPr>
            <w:tcW w:w="758" w:type="dxa"/>
            <w:vAlign w:val="center"/>
          </w:tcPr>
          <w:p>
            <w:pPr>
              <w:pStyle w:val="12"/>
            </w:pPr>
            <w:r>
              <w:t>9</w:t>
            </w:r>
          </w:p>
        </w:tc>
        <w:tc>
          <w:tcPr>
            <w:tcW w:w="758" w:type="dxa"/>
            <w:vAlign w:val="center"/>
          </w:tcPr>
          <w:p>
            <w:pPr>
              <w:pStyle w:val="12"/>
            </w:pPr>
            <w:r>
              <w:t>10</w:t>
            </w:r>
          </w:p>
        </w:tc>
        <w:tc>
          <w:tcPr>
            <w:tcW w:w="758" w:type="dxa"/>
            <w:vAlign w:val="center"/>
          </w:tcPr>
          <w:p>
            <w:pPr>
              <w:pStyle w:val="12"/>
            </w:pPr>
            <w:r>
              <w:t>11</w:t>
            </w:r>
          </w:p>
        </w:tc>
        <w:tc>
          <w:tcPr>
            <w:tcW w:w="758"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1</w:t>
            </w:r>
          </w:p>
        </w:tc>
        <w:tc>
          <w:tcPr>
            <w:tcW w:w="1132" w:type="dxa"/>
            <w:vAlign w:val="center"/>
          </w:tcPr>
          <w:p>
            <w:pPr>
              <w:pStyle w:val="18"/>
            </w:pPr>
          </w:p>
        </w:tc>
        <w:tc>
          <w:tcPr>
            <w:tcW w:w="3613" w:type="dxa"/>
            <w:vAlign w:val="center"/>
          </w:tcPr>
          <w:p>
            <w:pPr>
              <w:pStyle w:val="16"/>
            </w:pPr>
            <w:r>
              <w:t>合计</w:t>
            </w:r>
          </w:p>
        </w:tc>
        <w:tc>
          <w:tcPr>
            <w:tcW w:w="1064" w:type="dxa"/>
            <w:vAlign w:val="center"/>
          </w:tcPr>
          <w:p>
            <w:pPr>
              <w:pStyle w:val="17"/>
            </w:pPr>
            <w:r>
              <w:t>160.34</w:t>
            </w:r>
          </w:p>
        </w:tc>
        <w:tc>
          <w:tcPr>
            <w:tcW w:w="1377" w:type="dxa"/>
            <w:vAlign w:val="center"/>
          </w:tcPr>
          <w:p>
            <w:pPr>
              <w:pStyle w:val="17"/>
            </w:pPr>
            <w:r>
              <w:t>160.34</w:t>
            </w:r>
          </w:p>
        </w:tc>
        <w:tc>
          <w:tcPr>
            <w:tcW w:w="1164" w:type="dxa"/>
            <w:vAlign w:val="center"/>
          </w:tcPr>
          <w:p>
            <w:pPr>
              <w:pStyle w:val="17"/>
            </w:pPr>
            <w:r>
              <w:t>160.34</w:t>
            </w: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c>
          <w:tcPr>
            <w:tcW w:w="758"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2</w:t>
            </w:r>
          </w:p>
        </w:tc>
        <w:tc>
          <w:tcPr>
            <w:tcW w:w="1132" w:type="dxa"/>
            <w:vAlign w:val="center"/>
          </w:tcPr>
          <w:p>
            <w:pPr>
              <w:pStyle w:val="14"/>
            </w:pPr>
            <w:r>
              <w:t>204</w:t>
            </w:r>
          </w:p>
        </w:tc>
        <w:tc>
          <w:tcPr>
            <w:tcW w:w="3613" w:type="dxa"/>
            <w:vAlign w:val="center"/>
          </w:tcPr>
          <w:p>
            <w:pPr>
              <w:pStyle w:val="14"/>
            </w:pPr>
            <w:r>
              <w:t>公共安全支出</w:t>
            </w:r>
          </w:p>
        </w:tc>
        <w:tc>
          <w:tcPr>
            <w:tcW w:w="1064" w:type="dxa"/>
            <w:vAlign w:val="center"/>
          </w:tcPr>
          <w:p>
            <w:pPr>
              <w:pStyle w:val="13"/>
            </w:pPr>
            <w:r>
              <w:t>160.34</w:t>
            </w:r>
          </w:p>
        </w:tc>
        <w:tc>
          <w:tcPr>
            <w:tcW w:w="1377" w:type="dxa"/>
            <w:vAlign w:val="center"/>
          </w:tcPr>
          <w:p>
            <w:pPr>
              <w:pStyle w:val="13"/>
            </w:pPr>
            <w:r>
              <w:t>160.34</w:t>
            </w:r>
          </w:p>
        </w:tc>
        <w:tc>
          <w:tcPr>
            <w:tcW w:w="1164" w:type="dxa"/>
            <w:vAlign w:val="center"/>
          </w:tcPr>
          <w:p>
            <w:pPr>
              <w:pStyle w:val="13"/>
            </w:pPr>
            <w:r>
              <w:t>160.34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3</w:t>
            </w:r>
          </w:p>
        </w:tc>
        <w:tc>
          <w:tcPr>
            <w:tcW w:w="1132" w:type="dxa"/>
            <w:vAlign w:val="center"/>
          </w:tcPr>
          <w:p>
            <w:pPr>
              <w:pStyle w:val="14"/>
            </w:pPr>
            <w:r>
              <w:t>20404</w:t>
            </w:r>
          </w:p>
        </w:tc>
        <w:tc>
          <w:tcPr>
            <w:tcW w:w="3613" w:type="dxa"/>
            <w:vAlign w:val="center"/>
          </w:tcPr>
          <w:p>
            <w:pPr>
              <w:pStyle w:val="14"/>
            </w:pPr>
            <w:r>
              <w:t>检察</w:t>
            </w:r>
          </w:p>
        </w:tc>
        <w:tc>
          <w:tcPr>
            <w:tcW w:w="1064" w:type="dxa"/>
            <w:vAlign w:val="center"/>
          </w:tcPr>
          <w:p>
            <w:pPr>
              <w:pStyle w:val="13"/>
            </w:pPr>
            <w:r>
              <w:t>160.34</w:t>
            </w:r>
          </w:p>
        </w:tc>
        <w:tc>
          <w:tcPr>
            <w:tcW w:w="1377" w:type="dxa"/>
            <w:vAlign w:val="center"/>
          </w:tcPr>
          <w:p>
            <w:pPr>
              <w:pStyle w:val="13"/>
            </w:pPr>
            <w:r>
              <w:t>160.34</w:t>
            </w:r>
          </w:p>
        </w:tc>
        <w:tc>
          <w:tcPr>
            <w:tcW w:w="1164" w:type="dxa"/>
            <w:vAlign w:val="center"/>
          </w:tcPr>
          <w:p>
            <w:pPr>
              <w:pStyle w:val="13"/>
            </w:pPr>
            <w:r>
              <w:t>160.34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25" w:type="dxa"/>
            <w:vAlign w:val="center"/>
          </w:tcPr>
          <w:p>
            <w:pPr>
              <w:pStyle w:val="15"/>
            </w:pPr>
            <w:r>
              <w:t>4</w:t>
            </w:r>
          </w:p>
        </w:tc>
        <w:tc>
          <w:tcPr>
            <w:tcW w:w="1132" w:type="dxa"/>
            <w:vAlign w:val="center"/>
          </w:tcPr>
          <w:p>
            <w:pPr>
              <w:pStyle w:val="14"/>
            </w:pPr>
            <w:r>
              <w:t>2040402</w:t>
            </w:r>
          </w:p>
        </w:tc>
        <w:tc>
          <w:tcPr>
            <w:tcW w:w="3613" w:type="dxa"/>
            <w:vAlign w:val="center"/>
          </w:tcPr>
          <w:p>
            <w:pPr>
              <w:pStyle w:val="14"/>
            </w:pPr>
            <w:r>
              <w:t>一般行政管理事务</w:t>
            </w:r>
          </w:p>
        </w:tc>
        <w:tc>
          <w:tcPr>
            <w:tcW w:w="1064" w:type="dxa"/>
            <w:vAlign w:val="center"/>
          </w:tcPr>
          <w:p>
            <w:pPr>
              <w:pStyle w:val="13"/>
            </w:pPr>
            <w:r>
              <w:t>160.34</w:t>
            </w:r>
          </w:p>
        </w:tc>
        <w:tc>
          <w:tcPr>
            <w:tcW w:w="1377" w:type="dxa"/>
            <w:vAlign w:val="center"/>
          </w:tcPr>
          <w:p>
            <w:pPr>
              <w:pStyle w:val="13"/>
            </w:pPr>
            <w:r>
              <w:t>160.34</w:t>
            </w:r>
          </w:p>
        </w:tc>
        <w:tc>
          <w:tcPr>
            <w:tcW w:w="1164" w:type="dxa"/>
            <w:vAlign w:val="center"/>
          </w:tcPr>
          <w:p>
            <w:pPr>
              <w:pStyle w:val="13"/>
            </w:pPr>
            <w:r>
              <w:t>160.34</w:t>
            </w: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c>
          <w:tcPr>
            <w:tcW w:w="758"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62"/>
        <w:gridCol w:w="1568"/>
        <w:gridCol w:w="5168"/>
        <w:gridCol w:w="1309"/>
        <w:gridCol w:w="1241"/>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98"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2550" w:type="dxa"/>
            <w:gridSpan w:val="2"/>
            <w:tcBorders>
              <w:top w:val="single" w:color="FFFFFF" w:sz="6" w:space="0"/>
              <w:left w:val="single" w:color="FFFFFF" w:sz="6" w:space="0"/>
              <w:right w:val="single" w:color="FFFFFF" w:sz="6" w:space="0"/>
            </w:tcBorders>
            <w:vAlign w:val="center"/>
          </w:tcPr>
          <w:p>
            <w:pPr>
              <w:pStyle w:val="10"/>
            </w:pPr>
            <w:r>
              <w:t>预算年度：2022</w:t>
            </w:r>
          </w:p>
        </w:tc>
        <w:tc>
          <w:tcPr>
            <w:tcW w:w="4380"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2" w:type="dxa"/>
            <w:vMerge w:val="restart"/>
            <w:vAlign w:val="center"/>
          </w:tcPr>
          <w:p>
            <w:pPr>
              <w:pStyle w:val="12"/>
            </w:pPr>
            <w:r>
              <w:t>序号</w:t>
            </w:r>
          </w:p>
        </w:tc>
        <w:tc>
          <w:tcPr>
            <w:tcW w:w="6736" w:type="dxa"/>
            <w:gridSpan w:val="2"/>
            <w:vAlign w:val="center"/>
          </w:tcPr>
          <w:p>
            <w:pPr>
              <w:pStyle w:val="12"/>
            </w:pPr>
            <w:r>
              <w:t>功能分类科目</w:t>
            </w:r>
          </w:p>
        </w:tc>
        <w:tc>
          <w:tcPr>
            <w:tcW w:w="1309" w:type="dxa"/>
            <w:vMerge w:val="restart"/>
            <w:vAlign w:val="center"/>
          </w:tcPr>
          <w:p>
            <w:pPr>
              <w:pStyle w:val="12"/>
            </w:pPr>
            <w:r>
              <w:t>合计</w:t>
            </w:r>
          </w:p>
        </w:tc>
        <w:tc>
          <w:tcPr>
            <w:tcW w:w="1241" w:type="dxa"/>
            <w:vMerge w:val="restart"/>
            <w:vAlign w:val="center"/>
          </w:tcPr>
          <w:p>
            <w:pPr>
              <w:pStyle w:val="12"/>
            </w:pPr>
            <w:r>
              <w:t>基本支出</w:t>
            </w:r>
          </w:p>
        </w:tc>
        <w:tc>
          <w:tcPr>
            <w:tcW w:w="1095" w:type="dxa"/>
            <w:vMerge w:val="restart"/>
            <w:vAlign w:val="center"/>
          </w:tcPr>
          <w:p>
            <w:pPr>
              <w:pStyle w:val="12"/>
            </w:pPr>
            <w:r>
              <w:t>项目支出</w:t>
            </w:r>
          </w:p>
        </w:tc>
        <w:tc>
          <w:tcPr>
            <w:tcW w:w="1095" w:type="dxa"/>
            <w:vMerge w:val="restart"/>
            <w:vAlign w:val="center"/>
          </w:tcPr>
          <w:p>
            <w:pPr>
              <w:pStyle w:val="12"/>
            </w:pPr>
            <w:r>
              <w:t>经营支出</w:t>
            </w:r>
          </w:p>
        </w:tc>
        <w:tc>
          <w:tcPr>
            <w:tcW w:w="1095" w:type="dxa"/>
            <w:vMerge w:val="restart"/>
            <w:vAlign w:val="center"/>
          </w:tcPr>
          <w:p>
            <w:pPr>
              <w:pStyle w:val="12"/>
            </w:pPr>
            <w:r>
              <w:t>上解上级     支出</w:t>
            </w:r>
          </w:p>
        </w:tc>
        <w:tc>
          <w:tcPr>
            <w:tcW w:w="1095"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2" w:type="dxa"/>
            <w:vMerge w:val="continue"/>
          </w:tcPr>
          <w:p/>
        </w:tc>
        <w:tc>
          <w:tcPr>
            <w:tcW w:w="1568" w:type="dxa"/>
            <w:vAlign w:val="center"/>
          </w:tcPr>
          <w:p>
            <w:pPr>
              <w:pStyle w:val="12"/>
            </w:pPr>
            <w:r>
              <w:t>科目    编码</w:t>
            </w:r>
          </w:p>
        </w:tc>
        <w:tc>
          <w:tcPr>
            <w:tcW w:w="5168" w:type="dxa"/>
            <w:vAlign w:val="center"/>
          </w:tcPr>
          <w:p>
            <w:pPr>
              <w:pStyle w:val="12"/>
            </w:pPr>
            <w:r>
              <w:t>科目名称</w:t>
            </w:r>
          </w:p>
        </w:tc>
        <w:tc>
          <w:tcPr>
            <w:tcW w:w="1309" w:type="dxa"/>
            <w:vMerge w:val="continue"/>
          </w:tcPr>
          <w:p/>
        </w:tc>
        <w:tc>
          <w:tcPr>
            <w:tcW w:w="1241"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62" w:type="dxa"/>
            <w:vAlign w:val="center"/>
          </w:tcPr>
          <w:p>
            <w:pPr>
              <w:pStyle w:val="12"/>
            </w:pPr>
            <w:r>
              <w:t>栏次</w:t>
            </w:r>
          </w:p>
        </w:tc>
        <w:tc>
          <w:tcPr>
            <w:tcW w:w="1568" w:type="dxa"/>
            <w:vAlign w:val="center"/>
          </w:tcPr>
          <w:p>
            <w:pPr>
              <w:pStyle w:val="12"/>
            </w:pPr>
            <w:r>
              <w:t>1</w:t>
            </w:r>
          </w:p>
        </w:tc>
        <w:tc>
          <w:tcPr>
            <w:tcW w:w="5168" w:type="dxa"/>
            <w:vAlign w:val="center"/>
          </w:tcPr>
          <w:p>
            <w:pPr>
              <w:pStyle w:val="12"/>
            </w:pPr>
            <w:r>
              <w:t>2</w:t>
            </w:r>
          </w:p>
        </w:tc>
        <w:tc>
          <w:tcPr>
            <w:tcW w:w="1309" w:type="dxa"/>
            <w:vAlign w:val="center"/>
          </w:tcPr>
          <w:p>
            <w:pPr>
              <w:pStyle w:val="12"/>
            </w:pPr>
            <w:r>
              <w:t>3</w:t>
            </w:r>
          </w:p>
        </w:tc>
        <w:tc>
          <w:tcPr>
            <w:tcW w:w="1241" w:type="dxa"/>
            <w:vAlign w:val="center"/>
          </w:tcPr>
          <w:p>
            <w:pPr>
              <w:pStyle w:val="12"/>
            </w:pPr>
            <w:r>
              <w:t>4</w:t>
            </w:r>
          </w:p>
        </w:tc>
        <w:tc>
          <w:tcPr>
            <w:tcW w:w="1095" w:type="dxa"/>
            <w:vAlign w:val="center"/>
          </w:tcPr>
          <w:p>
            <w:pPr>
              <w:pStyle w:val="12"/>
            </w:pPr>
            <w:r>
              <w:t>5</w:t>
            </w:r>
          </w:p>
        </w:tc>
        <w:tc>
          <w:tcPr>
            <w:tcW w:w="1095" w:type="dxa"/>
            <w:vAlign w:val="center"/>
          </w:tcPr>
          <w:p>
            <w:pPr>
              <w:pStyle w:val="12"/>
            </w:pPr>
            <w:r>
              <w:t>6</w:t>
            </w:r>
          </w:p>
        </w:tc>
        <w:tc>
          <w:tcPr>
            <w:tcW w:w="1095" w:type="dxa"/>
            <w:vAlign w:val="center"/>
          </w:tcPr>
          <w:p>
            <w:pPr>
              <w:pStyle w:val="12"/>
            </w:pPr>
            <w:r>
              <w:t>7</w:t>
            </w:r>
          </w:p>
        </w:tc>
        <w:tc>
          <w:tcPr>
            <w:tcW w:w="1095"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1</w:t>
            </w:r>
          </w:p>
        </w:tc>
        <w:tc>
          <w:tcPr>
            <w:tcW w:w="1568" w:type="dxa"/>
            <w:vAlign w:val="center"/>
          </w:tcPr>
          <w:p>
            <w:pPr>
              <w:pStyle w:val="18"/>
            </w:pPr>
          </w:p>
        </w:tc>
        <w:tc>
          <w:tcPr>
            <w:tcW w:w="5168" w:type="dxa"/>
            <w:vAlign w:val="center"/>
          </w:tcPr>
          <w:p>
            <w:pPr>
              <w:pStyle w:val="16"/>
            </w:pPr>
            <w:r>
              <w:t>合计</w:t>
            </w:r>
          </w:p>
        </w:tc>
        <w:tc>
          <w:tcPr>
            <w:tcW w:w="1309" w:type="dxa"/>
            <w:vAlign w:val="center"/>
          </w:tcPr>
          <w:p>
            <w:pPr>
              <w:pStyle w:val="17"/>
            </w:pPr>
            <w:r>
              <w:t>160.34</w:t>
            </w:r>
          </w:p>
        </w:tc>
        <w:tc>
          <w:tcPr>
            <w:tcW w:w="1241" w:type="dxa"/>
            <w:vAlign w:val="center"/>
          </w:tcPr>
          <w:p>
            <w:pPr>
              <w:pStyle w:val="17"/>
            </w:pPr>
            <w:r>
              <w:t>99.24</w:t>
            </w:r>
          </w:p>
        </w:tc>
        <w:tc>
          <w:tcPr>
            <w:tcW w:w="1095" w:type="dxa"/>
            <w:vAlign w:val="center"/>
          </w:tcPr>
          <w:p>
            <w:pPr>
              <w:pStyle w:val="17"/>
            </w:pPr>
            <w:r>
              <w:t>61.10</w:t>
            </w:r>
          </w:p>
        </w:tc>
        <w:tc>
          <w:tcPr>
            <w:tcW w:w="1095" w:type="dxa"/>
            <w:vAlign w:val="center"/>
          </w:tcPr>
          <w:p>
            <w:pPr>
              <w:pStyle w:val="17"/>
            </w:pPr>
          </w:p>
        </w:tc>
        <w:tc>
          <w:tcPr>
            <w:tcW w:w="1095" w:type="dxa"/>
            <w:vAlign w:val="center"/>
          </w:tcPr>
          <w:p>
            <w:pPr>
              <w:pStyle w:val="17"/>
            </w:pPr>
          </w:p>
        </w:tc>
        <w:tc>
          <w:tcPr>
            <w:tcW w:w="109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2</w:t>
            </w:r>
          </w:p>
        </w:tc>
        <w:tc>
          <w:tcPr>
            <w:tcW w:w="1568" w:type="dxa"/>
            <w:vAlign w:val="center"/>
          </w:tcPr>
          <w:p>
            <w:pPr>
              <w:pStyle w:val="14"/>
            </w:pPr>
            <w:r>
              <w:t>204</w:t>
            </w:r>
          </w:p>
        </w:tc>
        <w:tc>
          <w:tcPr>
            <w:tcW w:w="5168" w:type="dxa"/>
            <w:vAlign w:val="center"/>
          </w:tcPr>
          <w:p>
            <w:pPr>
              <w:pStyle w:val="14"/>
            </w:pPr>
            <w:r>
              <w:t>公共安全支出</w:t>
            </w:r>
          </w:p>
        </w:tc>
        <w:tc>
          <w:tcPr>
            <w:tcW w:w="1309" w:type="dxa"/>
            <w:vAlign w:val="center"/>
          </w:tcPr>
          <w:p>
            <w:pPr>
              <w:pStyle w:val="13"/>
            </w:pPr>
            <w:r>
              <w:t>160.34</w:t>
            </w:r>
          </w:p>
        </w:tc>
        <w:tc>
          <w:tcPr>
            <w:tcW w:w="1241" w:type="dxa"/>
            <w:vAlign w:val="center"/>
          </w:tcPr>
          <w:p>
            <w:pPr>
              <w:pStyle w:val="13"/>
            </w:pPr>
            <w:r>
              <w:t>99.24</w:t>
            </w:r>
          </w:p>
        </w:tc>
        <w:tc>
          <w:tcPr>
            <w:tcW w:w="1095" w:type="dxa"/>
            <w:vAlign w:val="center"/>
          </w:tcPr>
          <w:p>
            <w:pPr>
              <w:pStyle w:val="13"/>
            </w:pPr>
            <w:r>
              <w:t>61.10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3</w:t>
            </w:r>
          </w:p>
        </w:tc>
        <w:tc>
          <w:tcPr>
            <w:tcW w:w="1568" w:type="dxa"/>
            <w:vAlign w:val="center"/>
          </w:tcPr>
          <w:p>
            <w:pPr>
              <w:pStyle w:val="14"/>
            </w:pPr>
            <w:r>
              <w:t>20404</w:t>
            </w:r>
          </w:p>
        </w:tc>
        <w:tc>
          <w:tcPr>
            <w:tcW w:w="5168" w:type="dxa"/>
            <w:vAlign w:val="center"/>
          </w:tcPr>
          <w:p>
            <w:pPr>
              <w:pStyle w:val="14"/>
            </w:pPr>
            <w:r>
              <w:t>检察</w:t>
            </w:r>
          </w:p>
        </w:tc>
        <w:tc>
          <w:tcPr>
            <w:tcW w:w="1309" w:type="dxa"/>
            <w:vAlign w:val="center"/>
          </w:tcPr>
          <w:p>
            <w:pPr>
              <w:pStyle w:val="13"/>
            </w:pPr>
            <w:r>
              <w:t>160.34</w:t>
            </w:r>
          </w:p>
        </w:tc>
        <w:tc>
          <w:tcPr>
            <w:tcW w:w="1241" w:type="dxa"/>
            <w:vAlign w:val="center"/>
          </w:tcPr>
          <w:p>
            <w:pPr>
              <w:pStyle w:val="13"/>
            </w:pPr>
            <w:r>
              <w:t>99.24</w:t>
            </w:r>
          </w:p>
        </w:tc>
        <w:tc>
          <w:tcPr>
            <w:tcW w:w="1095" w:type="dxa"/>
            <w:vAlign w:val="center"/>
          </w:tcPr>
          <w:p>
            <w:pPr>
              <w:pStyle w:val="13"/>
            </w:pPr>
            <w:r>
              <w:t>61.10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62" w:type="dxa"/>
            <w:vAlign w:val="center"/>
          </w:tcPr>
          <w:p>
            <w:pPr>
              <w:pStyle w:val="15"/>
            </w:pPr>
            <w:r>
              <w:t>4</w:t>
            </w:r>
          </w:p>
        </w:tc>
        <w:tc>
          <w:tcPr>
            <w:tcW w:w="1568" w:type="dxa"/>
            <w:vAlign w:val="center"/>
          </w:tcPr>
          <w:p>
            <w:pPr>
              <w:pStyle w:val="14"/>
            </w:pPr>
            <w:r>
              <w:t>2040402</w:t>
            </w:r>
          </w:p>
        </w:tc>
        <w:tc>
          <w:tcPr>
            <w:tcW w:w="5168" w:type="dxa"/>
            <w:vAlign w:val="center"/>
          </w:tcPr>
          <w:p>
            <w:pPr>
              <w:pStyle w:val="14"/>
            </w:pPr>
            <w:r>
              <w:t>一般行政管理事务</w:t>
            </w:r>
          </w:p>
        </w:tc>
        <w:tc>
          <w:tcPr>
            <w:tcW w:w="1309" w:type="dxa"/>
            <w:vAlign w:val="center"/>
          </w:tcPr>
          <w:p>
            <w:pPr>
              <w:pStyle w:val="13"/>
            </w:pPr>
            <w:r>
              <w:t>160.34</w:t>
            </w:r>
          </w:p>
        </w:tc>
        <w:tc>
          <w:tcPr>
            <w:tcW w:w="1241" w:type="dxa"/>
            <w:vAlign w:val="center"/>
          </w:tcPr>
          <w:p>
            <w:pPr>
              <w:pStyle w:val="13"/>
            </w:pPr>
            <w:r>
              <w:t>99.24</w:t>
            </w:r>
          </w:p>
        </w:tc>
        <w:tc>
          <w:tcPr>
            <w:tcW w:w="1095" w:type="dxa"/>
            <w:vAlign w:val="center"/>
          </w:tcPr>
          <w:p>
            <w:pPr>
              <w:pStyle w:val="13"/>
            </w:pPr>
            <w:r>
              <w:t>61.10</w:t>
            </w:r>
          </w:p>
        </w:tc>
        <w:tc>
          <w:tcPr>
            <w:tcW w:w="1095" w:type="dxa"/>
            <w:vAlign w:val="center"/>
          </w:tcPr>
          <w:p>
            <w:pPr>
              <w:pStyle w:val="13"/>
            </w:pPr>
          </w:p>
        </w:tc>
        <w:tc>
          <w:tcPr>
            <w:tcW w:w="1095" w:type="dxa"/>
            <w:vAlign w:val="center"/>
          </w:tcPr>
          <w:p>
            <w:pPr>
              <w:pStyle w:val="13"/>
            </w:pPr>
          </w:p>
        </w:tc>
        <w:tc>
          <w:tcPr>
            <w:tcW w:w="1095"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1"/>
        <w:gridCol w:w="3054"/>
        <w:gridCol w:w="968"/>
        <w:gridCol w:w="4132"/>
        <w:gridCol w:w="1132"/>
        <w:gridCol w:w="1514"/>
        <w:gridCol w:w="1854"/>
        <w:gridCol w:w="172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833"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4132" w:type="dxa"/>
            <w:tcBorders>
              <w:top w:val="single" w:color="FFFFFF" w:sz="6" w:space="0"/>
              <w:left w:val="single" w:color="FFFFFF" w:sz="6" w:space="0"/>
              <w:right w:val="single" w:color="FFFFFF" w:sz="6" w:space="0"/>
            </w:tcBorders>
            <w:vAlign w:val="center"/>
          </w:tcPr>
          <w:p>
            <w:pPr>
              <w:pStyle w:val="10"/>
            </w:pPr>
            <w:r>
              <w:t>预算年度：2022</w:t>
            </w:r>
          </w:p>
        </w:tc>
        <w:tc>
          <w:tcPr>
            <w:tcW w:w="6225"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Merge w:val="restart"/>
            <w:vAlign w:val="center"/>
          </w:tcPr>
          <w:p>
            <w:pPr>
              <w:pStyle w:val="12"/>
            </w:pPr>
            <w:r>
              <w:t>序号</w:t>
            </w:r>
          </w:p>
        </w:tc>
        <w:tc>
          <w:tcPr>
            <w:tcW w:w="4022" w:type="dxa"/>
            <w:gridSpan w:val="2"/>
            <w:vAlign w:val="center"/>
          </w:tcPr>
          <w:p>
            <w:pPr>
              <w:pStyle w:val="12"/>
            </w:pPr>
            <w:r>
              <w:t>收入</w:t>
            </w:r>
          </w:p>
        </w:tc>
        <w:tc>
          <w:tcPr>
            <w:tcW w:w="10357"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Merge w:val="continue"/>
          </w:tcPr>
          <w:p/>
        </w:tc>
        <w:tc>
          <w:tcPr>
            <w:tcW w:w="3054" w:type="dxa"/>
            <w:vAlign w:val="center"/>
          </w:tcPr>
          <w:p>
            <w:pPr>
              <w:pStyle w:val="12"/>
            </w:pPr>
            <w:r>
              <w:t>项  目</w:t>
            </w:r>
          </w:p>
        </w:tc>
        <w:tc>
          <w:tcPr>
            <w:tcW w:w="968" w:type="dxa"/>
            <w:vAlign w:val="center"/>
          </w:tcPr>
          <w:p>
            <w:pPr>
              <w:pStyle w:val="12"/>
            </w:pPr>
            <w:r>
              <w:t>金额</w:t>
            </w:r>
          </w:p>
        </w:tc>
        <w:tc>
          <w:tcPr>
            <w:tcW w:w="4132" w:type="dxa"/>
            <w:vAlign w:val="center"/>
          </w:tcPr>
          <w:p>
            <w:pPr>
              <w:pStyle w:val="12"/>
            </w:pPr>
            <w:r>
              <w:t>项  目</w:t>
            </w:r>
          </w:p>
        </w:tc>
        <w:tc>
          <w:tcPr>
            <w:tcW w:w="1132" w:type="dxa"/>
            <w:vAlign w:val="center"/>
          </w:tcPr>
          <w:p>
            <w:pPr>
              <w:pStyle w:val="12"/>
            </w:pPr>
            <w:r>
              <w:t>合计</w:t>
            </w:r>
          </w:p>
        </w:tc>
        <w:tc>
          <w:tcPr>
            <w:tcW w:w="1514" w:type="dxa"/>
            <w:vAlign w:val="center"/>
          </w:tcPr>
          <w:p>
            <w:pPr>
              <w:pStyle w:val="12"/>
            </w:pPr>
            <w:r>
              <w:t>一般公共预算财政拨款</w:t>
            </w:r>
          </w:p>
        </w:tc>
        <w:tc>
          <w:tcPr>
            <w:tcW w:w="1854" w:type="dxa"/>
            <w:vAlign w:val="center"/>
          </w:tcPr>
          <w:p>
            <w:pPr>
              <w:pStyle w:val="12"/>
            </w:pPr>
            <w:r>
              <w:t>政府性基金预算财政拨款</w:t>
            </w:r>
          </w:p>
        </w:tc>
        <w:tc>
          <w:tcPr>
            <w:tcW w:w="1725"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11" w:type="dxa"/>
            <w:vAlign w:val="center"/>
          </w:tcPr>
          <w:p>
            <w:pPr>
              <w:pStyle w:val="12"/>
            </w:pPr>
            <w:r>
              <w:t>栏次</w:t>
            </w:r>
          </w:p>
        </w:tc>
        <w:tc>
          <w:tcPr>
            <w:tcW w:w="3054" w:type="dxa"/>
            <w:vAlign w:val="center"/>
          </w:tcPr>
          <w:p>
            <w:pPr>
              <w:pStyle w:val="12"/>
            </w:pPr>
            <w:r>
              <w:t>1</w:t>
            </w:r>
          </w:p>
        </w:tc>
        <w:tc>
          <w:tcPr>
            <w:tcW w:w="968" w:type="dxa"/>
            <w:vAlign w:val="center"/>
          </w:tcPr>
          <w:p>
            <w:pPr>
              <w:pStyle w:val="12"/>
            </w:pPr>
            <w:r>
              <w:t>2</w:t>
            </w:r>
          </w:p>
        </w:tc>
        <w:tc>
          <w:tcPr>
            <w:tcW w:w="4132" w:type="dxa"/>
            <w:vAlign w:val="center"/>
          </w:tcPr>
          <w:p>
            <w:pPr>
              <w:pStyle w:val="12"/>
            </w:pPr>
            <w:r>
              <w:t>3</w:t>
            </w:r>
          </w:p>
        </w:tc>
        <w:tc>
          <w:tcPr>
            <w:tcW w:w="1132" w:type="dxa"/>
            <w:vAlign w:val="center"/>
          </w:tcPr>
          <w:p>
            <w:pPr>
              <w:pStyle w:val="12"/>
            </w:pPr>
            <w:r>
              <w:t>4</w:t>
            </w:r>
          </w:p>
        </w:tc>
        <w:tc>
          <w:tcPr>
            <w:tcW w:w="1514" w:type="dxa"/>
            <w:vAlign w:val="center"/>
          </w:tcPr>
          <w:p>
            <w:pPr>
              <w:pStyle w:val="12"/>
            </w:pPr>
            <w:r>
              <w:t>5</w:t>
            </w:r>
          </w:p>
        </w:tc>
        <w:tc>
          <w:tcPr>
            <w:tcW w:w="1854" w:type="dxa"/>
            <w:vAlign w:val="center"/>
          </w:tcPr>
          <w:p>
            <w:pPr>
              <w:pStyle w:val="12"/>
            </w:pPr>
            <w:r>
              <w:t>6</w:t>
            </w:r>
          </w:p>
        </w:tc>
        <w:tc>
          <w:tcPr>
            <w:tcW w:w="1725"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w:t>
            </w:r>
          </w:p>
        </w:tc>
        <w:tc>
          <w:tcPr>
            <w:tcW w:w="3054" w:type="dxa"/>
            <w:vAlign w:val="center"/>
          </w:tcPr>
          <w:p>
            <w:pPr>
              <w:pStyle w:val="14"/>
            </w:pPr>
            <w:r>
              <w:t>一、一般公共预算拨款</w:t>
            </w:r>
          </w:p>
        </w:tc>
        <w:tc>
          <w:tcPr>
            <w:tcW w:w="968" w:type="dxa"/>
            <w:vAlign w:val="center"/>
          </w:tcPr>
          <w:p>
            <w:pPr>
              <w:pStyle w:val="13"/>
            </w:pPr>
            <w:r>
              <w:t>160.34</w:t>
            </w:r>
          </w:p>
        </w:tc>
        <w:tc>
          <w:tcPr>
            <w:tcW w:w="4132" w:type="dxa"/>
            <w:vAlign w:val="center"/>
          </w:tcPr>
          <w:p>
            <w:pPr>
              <w:pStyle w:val="14"/>
            </w:pPr>
            <w:r>
              <w:t>一、一般公共服务支出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w:t>
            </w:r>
          </w:p>
        </w:tc>
        <w:tc>
          <w:tcPr>
            <w:tcW w:w="3054" w:type="dxa"/>
            <w:vAlign w:val="center"/>
          </w:tcPr>
          <w:p>
            <w:pPr>
              <w:pStyle w:val="14"/>
            </w:pPr>
            <w:r>
              <w:t>二、政府性基金预算拨款</w:t>
            </w:r>
          </w:p>
        </w:tc>
        <w:tc>
          <w:tcPr>
            <w:tcW w:w="968" w:type="dxa"/>
            <w:vAlign w:val="center"/>
          </w:tcPr>
          <w:p>
            <w:pPr>
              <w:pStyle w:val="13"/>
            </w:pPr>
          </w:p>
        </w:tc>
        <w:tc>
          <w:tcPr>
            <w:tcW w:w="4132" w:type="dxa"/>
            <w:vAlign w:val="center"/>
          </w:tcPr>
          <w:p>
            <w:pPr>
              <w:pStyle w:val="14"/>
            </w:pPr>
            <w:r>
              <w:t>二、外交支出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w:t>
            </w:r>
          </w:p>
        </w:tc>
        <w:tc>
          <w:tcPr>
            <w:tcW w:w="3054" w:type="dxa"/>
            <w:vAlign w:val="center"/>
          </w:tcPr>
          <w:p>
            <w:pPr>
              <w:pStyle w:val="14"/>
            </w:pPr>
            <w:r>
              <w:t>三、国有资本经营预算拨款</w:t>
            </w:r>
          </w:p>
        </w:tc>
        <w:tc>
          <w:tcPr>
            <w:tcW w:w="968" w:type="dxa"/>
            <w:vAlign w:val="center"/>
          </w:tcPr>
          <w:p>
            <w:pPr>
              <w:pStyle w:val="13"/>
            </w:pPr>
          </w:p>
        </w:tc>
        <w:tc>
          <w:tcPr>
            <w:tcW w:w="4132" w:type="dxa"/>
            <w:vAlign w:val="center"/>
          </w:tcPr>
          <w:p>
            <w:pPr>
              <w:pStyle w:val="14"/>
            </w:pPr>
            <w:r>
              <w:t>三、国防支出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4</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四、公共安全支出</w:t>
            </w:r>
          </w:p>
        </w:tc>
        <w:tc>
          <w:tcPr>
            <w:tcW w:w="1132" w:type="dxa"/>
            <w:vAlign w:val="center"/>
          </w:tcPr>
          <w:p>
            <w:pPr>
              <w:pStyle w:val="13"/>
            </w:pPr>
            <w:r>
              <w:t>160.34</w:t>
            </w:r>
          </w:p>
        </w:tc>
        <w:tc>
          <w:tcPr>
            <w:tcW w:w="1514" w:type="dxa"/>
            <w:vAlign w:val="center"/>
          </w:tcPr>
          <w:p>
            <w:pPr>
              <w:pStyle w:val="13"/>
            </w:pPr>
            <w:r>
              <w:t>160.34</w:t>
            </w: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5</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五、教育支出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6</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六、科学技术支出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7</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七、文化旅游体育与传媒支出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8</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八、社会保障和就业支出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9</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九、社会保险基金支出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10</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十、卫生健康支出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11</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十一、节能环保支出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12</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十二、城乡社区支出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13</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十三、农林水支出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14</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十四、交通运输支出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15</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十五、资源勘探工业信息等支出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16</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十六、商业服务业等支出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17</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十七、金融支出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18</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十八、援助其他地区支出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19</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十九、自然资源海洋气象等支出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20</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二十、住房保障支出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21</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二十一、粮油物资储备支出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22</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二十二、国有资本经营预算支出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23</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二十三、灾害防治及应急管理支出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24</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二十四、预备费</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25</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二十五、其他支出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26</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二十六、转移性支出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27</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二十七、债务还本支出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28</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二十八、债务付息支出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29</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二十九、债务发行费用支出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30</w:t>
            </w:r>
          </w:p>
        </w:tc>
        <w:tc>
          <w:tcPr>
            <w:tcW w:w="3054" w:type="dxa"/>
            <w:vAlign w:val="center"/>
          </w:tcPr>
          <w:p>
            <w:pPr>
              <w:pStyle w:val="14"/>
            </w:pPr>
          </w:p>
        </w:tc>
        <w:tc>
          <w:tcPr>
            <w:tcW w:w="968" w:type="dxa"/>
            <w:vAlign w:val="center"/>
          </w:tcPr>
          <w:p>
            <w:pPr>
              <w:pStyle w:val="13"/>
            </w:pPr>
          </w:p>
        </w:tc>
        <w:tc>
          <w:tcPr>
            <w:tcW w:w="4132" w:type="dxa"/>
            <w:vAlign w:val="center"/>
          </w:tcPr>
          <w:p>
            <w:pPr>
              <w:pStyle w:val="14"/>
            </w:pPr>
            <w:r>
              <w:t>三十、抗疫特别国债安排的支出</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31</w:t>
            </w:r>
          </w:p>
        </w:tc>
        <w:tc>
          <w:tcPr>
            <w:tcW w:w="3054" w:type="dxa"/>
            <w:vAlign w:val="center"/>
          </w:tcPr>
          <w:p>
            <w:pPr>
              <w:pStyle w:val="16"/>
            </w:pPr>
            <w:r>
              <w:t>本年收入合计</w:t>
            </w:r>
          </w:p>
        </w:tc>
        <w:tc>
          <w:tcPr>
            <w:tcW w:w="968" w:type="dxa"/>
            <w:vAlign w:val="center"/>
          </w:tcPr>
          <w:p>
            <w:pPr>
              <w:pStyle w:val="17"/>
            </w:pPr>
            <w:r>
              <w:t>160.34</w:t>
            </w:r>
          </w:p>
        </w:tc>
        <w:tc>
          <w:tcPr>
            <w:tcW w:w="4132" w:type="dxa"/>
            <w:vAlign w:val="center"/>
          </w:tcPr>
          <w:p>
            <w:pPr>
              <w:pStyle w:val="16"/>
            </w:pPr>
            <w:r>
              <w:t>本年支出合计</w:t>
            </w:r>
          </w:p>
        </w:tc>
        <w:tc>
          <w:tcPr>
            <w:tcW w:w="1132" w:type="dxa"/>
            <w:vAlign w:val="center"/>
          </w:tcPr>
          <w:p>
            <w:pPr>
              <w:pStyle w:val="17"/>
            </w:pPr>
            <w:r>
              <w:t>160.34</w:t>
            </w:r>
          </w:p>
        </w:tc>
        <w:tc>
          <w:tcPr>
            <w:tcW w:w="1514" w:type="dxa"/>
            <w:vAlign w:val="center"/>
          </w:tcPr>
          <w:p>
            <w:pPr>
              <w:pStyle w:val="17"/>
            </w:pPr>
            <w:r>
              <w:t>160.34</w:t>
            </w:r>
          </w:p>
        </w:tc>
        <w:tc>
          <w:tcPr>
            <w:tcW w:w="1854" w:type="dxa"/>
            <w:vAlign w:val="center"/>
          </w:tcPr>
          <w:p>
            <w:pPr>
              <w:pStyle w:val="17"/>
            </w:pPr>
          </w:p>
        </w:tc>
        <w:tc>
          <w:tcPr>
            <w:tcW w:w="1725"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32</w:t>
            </w:r>
          </w:p>
        </w:tc>
        <w:tc>
          <w:tcPr>
            <w:tcW w:w="3054" w:type="dxa"/>
            <w:vAlign w:val="center"/>
          </w:tcPr>
          <w:p>
            <w:pPr>
              <w:pStyle w:val="14"/>
            </w:pPr>
            <w:r>
              <w:t>年初财政拨款结转和结余</w:t>
            </w:r>
          </w:p>
        </w:tc>
        <w:tc>
          <w:tcPr>
            <w:tcW w:w="968" w:type="dxa"/>
            <w:vAlign w:val="center"/>
          </w:tcPr>
          <w:p>
            <w:pPr>
              <w:pStyle w:val="13"/>
            </w:pPr>
          </w:p>
        </w:tc>
        <w:tc>
          <w:tcPr>
            <w:tcW w:w="4132" w:type="dxa"/>
            <w:vAlign w:val="center"/>
          </w:tcPr>
          <w:p>
            <w:pPr>
              <w:pStyle w:val="14"/>
            </w:pPr>
            <w:r>
              <w:t>年末财政拨款结转和结余</w:t>
            </w: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33</w:t>
            </w:r>
          </w:p>
        </w:tc>
        <w:tc>
          <w:tcPr>
            <w:tcW w:w="3054" w:type="dxa"/>
            <w:vAlign w:val="center"/>
          </w:tcPr>
          <w:p>
            <w:pPr>
              <w:pStyle w:val="14"/>
            </w:pPr>
            <w:r>
              <w:t>一、一般公共预算拨款</w:t>
            </w:r>
          </w:p>
        </w:tc>
        <w:tc>
          <w:tcPr>
            <w:tcW w:w="968" w:type="dxa"/>
            <w:vAlign w:val="center"/>
          </w:tcPr>
          <w:p>
            <w:pPr>
              <w:pStyle w:val="13"/>
            </w:pPr>
          </w:p>
        </w:tc>
        <w:tc>
          <w:tcPr>
            <w:tcW w:w="4132" w:type="dxa"/>
            <w:vAlign w:val="center"/>
          </w:tcPr>
          <w:p>
            <w:pPr>
              <w:pStyle w:val="14"/>
            </w:pP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34</w:t>
            </w:r>
          </w:p>
        </w:tc>
        <w:tc>
          <w:tcPr>
            <w:tcW w:w="3054" w:type="dxa"/>
            <w:vAlign w:val="center"/>
          </w:tcPr>
          <w:p>
            <w:pPr>
              <w:pStyle w:val="14"/>
            </w:pPr>
            <w:r>
              <w:t>二、政府性基金预算拨款</w:t>
            </w:r>
          </w:p>
        </w:tc>
        <w:tc>
          <w:tcPr>
            <w:tcW w:w="968" w:type="dxa"/>
            <w:vAlign w:val="center"/>
          </w:tcPr>
          <w:p>
            <w:pPr>
              <w:pStyle w:val="13"/>
            </w:pPr>
          </w:p>
        </w:tc>
        <w:tc>
          <w:tcPr>
            <w:tcW w:w="4132" w:type="dxa"/>
            <w:vAlign w:val="center"/>
          </w:tcPr>
          <w:p>
            <w:pPr>
              <w:pStyle w:val="14"/>
            </w:pP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35</w:t>
            </w:r>
          </w:p>
        </w:tc>
        <w:tc>
          <w:tcPr>
            <w:tcW w:w="3054" w:type="dxa"/>
            <w:vAlign w:val="center"/>
          </w:tcPr>
          <w:p>
            <w:pPr>
              <w:pStyle w:val="14"/>
            </w:pPr>
            <w:r>
              <w:t>三、国有资本经营预算拨款</w:t>
            </w:r>
          </w:p>
        </w:tc>
        <w:tc>
          <w:tcPr>
            <w:tcW w:w="968" w:type="dxa"/>
            <w:vAlign w:val="center"/>
          </w:tcPr>
          <w:p>
            <w:pPr>
              <w:pStyle w:val="13"/>
            </w:pPr>
          </w:p>
        </w:tc>
        <w:tc>
          <w:tcPr>
            <w:tcW w:w="4132" w:type="dxa"/>
            <w:vAlign w:val="center"/>
          </w:tcPr>
          <w:p>
            <w:pPr>
              <w:pStyle w:val="14"/>
            </w:pPr>
          </w:p>
        </w:tc>
        <w:tc>
          <w:tcPr>
            <w:tcW w:w="1132" w:type="dxa"/>
            <w:vAlign w:val="center"/>
          </w:tcPr>
          <w:p>
            <w:pPr>
              <w:pStyle w:val="13"/>
            </w:pPr>
          </w:p>
        </w:tc>
        <w:tc>
          <w:tcPr>
            <w:tcW w:w="1514" w:type="dxa"/>
            <w:vAlign w:val="center"/>
          </w:tcPr>
          <w:p>
            <w:pPr>
              <w:pStyle w:val="13"/>
            </w:pPr>
          </w:p>
        </w:tc>
        <w:tc>
          <w:tcPr>
            <w:tcW w:w="1854" w:type="dxa"/>
            <w:vAlign w:val="center"/>
          </w:tcPr>
          <w:p>
            <w:pPr>
              <w:pStyle w:val="13"/>
            </w:pPr>
          </w:p>
        </w:tc>
        <w:tc>
          <w:tcPr>
            <w:tcW w:w="172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11" w:type="dxa"/>
            <w:vAlign w:val="center"/>
          </w:tcPr>
          <w:p>
            <w:pPr>
              <w:pStyle w:val="15"/>
            </w:pPr>
            <w:r>
              <w:t>36</w:t>
            </w:r>
          </w:p>
        </w:tc>
        <w:tc>
          <w:tcPr>
            <w:tcW w:w="3054" w:type="dxa"/>
            <w:vAlign w:val="center"/>
          </w:tcPr>
          <w:p>
            <w:pPr>
              <w:pStyle w:val="16"/>
            </w:pPr>
            <w:r>
              <w:t>收入总计</w:t>
            </w:r>
          </w:p>
        </w:tc>
        <w:tc>
          <w:tcPr>
            <w:tcW w:w="968" w:type="dxa"/>
            <w:vAlign w:val="center"/>
          </w:tcPr>
          <w:p>
            <w:pPr>
              <w:pStyle w:val="17"/>
            </w:pPr>
            <w:r>
              <w:t>160.34</w:t>
            </w:r>
          </w:p>
        </w:tc>
        <w:tc>
          <w:tcPr>
            <w:tcW w:w="4132" w:type="dxa"/>
            <w:vAlign w:val="center"/>
          </w:tcPr>
          <w:p>
            <w:pPr>
              <w:pStyle w:val="16"/>
            </w:pPr>
            <w:r>
              <w:t>支出总计</w:t>
            </w:r>
          </w:p>
        </w:tc>
        <w:tc>
          <w:tcPr>
            <w:tcW w:w="1132" w:type="dxa"/>
            <w:vAlign w:val="center"/>
          </w:tcPr>
          <w:p>
            <w:pPr>
              <w:pStyle w:val="17"/>
            </w:pPr>
            <w:r>
              <w:t>160.34</w:t>
            </w:r>
          </w:p>
        </w:tc>
        <w:tc>
          <w:tcPr>
            <w:tcW w:w="1514" w:type="dxa"/>
            <w:vAlign w:val="center"/>
          </w:tcPr>
          <w:p>
            <w:pPr>
              <w:pStyle w:val="17"/>
            </w:pPr>
            <w:r>
              <w:t>160.34</w:t>
            </w:r>
          </w:p>
        </w:tc>
        <w:tc>
          <w:tcPr>
            <w:tcW w:w="1854" w:type="dxa"/>
            <w:vAlign w:val="center"/>
          </w:tcPr>
          <w:p>
            <w:pPr>
              <w:pStyle w:val="17"/>
            </w:pPr>
          </w:p>
        </w:tc>
        <w:tc>
          <w:tcPr>
            <w:tcW w:w="1725"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1"/>
        <w:gridCol w:w="1527"/>
        <w:gridCol w:w="705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97"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1" w:type="dxa"/>
            <w:vMerge w:val="restart"/>
            <w:vAlign w:val="center"/>
          </w:tcPr>
          <w:p>
            <w:pPr>
              <w:pStyle w:val="12"/>
            </w:pPr>
            <w:r>
              <w:t>序号</w:t>
            </w:r>
          </w:p>
        </w:tc>
        <w:tc>
          <w:tcPr>
            <w:tcW w:w="8586"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1" w:type="dxa"/>
            <w:vMerge w:val="continue"/>
          </w:tcPr>
          <w:p/>
        </w:tc>
        <w:tc>
          <w:tcPr>
            <w:tcW w:w="1527" w:type="dxa"/>
            <w:vAlign w:val="center"/>
          </w:tcPr>
          <w:p>
            <w:pPr>
              <w:pStyle w:val="12"/>
            </w:pPr>
            <w:r>
              <w:t>科目编码</w:t>
            </w:r>
          </w:p>
        </w:tc>
        <w:tc>
          <w:tcPr>
            <w:tcW w:w="7059"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1" w:type="dxa"/>
            <w:vAlign w:val="center"/>
          </w:tcPr>
          <w:p>
            <w:pPr>
              <w:pStyle w:val="12"/>
            </w:pPr>
            <w:r>
              <w:t>栏次</w:t>
            </w:r>
          </w:p>
        </w:tc>
        <w:tc>
          <w:tcPr>
            <w:tcW w:w="1527" w:type="dxa"/>
            <w:vAlign w:val="center"/>
          </w:tcPr>
          <w:p>
            <w:pPr>
              <w:pStyle w:val="12"/>
            </w:pPr>
            <w:r>
              <w:t>1</w:t>
            </w:r>
          </w:p>
        </w:tc>
        <w:tc>
          <w:tcPr>
            <w:tcW w:w="7059"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1</w:t>
            </w:r>
          </w:p>
        </w:tc>
        <w:tc>
          <w:tcPr>
            <w:tcW w:w="1527" w:type="dxa"/>
            <w:vAlign w:val="center"/>
          </w:tcPr>
          <w:p>
            <w:pPr>
              <w:pStyle w:val="18"/>
            </w:pPr>
          </w:p>
        </w:tc>
        <w:tc>
          <w:tcPr>
            <w:tcW w:w="7059" w:type="dxa"/>
            <w:vAlign w:val="center"/>
          </w:tcPr>
          <w:p>
            <w:pPr>
              <w:pStyle w:val="16"/>
            </w:pPr>
            <w:r>
              <w:t>合计</w:t>
            </w:r>
          </w:p>
        </w:tc>
        <w:tc>
          <w:tcPr>
            <w:tcW w:w="1643" w:type="dxa"/>
            <w:vAlign w:val="center"/>
          </w:tcPr>
          <w:p>
            <w:pPr>
              <w:pStyle w:val="17"/>
            </w:pPr>
            <w:r>
              <w:t>160.34</w:t>
            </w:r>
          </w:p>
        </w:tc>
        <w:tc>
          <w:tcPr>
            <w:tcW w:w="1643" w:type="dxa"/>
            <w:vAlign w:val="center"/>
          </w:tcPr>
          <w:p>
            <w:pPr>
              <w:pStyle w:val="17"/>
            </w:pPr>
            <w:r>
              <w:t>99.24</w:t>
            </w:r>
          </w:p>
        </w:tc>
        <w:tc>
          <w:tcPr>
            <w:tcW w:w="1643" w:type="dxa"/>
            <w:vAlign w:val="center"/>
          </w:tcPr>
          <w:p>
            <w:pPr>
              <w:pStyle w:val="17"/>
            </w:pPr>
            <w:r>
              <w:t>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2</w:t>
            </w:r>
          </w:p>
        </w:tc>
        <w:tc>
          <w:tcPr>
            <w:tcW w:w="1527" w:type="dxa"/>
            <w:vAlign w:val="center"/>
          </w:tcPr>
          <w:p>
            <w:pPr>
              <w:pStyle w:val="14"/>
            </w:pPr>
            <w:r>
              <w:t>204</w:t>
            </w:r>
          </w:p>
        </w:tc>
        <w:tc>
          <w:tcPr>
            <w:tcW w:w="7059" w:type="dxa"/>
            <w:vAlign w:val="center"/>
          </w:tcPr>
          <w:p>
            <w:pPr>
              <w:pStyle w:val="14"/>
            </w:pPr>
            <w:r>
              <w:t>公共安全支出</w:t>
            </w:r>
          </w:p>
        </w:tc>
        <w:tc>
          <w:tcPr>
            <w:tcW w:w="1643" w:type="dxa"/>
            <w:vAlign w:val="center"/>
          </w:tcPr>
          <w:p>
            <w:pPr>
              <w:pStyle w:val="13"/>
            </w:pPr>
            <w:r>
              <w:t>160.34</w:t>
            </w:r>
          </w:p>
        </w:tc>
        <w:tc>
          <w:tcPr>
            <w:tcW w:w="1643" w:type="dxa"/>
            <w:vAlign w:val="center"/>
          </w:tcPr>
          <w:p>
            <w:pPr>
              <w:pStyle w:val="13"/>
            </w:pPr>
            <w:r>
              <w:t>99.24</w:t>
            </w:r>
          </w:p>
        </w:tc>
        <w:tc>
          <w:tcPr>
            <w:tcW w:w="1643" w:type="dxa"/>
            <w:vAlign w:val="center"/>
          </w:tcPr>
          <w:p>
            <w:pPr>
              <w:pStyle w:val="13"/>
            </w:pPr>
            <w:r>
              <w:t>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3</w:t>
            </w:r>
          </w:p>
        </w:tc>
        <w:tc>
          <w:tcPr>
            <w:tcW w:w="1527" w:type="dxa"/>
            <w:vAlign w:val="center"/>
          </w:tcPr>
          <w:p>
            <w:pPr>
              <w:pStyle w:val="14"/>
            </w:pPr>
            <w:r>
              <w:t>20404</w:t>
            </w:r>
          </w:p>
        </w:tc>
        <w:tc>
          <w:tcPr>
            <w:tcW w:w="7059" w:type="dxa"/>
            <w:vAlign w:val="center"/>
          </w:tcPr>
          <w:p>
            <w:pPr>
              <w:pStyle w:val="14"/>
            </w:pPr>
            <w:r>
              <w:t>检察</w:t>
            </w:r>
          </w:p>
        </w:tc>
        <w:tc>
          <w:tcPr>
            <w:tcW w:w="1643" w:type="dxa"/>
            <w:vAlign w:val="center"/>
          </w:tcPr>
          <w:p>
            <w:pPr>
              <w:pStyle w:val="13"/>
            </w:pPr>
            <w:r>
              <w:t>160.34</w:t>
            </w:r>
          </w:p>
        </w:tc>
        <w:tc>
          <w:tcPr>
            <w:tcW w:w="1643" w:type="dxa"/>
            <w:vAlign w:val="center"/>
          </w:tcPr>
          <w:p>
            <w:pPr>
              <w:pStyle w:val="13"/>
            </w:pPr>
            <w:r>
              <w:t>99.24</w:t>
            </w:r>
          </w:p>
        </w:tc>
        <w:tc>
          <w:tcPr>
            <w:tcW w:w="1643" w:type="dxa"/>
            <w:vAlign w:val="center"/>
          </w:tcPr>
          <w:p>
            <w:pPr>
              <w:pStyle w:val="13"/>
            </w:pPr>
            <w:r>
              <w:t>61.10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11" w:type="dxa"/>
            <w:vAlign w:val="center"/>
          </w:tcPr>
          <w:p>
            <w:pPr>
              <w:pStyle w:val="15"/>
            </w:pPr>
            <w:r>
              <w:t>4</w:t>
            </w:r>
          </w:p>
        </w:tc>
        <w:tc>
          <w:tcPr>
            <w:tcW w:w="1527" w:type="dxa"/>
            <w:vAlign w:val="center"/>
          </w:tcPr>
          <w:p>
            <w:pPr>
              <w:pStyle w:val="14"/>
            </w:pPr>
            <w:r>
              <w:t>2040402</w:t>
            </w:r>
          </w:p>
        </w:tc>
        <w:tc>
          <w:tcPr>
            <w:tcW w:w="7059" w:type="dxa"/>
            <w:vAlign w:val="center"/>
          </w:tcPr>
          <w:p>
            <w:pPr>
              <w:pStyle w:val="14"/>
            </w:pPr>
            <w:r>
              <w:t>一般行政管理事务</w:t>
            </w:r>
          </w:p>
        </w:tc>
        <w:tc>
          <w:tcPr>
            <w:tcW w:w="1643" w:type="dxa"/>
            <w:vAlign w:val="center"/>
          </w:tcPr>
          <w:p>
            <w:pPr>
              <w:pStyle w:val="13"/>
            </w:pPr>
            <w:r>
              <w:t>160.34</w:t>
            </w:r>
          </w:p>
        </w:tc>
        <w:tc>
          <w:tcPr>
            <w:tcW w:w="1643" w:type="dxa"/>
            <w:vAlign w:val="center"/>
          </w:tcPr>
          <w:p>
            <w:pPr>
              <w:pStyle w:val="13"/>
            </w:pPr>
            <w:r>
              <w:t>99.24</w:t>
            </w:r>
          </w:p>
        </w:tc>
        <w:tc>
          <w:tcPr>
            <w:tcW w:w="1643" w:type="dxa"/>
            <w:vAlign w:val="center"/>
          </w:tcPr>
          <w:p>
            <w:pPr>
              <w:pStyle w:val="13"/>
            </w:pPr>
            <w:r>
              <w:t>61.10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2"/>
        <w:gridCol w:w="1800"/>
        <w:gridCol w:w="6737"/>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879"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Merge w:val="restart"/>
            <w:vAlign w:val="center"/>
          </w:tcPr>
          <w:p>
            <w:pPr>
              <w:pStyle w:val="12"/>
            </w:pPr>
            <w:r>
              <w:t>序号</w:t>
            </w:r>
          </w:p>
        </w:tc>
        <w:tc>
          <w:tcPr>
            <w:tcW w:w="8537" w:type="dxa"/>
            <w:gridSpan w:val="2"/>
            <w:vAlign w:val="center"/>
          </w:tcPr>
          <w:p>
            <w:pPr>
              <w:pStyle w:val="12"/>
            </w:pPr>
            <w:r>
              <w:t>支出部门经济分类科目</w:t>
            </w:r>
          </w:p>
        </w:tc>
        <w:tc>
          <w:tcPr>
            <w:tcW w:w="4929"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Merge w:val="continue"/>
          </w:tcPr>
          <w:p/>
        </w:tc>
        <w:tc>
          <w:tcPr>
            <w:tcW w:w="1800" w:type="dxa"/>
            <w:vAlign w:val="center"/>
          </w:tcPr>
          <w:p>
            <w:pPr>
              <w:pStyle w:val="12"/>
            </w:pPr>
            <w:r>
              <w:t>科目编码</w:t>
            </w:r>
          </w:p>
        </w:tc>
        <w:tc>
          <w:tcPr>
            <w:tcW w:w="6737" w:type="dxa"/>
            <w:vAlign w:val="center"/>
          </w:tcPr>
          <w:p>
            <w:pPr>
              <w:pStyle w:val="12"/>
            </w:pPr>
            <w:r>
              <w:t>科目名称</w:t>
            </w:r>
          </w:p>
        </w:tc>
        <w:tc>
          <w:tcPr>
            <w:tcW w:w="1643" w:type="dxa"/>
            <w:vAlign w:val="center"/>
          </w:tcPr>
          <w:p>
            <w:pPr>
              <w:pStyle w:val="12"/>
            </w:pPr>
            <w:r>
              <w:t>合计</w:t>
            </w:r>
          </w:p>
        </w:tc>
        <w:tc>
          <w:tcPr>
            <w:tcW w:w="1643" w:type="dxa"/>
            <w:vAlign w:val="center"/>
          </w:tcPr>
          <w:p>
            <w:pPr>
              <w:pStyle w:val="12"/>
            </w:pPr>
            <w:r>
              <w:t>人员经费</w:t>
            </w:r>
          </w:p>
        </w:tc>
        <w:tc>
          <w:tcPr>
            <w:tcW w:w="1643"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2" w:type="dxa"/>
            <w:vAlign w:val="center"/>
          </w:tcPr>
          <w:p>
            <w:pPr>
              <w:pStyle w:val="12"/>
            </w:pPr>
            <w:r>
              <w:t>栏次</w:t>
            </w:r>
          </w:p>
        </w:tc>
        <w:tc>
          <w:tcPr>
            <w:tcW w:w="1800" w:type="dxa"/>
            <w:vAlign w:val="center"/>
          </w:tcPr>
          <w:p>
            <w:pPr>
              <w:pStyle w:val="12"/>
            </w:pPr>
            <w:r>
              <w:t>1</w:t>
            </w:r>
          </w:p>
        </w:tc>
        <w:tc>
          <w:tcPr>
            <w:tcW w:w="6737"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5"/>
            </w:pPr>
            <w:r>
              <w:t>1</w:t>
            </w:r>
          </w:p>
        </w:tc>
        <w:tc>
          <w:tcPr>
            <w:tcW w:w="1800" w:type="dxa"/>
            <w:vAlign w:val="center"/>
          </w:tcPr>
          <w:p>
            <w:pPr>
              <w:pStyle w:val="18"/>
            </w:pPr>
          </w:p>
        </w:tc>
        <w:tc>
          <w:tcPr>
            <w:tcW w:w="6737" w:type="dxa"/>
            <w:vAlign w:val="center"/>
          </w:tcPr>
          <w:p>
            <w:pPr>
              <w:pStyle w:val="16"/>
            </w:pPr>
            <w:r>
              <w:t>合计</w:t>
            </w:r>
          </w:p>
        </w:tc>
        <w:tc>
          <w:tcPr>
            <w:tcW w:w="1643" w:type="dxa"/>
            <w:vAlign w:val="center"/>
          </w:tcPr>
          <w:p>
            <w:pPr>
              <w:pStyle w:val="17"/>
            </w:pPr>
            <w:r>
              <w:t>99.24</w:t>
            </w:r>
          </w:p>
        </w:tc>
        <w:tc>
          <w:tcPr>
            <w:tcW w:w="1643" w:type="dxa"/>
            <w:vAlign w:val="center"/>
          </w:tcPr>
          <w:p>
            <w:pPr>
              <w:pStyle w:val="17"/>
            </w:pPr>
            <w:r>
              <w:t>99.24</w:t>
            </w:r>
          </w:p>
        </w:tc>
        <w:tc>
          <w:tcPr>
            <w:tcW w:w="1643"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5"/>
            </w:pPr>
            <w:r>
              <w:t>2</w:t>
            </w:r>
          </w:p>
        </w:tc>
        <w:tc>
          <w:tcPr>
            <w:tcW w:w="1800" w:type="dxa"/>
            <w:vAlign w:val="center"/>
          </w:tcPr>
          <w:p>
            <w:pPr>
              <w:pStyle w:val="14"/>
            </w:pPr>
            <w:r>
              <w:t>301</w:t>
            </w:r>
          </w:p>
        </w:tc>
        <w:tc>
          <w:tcPr>
            <w:tcW w:w="6737" w:type="dxa"/>
            <w:vAlign w:val="center"/>
          </w:tcPr>
          <w:p>
            <w:pPr>
              <w:pStyle w:val="14"/>
            </w:pPr>
            <w:r>
              <w:t>工资福利支出</w:t>
            </w:r>
          </w:p>
        </w:tc>
        <w:tc>
          <w:tcPr>
            <w:tcW w:w="1643" w:type="dxa"/>
            <w:vAlign w:val="center"/>
          </w:tcPr>
          <w:p>
            <w:pPr>
              <w:pStyle w:val="13"/>
            </w:pPr>
            <w:r>
              <w:t>99.24</w:t>
            </w:r>
          </w:p>
        </w:tc>
        <w:tc>
          <w:tcPr>
            <w:tcW w:w="1643" w:type="dxa"/>
            <w:vAlign w:val="center"/>
          </w:tcPr>
          <w:p>
            <w:pPr>
              <w:pStyle w:val="13"/>
            </w:pPr>
            <w:r>
              <w:t>99.24</w:t>
            </w:r>
          </w:p>
        </w:tc>
        <w:tc>
          <w:tcPr>
            <w:tcW w:w="1643"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2" w:type="dxa"/>
            <w:vAlign w:val="center"/>
          </w:tcPr>
          <w:p>
            <w:pPr>
              <w:pStyle w:val="15"/>
            </w:pPr>
            <w:r>
              <w:t>3</w:t>
            </w:r>
          </w:p>
        </w:tc>
        <w:tc>
          <w:tcPr>
            <w:tcW w:w="1800" w:type="dxa"/>
            <w:vAlign w:val="center"/>
          </w:tcPr>
          <w:p>
            <w:pPr>
              <w:pStyle w:val="14"/>
            </w:pPr>
            <w:r>
              <w:t>30199</w:t>
            </w:r>
          </w:p>
        </w:tc>
        <w:tc>
          <w:tcPr>
            <w:tcW w:w="6737" w:type="dxa"/>
            <w:vAlign w:val="center"/>
          </w:tcPr>
          <w:p>
            <w:pPr>
              <w:pStyle w:val="14"/>
            </w:pPr>
            <w:r>
              <w:t>其他工资福利支出</w:t>
            </w:r>
          </w:p>
        </w:tc>
        <w:tc>
          <w:tcPr>
            <w:tcW w:w="1643" w:type="dxa"/>
            <w:vAlign w:val="center"/>
          </w:tcPr>
          <w:p>
            <w:pPr>
              <w:pStyle w:val="13"/>
            </w:pPr>
            <w:r>
              <w:t>99.24</w:t>
            </w:r>
          </w:p>
        </w:tc>
        <w:tc>
          <w:tcPr>
            <w:tcW w:w="1643" w:type="dxa"/>
            <w:vAlign w:val="center"/>
          </w:tcPr>
          <w:p>
            <w:pPr>
              <w:pStyle w:val="13"/>
            </w:pPr>
            <w:r>
              <w:t>99.24</w:t>
            </w:r>
          </w:p>
        </w:tc>
        <w:tc>
          <w:tcPr>
            <w:tcW w:w="1643"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994"/>
        <w:gridCol w:w="3532"/>
        <w:gridCol w:w="2639"/>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5"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94" w:type="dxa"/>
            <w:vMerge w:val="restart"/>
            <w:vAlign w:val="center"/>
          </w:tcPr>
          <w:p>
            <w:pPr>
              <w:pStyle w:val="12"/>
            </w:pPr>
            <w:r>
              <w:t>序号</w:t>
            </w:r>
          </w:p>
        </w:tc>
        <w:tc>
          <w:tcPr>
            <w:tcW w:w="6171"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94" w:type="dxa"/>
            <w:vMerge w:val="continue"/>
          </w:tcPr>
          <w:p/>
        </w:tc>
        <w:tc>
          <w:tcPr>
            <w:tcW w:w="3532" w:type="dxa"/>
            <w:vAlign w:val="center"/>
          </w:tcPr>
          <w:p>
            <w:pPr>
              <w:pStyle w:val="12"/>
            </w:pPr>
            <w:r>
              <w:t>科目编码</w:t>
            </w:r>
          </w:p>
        </w:tc>
        <w:tc>
          <w:tcPr>
            <w:tcW w:w="2639"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94" w:type="dxa"/>
            <w:vAlign w:val="center"/>
          </w:tcPr>
          <w:p>
            <w:pPr>
              <w:pStyle w:val="12"/>
            </w:pPr>
            <w:r>
              <w:t>栏次</w:t>
            </w:r>
          </w:p>
        </w:tc>
        <w:tc>
          <w:tcPr>
            <w:tcW w:w="3532" w:type="dxa"/>
            <w:vAlign w:val="center"/>
          </w:tcPr>
          <w:p>
            <w:pPr>
              <w:pStyle w:val="12"/>
            </w:pPr>
            <w:r>
              <w:t>1</w:t>
            </w:r>
          </w:p>
        </w:tc>
        <w:tc>
          <w:tcPr>
            <w:tcW w:w="2639"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994" w:type="dxa"/>
            <w:vAlign w:val="center"/>
          </w:tcPr>
          <w:p>
            <w:pPr>
              <w:pStyle w:val="15"/>
            </w:pPr>
          </w:p>
        </w:tc>
        <w:tc>
          <w:tcPr>
            <w:tcW w:w="3532" w:type="dxa"/>
            <w:vAlign w:val="center"/>
          </w:tcPr>
          <w:p>
            <w:pPr>
              <w:pStyle w:val="14"/>
            </w:pPr>
          </w:p>
        </w:tc>
        <w:tc>
          <w:tcPr>
            <w:tcW w:w="2639"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094"/>
        <w:gridCol w:w="2673"/>
        <w:gridCol w:w="4398"/>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65"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1643" w:type="dxa"/>
            <w:tcBorders>
              <w:top w:val="single" w:color="FFFFFF" w:sz="6" w:space="0"/>
              <w:left w:val="single" w:color="FFFFFF" w:sz="6" w:space="0"/>
              <w:right w:val="single" w:color="FFFFFF" w:sz="6" w:space="0"/>
            </w:tcBorders>
            <w:vAlign w:val="center"/>
          </w:tcPr>
          <w:p>
            <w:pPr>
              <w:pStyle w:val="10"/>
            </w:pPr>
            <w:r>
              <w:t>预算年度：2022</w:t>
            </w:r>
          </w:p>
        </w:tc>
        <w:tc>
          <w:tcPr>
            <w:tcW w:w="3286"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94" w:type="dxa"/>
            <w:vMerge w:val="restart"/>
            <w:vAlign w:val="center"/>
          </w:tcPr>
          <w:p>
            <w:pPr>
              <w:pStyle w:val="12"/>
            </w:pPr>
            <w:r>
              <w:t>序号</w:t>
            </w:r>
          </w:p>
        </w:tc>
        <w:tc>
          <w:tcPr>
            <w:tcW w:w="7071" w:type="dxa"/>
            <w:gridSpan w:val="2"/>
            <w:vAlign w:val="center"/>
          </w:tcPr>
          <w:p>
            <w:pPr>
              <w:pStyle w:val="12"/>
            </w:pPr>
            <w:r>
              <w:t>功能分类科目</w:t>
            </w:r>
          </w:p>
        </w:tc>
        <w:tc>
          <w:tcPr>
            <w:tcW w:w="1643" w:type="dxa"/>
            <w:vMerge w:val="restart"/>
            <w:vAlign w:val="center"/>
          </w:tcPr>
          <w:p>
            <w:pPr>
              <w:pStyle w:val="12"/>
            </w:pPr>
            <w:r>
              <w:t>合计</w:t>
            </w:r>
          </w:p>
        </w:tc>
        <w:tc>
          <w:tcPr>
            <w:tcW w:w="1643" w:type="dxa"/>
            <w:vMerge w:val="restart"/>
            <w:vAlign w:val="center"/>
          </w:tcPr>
          <w:p>
            <w:pPr>
              <w:pStyle w:val="12"/>
            </w:pPr>
            <w:r>
              <w:t>基本支出</w:t>
            </w:r>
          </w:p>
        </w:tc>
        <w:tc>
          <w:tcPr>
            <w:tcW w:w="1643"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94" w:type="dxa"/>
            <w:vMerge w:val="continue"/>
          </w:tcPr>
          <w:p/>
        </w:tc>
        <w:tc>
          <w:tcPr>
            <w:tcW w:w="2673" w:type="dxa"/>
            <w:vAlign w:val="center"/>
          </w:tcPr>
          <w:p>
            <w:pPr>
              <w:pStyle w:val="12"/>
            </w:pPr>
            <w:r>
              <w:t>科目编码</w:t>
            </w:r>
          </w:p>
        </w:tc>
        <w:tc>
          <w:tcPr>
            <w:tcW w:w="4398" w:type="dxa"/>
            <w:vAlign w:val="center"/>
          </w:tcPr>
          <w:p>
            <w:pPr>
              <w:pStyle w:val="12"/>
            </w:pPr>
            <w:r>
              <w:t>科目名称</w:t>
            </w:r>
          </w:p>
        </w:tc>
        <w:tc>
          <w:tcPr>
            <w:tcW w:w="1643"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094" w:type="dxa"/>
            <w:vAlign w:val="center"/>
          </w:tcPr>
          <w:p>
            <w:pPr>
              <w:pStyle w:val="12"/>
            </w:pPr>
            <w:r>
              <w:t>栏次</w:t>
            </w:r>
          </w:p>
        </w:tc>
        <w:tc>
          <w:tcPr>
            <w:tcW w:w="2673" w:type="dxa"/>
            <w:vAlign w:val="center"/>
          </w:tcPr>
          <w:p>
            <w:pPr>
              <w:pStyle w:val="12"/>
            </w:pPr>
            <w:r>
              <w:t>1</w:t>
            </w:r>
          </w:p>
        </w:tc>
        <w:tc>
          <w:tcPr>
            <w:tcW w:w="4398" w:type="dxa"/>
            <w:vAlign w:val="center"/>
          </w:tcPr>
          <w:p>
            <w:pPr>
              <w:pStyle w:val="12"/>
            </w:pPr>
            <w:r>
              <w:t>2</w:t>
            </w:r>
          </w:p>
        </w:tc>
        <w:tc>
          <w:tcPr>
            <w:tcW w:w="1643" w:type="dxa"/>
            <w:vAlign w:val="center"/>
          </w:tcPr>
          <w:p>
            <w:pPr>
              <w:pStyle w:val="12"/>
            </w:pPr>
            <w:r>
              <w:t>3</w:t>
            </w:r>
          </w:p>
        </w:tc>
        <w:tc>
          <w:tcPr>
            <w:tcW w:w="1643" w:type="dxa"/>
            <w:vAlign w:val="center"/>
          </w:tcPr>
          <w:p>
            <w:pPr>
              <w:pStyle w:val="12"/>
            </w:pPr>
            <w:r>
              <w:t>4</w:t>
            </w:r>
          </w:p>
        </w:tc>
        <w:tc>
          <w:tcPr>
            <w:tcW w:w="1643"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094" w:type="dxa"/>
            <w:vAlign w:val="center"/>
          </w:tcPr>
          <w:p>
            <w:pPr>
              <w:pStyle w:val="15"/>
            </w:pPr>
          </w:p>
        </w:tc>
        <w:tc>
          <w:tcPr>
            <w:tcW w:w="2673" w:type="dxa"/>
            <w:vAlign w:val="center"/>
          </w:tcPr>
          <w:p>
            <w:pPr>
              <w:pStyle w:val="14"/>
            </w:pPr>
          </w:p>
        </w:tc>
        <w:tc>
          <w:tcPr>
            <w:tcW w:w="4398" w:type="dxa"/>
            <w:vAlign w:val="center"/>
          </w:tcPr>
          <w:p>
            <w:pPr>
              <w:pStyle w:val="14"/>
            </w:pPr>
          </w:p>
        </w:tc>
        <w:tc>
          <w:tcPr>
            <w:tcW w:w="1643" w:type="dxa"/>
            <w:vAlign w:val="center"/>
          </w:tcPr>
          <w:p>
            <w:pPr>
              <w:pStyle w:val="13"/>
            </w:pPr>
          </w:p>
        </w:tc>
        <w:tc>
          <w:tcPr>
            <w:tcW w:w="1643" w:type="dxa"/>
            <w:vAlign w:val="center"/>
          </w:tcPr>
          <w:p>
            <w:pPr>
              <w:pStyle w:val="13"/>
            </w:pPr>
          </w:p>
        </w:tc>
        <w:tc>
          <w:tcPr>
            <w:tcW w:w="1643"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43"/>
        <w:gridCol w:w="4364"/>
        <w:gridCol w:w="1295"/>
        <w:gridCol w:w="2537"/>
        <w:gridCol w:w="2468"/>
        <w:gridCol w:w="30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02" w:type="dxa"/>
            <w:gridSpan w:val="3"/>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2537" w:type="dxa"/>
            <w:tcBorders>
              <w:top w:val="single" w:color="FFFFFF" w:sz="6" w:space="0"/>
              <w:left w:val="single" w:color="FFFFFF" w:sz="6" w:space="0"/>
              <w:right w:val="single" w:color="FFFFFF" w:sz="6" w:space="0"/>
            </w:tcBorders>
            <w:vAlign w:val="center"/>
          </w:tcPr>
          <w:p>
            <w:pPr>
              <w:pStyle w:val="10"/>
            </w:pPr>
            <w:r>
              <w:t>预算年度：2022</w:t>
            </w:r>
          </w:p>
        </w:tc>
        <w:tc>
          <w:tcPr>
            <w:tcW w:w="5488"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43" w:type="dxa"/>
            <w:vMerge w:val="restart"/>
            <w:vAlign w:val="center"/>
          </w:tcPr>
          <w:p>
            <w:pPr>
              <w:pStyle w:val="12"/>
            </w:pPr>
            <w:r>
              <w:t>序号</w:t>
            </w:r>
          </w:p>
        </w:tc>
        <w:tc>
          <w:tcPr>
            <w:tcW w:w="4364" w:type="dxa"/>
            <w:vMerge w:val="restart"/>
            <w:vAlign w:val="center"/>
          </w:tcPr>
          <w:p>
            <w:pPr>
              <w:pStyle w:val="12"/>
            </w:pPr>
            <w:r>
              <w:t>项  目</w:t>
            </w:r>
          </w:p>
        </w:tc>
        <w:tc>
          <w:tcPr>
            <w:tcW w:w="9320"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3" w:type="dxa"/>
            <w:vMerge w:val="continue"/>
          </w:tcPr>
          <w:p/>
        </w:tc>
        <w:tc>
          <w:tcPr>
            <w:tcW w:w="4364" w:type="dxa"/>
            <w:vMerge w:val="continue"/>
          </w:tcPr>
          <w:p/>
        </w:tc>
        <w:tc>
          <w:tcPr>
            <w:tcW w:w="1295" w:type="dxa"/>
            <w:vAlign w:val="center"/>
          </w:tcPr>
          <w:p>
            <w:pPr>
              <w:pStyle w:val="12"/>
            </w:pPr>
            <w:r>
              <w:t>合计</w:t>
            </w:r>
          </w:p>
        </w:tc>
        <w:tc>
          <w:tcPr>
            <w:tcW w:w="2537" w:type="dxa"/>
            <w:vAlign w:val="center"/>
          </w:tcPr>
          <w:p>
            <w:pPr>
              <w:pStyle w:val="12"/>
            </w:pPr>
            <w:r>
              <w:t>一般公共预算财政拨款</w:t>
            </w:r>
          </w:p>
        </w:tc>
        <w:tc>
          <w:tcPr>
            <w:tcW w:w="2468" w:type="dxa"/>
            <w:vAlign w:val="center"/>
          </w:tcPr>
          <w:p>
            <w:pPr>
              <w:pStyle w:val="12"/>
            </w:pPr>
            <w:r>
              <w:t>政府性基金预算拨款</w:t>
            </w:r>
          </w:p>
        </w:tc>
        <w:tc>
          <w:tcPr>
            <w:tcW w:w="3020"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043" w:type="dxa"/>
            <w:vAlign w:val="center"/>
          </w:tcPr>
          <w:p>
            <w:pPr>
              <w:pStyle w:val="12"/>
            </w:pPr>
            <w:r>
              <w:t>栏次</w:t>
            </w:r>
          </w:p>
        </w:tc>
        <w:tc>
          <w:tcPr>
            <w:tcW w:w="4364" w:type="dxa"/>
            <w:vAlign w:val="center"/>
          </w:tcPr>
          <w:p>
            <w:pPr>
              <w:pStyle w:val="12"/>
            </w:pPr>
            <w:r>
              <w:t>1</w:t>
            </w:r>
          </w:p>
        </w:tc>
        <w:tc>
          <w:tcPr>
            <w:tcW w:w="1295" w:type="dxa"/>
            <w:vAlign w:val="center"/>
          </w:tcPr>
          <w:p>
            <w:pPr>
              <w:pStyle w:val="12"/>
            </w:pPr>
            <w:r>
              <w:t>2</w:t>
            </w:r>
          </w:p>
        </w:tc>
        <w:tc>
          <w:tcPr>
            <w:tcW w:w="2537" w:type="dxa"/>
            <w:vAlign w:val="center"/>
          </w:tcPr>
          <w:p>
            <w:pPr>
              <w:pStyle w:val="12"/>
            </w:pPr>
            <w:r>
              <w:t>3</w:t>
            </w:r>
          </w:p>
        </w:tc>
        <w:tc>
          <w:tcPr>
            <w:tcW w:w="2468" w:type="dxa"/>
            <w:vAlign w:val="center"/>
          </w:tcPr>
          <w:p>
            <w:pPr>
              <w:pStyle w:val="12"/>
            </w:pPr>
            <w:r>
              <w:t>4</w:t>
            </w:r>
          </w:p>
        </w:tc>
        <w:tc>
          <w:tcPr>
            <w:tcW w:w="3020"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1</w:t>
            </w:r>
          </w:p>
        </w:tc>
        <w:tc>
          <w:tcPr>
            <w:tcW w:w="4364" w:type="dxa"/>
            <w:vAlign w:val="center"/>
          </w:tcPr>
          <w:p>
            <w:pPr>
              <w:pStyle w:val="16"/>
            </w:pPr>
            <w:r>
              <w:t>合计</w:t>
            </w:r>
          </w:p>
        </w:tc>
        <w:tc>
          <w:tcPr>
            <w:tcW w:w="1295" w:type="dxa"/>
            <w:vAlign w:val="center"/>
          </w:tcPr>
          <w:p>
            <w:pPr>
              <w:pStyle w:val="17"/>
              <w:rPr>
                <w:rFonts w:hint="eastAsia" w:eastAsia="方正书宋_GBK"/>
                <w:lang w:eastAsia="zh-CN"/>
              </w:rPr>
            </w:pPr>
            <w:r>
              <w:rPr>
                <w:rFonts w:hint="eastAsia"/>
                <w:lang w:val="en-US" w:eastAsia="zh-CN"/>
              </w:rPr>
              <w:t>0</w:t>
            </w:r>
          </w:p>
        </w:tc>
        <w:tc>
          <w:tcPr>
            <w:tcW w:w="2537" w:type="dxa"/>
            <w:vAlign w:val="center"/>
          </w:tcPr>
          <w:p>
            <w:pPr>
              <w:pStyle w:val="17"/>
              <w:rPr>
                <w:rFonts w:hint="eastAsia" w:eastAsia="方正书宋_GBK"/>
                <w:lang w:eastAsia="zh-CN"/>
              </w:rPr>
            </w:pPr>
            <w:r>
              <w:rPr>
                <w:rFonts w:hint="eastAsia"/>
                <w:lang w:val="en-US" w:eastAsia="zh-CN"/>
              </w:rPr>
              <w:t>0</w:t>
            </w:r>
          </w:p>
        </w:tc>
        <w:tc>
          <w:tcPr>
            <w:tcW w:w="2468" w:type="dxa"/>
            <w:vAlign w:val="center"/>
          </w:tcPr>
          <w:p>
            <w:pPr>
              <w:pStyle w:val="17"/>
            </w:pPr>
          </w:p>
        </w:tc>
        <w:tc>
          <w:tcPr>
            <w:tcW w:w="3020"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2</w:t>
            </w:r>
          </w:p>
        </w:tc>
        <w:tc>
          <w:tcPr>
            <w:tcW w:w="4364" w:type="dxa"/>
            <w:vAlign w:val="center"/>
          </w:tcPr>
          <w:p>
            <w:pPr>
              <w:pStyle w:val="14"/>
            </w:pPr>
            <w:r>
              <w:t>“三公”经费小计</w:t>
            </w:r>
          </w:p>
        </w:tc>
        <w:tc>
          <w:tcPr>
            <w:tcW w:w="1295" w:type="dxa"/>
            <w:vAlign w:val="center"/>
          </w:tcPr>
          <w:p>
            <w:pPr>
              <w:pStyle w:val="13"/>
              <w:rPr>
                <w:rFonts w:hint="eastAsia" w:eastAsia="方正书宋_GBK"/>
                <w:lang w:eastAsia="zh-CN"/>
              </w:rPr>
            </w:pPr>
            <w:r>
              <w:rPr>
                <w:rFonts w:hint="eastAsia"/>
                <w:lang w:val="en-US" w:eastAsia="zh-CN"/>
              </w:rPr>
              <w:t>0</w:t>
            </w:r>
          </w:p>
        </w:tc>
        <w:tc>
          <w:tcPr>
            <w:tcW w:w="2537" w:type="dxa"/>
            <w:vAlign w:val="center"/>
          </w:tcPr>
          <w:p>
            <w:pPr>
              <w:pStyle w:val="13"/>
              <w:rPr>
                <w:rFonts w:hint="eastAsia" w:eastAsia="方正书宋_GBK"/>
                <w:lang w:eastAsia="zh-CN"/>
              </w:rPr>
            </w:pPr>
            <w:r>
              <w:rPr>
                <w:rFonts w:hint="eastAsia"/>
                <w:lang w:val="en-US" w:eastAsia="zh-CN"/>
              </w:rPr>
              <w:t>0</w:t>
            </w: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3</w:t>
            </w:r>
          </w:p>
        </w:tc>
        <w:tc>
          <w:tcPr>
            <w:tcW w:w="4364" w:type="dxa"/>
            <w:vAlign w:val="center"/>
          </w:tcPr>
          <w:p>
            <w:pPr>
              <w:pStyle w:val="14"/>
            </w:pPr>
            <w:r>
              <w:t>一、因公出国（境）费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4</w:t>
            </w:r>
          </w:p>
        </w:tc>
        <w:tc>
          <w:tcPr>
            <w:tcW w:w="4364" w:type="dxa"/>
            <w:vAlign w:val="center"/>
          </w:tcPr>
          <w:p>
            <w:pPr>
              <w:pStyle w:val="14"/>
            </w:pPr>
            <w:r>
              <w:t xml:space="preserve">    其中：教学科研人员因公出国（境）费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5</w:t>
            </w:r>
          </w:p>
        </w:tc>
        <w:tc>
          <w:tcPr>
            <w:tcW w:w="4364" w:type="dxa"/>
            <w:vAlign w:val="center"/>
          </w:tcPr>
          <w:p>
            <w:pPr>
              <w:pStyle w:val="14"/>
            </w:pPr>
            <w:r>
              <w:t xml:space="preserve">          其他因公出国（境）费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6</w:t>
            </w:r>
          </w:p>
        </w:tc>
        <w:tc>
          <w:tcPr>
            <w:tcW w:w="4364" w:type="dxa"/>
            <w:vAlign w:val="center"/>
          </w:tcPr>
          <w:p>
            <w:pPr>
              <w:pStyle w:val="14"/>
            </w:pPr>
            <w:r>
              <w:t>二、公务用车购置及运维费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7</w:t>
            </w:r>
          </w:p>
        </w:tc>
        <w:tc>
          <w:tcPr>
            <w:tcW w:w="4364" w:type="dxa"/>
            <w:vAlign w:val="center"/>
          </w:tcPr>
          <w:p>
            <w:pPr>
              <w:pStyle w:val="14"/>
            </w:pPr>
            <w:r>
              <w:t xml:space="preserve">    其中：公务用车购置费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8</w:t>
            </w:r>
          </w:p>
        </w:tc>
        <w:tc>
          <w:tcPr>
            <w:tcW w:w="4364" w:type="dxa"/>
            <w:vAlign w:val="center"/>
          </w:tcPr>
          <w:p>
            <w:pPr>
              <w:pStyle w:val="14"/>
            </w:pPr>
            <w:r>
              <w:t xml:space="preserve">          公务用车运行维护费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043" w:type="dxa"/>
            <w:vAlign w:val="center"/>
          </w:tcPr>
          <w:p>
            <w:pPr>
              <w:pStyle w:val="15"/>
            </w:pPr>
            <w:r>
              <w:t>9</w:t>
            </w:r>
          </w:p>
        </w:tc>
        <w:tc>
          <w:tcPr>
            <w:tcW w:w="4364" w:type="dxa"/>
            <w:vAlign w:val="center"/>
          </w:tcPr>
          <w:p>
            <w:pPr>
              <w:pStyle w:val="14"/>
            </w:pPr>
            <w:r>
              <w:t>三、公务接待费</w:t>
            </w:r>
          </w:p>
        </w:tc>
        <w:tc>
          <w:tcPr>
            <w:tcW w:w="1295" w:type="dxa"/>
            <w:vAlign w:val="center"/>
          </w:tcPr>
          <w:p>
            <w:pPr>
              <w:pStyle w:val="13"/>
            </w:pPr>
          </w:p>
        </w:tc>
        <w:tc>
          <w:tcPr>
            <w:tcW w:w="2537" w:type="dxa"/>
            <w:vAlign w:val="center"/>
          </w:tcPr>
          <w:p>
            <w:pPr>
              <w:pStyle w:val="13"/>
            </w:pPr>
          </w:p>
        </w:tc>
        <w:tc>
          <w:tcPr>
            <w:tcW w:w="2468" w:type="dxa"/>
            <w:vAlign w:val="center"/>
          </w:tcPr>
          <w:p>
            <w:pPr>
              <w:pStyle w:val="13"/>
            </w:pPr>
          </w:p>
        </w:tc>
        <w:tc>
          <w:tcPr>
            <w:tcW w:w="3020"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w:t>
      </w:r>
      <w:r>
        <w:rPr>
          <w:rFonts w:hint="eastAsia" w:ascii="方正书宋_GBK" w:hAnsi="方正书宋_GBK" w:eastAsia="方正书宋_GBK" w:cs="方正书宋_GBK"/>
          <w:color w:val="000000"/>
          <w:sz w:val="21"/>
          <w:lang w:eastAsia="zh-CN"/>
        </w:rPr>
        <w:t>三公经费</w:t>
      </w:r>
      <w:r>
        <w:rPr>
          <w:rFonts w:ascii="方正书宋_GBK" w:hAnsi="方正书宋_GBK" w:eastAsia="方正书宋_GBK" w:cs="方正书宋_GBK"/>
          <w:color w:val="000000"/>
          <w:sz w:val="21"/>
        </w:rPr>
        <w:t>预算财政拨款预算，空表列示。</w:t>
      </w:r>
    </w:p>
    <w:p>
      <w:pPr>
        <w:spacing w:before="0" w:after="0" w:line="240" w:lineRule="auto"/>
        <w:ind w:firstLine="0"/>
        <w:jc w:val="center"/>
        <w:outlineLvl w:val="9"/>
        <w:rPr>
          <w:rFonts w:ascii="方正小标宋_GBK" w:hAnsi="方正小标宋_GBK" w:eastAsia="方正小标宋_GBK" w:cs="方正小标宋_GBK"/>
          <w:color w:val="000000"/>
          <w:sz w:val="44"/>
        </w:rPr>
      </w:pPr>
    </w:p>
    <w:p>
      <w:pPr>
        <w:spacing w:before="0" w:after="0" w:line="240" w:lineRule="auto"/>
        <w:jc w:val="both"/>
        <w:outlineLvl w:val="9"/>
      </w:pPr>
      <w:r>
        <w:rPr>
          <w:rFonts w:ascii="方正小标宋_GBK" w:hAnsi="方正小标宋_GBK" w:eastAsia="方正小标宋_GBK" w:cs="方正小标宋_GBK"/>
          <w:color w:val="000000"/>
          <w:sz w:val="44"/>
        </w:rPr>
        <w:t>唐山高新技术产业开发区人民检察院2022年部门预算信息公开情况说明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按照《预算法》、《地方预决算公开操作规程》和《关于进一步推进预算公开工作的实施意见》规定，现将唐山高新技术产业开发区人民检察院2022年部门预算公开如下：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ind w:firstLine="640" w:firstLineChars="200"/>
        <w:rPr>
          <w:rFonts w:ascii="仿宋_GB2312" w:eastAsia="仿宋_GB2312"/>
          <w:sz w:val="32"/>
          <w:szCs w:val="32"/>
        </w:rPr>
      </w:pPr>
      <w:r>
        <w:rPr>
          <w:rFonts w:hint="eastAsia" w:ascii="仿宋_GB2312" w:eastAsia="仿宋_GB2312"/>
          <w:sz w:val="32"/>
          <w:szCs w:val="32"/>
        </w:rPr>
        <w:t>唐山高新区人民检察院</w:t>
      </w:r>
      <w:r>
        <w:rPr>
          <w:rFonts w:hint="eastAsia" w:ascii="仿宋_GB2312" w:hAnsi="宋体" w:eastAsia="仿宋_GB2312"/>
          <w:sz w:val="32"/>
          <w:szCs w:val="32"/>
        </w:rPr>
        <w:t>为正</w:t>
      </w:r>
      <w:r>
        <w:rPr>
          <w:rFonts w:hint="eastAsia" w:ascii="仿宋_GB2312" w:eastAsia="仿宋_GB2312"/>
          <w:sz w:val="32"/>
          <w:szCs w:val="32"/>
        </w:rPr>
        <w:t>县级院</w:t>
      </w:r>
      <w:r>
        <w:rPr>
          <w:rFonts w:hint="eastAsia" w:ascii="仿宋_GB2312" w:hAnsi="宋体" w:eastAsia="仿宋_GB2312"/>
          <w:sz w:val="32"/>
          <w:szCs w:val="32"/>
        </w:rPr>
        <w:t>，性质是行政单位，经费形式为财政拨款。</w:t>
      </w:r>
      <w:r>
        <w:rPr>
          <w:rFonts w:hint="eastAsia" w:ascii="仿宋_GB2312" w:eastAsia="仿宋_GB2312"/>
          <w:sz w:val="32"/>
          <w:szCs w:val="32"/>
        </w:rPr>
        <w:t>按照法律规定和业务分工设立4个内设机构。</w:t>
      </w:r>
    </w:p>
    <w:p>
      <w:pPr>
        <w:ind w:firstLine="640" w:firstLineChars="200"/>
        <w:rPr>
          <w:rFonts w:ascii="仿宋_GB2312" w:eastAsia="仿宋_GB2312"/>
          <w:sz w:val="32"/>
          <w:szCs w:val="32"/>
        </w:rPr>
      </w:pPr>
      <w:r>
        <w:rPr>
          <w:rFonts w:hint="eastAsia" w:ascii="仿宋_GB2312" w:eastAsia="仿宋_GB2312"/>
          <w:sz w:val="32"/>
          <w:szCs w:val="32"/>
        </w:rPr>
        <w:t>办公室</w:t>
      </w:r>
    </w:p>
    <w:p>
      <w:pPr>
        <w:ind w:firstLine="640" w:firstLineChars="200"/>
        <w:rPr>
          <w:rFonts w:ascii="仿宋_GB2312" w:eastAsia="仿宋_GB2312"/>
          <w:sz w:val="32"/>
          <w:szCs w:val="32"/>
        </w:rPr>
      </w:pPr>
      <w:r>
        <w:rPr>
          <w:rFonts w:hint="eastAsia" w:ascii="仿宋_GB2312" w:eastAsia="仿宋_GB2312"/>
          <w:sz w:val="32"/>
          <w:szCs w:val="32"/>
        </w:rPr>
        <w:t>1、机关事务处理。负责文件起草、秘书事务、机要通信、会议组织、工作协调、计财装备、检察统计、档案管理、编发检察信息、保密、接待工作，负责机关事务管理工作及外事接待工作。</w:t>
      </w:r>
    </w:p>
    <w:p>
      <w:pPr>
        <w:ind w:firstLine="640" w:firstLineChars="200"/>
        <w:rPr>
          <w:rFonts w:ascii="仿宋_GB2312" w:eastAsia="仿宋_GB2312"/>
          <w:sz w:val="32"/>
          <w:szCs w:val="32"/>
        </w:rPr>
      </w:pPr>
      <w:r>
        <w:rPr>
          <w:rFonts w:hint="eastAsia" w:ascii="仿宋_GB2312" w:eastAsia="仿宋_GB2312"/>
          <w:sz w:val="32"/>
          <w:szCs w:val="32"/>
        </w:rPr>
        <w:t>2、政工宣传。负责机关党建、宣传教育、思想政治工作；负责组织人事、考核考评、目标管理、教育培训工作；办理《检察官法》规定的有关工作；负责老干部工作。</w:t>
      </w:r>
    </w:p>
    <w:p>
      <w:pPr>
        <w:ind w:firstLine="640" w:firstLineChars="200"/>
        <w:rPr>
          <w:rFonts w:ascii="仿宋_GB2312" w:eastAsia="仿宋_GB2312"/>
          <w:sz w:val="32"/>
          <w:szCs w:val="32"/>
        </w:rPr>
      </w:pPr>
      <w:r>
        <w:rPr>
          <w:rFonts w:hint="eastAsia" w:ascii="仿宋_GB2312" w:eastAsia="仿宋_GB2312"/>
          <w:sz w:val="32"/>
          <w:szCs w:val="32"/>
        </w:rPr>
        <w:t>3、法律政策研究。负责检察理论研究、专项调研、开展检察理论研讨，负责检察委员会办公室工作。</w:t>
      </w:r>
    </w:p>
    <w:p>
      <w:pPr>
        <w:ind w:firstLine="640" w:firstLineChars="200"/>
        <w:rPr>
          <w:rFonts w:ascii="仿宋_GB2312" w:eastAsia="仿宋_GB2312"/>
          <w:sz w:val="32"/>
          <w:szCs w:val="32"/>
        </w:rPr>
      </w:pPr>
      <w:r>
        <w:rPr>
          <w:rFonts w:hint="eastAsia" w:ascii="仿宋_GB2312" w:eastAsia="仿宋_GB2312"/>
          <w:sz w:val="32"/>
          <w:szCs w:val="32"/>
        </w:rPr>
        <w:t>4、检察技术应用。应用科技手段和方法，对各检察业务部门办理案件中涉及的专门技术性问题的证据进行审查和鉴定等工作；承办人民检察院讯问职务犯罪嫌疑人同步录音录像工作；负责检察机关信息化工作的管理等工作。</w:t>
      </w:r>
    </w:p>
    <w:p>
      <w:pPr>
        <w:ind w:firstLine="560" w:firstLineChars="200"/>
        <w:rPr>
          <w:rFonts w:hint="eastAsia" w:ascii="仿宋_GB2312" w:hAnsi="宋体" w:eastAsia="仿宋_GB2312" w:cs="宋体"/>
          <w:sz w:val="28"/>
          <w:szCs w:val="28"/>
        </w:rPr>
      </w:pPr>
      <w:r>
        <w:rPr>
          <w:rFonts w:hint="eastAsia" w:ascii="仿宋_GB2312" w:hAnsi="宋体" w:eastAsia="仿宋_GB2312" w:cs="宋体"/>
          <w:sz w:val="28"/>
          <w:szCs w:val="28"/>
        </w:rPr>
        <w:t>刑事检察处</w:t>
      </w:r>
    </w:p>
    <w:p>
      <w:pPr>
        <w:ind w:firstLine="640" w:firstLineChars="200"/>
        <w:rPr>
          <w:rFonts w:ascii="仿宋_GB2312" w:eastAsia="仿宋_GB2312"/>
          <w:sz w:val="32"/>
          <w:szCs w:val="32"/>
        </w:rPr>
      </w:pPr>
      <w:r>
        <w:rPr>
          <w:rFonts w:hint="eastAsia" w:ascii="仿宋_GB2312" w:eastAsia="仿宋_GB2312"/>
          <w:sz w:val="32"/>
          <w:szCs w:val="32"/>
        </w:rPr>
        <w:t>1、公诉及审判监督。对侦查机关（部门）侦查终结移送审查起诉或者不起诉的案件，审查决定是否提起公诉或者不起诉；出席公诉案件第一审和再审法庭，代表国家履行公诉职责和审判监督职责；审查人民法院的刑事判决、裁定，对确有错误的刑事判决、裁定，依法提出抗诉；审查报请核准追诉的案件；结合办案参与社会治安综合治理等。</w:t>
      </w:r>
    </w:p>
    <w:p>
      <w:pPr>
        <w:ind w:firstLine="640" w:firstLineChars="200"/>
        <w:rPr>
          <w:rFonts w:ascii="仿宋_GB2312" w:eastAsia="仿宋_GB2312"/>
          <w:sz w:val="32"/>
          <w:szCs w:val="32"/>
        </w:rPr>
      </w:pPr>
      <w:r>
        <w:rPr>
          <w:rFonts w:hint="eastAsia" w:ascii="仿宋_GB2312" w:eastAsia="仿宋_GB2312"/>
          <w:sz w:val="32"/>
          <w:szCs w:val="32"/>
        </w:rPr>
        <w:t xml:space="preserve">2、未成年人刑事检察。负责办理公安机关提请批准逮捕的未成年人犯罪案件；审查起诉并出庭公诉公安机关移送起诉的未成年人犯罪案件，对未成年人犯罪案件依法履行立案监督、侦查监督、审判监督、执行监督职能。 </w:t>
      </w:r>
    </w:p>
    <w:p>
      <w:pPr>
        <w:ind w:firstLine="640" w:firstLineChars="200"/>
        <w:rPr>
          <w:rFonts w:ascii="仿宋_GB2312" w:eastAsia="仿宋_GB2312"/>
          <w:sz w:val="32"/>
          <w:szCs w:val="32"/>
        </w:rPr>
      </w:pPr>
      <w:r>
        <w:rPr>
          <w:rFonts w:hint="eastAsia" w:ascii="仿宋_GB2312" w:eastAsia="仿宋_GB2312"/>
          <w:sz w:val="32"/>
          <w:szCs w:val="32"/>
        </w:rPr>
        <w:t>3、刑罚执行监督。对人民法院裁定减刑、假释是否合法实行监督；对公安机关、人民法院办理的犯罪嫌疑人、被告人被羁押的案件的羁押期限办案期限实行监督；对监所检察工作中发现的不需要继续羁押的犯罪嫌疑人、被告人提出释放或者变更强制措施的建议；对指定居所监视居住的执行活动是否合法事项监督；对人民法院执行罚金刑、没收财产刑以及执行生效判决、裁定中没收违法所得及其他涉案财产的活动是否合法实行监督；对人民法院、监狱管理机关、公安机关决定或者批准暂予监外执行活动是否合法实行监督；对公安机关、社区矫正机构管理监督监外执行罪犯活动是否合法实行监督；对强制医疗执行活动是否合法实行监督；对刑罚执行和监管活动中的职务犯罪案件立案侦查，开展职务犯罪预防工作；对罪犯又犯罪案件和劳教人员犯罪案件审查逮捕、审查起诉，对立案、侦查和审判活动是否合法实行监督；受理辩护人、诉讼代理人对看守所阻碍行使诉讼权利的申诉、控告以及被监管人及其近亲属、法定代理人的控告、举报和申诉等。</w:t>
      </w:r>
    </w:p>
    <w:p>
      <w:pPr>
        <w:ind w:firstLine="640" w:firstLineChars="200"/>
        <w:rPr>
          <w:rFonts w:ascii="仿宋_GB2312" w:eastAsia="仿宋_GB2312"/>
          <w:sz w:val="32"/>
          <w:szCs w:val="32"/>
        </w:rPr>
      </w:pPr>
      <w:r>
        <w:rPr>
          <w:rFonts w:hint="eastAsia" w:ascii="仿宋_GB2312" w:eastAsia="仿宋_GB2312"/>
          <w:sz w:val="32"/>
          <w:szCs w:val="32"/>
        </w:rPr>
        <w:t>民事行政检察处</w:t>
      </w:r>
    </w:p>
    <w:p>
      <w:pPr>
        <w:ind w:firstLine="640" w:firstLineChars="200"/>
        <w:rPr>
          <w:rFonts w:ascii="仿宋_GB2312" w:eastAsia="仿宋_GB2312"/>
          <w:sz w:val="32"/>
          <w:szCs w:val="32"/>
        </w:rPr>
      </w:pPr>
      <w:r>
        <w:rPr>
          <w:rFonts w:hint="eastAsia" w:ascii="仿宋_GB2312" w:eastAsia="仿宋_GB2312"/>
          <w:sz w:val="32"/>
          <w:szCs w:val="32"/>
        </w:rPr>
        <w:t>1、民事行政诉讼监督。审查已经立案的民事、行政案件；对原判决、裁定、调解书符合法律规定的抗诉条件的，向人民法院提出抗诉；向人民法院和有关单位提出检察建议。</w:t>
      </w:r>
    </w:p>
    <w:p>
      <w:pPr>
        <w:ind w:firstLine="640" w:firstLineChars="200"/>
        <w:rPr>
          <w:rFonts w:ascii="仿宋_GB2312" w:eastAsia="仿宋_GB2312"/>
          <w:sz w:val="32"/>
          <w:szCs w:val="32"/>
        </w:rPr>
      </w:pPr>
      <w:r>
        <w:rPr>
          <w:rFonts w:hint="eastAsia" w:ascii="仿宋_GB2312" w:eastAsia="仿宋_GB2312"/>
          <w:sz w:val="32"/>
          <w:szCs w:val="32"/>
        </w:rPr>
        <w:t>2、控告申诉举报案件处理。处理来信来访；统一受理报案、控告、举报、申诉和犯罪嫌疑人投案自首；初核举报线索；办理有关控告案件；开展举报奖励工作；处理有关刑事申诉；国家赔偿和刑事被害人救助案件；进行法律宣传和咨询活动等。</w:t>
      </w:r>
    </w:p>
    <w:p>
      <w:pPr>
        <w:ind w:firstLine="640" w:firstLineChars="200"/>
        <w:rPr>
          <w:rFonts w:ascii="仿宋_GB2312" w:eastAsia="仿宋_GB2312"/>
          <w:sz w:val="32"/>
          <w:szCs w:val="32"/>
        </w:rPr>
      </w:pPr>
      <w:r>
        <w:rPr>
          <w:rFonts w:hint="eastAsia" w:ascii="仿宋_GB2312" w:eastAsia="仿宋_GB2312"/>
          <w:sz w:val="32"/>
          <w:szCs w:val="32"/>
        </w:rPr>
        <w:t>侦查监督部</w:t>
      </w:r>
    </w:p>
    <w:p>
      <w:pPr>
        <w:ind w:firstLine="640" w:firstLineChars="200"/>
      </w:pPr>
      <w:r>
        <w:rPr>
          <w:rFonts w:hint="eastAsia" w:ascii="仿宋_GB2312" w:eastAsia="仿宋_GB2312"/>
          <w:sz w:val="32"/>
          <w:szCs w:val="32"/>
        </w:rPr>
        <w:t>侦查监督。审查批准或者决定逮捕犯罪嫌疑人；复议、复核公安机关不服不批准（不予）逮捕的案件；批准延长侦查羁押期限；批准侦查部门重新计算侦查羁押期限，对于公安机关重新计算侦查羁押期限的案件进行备案监督；监督公安机关的办案期限是否合法；监督侦查机关（部门）的立案活动；监督侦查机关（部门）的侦查活动；审查办理报请核准追诉的案件等</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48"/>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948" w:type="dxa"/>
            <w:vAlign w:val="center"/>
          </w:tcPr>
          <w:p>
            <w:pPr>
              <w:pStyle w:val="12"/>
            </w:pPr>
            <w:r>
              <w:t>单位名称</w:t>
            </w:r>
          </w:p>
        </w:tc>
        <w:tc>
          <w:tcPr>
            <w:tcW w:w="2464" w:type="dxa"/>
            <w:vAlign w:val="center"/>
          </w:tcPr>
          <w:p>
            <w:pPr>
              <w:pStyle w:val="12"/>
            </w:pPr>
            <w:r>
              <w:t>单位性质</w:t>
            </w:r>
          </w:p>
        </w:tc>
        <w:tc>
          <w:tcPr>
            <w:tcW w:w="2464" w:type="dxa"/>
            <w:vAlign w:val="center"/>
          </w:tcPr>
          <w:p>
            <w:pPr>
              <w:pStyle w:val="12"/>
            </w:pPr>
            <w:r>
              <w:t>单位规格</w:t>
            </w:r>
          </w:p>
        </w:tc>
        <w:tc>
          <w:tcPr>
            <w:tcW w:w="2464"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948" w:type="dxa"/>
            <w:vAlign w:val="center"/>
          </w:tcPr>
          <w:p>
            <w:pPr>
              <w:pStyle w:val="14"/>
            </w:pPr>
            <w:r>
              <w:t>唐山高新技术产业开发区人民检察院（本级）</w:t>
            </w:r>
          </w:p>
        </w:tc>
        <w:tc>
          <w:tcPr>
            <w:tcW w:w="2464" w:type="dxa"/>
            <w:vAlign w:val="center"/>
          </w:tcPr>
          <w:p>
            <w:pPr>
              <w:pStyle w:val="15"/>
            </w:pPr>
            <w:r>
              <w:t>行政</w:t>
            </w:r>
          </w:p>
        </w:tc>
        <w:tc>
          <w:tcPr>
            <w:tcW w:w="2464" w:type="dxa"/>
            <w:vAlign w:val="center"/>
          </w:tcPr>
          <w:p>
            <w:pPr>
              <w:pStyle w:val="15"/>
            </w:pPr>
            <w:r>
              <w:t>正科级</w:t>
            </w:r>
          </w:p>
        </w:tc>
        <w:tc>
          <w:tcPr>
            <w:tcW w:w="2464"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ind w:firstLine="640" w:firstLineChars="200"/>
        <w:rPr>
          <w:rFonts w:ascii="仿宋_GB2312" w:eastAsia="仿宋_GB2312"/>
          <w:sz w:val="32"/>
          <w:szCs w:val="32"/>
        </w:rPr>
      </w:pPr>
      <w:bookmarkStart w:id="11" w:name="_Toc_3_3_0000000012"/>
      <w:r>
        <w:rPr>
          <w:rFonts w:hint="eastAsia" w:ascii="仿宋_GB2312" w:eastAsia="仿宋_GB2312"/>
          <w:sz w:val="32"/>
          <w:szCs w:val="32"/>
        </w:rPr>
        <w:t>收入预算:我部门202</w:t>
      </w:r>
      <w:r>
        <w:rPr>
          <w:rFonts w:hint="eastAsia" w:ascii="仿宋_GB2312" w:eastAsia="仿宋_GB2312"/>
          <w:sz w:val="32"/>
          <w:szCs w:val="32"/>
          <w:lang w:val="en-US" w:eastAsia="zh-CN"/>
        </w:rPr>
        <w:t>2</w:t>
      </w:r>
      <w:r>
        <w:rPr>
          <w:rFonts w:hint="eastAsia" w:ascii="仿宋_GB2312" w:eastAsia="仿宋_GB2312"/>
          <w:sz w:val="32"/>
          <w:szCs w:val="32"/>
        </w:rPr>
        <w:t>年一般公共预算拨款</w:t>
      </w:r>
      <w:r>
        <w:rPr>
          <w:rFonts w:hint="eastAsia" w:ascii="仿宋_GB2312" w:eastAsia="仿宋_GB2312"/>
          <w:sz w:val="32"/>
          <w:szCs w:val="32"/>
          <w:lang w:val="en-US" w:eastAsia="zh-CN"/>
        </w:rPr>
        <w:t>160.34</w:t>
      </w:r>
      <w:r>
        <w:rPr>
          <w:rFonts w:hint="eastAsia" w:ascii="仿宋_GB2312" w:eastAsia="仿宋_GB2312"/>
          <w:sz w:val="32"/>
          <w:szCs w:val="32"/>
        </w:rPr>
        <w:t>万元。</w:t>
      </w:r>
    </w:p>
    <w:p>
      <w:pPr>
        <w:ind w:firstLine="640" w:firstLineChars="200"/>
        <w:rPr>
          <w:rFonts w:ascii="仿宋_GB2312" w:eastAsia="仿宋_GB2312"/>
          <w:sz w:val="32"/>
          <w:szCs w:val="32"/>
        </w:rPr>
      </w:pPr>
      <w:r>
        <w:rPr>
          <w:rFonts w:hint="eastAsia" w:ascii="仿宋_GB2312" w:eastAsia="仿宋_GB2312"/>
          <w:sz w:val="32"/>
          <w:szCs w:val="32"/>
        </w:rPr>
        <w:t>支出预算：支出安排总金额为</w:t>
      </w:r>
      <w:r>
        <w:rPr>
          <w:rFonts w:hint="eastAsia" w:ascii="仿宋_GB2312" w:eastAsia="仿宋_GB2312"/>
          <w:sz w:val="32"/>
          <w:szCs w:val="32"/>
          <w:lang w:val="en-US" w:eastAsia="zh-CN"/>
        </w:rPr>
        <w:t>160.34</w:t>
      </w:r>
      <w:r>
        <w:rPr>
          <w:rFonts w:hint="eastAsia" w:ascii="仿宋_GB2312" w:eastAsia="仿宋_GB2312"/>
          <w:sz w:val="32"/>
          <w:szCs w:val="32"/>
        </w:rPr>
        <w:t>万元，其中：人员经费支出</w:t>
      </w:r>
      <w:r>
        <w:rPr>
          <w:rFonts w:hint="eastAsia" w:ascii="仿宋_GB2312" w:eastAsia="仿宋_GB2312"/>
          <w:sz w:val="32"/>
          <w:szCs w:val="32"/>
          <w:lang w:val="en-US" w:eastAsia="zh-CN"/>
        </w:rPr>
        <w:t>99.24</w:t>
      </w:r>
      <w:r>
        <w:rPr>
          <w:rFonts w:hint="eastAsia" w:ascii="仿宋_GB2312" w:eastAsia="仿宋_GB2312"/>
          <w:sz w:val="32"/>
          <w:szCs w:val="32"/>
        </w:rPr>
        <w:t>万元，专项项目支出</w:t>
      </w:r>
      <w:r>
        <w:rPr>
          <w:rFonts w:hint="eastAsia" w:ascii="仿宋_GB2312" w:eastAsia="仿宋_GB2312"/>
          <w:sz w:val="32"/>
          <w:szCs w:val="32"/>
          <w:lang w:val="en-US" w:eastAsia="zh-CN"/>
        </w:rPr>
        <w:t>61.1</w:t>
      </w:r>
      <w:r>
        <w:rPr>
          <w:rFonts w:hint="eastAsia" w:ascii="仿宋_GB2312" w:eastAsia="仿宋_GB2312"/>
          <w:sz w:val="32"/>
          <w:szCs w:val="32"/>
        </w:rPr>
        <w:t>万元</w:t>
      </w:r>
      <w:r>
        <w:rPr>
          <w:rFonts w:hint="eastAsia" w:ascii="仿宋_GB2312" w:eastAsia="仿宋_GB2312"/>
          <w:sz w:val="32"/>
          <w:szCs w:val="32"/>
          <w:lang w:eastAsia="zh-CN"/>
        </w:rPr>
        <w:t>，</w:t>
      </w:r>
      <w:bookmarkStart w:id="19" w:name="_GoBack"/>
      <w:r>
        <w:rPr>
          <w:rFonts w:hint="eastAsia" w:ascii="仿宋_GB2312" w:eastAsia="仿宋_GB2312"/>
          <w:sz w:val="32"/>
          <w:szCs w:val="32"/>
          <w:lang w:eastAsia="zh-CN"/>
        </w:rPr>
        <w:t>包含</w:t>
      </w:r>
      <w:r>
        <w:rPr>
          <w:rFonts w:hint="eastAsia" w:ascii="仿宋_GB2312" w:eastAsia="仿宋_GB2312"/>
          <w:sz w:val="32"/>
          <w:szCs w:val="32"/>
          <w:lang w:val="en-US" w:eastAsia="zh-CN"/>
        </w:rPr>
        <w:t>司法救助及检务公开业务经费4万元、办案业务经费50万元、被装购置经费7.1万元，</w:t>
      </w:r>
      <w:r>
        <w:rPr>
          <w:rFonts w:hint="eastAsia" w:ascii="仿宋_GB2312" w:eastAsia="仿宋_GB2312"/>
          <w:sz w:val="32"/>
          <w:szCs w:val="32"/>
        </w:rPr>
        <w:t>与</w:t>
      </w:r>
      <w:r>
        <w:rPr>
          <w:rFonts w:hint="eastAsia" w:ascii="仿宋_GB2312" w:eastAsia="仿宋_GB2312"/>
          <w:sz w:val="32"/>
          <w:szCs w:val="32"/>
          <w:lang w:val="en-US" w:eastAsia="zh-CN"/>
        </w:rPr>
        <w:t>2021</w:t>
      </w:r>
      <w:r>
        <w:rPr>
          <w:rFonts w:hint="eastAsia" w:ascii="仿宋_GB2312" w:eastAsia="仿宋_GB2312"/>
          <w:sz w:val="32"/>
          <w:szCs w:val="32"/>
        </w:rPr>
        <w:t>年</w:t>
      </w:r>
      <w:r>
        <w:rPr>
          <w:rFonts w:hint="eastAsia" w:ascii="仿宋_GB2312" w:hAnsi="宋体" w:eastAsia="仿宋_GB2312"/>
          <w:sz w:val="32"/>
          <w:szCs w:val="32"/>
        </w:rPr>
        <w:t>相比</w:t>
      </w:r>
      <w:r>
        <w:rPr>
          <w:rFonts w:hint="eastAsia" w:ascii="仿宋_GB2312" w:hAnsi="宋体" w:eastAsia="仿宋_GB2312"/>
          <w:sz w:val="32"/>
          <w:szCs w:val="32"/>
          <w:lang w:eastAsia="zh-CN"/>
        </w:rPr>
        <w:t>减少</w:t>
      </w:r>
      <w:r>
        <w:rPr>
          <w:rFonts w:hint="eastAsia" w:ascii="仿宋_GB2312" w:eastAsia="仿宋_GB2312"/>
          <w:sz w:val="32"/>
          <w:szCs w:val="32"/>
          <w:lang w:val="en-US" w:eastAsia="zh-CN"/>
        </w:rPr>
        <w:t>52</w:t>
      </w:r>
      <w:r>
        <w:rPr>
          <w:rFonts w:hint="eastAsia" w:ascii="仿宋_GB2312" w:hAnsi="宋体" w:eastAsia="仿宋_GB2312"/>
          <w:sz w:val="32"/>
          <w:szCs w:val="32"/>
        </w:rPr>
        <w:t>%，原因：</w:t>
      </w:r>
      <w:r>
        <w:rPr>
          <w:rFonts w:hint="eastAsia" w:ascii="仿宋_GB2312" w:hAnsi="宋体" w:eastAsia="仿宋_GB2312"/>
          <w:sz w:val="32"/>
          <w:szCs w:val="32"/>
          <w:lang w:eastAsia="zh-CN"/>
        </w:rPr>
        <w:t>减少项目经费</w:t>
      </w:r>
      <w:r>
        <w:rPr>
          <w:rFonts w:hint="eastAsia" w:ascii="仿宋_GB2312" w:hAnsi="宋体" w:eastAsia="仿宋_GB2312"/>
          <w:sz w:val="32"/>
          <w:szCs w:val="32"/>
        </w:rPr>
        <w:t>。</w:t>
      </w:r>
      <w:bookmarkEnd w:id="19"/>
    </w:p>
    <w:p>
      <w:pPr>
        <w:spacing w:before="10" w:after="10" w:line="360" w:lineRule="auto"/>
        <w:ind w:firstLine="640"/>
        <w:jc w:val="left"/>
        <w:outlineLvl w:val="2"/>
      </w:pPr>
      <w:r>
        <w:rPr>
          <w:rFonts w:ascii="黑体" w:hAnsi="黑体" w:eastAsia="黑体" w:cs="黑体"/>
          <w:color w:val="000000"/>
          <w:sz w:val="32"/>
        </w:rPr>
        <w:t>三、机关运行经费安排情况</w:t>
      </w:r>
      <w:bookmarkEnd w:id="11"/>
    </w:p>
    <w:p>
      <w:pPr>
        <w:autoSpaceDE w:val="0"/>
        <w:autoSpaceDN w:val="0"/>
        <w:adjustRightInd w:val="0"/>
        <w:ind w:left="198" w:firstLine="640" w:firstLineChars="200"/>
        <w:jc w:val="left"/>
        <w:rPr>
          <w:rFonts w:hint="default" w:eastAsia="仿宋_GB2312"/>
          <w:lang w:val="en-US" w:eastAsia="zh-CN"/>
        </w:rPr>
      </w:pPr>
      <w:r>
        <w:rPr>
          <w:rFonts w:hint="eastAsia" w:ascii="仿宋_GB2312" w:eastAsia="仿宋_GB2312"/>
          <w:sz w:val="32"/>
          <w:szCs w:val="32"/>
        </w:rPr>
        <w:t>202</w:t>
      </w:r>
      <w:r>
        <w:rPr>
          <w:rFonts w:hint="eastAsia" w:ascii="仿宋_GB2312" w:eastAsia="仿宋_GB2312"/>
          <w:sz w:val="32"/>
          <w:szCs w:val="32"/>
          <w:lang w:val="en-US" w:eastAsia="zh-CN"/>
        </w:rPr>
        <w:t>2</w:t>
      </w:r>
      <w:r>
        <w:rPr>
          <w:rFonts w:hint="eastAsia" w:ascii="仿宋_GB2312" w:eastAsia="仿宋_GB2312"/>
          <w:sz w:val="32"/>
          <w:szCs w:val="32"/>
        </w:rPr>
        <w:t>年</w:t>
      </w:r>
      <w:r>
        <w:rPr>
          <w:rFonts w:hint="eastAsia" w:ascii="仿宋_GB2312" w:eastAsia="仿宋_GB2312"/>
          <w:sz w:val="32"/>
          <w:szCs w:val="32"/>
          <w:lang w:eastAsia="zh-CN"/>
        </w:rPr>
        <w:t>我院专项经费</w:t>
      </w:r>
      <w:r>
        <w:rPr>
          <w:rFonts w:hint="eastAsia" w:ascii="仿宋_GB2312" w:eastAsia="仿宋_GB2312"/>
          <w:sz w:val="32"/>
          <w:szCs w:val="32"/>
          <w:lang w:val="en-US" w:eastAsia="zh-CN"/>
        </w:rPr>
        <w:t>61.1万元，其中为司法救助及检务公开业务经费4万元、办案业务经费50万元、被装购置经费7.1万元</w:t>
      </w:r>
      <w:r>
        <w:rPr>
          <w:rFonts w:hint="eastAsia" w:ascii="仿宋_GB2312" w:eastAsia="仿宋_GB2312"/>
          <w:sz w:val="32"/>
          <w:szCs w:val="32"/>
        </w:rPr>
        <w:t>。</w:t>
      </w:r>
      <w:r>
        <w:rPr>
          <w:rFonts w:hint="eastAsia" w:ascii="仿宋_GB2312" w:eastAsia="仿宋_GB2312"/>
          <w:sz w:val="32"/>
          <w:szCs w:val="32"/>
          <w:lang w:eastAsia="zh-CN"/>
        </w:rPr>
        <w:t>比上年减少</w:t>
      </w:r>
      <w:r>
        <w:rPr>
          <w:rFonts w:hint="eastAsia" w:ascii="仿宋_GB2312" w:eastAsia="仿宋_GB2312"/>
          <w:sz w:val="32"/>
          <w:szCs w:val="32"/>
          <w:lang w:val="en-US" w:eastAsia="zh-CN"/>
        </w:rPr>
        <w:t>2.9万元，原因为被装购置经费压减支出。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w:t>
      </w:r>
      <w:r>
        <w:rPr>
          <w:rFonts w:hint="eastAsia" w:ascii="仿宋_GB2312" w:eastAsia="仿宋_GB2312"/>
          <w:sz w:val="32"/>
          <w:szCs w:val="32"/>
          <w:lang w:val="en-US" w:eastAsia="zh-CN"/>
        </w:rPr>
        <w:t>2</w:t>
      </w:r>
      <w:r>
        <w:rPr>
          <w:rFonts w:hint="eastAsia" w:ascii="仿宋_GB2312" w:eastAsia="仿宋_GB2312"/>
          <w:sz w:val="32"/>
          <w:szCs w:val="32"/>
        </w:rPr>
        <w:t>年我院无“三公”经费预算</w:t>
      </w:r>
      <w:r>
        <w:rPr>
          <w:rFonts w:hint="eastAsia" w:ascii="仿宋_GB2312" w:eastAsia="仿宋_GB2312"/>
          <w:sz w:val="32"/>
          <w:szCs w:val="32"/>
          <w:lang w:eastAsia="zh-CN"/>
        </w:rPr>
        <w:t>安排</w:t>
      </w:r>
      <w:r>
        <w:rPr>
          <w:rFonts w:hint="eastAsia" w:ascii="仿宋_GB2312" w:eastAsia="仿宋_GB2312"/>
          <w:sz w:val="32"/>
          <w:szCs w:val="32"/>
        </w:rPr>
        <w:t>，与上年持平</w:t>
      </w:r>
      <w:r>
        <w:rPr>
          <w:rFonts w:hint="eastAsia" w:ascii="仿宋_GB2312" w:eastAsia="仿宋_GB2312"/>
          <w:sz w:val="32"/>
          <w:szCs w:val="32"/>
          <w:lang w:eastAsia="zh-CN"/>
        </w:rPr>
        <w:t>，原因是</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（一）公务用车购置及运行费，共计安排0万元，与上年持平。</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1.公务用车购置安排0万元，与上年持平。</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2.公务用车运行维护经费安排0万元，与上年持平。</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ind w:firstLine="630"/>
        <w:rPr>
          <w:rFonts w:ascii="仿宋_GB2312" w:eastAsia="仿宋_GB2312"/>
          <w:sz w:val="32"/>
          <w:szCs w:val="32"/>
        </w:rPr>
      </w:pPr>
      <w:r>
        <w:rPr>
          <w:rFonts w:hint="eastAsia" w:ascii="仿宋_GB2312" w:eastAsia="仿宋_GB2312"/>
          <w:sz w:val="32"/>
          <w:szCs w:val="32"/>
        </w:rPr>
        <w:t>（二）公务接待费。安排0万元，与上年持平。</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ind w:firstLine="640" w:firstLineChars="200"/>
      </w:pPr>
      <w:r>
        <w:rPr>
          <w:rFonts w:hint="eastAsia" w:ascii="仿宋" w:hAnsi="仿宋" w:eastAsia="仿宋" w:cs="仿宋_GB2312"/>
          <w:sz w:val="32"/>
          <w:szCs w:val="32"/>
        </w:rPr>
        <w:t>（三）因公出国（境）费安排0万元，与上年持平。</w:t>
      </w:r>
      <w:r>
        <w:rPr>
          <w:rFonts w:hint="eastAsia" w:ascii="仿宋_GB2312" w:eastAsia="仿宋_GB2312"/>
          <w:sz w:val="32"/>
          <w:szCs w:val="32"/>
          <w:lang w:val="en-US" w:eastAsia="zh-CN"/>
        </w:rPr>
        <w:t>2021年也无三公经费预算安排</w:t>
      </w:r>
      <w:r>
        <w:rPr>
          <w:rFonts w:hint="eastAsia" w:ascii="仿宋_GB2312" w:eastAsia="仿宋_GB2312"/>
          <w:sz w:val="32"/>
          <w:szCs w:val="32"/>
        </w:rPr>
        <w:t>。</w:t>
      </w: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ind w:firstLine="630"/>
      </w:pPr>
      <w:r>
        <w:fldChar w:fldCharType="begin"/>
      </w:r>
      <w:r>
        <w:rPr>
          <w:rFonts w:ascii="仿宋_GB2312" w:eastAsia="仿宋_GB2312"/>
          <w:sz w:val="32"/>
          <w:szCs w:val="32"/>
        </w:rPr>
        <w:instrText xml:space="preserve"> </w:instrText>
      </w:r>
      <w:r>
        <w:rPr>
          <w:rFonts w:hint="eastAsia" w:ascii="仿宋_GB2312" w:eastAsia="仿宋_GB2312"/>
          <w:sz w:val="32"/>
          <w:szCs w:val="32"/>
        </w:rPr>
        <w:instrText xml:space="preserve">TC </w:instrText>
      </w:r>
      <w:bookmarkStart w:id="14" w:name="_Toc42589556"/>
      <w:r>
        <w:rPr>
          <w:rFonts w:hint="eastAsia" w:ascii="仿宋_GB2312" w:eastAsia="仿宋_GB2312"/>
          <w:sz w:val="32"/>
          <w:szCs w:val="32"/>
        </w:rPr>
        <w:instrText xml:space="preserve">总体绩效目标</w:instrText>
      </w:r>
      <w:bookmarkEnd w:id="14"/>
      <w:r>
        <w:rPr>
          <w:rFonts w:hint="eastAsia" w:ascii="仿宋_GB2312" w:eastAsia="仿宋_GB2312"/>
          <w:sz w:val="32"/>
          <w:szCs w:val="32"/>
        </w:rPr>
        <w:instrText xml:space="preserve"> \f A \l 1</w:instrText>
      </w:r>
      <w:r>
        <w:rPr>
          <w:rFonts w:ascii="仿宋_GB2312" w:eastAsia="仿宋_GB2312"/>
          <w:sz w:val="32"/>
          <w:szCs w:val="32"/>
        </w:rPr>
        <w:instrText xml:space="preserve"> </w:instrText>
      </w:r>
      <w:r>
        <w:rPr>
          <w:rFonts w:ascii="仿宋_GB2312" w:eastAsia="仿宋_GB2312"/>
          <w:sz w:val="32"/>
          <w:szCs w:val="32"/>
        </w:rPr>
        <w:fldChar w:fldCharType="end"/>
      </w:r>
      <w:r>
        <w:rPr>
          <w:rFonts w:ascii="仿宋_GB2312" w:eastAsia="仿宋_GB2312"/>
          <w:sz w:val="32"/>
          <w:szCs w:val="32"/>
        </w:rPr>
        <w:t>我院将继续在区党工委和市院的正确领导下，在区管委会的大力支持下，紧紧围绕“强化法律监督、维护公平正义”的检察工作主题，深入领会“政治建检、业务立检、公信树检、素质兴检、科技强检”的全省检察工作总体思路，有效提升各项检察工作水平，为实现“全省领先、全国一流”的全市检察工作目标和“建设经济强区、科技新城、幸福高新”的区域发展目标努力奋进。</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tabs>
          <w:tab w:val="left" w:pos="1500"/>
        </w:tabs>
        <w:ind w:firstLine="640" w:firstLineChars="200"/>
        <w:rPr>
          <w:rFonts w:hint="eastAsia" w:ascii="仿宋_GB2312" w:eastAsia="仿宋_GB2312"/>
          <w:sz w:val="32"/>
          <w:szCs w:val="32"/>
        </w:rPr>
      </w:pPr>
      <w:r>
        <w:rPr>
          <w:rFonts w:hint="eastAsia" w:ascii="仿宋_GB2312" w:eastAsia="仿宋_GB2312"/>
          <w:sz w:val="32"/>
          <w:szCs w:val="32"/>
        </w:rPr>
        <w:t>1、加强普通刑事犯罪检察工作</w:t>
      </w:r>
    </w:p>
    <w:p>
      <w:pPr>
        <w:ind w:firstLine="640" w:firstLineChars="200"/>
        <w:rPr>
          <w:rFonts w:hint="eastAsia" w:ascii="仿宋_GB2312" w:eastAsia="仿宋_GB2312"/>
          <w:sz w:val="32"/>
          <w:szCs w:val="32"/>
        </w:rPr>
      </w:pPr>
      <w:r>
        <w:rPr>
          <w:rFonts w:hint="eastAsia" w:ascii="仿宋_GB2312" w:eastAsia="仿宋_GB2312"/>
          <w:sz w:val="32"/>
          <w:szCs w:val="32"/>
        </w:rPr>
        <w:t>绩效目标：依法严肃打击侵犯公民财产权、人身权、扰乱社会秩序等各类刑事犯罪；与省公安厅、自然资源厅、生态环境厅联合组织开展打击危害自然资源和生态环境犯罪专项活动，增强人民群众的获得感幸福感安全感；深入推进扫黑除恶专项斗争工作，挂牌督办重大涉黑恶案件，做好起诉案件积压量大地区的点对点指导工作，坚决监督纠正片面追求打击数量而下指标等错误做法；持续做好认罪认罚从宽工作，不断提升办案质效；以规范化、专业化为导向，加强普通刑事犯罪检察人才队伍和工作机制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依法履行审查逮捕、审查起诉职责，加强立案监督、侦查监督和审判监督，坚决打击“法轮功”、“全能神”等邪教组织破坏法律实施犯罪等各类犯罪；关注民生，挂牌督办一批危害环境资源类的犯罪案件；全力推进扫黑除恶专项斗争，完善上级院的监督指导作用，对涉黑和重大涉恶案件统一严格把关，实现指导覆盖面100%，加强扫黑除恶典型案件评比宣传工作，适时推出典型案例；坚决完成高检院提出的认罪认罚从宽案件适用率70%以上的目标，同时坚持稳中求升，不断提升监督质效。</w:t>
      </w:r>
    </w:p>
    <w:p>
      <w:pPr>
        <w:ind w:firstLine="640" w:firstLineChars="200"/>
        <w:rPr>
          <w:rFonts w:hint="eastAsia" w:ascii="仿宋_GB2312" w:eastAsia="仿宋_GB2312"/>
          <w:sz w:val="32"/>
          <w:szCs w:val="32"/>
        </w:rPr>
      </w:pPr>
      <w:r>
        <w:rPr>
          <w:rFonts w:hint="eastAsia" w:ascii="仿宋_GB2312" w:eastAsia="仿宋_GB2312"/>
          <w:sz w:val="32"/>
          <w:szCs w:val="32"/>
        </w:rPr>
        <w:t>2、全面履行民事检察职能</w:t>
      </w:r>
    </w:p>
    <w:p>
      <w:pPr>
        <w:ind w:firstLine="640" w:firstLineChars="200"/>
        <w:rPr>
          <w:rFonts w:hint="eastAsia" w:ascii="仿宋_GB2312" w:eastAsia="仿宋_GB2312"/>
          <w:sz w:val="32"/>
          <w:szCs w:val="32"/>
        </w:rPr>
      </w:pPr>
      <w:r>
        <w:rPr>
          <w:rFonts w:hint="eastAsia" w:ascii="仿宋_GB2312" w:eastAsia="仿宋_GB2312"/>
          <w:sz w:val="32"/>
          <w:szCs w:val="32"/>
        </w:rPr>
        <w:t>绩效目标：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ind w:firstLine="640" w:firstLineChars="200"/>
        <w:rPr>
          <w:rFonts w:hint="eastAsia" w:ascii="仿宋_GB2312" w:eastAsia="仿宋_GB2312"/>
          <w:sz w:val="32"/>
          <w:szCs w:val="32"/>
        </w:rPr>
      </w:pPr>
      <w:r>
        <w:rPr>
          <w:rFonts w:hint="eastAsia" w:ascii="仿宋_GB2312" w:eastAsia="仿宋_GB2312"/>
          <w:sz w:val="32"/>
          <w:szCs w:val="32"/>
        </w:rPr>
        <w:t>绩效指标：提高办案效率，办案人员所办理的案件法定期限内结案率提升至70%；提高案件监督质量，尤其是抗诉和再审检察建议案件的质量；加大审判违法监督、执行监督和虚假诉讼监督规模和力度；建立案件办理定期通报制度，全面提升全省民事检察队伍的素质。</w:t>
      </w:r>
    </w:p>
    <w:p>
      <w:pPr>
        <w:ind w:firstLine="640" w:firstLineChars="200"/>
        <w:rPr>
          <w:rFonts w:hint="eastAsia" w:ascii="仿宋_GB2312" w:eastAsia="仿宋_GB2312"/>
          <w:sz w:val="32"/>
          <w:szCs w:val="32"/>
        </w:rPr>
      </w:pPr>
      <w:r>
        <w:rPr>
          <w:rFonts w:hint="eastAsia" w:ascii="仿宋_GB2312" w:eastAsia="仿宋_GB2312"/>
          <w:sz w:val="32"/>
          <w:szCs w:val="32"/>
        </w:rPr>
        <w:t>3、推动行政检察工作科学发展</w:t>
      </w:r>
    </w:p>
    <w:p>
      <w:pPr>
        <w:ind w:firstLine="640" w:firstLineChars="200"/>
        <w:rPr>
          <w:rFonts w:hint="eastAsia" w:ascii="仿宋_GB2312" w:eastAsia="仿宋_GB2312"/>
          <w:sz w:val="32"/>
          <w:szCs w:val="32"/>
        </w:rPr>
      </w:pPr>
      <w:r>
        <w:rPr>
          <w:rFonts w:hint="eastAsia" w:ascii="仿宋_GB2312" w:eastAsia="仿宋_GB2312"/>
          <w:sz w:val="32"/>
          <w:szCs w:val="32"/>
        </w:rPr>
        <w:t>绩效目标：提高政治站位，更新监督理念，建立健全行政法律监督格局，提高办案质效，扩大行政检察工作影响力，促进行政检察人员专业化建设。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绩效指标：加大对行政生效裁判监督，行政审判活动监督和行政执行活动监督力度。集中开展行政检察工作宣传月活动，进一步提高行政检察工作的社会认知度。</w:t>
      </w:r>
    </w:p>
    <w:p>
      <w:pPr>
        <w:ind w:firstLine="640" w:firstLineChars="200"/>
        <w:rPr>
          <w:rFonts w:hint="eastAsia" w:ascii="仿宋_GB2312" w:eastAsia="仿宋_GB2312"/>
          <w:sz w:val="32"/>
          <w:szCs w:val="32"/>
        </w:rPr>
      </w:pPr>
      <w:r>
        <w:rPr>
          <w:rFonts w:hint="eastAsia" w:ascii="仿宋_GB2312" w:eastAsia="仿宋_GB2312"/>
          <w:sz w:val="32"/>
          <w:szCs w:val="32"/>
        </w:rPr>
        <w:t>4、有效履行新时期未检职能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绩效指标：审查逮捕案件、审查起诉案件中法律援助、社会调查、亲职教育、帮教等特殊制度适用率20%以上。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5、检察宣传能力整体增强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目标：加强检察机关意识形态建设；积极开展主题宣传和专项宣传，检察公信力和群众满意度逐步提升；检务公开网络平台安全平稳运行，积极为群众提供信息服务；加大新媒体作品创作力度，提升新媒体运维管理水平，扩大网络平台社会影响力；大力开展先进典型培树宣传；积极推动检察文化建设深入发展，活跃检察机关精神生活。</w:t>
      </w:r>
    </w:p>
    <w:p>
      <w:pPr>
        <w:ind w:firstLine="640" w:firstLineChars="200"/>
      </w:pPr>
      <w:r>
        <w:rPr>
          <w:rFonts w:hint="eastAsia" w:ascii="仿宋_GB2312" w:eastAsia="仿宋_GB2312"/>
          <w:sz w:val="32"/>
          <w:szCs w:val="32"/>
        </w:rPr>
        <w:t>绩效指标：严格落实意识形态工作责任制；紧扣检察中心工作，积极开展主题宣传和专项宣传，宣传报道检察工作取得的新成效；门户网站和“两微一端”每个工作日发布检察信息；积极开展各项检察文化活动，充分展现检察机关的新成就和新风貌，进一步发展和繁荣检察文化，促进检察工作和检察队伍建设科学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tabs>
          <w:tab w:val="left" w:pos="1500"/>
        </w:tabs>
        <w:ind w:firstLine="640" w:firstLineChars="200"/>
        <w:rPr>
          <w:rFonts w:hint="eastAsia" w:ascii="仿宋_GB2312" w:eastAsia="仿宋_GB2312"/>
          <w:sz w:val="32"/>
          <w:szCs w:val="32"/>
        </w:rPr>
      </w:pPr>
      <w:r>
        <w:rPr>
          <w:rFonts w:hint="eastAsia" w:ascii="仿宋_GB2312" w:eastAsia="仿宋_GB2312"/>
          <w:sz w:val="32"/>
          <w:szCs w:val="32"/>
        </w:rPr>
        <w:t>1、加强普通刑事犯罪检察工作</w:t>
      </w:r>
    </w:p>
    <w:p>
      <w:pPr>
        <w:ind w:firstLine="640" w:firstLineChars="200"/>
        <w:rPr>
          <w:rFonts w:hint="eastAsia" w:ascii="仿宋_GB2312" w:eastAsia="仿宋_GB2312"/>
          <w:sz w:val="32"/>
          <w:szCs w:val="32"/>
        </w:rPr>
      </w:pPr>
      <w:r>
        <w:rPr>
          <w:rFonts w:hint="eastAsia" w:ascii="仿宋_GB2312" w:eastAsia="仿宋_GB2312"/>
          <w:sz w:val="32"/>
          <w:szCs w:val="32"/>
        </w:rPr>
        <w:t>绩效目标：依法严肃打击侵犯公民财产权、人身权、扰乱社会秩序等各类刑事犯罪；与省公安厅、自然资源厅、生态环境厅联合组织开展打击危害自然资源和生态环境犯罪专项活动，增强人民群众的获得感幸福感安全感；深入推进扫黑除恶专项斗争工作，挂牌督办重大涉黑恶案件，做好起诉案件积压量大地区的点对点指导工作，坚决监督纠正片面追求打击数量而下指标等错误做法；持续做好认罪认罚从宽工作，不断提升办案质效；以规范化、专业化为导向，加强普通刑事犯罪检察人才队伍和工作机制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依法履行审查逮捕、审查起诉职责，加强立案监督、侦查监督和审判监督，坚决打击“法轮功”、“全能神”等邪教组织破坏法律实施犯罪等各类犯罪；关注民生，挂牌督办一批危害环境资源类的犯罪案件；全力推进扫黑除恶专项斗争，完善上级院的监督指导作用，对涉黑和重大涉恶案件统一严格把关，实现指导覆盖面100%，加强扫黑除恶典型案件评比宣传工作，适时推出典型案例；坚决完成高检院提出的认罪认罚从宽案件适用率70%以上的目标，同时坚持稳中求升，不断提升监督质效。</w:t>
      </w:r>
    </w:p>
    <w:p>
      <w:pPr>
        <w:ind w:firstLine="640" w:firstLineChars="200"/>
        <w:rPr>
          <w:rFonts w:hint="eastAsia" w:ascii="仿宋_GB2312" w:eastAsia="仿宋_GB2312"/>
          <w:sz w:val="32"/>
          <w:szCs w:val="32"/>
        </w:rPr>
      </w:pPr>
      <w:r>
        <w:rPr>
          <w:rFonts w:hint="eastAsia" w:ascii="仿宋_GB2312" w:eastAsia="仿宋_GB2312"/>
          <w:sz w:val="32"/>
          <w:szCs w:val="32"/>
        </w:rPr>
        <w:t>2、全面履行民事检察职能</w:t>
      </w:r>
    </w:p>
    <w:p>
      <w:pPr>
        <w:ind w:firstLine="640" w:firstLineChars="200"/>
        <w:rPr>
          <w:rFonts w:hint="eastAsia" w:ascii="仿宋_GB2312" w:eastAsia="仿宋_GB2312"/>
          <w:sz w:val="32"/>
          <w:szCs w:val="32"/>
        </w:rPr>
      </w:pPr>
      <w:r>
        <w:rPr>
          <w:rFonts w:hint="eastAsia" w:ascii="仿宋_GB2312" w:eastAsia="仿宋_GB2312"/>
          <w:sz w:val="32"/>
          <w:szCs w:val="32"/>
        </w:rPr>
        <w:t>绩效目标：坚持以办案为中心，以做强民事检察工作为目标，坚持精细化监督理念，不断优化裁判结果监督，强化审判人员违法行为监督和执行活动监督，实化虚假诉讼监督，深化全面完善多元化监督格局，推进民事检察工作实现新突破、再上新台阶。</w:t>
      </w:r>
    </w:p>
    <w:p>
      <w:pPr>
        <w:ind w:firstLine="640" w:firstLineChars="200"/>
        <w:rPr>
          <w:rFonts w:hint="eastAsia" w:ascii="仿宋_GB2312" w:eastAsia="仿宋_GB2312"/>
          <w:sz w:val="32"/>
          <w:szCs w:val="32"/>
        </w:rPr>
      </w:pPr>
      <w:r>
        <w:rPr>
          <w:rFonts w:hint="eastAsia" w:ascii="仿宋_GB2312" w:eastAsia="仿宋_GB2312"/>
          <w:sz w:val="32"/>
          <w:szCs w:val="32"/>
        </w:rPr>
        <w:t>绩效指标：提高办案效率，办案人员所办理的案件法定期限内结案率提升至70%；提高案件监督质量，尤其是抗诉和再审检察建议案件的质量；加大审判违法监督、执行监督和虚假诉讼监督规模和力度；建立案件办理定期通报制度，全面提升全省民事检察队伍的素质。</w:t>
      </w:r>
    </w:p>
    <w:p>
      <w:pPr>
        <w:ind w:firstLine="640" w:firstLineChars="200"/>
        <w:rPr>
          <w:rFonts w:hint="eastAsia" w:ascii="仿宋_GB2312" w:eastAsia="仿宋_GB2312"/>
          <w:sz w:val="32"/>
          <w:szCs w:val="32"/>
        </w:rPr>
      </w:pPr>
      <w:r>
        <w:rPr>
          <w:rFonts w:hint="eastAsia" w:ascii="仿宋_GB2312" w:eastAsia="仿宋_GB2312"/>
          <w:sz w:val="32"/>
          <w:szCs w:val="32"/>
        </w:rPr>
        <w:t>3、推动行政检察工作科学发展</w:t>
      </w:r>
    </w:p>
    <w:p>
      <w:pPr>
        <w:ind w:firstLine="640" w:firstLineChars="200"/>
        <w:rPr>
          <w:rFonts w:hint="eastAsia" w:ascii="仿宋_GB2312" w:eastAsia="仿宋_GB2312"/>
          <w:sz w:val="32"/>
          <w:szCs w:val="32"/>
        </w:rPr>
      </w:pPr>
      <w:r>
        <w:rPr>
          <w:rFonts w:hint="eastAsia" w:ascii="仿宋_GB2312" w:eastAsia="仿宋_GB2312"/>
          <w:sz w:val="32"/>
          <w:szCs w:val="32"/>
        </w:rPr>
        <w:t>绩效目标：提高政治站位，更新监督理念，建立健全行政法律监督格局，提高办案质效，扩大行政检察工作影响力，促进行政检察人员专业化建设。</w:t>
      </w:r>
    </w:p>
    <w:p>
      <w:pPr>
        <w:ind w:firstLine="640" w:firstLineChars="200"/>
        <w:rPr>
          <w:rFonts w:hint="eastAsia" w:ascii="仿宋_GB2312" w:eastAsia="仿宋_GB2312"/>
          <w:sz w:val="32"/>
          <w:szCs w:val="32"/>
        </w:rPr>
      </w:pPr>
      <w:r>
        <w:rPr>
          <w:rFonts w:hint="eastAsia" w:ascii="仿宋_GB2312" w:eastAsia="仿宋_GB2312"/>
          <w:sz w:val="32"/>
          <w:szCs w:val="32"/>
        </w:rPr>
        <w:t>绩效指标：加大对行政生效裁判监督，行政审判活动监督和行政执行活动监督力度。集中开展行政检察工作宣传月活动，进一步提高行政检察工作的社会认知度。</w:t>
      </w:r>
    </w:p>
    <w:p>
      <w:pPr>
        <w:ind w:firstLine="640" w:firstLineChars="200"/>
        <w:rPr>
          <w:rFonts w:hint="eastAsia" w:ascii="仿宋_GB2312" w:eastAsia="仿宋_GB2312"/>
          <w:sz w:val="32"/>
          <w:szCs w:val="32"/>
        </w:rPr>
      </w:pPr>
      <w:r>
        <w:rPr>
          <w:rFonts w:hint="eastAsia" w:ascii="仿宋_GB2312" w:eastAsia="仿宋_GB2312"/>
          <w:sz w:val="32"/>
          <w:szCs w:val="32"/>
        </w:rPr>
        <w:t>4、有效履行新时期未检职能</w:t>
      </w:r>
    </w:p>
    <w:p>
      <w:pPr>
        <w:ind w:firstLine="640" w:firstLineChars="200"/>
        <w:rPr>
          <w:rFonts w:hint="eastAsia" w:ascii="仿宋_GB2312" w:eastAsia="仿宋_GB2312"/>
          <w:sz w:val="32"/>
          <w:szCs w:val="32"/>
        </w:rPr>
      </w:pPr>
      <w:r>
        <w:rPr>
          <w:rFonts w:hint="eastAsia" w:ascii="仿宋_GB2312" w:eastAsia="仿宋_GB2312"/>
          <w:sz w:val="32"/>
          <w:szCs w:val="32"/>
        </w:rPr>
        <w:t xml:space="preserve">绩效目标：严格落实各项未成年人特殊检察制度，切实保护涉罪未成年人及未成年被害人各项诉讼权利，将未成年人特殊司法理念、特殊司法任务落实到未检工作的每一个环节；加强未成年人检察社会支持体系建设，建立健全相关工作机制和制度，解决制约未成年人司法保护社会支持体系建设的难题；落实“谁执法谁普法”普法责任制要求，积极参与青少年法治教育工作，推动落实各级检察院检察长、副检察长担任辖区中小学校兼职法治副校长制度，继续深入推进法治进校园等各类法治宣传活动。 </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绩效指标：审查逮捕案件、审查起诉案件中法律援助、社会调查、亲职教育、帮教等特殊制度适用率20%以上。</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5、检察宣传能力整体增强</w:t>
      </w:r>
    </w:p>
    <w:p>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绩效目标：加强检察机关意识形态建设；积极开展主题宣传和专项宣传，检察公信力和群众满意度逐步提升；检务公开网络平台安全平稳运行，积极为群众提供信息服务；加大新媒体作品创作力度，提升新媒体运维管理水平，扩大网络平台社会影响力；大力开展先进典型培树宣传；积极推动检察文化建设深入发展，活跃检察机关精神生活。</w:t>
      </w:r>
    </w:p>
    <w:p>
      <w:pPr>
        <w:ind w:firstLine="640" w:firstLineChars="200"/>
        <w:rPr>
          <w:highlight w:val="yellow"/>
        </w:rPr>
      </w:pPr>
      <w:r>
        <w:rPr>
          <w:rFonts w:hint="eastAsia" w:ascii="仿宋_GB2312" w:eastAsia="仿宋_GB2312"/>
          <w:sz w:val="32"/>
          <w:szCs w:val="32"/>
        </w:rPr>
        <w:t>绩效指标：严格落实意识形态工作责任制；紧扣检察中心工作，积极开展主题宣传和专项宣传，宣传报道检察工作取得的新成效；门户网站和“两微一端”每个工作日发布检察信息；积极开展各项检察文化活动，充分展现检察机关的新成就和新风貌，进一步发展和繁荣检察文化，促进检察工作和检察队伍建设科学发展。</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ind w:firstLine="630"/>
        <w:rPr>
          <w:rFonts w:ascii="仿宋_GB2312" w:eastAsia="仿宋_GB2312"/>
          <w:sz w:val="32"/>
          <w:szCs w:val="32"/>
        </w:rPr>
      </w:pPr>
      <w:r>
        <w:rPr>
          <w:rFonts w:ascii="仿宋_GB2312" w:eastAsia="仿宋_GB2312"/>
          <w:sz w:val="32"/>
          <w:szCs w:val="32"/>
        </w:rPr>
        <w:t>1．努力加强队伍建设</w:t>
      </w:r>
    </w:p>
    <w:p>
      <w:pPr>
        <w:ind w:firstLine="630"/>
        <w:rPr>
          <w:rFonts w:ascii="仿宋_GB2312" w:eastAsia="仿宋_GB2312"/>
          <w:sz w:val="32"/>
          <w:szCs w:val="32"/>
        </w:rPr>
      </w:pPr>
      <w:r>
        <w:rPr>
          <w:rFonts w:ascii="仿宋_GB2312" w:eastAsia="仿宋_GB2312"/>
          <w:sz w:val="32"/>
          <w:szCs w:val="32"/>
        </w:rPr>
        <w:t>按照全市政法系统推进正规化、专业化、职业化建设和高新区党工委建设学习型、创新型、服务型、担当型、廉政型、团结型检察机关要求，结合政法系统正反典型教育，努力打造风清气正、廉洁司法的检察队伍。以提高领导水平和法律监督能力为核心，着力建设坚定贯彻党的理论和路线方针政策、善于领导科学发展的领导班子，努力形成朝气蓬勃、奋发有为的坚强领导集体。积极开展正规化岗位培训，加强业务一线人员特别是执法办案骨干的专项业务培训和岗位技能培训，抓好各类新进新任人员的上岗培训、任职培训，加强电子检务、计算机运用等通用技能培训，努力铸造专业、规范、高效、进取的干警队伍。</w:t>
      </w:r>
    </w:p>
    <w:p>
      <w:pPr>
        <w:ind w:firstLine="630"/>
        <w:rPr>
          <w:rFonts w:ascii="仿宋_GB2312" w:eastAsia="仿宋_GB2312"/>
          <w:sz w:val="32"/>
          <w:szCs w:val="32"/>
        </w:rPr>
      </w:pPr>
      <w:r>
        <w:rPr>
          <w:rFonts w:ascii="仿宋_GB2312" w:eastAsia="仿宋_GB2312"/>
          <w:sz w:val="32"/>
          <w:szCs w:val="32"/>
        </w:rPr>
        <w:t>2．认真开展检务公开工作</w:t>
      </w:r>
    </w:p>
    <w:p>
      <w:pPr>
        <w:ind w:firstLine="630"/>
        <w:rPr>
          <w:rFonts w:ascii="仿宋_GB2312" w:eastAsia="仿宋_GB2312"/>
          <w:sz w:val="32"/>
          <w:szCs w:val="32"/>
        </w:rPr>
      </w:pPr>
      <w:r>
        <w:rPr>
          <w:rFonts w:ascii="仿宋_GB2312" w:eastAsia="仿宋_GB2312"/>
          <w:sz w:val="32"/>
          <w:szCs w:val="32"/>
        </w:rPr>
        <w:t>按照全市司法公开工作整体部署，在检务公开大厅实际运行中进一步完善设施建设，把接待等候、业务咨询、控告举报申诉受理、律师接待、视频接访、行贿犯罪档案查询、案件信息查询、12309举报电话等工作整合在检务公开大厅，实现“一站式”服务；建设互联网公开平台，全面推行终结性法律文书网上公开、检察权网上公开、案件流程信息网络查询，建立良性互动参与机制，及时答复群众诉求、妥善处置网络舆情，营造良好舆论氛围。通过推进检务公开工作，切实实现正能量传播、规范透明、便民利民的良好效果。</w:t>
      </w:r>
    </w:p>
    <w:p>
      <w:pPr>
        <w:ind w:firstLine="630"/>
        <w:rPr>
          <w:rFonts w:ascii="仿宋_GB2312" w:eastAsia="仿宋_GB2312"/>
          <w:sz w:val="32"/>
          <w:szCs w:val="32"/>
        </w:rPr>
      </w:pPr>
      <w:r>
        <w:rPr>
          <w:rFonts w:ascii="仿宋_GB2312" w:eastAsia="仿宋_GB2312"/>
          <w:sz w:val="32"/>
          <w:szCs w:val="32"/>
        </w:rPr>
        <w:t>3．积极参与各类社会治安问题整治工作</w:t>
      </w:r>
    </w:p>
    <w:p>
      <w:pPr>
        <w:ind w:firstLine="630"/>
        <w:rPr>
          <w:rFonts w:ascii="仿宋_GB2312" w:eastAsia="仿宋_GB2312"/>
          <w:sz w:val="32"/>
          <w:szCs w:val="32"/>
        </w:rPr>
      </w:pPr>
      <w:r>
        <w:rPr>
          <w:rFonts w:ascii="仿宋_GB2312" w:eastAsia="仿宋_GB2312"/>
          <w:sz w:val="32"/>
          <w:szCs w:val="32"/>
        </w:rPr>
        <w:t>充分发挥检察机关在社会治理中的法治保障作用，坚持系统治理、依法治理、综合治理、源头治理，结合执法办案深入分析研判犯罪规律、特点和趋势，及时向高新区党工委、管委会和相关部门提出加强和改进社会管理、防范违法犯罪的检察建议，积极参与高新区党工委、管委会部署的各类社会治安问题专项整治工作，加强与其他政法综治部门和行政执法部门的协调配合，促进构建高新区立体化社会治安防控体系。充分发挥宽严相济等刑事政策在化解社会矛盾中的重要作用，正确把握法律政策界限和宽严尺度，切实做到该严则严、当宽则宽、宽严适度。充分运用刑事和解、简易程序、量刑建议和不批捕、不起诉、附条件不起诉等机制和措施，着力提升化解社会矛盾的能力，努力实现案结事了人和，促进社会和谐稳定。</w:t>
      </w:r>
    </w:p>
    <w:p>
      <w:pPr>
        <w:ind w:firstLine="630"/>
        <w:rPr>
          <w:rFonts w:ascii="仿宋_GB2312" w:eastAsia="仿宋_GB2312"/>
          <w:sz w:val="32"/>
          <w:szCs w:val="32"/>
        </w:rPr>
      </w:pPr>
      <w:r>
        <w:rPr>
          <w:rFonts w:ascii="仿宋_GB2312" w:eastAsia="仿宋_GB2312"/>
          <w:sz w:val="32"/>
          <w:szCs w:val="32"/>
        </w:rPr>
        <w:t>4．扫黑除恶专项斗争重大意义</w:t>
      </w:r>
    </w:p>
    <w:p>
      <w:pP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高点定位，把握实质，以政治的高度深化认识。扫黑除恶专项斗争，扫除的是黑恶势力，净化的是政治生态，赢得的是党心民心，夯实的是执政基础。完成这项政治任务，必需坚持以习近平新时代中国特色社会主义思想为指导，树牢“四个意识”、坚定“四个自信”、做到“四个服从”，切实把专项斗争作为讲政治的实际行动，作为对领导干部政治意识的现实检验，以更强的政治自觉和政治担当，抓紧抓实抓好，坚决完成好党和人民交给的重大政治任务。</w:t>
      </w:r>
    </w:p>
    <w:p>
      <w:pPr>
        <w:ind w:firstLine="630"/>
        <w:rPr>
          <w:rFonts w:ascii="仿宋_GB2312" w:eastAsia="仿宋_GB2312"/>
          <w:sz w:val="32"/>
          <w:szCs w:val="32"/>
        </w:rPr>
      </w:pPr>
      <w:r>
        <w:rPr>
          <w:rFonts w:ascii="仿宋_GB2312" w:eastAsia="仿宋_GB2312"/>
          <w:sz w:val="32"/>
          <w:szCs w:val="32"/>
        </w:rPr>
        <w:t>深刻理解扫黑除恶专项斗争重大意义，坚决完成好党和人民交给的重大政治任务，就得重典施治，除恶务尽，以人民的立场谋划工作。黑恶势力作为和谐社会的一大毒瘤，严重危及民众生活，所以，扫除黑恶势力，必需坚持以人民为中心的发展思想，顺应新时代社会主要矛盾的变化，顺应人民群众对美好生活的期待，把打击锋芒对准群众反映最强烈、最深恶痛绝的各类黑恶势力犯罪，突出重点、精准施策、久久为功，以除恶务尽的实际行动和成果，不断增强人民群众的获得感、幸福感、安全感。</w:t>
      </w:r>
    </w:p>
    <w:p>
      <w:pPr>
        <w:shd w:val="clear"/>
        <w:ind w:firstLine="630"/>
      </w:pPr>
      <w:r>
        <w:rPr>
          <w:rFonts w:ascii="仿宋_GB2312" w:eastAsia="仿宋_GB2312"/>
          <w:sz w:val="32"/>
          <w:szCs w:val="32"/>
        </w:rPr>
        <w:t>深刻理解扫黑除恶专项斗争重大意义，坚决完成好党和人民交给的重大政治任务，就得想发展之所需，急群众之所要，以高度负责的精神推动工作落实。社会治安良好，城市宜业宜居，是一个地方和地区经济社会发展、聚财引资引智的前提和保障。所以，要紧紧围绕全市改革发展稳定大局，以对党、对人民、对地方发展高度负责的精神，加强对专项斗争的研究深化和推动落实，确保通过为期三年的专项斗争，实现社会治安生态根本好转，为全市经济社会发展提供良好环境和有力保障。</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第二部分  预算项目绩效目标</w:t>
      </w:r>
    </w:p>
    <w:p>
      <w:pPr>
        <w:spacing w:before="0" w:after="0"/>
        <w:ind w:firstLine="560"/>
        <w:jc w:val="left"/>
        <w:outlineLvl w:val="9"/>
      </w:pPr>
      <w:r>
        <w:rPr>
          <w:rFonts w:ascii="方正仿宋_GBK" w:hAnsi="方正仿宋_GBK" w:eastAsia="方正仿宋_GBK" w:cs="方正仿宋_GBK"/>
          <w:b/>
          <w:color w:val="000000"/>
          <w:sz w:val="28"/>
        </w:rPr>
        <w:t>1、被装购置经费绩效目标表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警务服装数量</w:t>
            </w:r>
          </w:p>
        </w:tc>
        <w:tc>
          <w:tcPr>
            <w:tcW w:w="2835" w:type="dxa"/>
            <w:vAlign w:val="center"/>
          </w:tcPr>
          <w:p>
            <w:pPr>
              <w:pStyle w:val="14"/>
            </w:pPr>
            <w:r>
              <w:t>定制服装的数量</w:t>
            </w:r>
          </w:p>
        </w:tc>
        <w:tc>
          <w:tcPr>
            <w:tcW w:w="2551" w:type="dxa"/>
            <w:vAlign w:val="center"/>
          </w:tcPr>
          <w:p>
            <w:pPr>
              <w:pStyle w:val="14"/>
            </w:pPr>
            <w:r>
              <w:t>≥30套</w:t>
            </w:r>
          </w:p>
        </w:tc>
        <w:tc>
          <w:tcPr>
            <w:tcW w:w="2268" w:type="dxa"/>
            <w:vAlign w:val="center"/>
          </w:tcPr>
          <w:p>
            <w:pPr>
              <w:pStyle w:val="14"/>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购置质量合格率</w:t>
            </w:r>
          </w:p>
        </w:tc>
        <w:tc>
          <w:tcPr>
            <w:tcW w:w="2835" w:type="dxa"/>
            <w:vAlign w:val="center"/>
          </w:tcPr>
          <w:p>
            <w:pPr>
              <w:pStyle w:val="14"/>
            </w:pPr>
            <w:r>
              <w:t>购买的服装质量是否合格</w:t>
            </w:r>
          </w:p>
        </w:tc>
        <w:tc>
          <w:tcPr>
            <w:tcW w:w="2551" w:type="dxa"/>
            <w:vAlign w:val="center"/>
          </w:tcPr>
          <w:p>
            <w:pPr>
              <w:pStyle w:val="14"/>
            </w:pPr>
            <w:r>
              <w:t>100%</w:t>
            </w:r>
          </w:p>
        </w:tc>
        <w:tc>
          <w:tcPr>
            <w:tcW w:w="2268" w:type="dxa"/>
            <w:vAlign w:val="center"/>
          </w:tcPr>
          <w:p>
            <w:pPr>
              <w:pStyle w:val="14"/>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及时性</w:t>
            </w:r>
          </w:p>
        </w:tc>
        <w:tc>
          <w:tcPr>
            <w:tcW w:w="2835" w:type="dxa"/>
            <w:vAlign w:val="center"/>
          </w:tcPr>
          <w:p>
            <w:pPr>
              <w:pStyle w:val="14"/>
            </w:pPr>
            <w:r>
              <w:t>按照季节更替制服是否及时更换</w:t>
            </w:r>
          </w:p>
        </w:tc>
        <w:tc>
          <w:tcPr>
            <w:tcW w:w="2551" w:type="dxa"/>
            <w:vAlign w:val="center"/>
          </w:tcPr>
          <w:p>
            <w:pPr>
              <w:pStyle w:val="14"/>
            </w:pPr>
            <w:r>
              <w:t>100%</w:t>
            </w:r>
          </w:p>
        </w:tc>
        <w:tc>
          <w:tcPr>
            <w:tcW w:w="2268" w:type="dxa"/>
            <w:vAlign w:val="center"/>
          </w:tcPr>
          <w:p>
            <w:pPr>
              <w:pStyle w:val="14"/>
            </w:pPr>
            <w:r>
              <w:t>政策要求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执法服装单套价格</w:t>
            </w:r>
          </w:p>
        </w:tc>
        <w:tc>
          <w:tcPr>
            <w:tcW w:w="2835" w:type="dxa"/>
            <w:vAlign w:val="center"/>
          </w:tcPr>
          <w:p>
            <w:pPr>
              <w:pStyle w:val="14"/>
            </w:pPr>
            <w:r>
              <w:t>执法服装单套价格</w:t>
            </w:r>
          </w:p>
        </w:tc>
        <w:tc>
          <w:tcPr>
            <w:tcW w:w="2551" w:type="dxa"/>
            <w:vAlign w:val="center"/>
          </w:tcPr>
          <w:p>
            <w:pPr>
              <w:pStyle w:val="14"/>
            </w:pPr>
            <w:r>
              <w:t>根据每年的市场价格定</w:t>
            </w:r>
          </w:p>
        </w:tc>
        <w:tc>
          <w:tcPr>
            <w:tcW w:w="2268" w:type="dxa"/>
            <w:vAlign w:val="center"/>
          </w:tcPr>
          <w:p>
            <w:pPr>
              <w:pStyle w:val="14"/>
            </w:pPr>
            <w:r>
              <w:t xml:space="preserve">历史经验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成本节约</w:t>
            </w:r>
          </w:p>
        </w:tc>
        <w:tc>
          <w:tcPr>
            <w:tcW w:w="2835" w:type="dxa"/>
            <w:vAlign w:val="center"/>
          </w:tcPr>
          <w:p>
            <w:pPr>
              <w:pStyle w:val="14"/>
            </w:pPr>
            <w:r>
              <w:t>成本节约</w:t>
            </w:r>
          </w:p>
        </w:tc>
        <w:tc>
          <w:tcPr>
            <w:tcW w:w="2551" w:type="dxa"/>
            <w:vAlign w:val="center"/>
          </w:tcPr>
          <w:p>
            <w:pPr>
              <w:pStyle w:val="14"/>
            </w:pPr>
            <w:r>
              <w:t>按照普通市场价格</w:t>
            </w:r>
          </w:p>
        </w:tc>
        <w:tc>
          <w:tcPr>
            <w:tcW w:w="2268" w:type="dxa"/>
            <w:vAlign w:val="center"/>
          </w:tcPr>
          <w:p>
            <w:pPr>
              <w:pStyle w:val="14"/>
            </w:pPr>
            <w:r>
              <w:t>历史经验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满意率</w:t>
            </w:r>
          </w:p>
        </w:tc>
        <w:tc>
          <w:tcPr>
            <w:tcW w:w="2835" w:type="dxa"/>
            <w:vAlign w:val="center"/>
          </w:tcPr>
          <w:p>
            <w:pPr>
              <w:pStyle w:val="14"/>
            </w:pPr>
            <w:r>
              <w:t>干警对服装满意率</w:t>
            </w:r>
          </w:p>
        </w:tc>
        <w:tc>
          <w:tcPr>
            <w:tcW w:w="2551" w:type="dxa"/>
            <w:vAlign w:val="center"/>
          </w:tcPr>
          <w:p>
            <w:pPr>
              <w:pStyle w:val="14"/>
            </w:pPr>
            <w:r>
              <w:t>≥90%</w:t>
            </w:r>
          </w:p>
        </w:tc>
        <w:tc>
          <w:tcPr>
            <w:tcW w:w="2268"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2、检察院办案业务费绩效目标表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印制计划完成量</w:t>
            </w:r>
          </w:p>
        </w:tc>
        <w:tc>
          <w:tcPr>
            <w:tcW w:w="2835" w:type="dxa"/>
            <w:vAlign w:val="center"/>
          </w:tcPr>
          <w:p>
            <w:pPr>
              <w:pStyle w:val="14"/>
            </w:pPr>
            <w:r>
              <w:t>开展宣传方式的品种数量</w:t>
            </w:r>
          </w:p>
        </w:tc>
        <w:tc>
          <w:tcPr>
            <w:tcW w:w="2551" w:type="dxa"/>
            <w:vAlign w:val="center"/>
          </w:tcPr>
          <w:p>
            <w:pPr>
              <w:pStyle w:val="14"/>
            </w:pPr>
            <w:r>
              <w:t>≥60个</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其他各项综合实务工作完成率</w:t>
            </w:r>
          </w:p>
        </w:tc>
        <w:tc>
          <w:tcPr>
            <w:tcW w:w="2835" w:type="dxa"/>
            <w:vAlign w:val="center"/>
          </w:tcPr>
          <w:p>
            <w:pPr>
              <w:pStyle w:val="14"/>
            </w:pPr>
            <w:r>
              <w:t>开展各项活动发放的宣传品是否合格</w:t>
            </w:r>
          </w:p>
        </w:tc>
        <w:tc>
          <w:tcPr>
            <w:tcW w:w="2551" w:type="dxa"/>
            <w:vAlign w:val="center"/>
          </w:tcPr>
          <w:p>
            <w:pPr>
              <w:pStyle w:val="14"/>
            </w:pPr>
            <w:r>
              <w:t>是</w:t>
            </w:r>
          </w:p>
        </w:tc>
        <w:tc>
          <w:tcPr>
            <w:tcW w:w="2268" w:type="dxa"/>
            <w:vAlign w:val="center"/>
          </w:tcPr>
          <w:p>
            <w:pPr>
              <w:pStyle w:val="14"/>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按照要求和计划完成案件</w:t>
            </w:r>
          </w:p>
        </w:tc>
        <w:tc>
          <w:tcPr>
            <w:tcW w:w="2551" w:type="dxa"/>
            <w:vAlign w:val="center"/>
          </w:tcPr>
          <w:p>
            <w:pPr>
              <w:pStyle w:val="14"/>
            </w:pPr>
            <w:r>
              <w:t>≥60件</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项目实际支出是否控制在预算内</w:t>
            </w:r>
          </w:p>
        </w:tc>
        <w:tc>
          <w:tcPr>
            <w:tcW w:w="2835" w:type="dxa"/>
            <w:vAlign w:val="center"/>
          </w:tcPr>
          <w:p>
            <w:pPr>
              <w:pStyle w:val="14"/>
            </w:pPr>
            <w:r>
              <w:t>开展活动的花费是否符合市场价格</w:t>
            </w:r>
          </w:p>
        </w:tc>
        <w:tc>
          <w:tcPr>
            <w:tcW w:w="2551" w:type="dxa"/>
            <w:vAlign w:val="center"/>
          </w:tcPr>
          <w:p>
            <w:pPr>
              <w:pStyle w:val="14"/>
            </w:pPr>
            <w:r>
              <w:t>符合</w:t>
            </w:r>
          </w:p>
        </w:tc>
        <w:tc>
          <w:tcPr>
            <w:tcW w:w="2268" w:type="dxa"/>
            <w:vAlign w:val="center"/>
          </w:tcPr>
          <w:p>
            <w:pPr>
              <w:pStyle w:val="14"/>
            </w:pPr>
            <w:r>
              <w:t>行业标准、工作经验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实际开展推介活动场次和内容</w:t>
            </w:r>
          </w:p>
        </w:tc>
        <w:tc>
          <w:tcPr>
            <w:tcW w:w="2835" w:type="dxa"/>
            <w:vAlign w:val="center"/>
          </w:tcPr>
          <w:p>
            <w:pPr>
              <w:pStyle w:val="14"/>
            </w:pPr>
            <w:r>
              <w:t>实际开展推介活动场次和内容</w:t>
            </w:r>
          </w:p>
        </w:tc>
        <w:tc>
          <w:tcPr>
            <w:tcW w:w="2551" w:type="dxa"/>
            <w:vAlign w:val="center"/>
          </w:tcPr>
          <w:p>
            <w:pPr>
              <w:pStyle w:val="14"/>
            </w:pPr>
            <w:r>
              <w:t>≥60按照要求完成任务</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公共服务水平提升情况</w:t>
            </w:r>
          </w:p>
        </w:tc>
        <w:tc>
          <w:tcPr>
            <w:tcW w:w="2835" w:type="dxa"/>
            <w:vAlign w:val="center"/>
          </w:tcPr>
          <w:p>
            <w:pPr>
              <w:pStyle w:val="14"/>
            </w:pPr>
            <w:r>
              <w:t>水平是否提升</w:t>
            </w:r>
          </w:p>
        </w:tc>
        <w:tc>
          <w:tcPr>
            <w:tcW w:w="2551" w:type="dxa"/>
            <w:vAlign w:val="center"/>
          </w:tcPr>
          <w:p>
            <w:pPr>
              <w:pStyle w:val="14"/>
            </w:pPr>
            <w:r>
              <w:t>是</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项目建成效果</w:t>
            </w:r>
          </w:p>
        </w:tc>
        <w:tc>
          <w:tcPr>
            <w:tcW w:w="2835" w:type="dxa"/>
            <w:vAlign w:val="center"/>
          </w:tcPr>
          <w:p>
            <w:pPr>
              <w:pStyle w:val="14"/>
            </w:pPr>
            <w:r>
              <w:t>住址前往爱国主义教育基地参观的数量</w:t>
            </w:r>
          </w:p>
        </w:tc>
        <w:tc>
          <w:tcPr>
            <w:tcW w:w="2551" w:type="dxa"/>
            <w:vAlign w:val="center"/>
          </w:tcPr>
          <w:p>
            <w:pPr>
              <w:pStyle w:val="14"/>
            </w:pPr>
            <w:r>
              <w:t>≥45人次</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信访群众满意度</w:t>
            </w:r>
          </w:p>
        </w:tc>
        <w:tc>
          <w:tcPr>
            <w:tcW w:w="2835" w:type="dxa"/>
            <w:vAlign w:val="center"/>
          </w:tcPr>
          <w:p>
            <w:pPr>
              <w:pStyle w:val="14"/>
            </w:pPr>
            <w:r>
              <w:t>信访群众满意度</w:t>
            </w:r>
          </w:p>
        </w:tc>
        <w:tc>
          <w:tcPr>
            <w:tcW w:w="2551" w:type="dxa"/>
            <w:vAlign w:val="center"/>
          </w:tcPr>
          <w:p>
            <w:pPr>
              <w:pStyle w:val="14"/>
            </w:pPr>
            <w:r>
              <w:t>≥85%</w:t>
            </w:r>
          </w:p>
        </w:tc>
        <w:tc>
          <w:tcPr>
            <w:tcW w:w="2268" w:type="dxa"/>
            <w:vAlign w:val="center"/>
          </w:tcPr>
          <w:p>
            <w:pPr>
              <w:pStyle w:val="14"/>
            </w:pPr>
            <w:r>
              <w:t>历史经验</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3、司法救助及检务公开经费绩效目标表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救助人数</w:t>
            </w:r>
          </w:p>
        </w:tc>
        <w:tc>
          <w:tcPr>
            <w:tcW w:w="2835" w:type="dxa"/>
            <w:vAlign w:val="center"/>
          </w:tcPr>
          <w:p>
            <w:pPr>
              <w:pStyle w:val="14"/>
            </w:pPr>
            <w:r>
              <w:t>实际救助人数</w:t>
            </w:r>
          </w:p>
        </w:tc>
        <w:tc>
          <w:tcPr>
            <w:tcW w:w="2551" w:type="dxa"/>
            <w:vAlign w:val="center"/>
          </w:tcPr>
          <w:p>
            <w:pPr>
              <w:pStyle w:val="14"/>
            </w:pPr>
            <w:r>
              <w:t>符合实际要求人数</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司法救助率(%)</w:t>
            </w:r>
          </w:p>
        </w:tc>
        <w:tc>
          <w:tcPr>
            <w:tcW w:w="2835" w:type="dxa"/>
            <w:vAlign w:val="center"/>
          </w:tcPr>
          <w:p>
            <w:pPr>
              <w:pStyle w:val="14"/>
            </w:pPr>
            <w:r>
              <w:t>司法救助率(%)</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救助及时率</w:t>
            </w:r>
          </w:p>
        </w:tc>
        <w:tc>
          <w:tcPr>
            <w:tcW w:w="2835" w:type="dxa"/>
            <w:vAlign w:val="center"/>
          </w:tcPr>
          <w:p>
            <w:pPr>
              <w:pStyle w:val="14"/>
            </w:pPr>
            <w:r>
              <w:t>救助及时率</w:t>
            </w:r>
          </w:p>
        </w:tc>
        <w:tc>
          <w:tcPr>
            <w:tcW w:w="2551" w:type="dxa"/>
            <w:vAlign w:val="center"/>
          </w:tcPr>
          <w:p>
            <w:pPr>
              <w:pStyle w:val="14"/>
            </w:pPr>
            <w:r>
              <w:t>是否对救助人及时救助</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救助标准</w:t>
            </w:r>
          </w:p>
        </w:tc>
        <w:tc>
          <w:tcPr>
            <w:tcW w:w="2835" w:type="dxa"/>
            <w:vAlign w:val="center"/>
          </w:tcPr>
          <w:p>
            <w:pPr>
              <w:pStyle w:val="14"/>
            </w:pPr>
            <w:r>
              <w:t>救助金额是否符合国家规定</w:t>
            </w:r>
          </w:p>
        </w:tc>
        <w:tc>
          <w:tcPr>
            <w:tcW w:w="2551" w:type="dxa"/>
            <w:vAlign w:val="center"/>
          </w:tcPr>
          <w:p>
            <w:pPr>
              <w:pStyle w:val="14"/>
            </w:pPr>
            <w:r>
              <w:t>≥90%</w:t>
            </w:r>
          </w:p>
        </w:tc>
        <w:tc>
          <w:tcPr>
            <w:tcW w:w="2268" w:type="dxa"/>
            <w:vAlign w:val="center"/>
          </w:tcPr>
          <w:p>
            <w:pPr>
              <w:pStyle w:val="14"/>
            </w:pPr>
            <w:r>
              <w:t>政策规定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社会效益指标</w:t>
            </w:r>
          </w:p>
        </w:tc>
        <w:tc>
          <w:tcPr>
            <w:tcW w:w="2835" w:type="dxa"/>
            <w:vAlign w:val="center"/>
          </w:tcPr>
          <w:p>
            <w:pPr>
              <w:pStyle w:val="14"/>
            </w:pPr>
            <w:r>
              <w:t>业务开展保障率(%)</w:t>
            </w:r>
          </w:p>
        </w:tc>
        <w:tc>
          <w:tcPr>
            <w:tcW w:w="2835" w:type="dxa"/>
            <w:vAlign w:val="center"/>
          </w:tcPr>
          <w:p>
            <w:pPr>
              <w:pStyle w:val="14"/>
            </w:pPr>
            <w:r>
              <w:t>业务开展保障率(%)</w:t>
            </w:r>
          </w:p>
        </w:tc>
        <w:tc>
          <w:tcPr>
            <w:tcW w:w="2551" w:type="dxa"/>
            <w:vAlign w:val="center"/>
          </w:tcPr>
          <w:p>
            <w:pPr>
              <w:pStyle w:val="14"/>
            </w:pPr>
            <w:r>
              <w:t>救助人得到保障</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持续提升救助水平</w:t>
            </w:r>
          </w:p>
        </w:tc>
        <w:tc>
          <w:tcPr>
            <w:tcW w:w="2835" w:type="dxa"/>
            <w:vAlign w:val="center"/>
          </w:tcPr>
          <w:p>
            <w:pPr>
              <w:pStyle w:val="14"/>
            </w:pPr>
            <w:r>
              <w:t>持续提升救助水平</w:t>
            </w:r>
          </w:p>
        </w:tc>
        <w:tc>
          <w:tcPr>
            <w:tcW w:w="2551" w:type="dxa"/>
            <w:vAlign w:val="center"/>
          </w:tcPr>
          <w:p>
            <w:pPr>
              <w:pStyle w:val="14"/>
            </w:pPr>
            <w:r>
              <w:t>≥90%</w:t>
            </w:r>
          </w:p>
        </w:tc>
        <w:tc>
          <w:tcPr>
            <w:tcW w:w="2268" w:type="dxa"/>
            <w:vAlign w:val="center"/>
          </w:tcPr>
          <w:p>
            <w:pPr>
              <w:pStyle w:val="14"/>
            </w:pPr>
            <w:r>
              <w:t>工作经验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被救助人群的满意度（%）</w:t>
            </w:r>
          </w:p>
        </w:tc>
        <w:tc>
          <w:tcPr>
            <w:tcW w:w="2835" w:type="dxa"/>
            <w:vAlign w:val="center"/>
          </w:tcPr>
          <w:p>
            <w:pPr>
              <w:pStyle w:val="14"/>
            </w:pPr>
            <w:r>
              <w:t>被救助人群的满意度（%）</w:t>
            </w:r>
          </w:p>
        </w:tc>
        <w:tc>
          <w:tcPr>
            <w:tcW w:w="2551" w:type="dxa"/>
            <w:vAlign w:val="center"/>
          </w:tcPr>
          <w:p>
            <w:pPr>
              <w:pStyle w:val="14"/>
            </w:pPr>
            <w:r>
              <w:t>≥90%</w:t>
            </w:r>
          </w:p>
        </w:tc>
        <w:tc>
          <w:tcPr>
            <w:tcW w:w="2268" w:type="dxa"/>
            <w:vAlign w:val="center"/>
          </w:tcPr>
          <w:p>
            <w:pPr>
              <w:pStyle w:val="14"/>
            </w:pPr>
            <w:r>
              <w:t>工作经验</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5" w:name="_Toc_3_3_0000000015"/>
      <w:r>
        <w:rPr>
          <w:rFonts w:ascii="黑体" w:hAnsi="黑体" w:eastAsia="黑体" w:cs="黑体"/>
          <w:color w:val="000000"/>
          <w:sz w:val="32"/>
        </w:rPr>
        <w:t>六、政府采购预算情况</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2022年，唐山高新技术产业开发区人民检察院安排政府采购预算4.80万元。具体内容见下表。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03"/>
        <w:gridCol w:w="886"/>
        <w:gridCol w:w="969"/>
        <w:gridCol w:w="804"/>
        <w:gridCol w:w="518"/>
        <w:gridCol w:w="46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8316"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789" w:type="dxa"/>
            <w:gridSpan w:val="2"/>
            <w:vAlign w:val="center"/>
          </w:tcPr>
          <w:p>
            <w:pPr>
              <w:pStyle w:val="12"/>
            </w:pPr>
            <w:r>
              <w:t>政府采购项目来源</w:t>
            </w:r>
          </w:p>
        </w:tc>
        <w:tc>
          <w:tcPr>
            <w:tcW w:w="969" w:type="dxa"/>
            <w:vMerge w:val="restart"/>
            <w:vAlign w:val="center"/>
          </w:tcPr>
          <w:p>
            <w:pPr>
              <w:pStyle w:val="12"/>
            </w:pPr>
            <w:r>
              <w:t>采购物品名称</w:t>
            </w:r>
          </w:p>
        </w:tc>
        <w:tc>
          <w:tcPr>
            <w:tcW w:w="804" w:type="dxa"/>
            <w:vMerge w:val="restart"/>
            <w:vAlign w:val="center"/>
          </w:tcPr>
          <w:p>
            <w:pPr>
              <w:pStyle w:val="12"/>
            </w:pPr>
            <w:r>
              <w:t>政府采购目录序号</w:t>
            </w:r>
          </w:p>
        </w:tc>
        <w:tc>
          <w:tcPr>
            <w:tcW w:w="518" w:type="dxa"/>
            <w:vMerge w:val="restart"/>
            <w:vAlign w:val="center"/>
          </w:tcPr>
          <w:p>
            <w:pPr>
              <w:pStyle w:val="12"/>
            </w:pPr>
            <w:r>
              <w:t>计量  单位</w:t>
            </w:r>
          </w:p>
        </w:tc>
        <w:tc>
          <w:tcPr>
            <w:tcW w:w="464" w:type="dxa"/>
            <w:vMerge w:val="restart"/>
            <w:vAlign w:val="center"/>
          </w:tcPr>
          <w:p>
            <w:pPr>
              <w:pStyle w:val="12"/>
            </w:pPr>
            <w:r>
              <w:t>数量</w:t>
            </w:r>
          </w:p>
        </w:tc>
        <w:tc>
          <w:tcPr>
            <w:tcW w:w="924" w:type="dxa"/>
            <w:vMerge w:val="restart"/>
            <w:vAlign w:val="center"/>
          </w:tcPr>
          <w:p>
            <w:pPr>
              <w:pStyle w:val="12"/>
            </w:pPr>
            <w:r>
              <w:t>单价</w:t>
            </w:r>
          </w:p>
        </w:tc>
        <w:tc>
          <w:tcPr>
            <w:tcW w:w="7392" w:type="dxa"/>
            <w:gridSpan w:val="8"/>
            <w:vAlign w:val="center"/>
          </w:tcPr>
          <w:p>
            <w:pPr>
              <w:pStyle w:val="12"/>
            </w:pPr>
            <w:r>
              <w:t>政府采购金额（当年部门预算安排资金）</w:t>
            </w:r>
          </w:p>
        </w:tc>
        <w:tc>
          <w:tcPr>
            <w:tcW w:w="924" w:type="dxa"/>
            <w:vMerge w:val="restart"/>
            <w:vAlign w:val="center"/>
          </w:tcPr>
          <w:p>
            <w:pPr>
              <w:pStyle w:val="12"/>
            </w:pPr>
            <w:r>
              <w:t>2022年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903" w:type="dxa"/>
            <w:vAlign w:val="center"/>
          </w:tcPr>
          <w:p>
            <w:pPr>
              <w:pStyle w:val="12"/>
            </w:pPr>
            <w:r>
              <w:t>项目名称</w:t>
            </w:r>
          </w:p>
        </w:tc>
        <w:tc>
          <w:tcPr>
            <w:tcW w:w="886" w:type="dxa"/>
            <w:vAlign w:val="center"/>
          </w:tcPr>
          <w:p>
            <w:pPr>
              <w:pStyle w:val="12"/>
            </w:pPr>
            <w:r>
              <w:t>预算    资金</w:t>
            </w:r>
          </w:p>
        </w:tc>
        <w:tc>
          <w:tcPr>
            <w:tcW w:w="969" w:type="dxa"/>
            <w:vMerge w:val="continue"/>
          </w:tcPr>
          <w:p/>
        </w:tc>
        <w:tc>
          <w:tcPr>
            <w:tcW w:w="804" w:type="dxa"/>
            <w:vMerge w:val="continue"/>
          </w:tcPr>
          <w:p/>
        </w:tc>
        <w:tc>
          <w:tcPr>
            <w:tcW w:w="518" w:type="dxa"/>
            <w:vMerge w:val="continue"/>
          </w:tcPr>
          <w:p/>
        </w:tc>
        <w:tc>
          <w:tcPr>
            <w:tcW w:w="464" w:type="dxa"/>
            <w:vMerge w:val="continue"/>
          </w:tcPr>
          <w:p/>
        </w:tc>
        <w:tc>
          <w:tcPr>
            <w:tcW w:w="924" w:type="dxa"/>
            <w:vMerge w:val="continue"/>
          </w:tcPr>
          <w:p/>
        </w:tc>
        <w:tc>
          <w:tcPr>
            <w:tcW w:w="924" w:type="dxa"/>
            <w:vAlign w:val="center"/>
          </w:tcPr>
          <w:p>
            <w:pPr>
              <w:pStyle w:val="12"/>
            </w:pPr>
            <w:r>
              <w:t>合计</w:t>
            </w:r>
          </w:p>
        </w:tc>
        <w:tc>
          <w:tcPr>
            <w:tcW w:w="924" w:type="dxa"/>
            <w:vAlign w:val="center"/>
          </w:tcPr>
          <w:p>
            <w:pPr>
              <w:pStyle w:val="12"/>
            </w:pPr>
            <w:r>
              <w:t>一般公共预算拨款</w:t>
            </w:r>
          </w:p>
        </w:tc>
        <w:tc>
          <w:tcPr>
            <w:tcW w:w="924" w:type="dxa"/>
            <w:vAlign w:val="center"/>
          </w:tcPr>
          <w:p>
            <w:pPr>
              <w:pStyle w:val="12"/>
            </w:pPr>
            <w:r>
              <w:t>基金预算拨款</w:t>
            </w:r>
          </w:p>
        </w:tc>
        <w:tc>
          <w:tcPr>
            <w:tcW w:w="924" w:type="dxa"/>
            <w:vAlign w:val="center"/>
          </w:tcPr>
          <w:p>
            <w:pPr>
              <w:pStyle w:val="12"/>
            </w:pPr>
            <w:r>
              <w:t>国有资本经营预算拨款</w:t>
            </w:r>
          </w:p>
        </w:tc>
        <w:tc>
          <w:tcPr>
            <w:tcW w:w="924" w:type="dxa"/>
            <w:vAlign w:val="center"/>
          </w:tcPr>
          <w:p>
            <w:pPr>
              <w:pStyle w:val="12"/>
            </w:pPr>
            <w:r>
              <w:t>财政专户核拨</w:t>
            </w:r>
          </w:p>
        </w:tc>
        <w:tc>
          <w:tcPr>
            <w:tcW w:w="924" w:type="dxa"/>
            <w:vAlign w:val="center"/>
          </w:tcPr>
          <w:p>
            <w:pPr>
              <w:pStyle w:val="12"/>
            </w:pPr>
            <w:r>
              <w:t>单位    资金</w:t>
            </w:r>
          </w:p>
        </w:tc>
        <w:tc>
          <w:tcPr>
            <w:tcW w:w="924" w:type="dxa"/>
            <w:vAlign w:val="center"/>
          </w:tcPr>
          <w:p>
            <w:pPr>
              <w:pStyle w:val="12"/>
            </w:pPr>
            <w:r>
              <w:t>财政拨    款结转</w:t>
            </w:r>
          </w:p>
        </w:tc>
        <w:tc>
          <w:tcPr>
            <w:tcW w:w="924" w:type="dxa"/>
            <w:vAlign w:val="center"/>
          </w:tcPr>
          <w:p>
            <w:pPr>
              <w:pStyle w:val="12"/>
            </w:pPr>
            <w:r>
              <w:t>非财政    拨款结    转结余</w:t>
            </w:r>
          </w:p>
        </w:tc>
        <w:tc>
          <w:tcPr>
            <w:tcW w:w="92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6"/>
            </w:pPr>
            <w:r>
              <w:t>合  计</w:t>
            </w:r>
          </w:p>
        </w:tc>
        <w:tc>
          <w:tcPr>
            <w:tcW w:w="886" w:type="dxa"/>
            <w:vAlign w:val="center"/>
          </w:tcPr>
          <w:p>
            <w:pPr>
              <w:pStyle w:val="17"/>
            </w:pPr>
          </w:p>
        </w:tc>
        <w:tc>
          <w:tcPr>
            <w:tcW w:w="969" w:type="dxa"/>
            <w:vAlign w:val="center"/>
          </w:tcPr>
          <w:p>
            <w:pPr>
              <w:pStyle w:val="18"/>
            </w:pPr>
          </w:p>
        </w:tc>
        <w:tc>
          <w:tcPr>
            <w:tcW w:w="804" w:type="dxa"/>
            <w:vAlign w:val="center"/>
          </w:tcPr>
          <w:p>
            <w:pPr>
              <w:pStyle w:val="18"/>
            </w:pPr>
          </w:p>
        </w:tc>
        <w:tc>
          <w:tcPr>
            <w:tcW w:w="518" w:type="dxa"/>
            <w:vAlign w:val="center"/>
          </w:tcPr>
          <w:p>
            <w:pPr>
              <w:pStyle w:val="16"/>
            </w:pPr>
          </w:p>
        </w:tc>
        <w:tc>
          <w:tcPr>
            <w:tcW w:w="464" w:type="dxa"/>
            <w:vAlign w:val="center"/>
          </w:tcPr>
          <w:p>
            <w:pPr>
              <w:pStyle w:val="17"/>
            </w:pPr>
          </w:p>
        </w:tc>
        <w:tc>
          <w:tcPr>
            <w:tcW w:w="924" w:type="dxa"/>
            <w:vAlign w:val="center"/>
          </w:tcPr>
          <w:p>
            <w:pPr>
              <w:pStyle w:val="17"/>
            </w:pPr>
          </w:p>
        </w:tc>
        <w:tc>
          <w:tcPr>
            <w:tcW w:w="924" w:type="dxa"/>
            <w:vAlign w:val="center"/>
          </w:tcPr>
          <w:p>
            <w:pPr>
              <w:pStyle w:val="17"/>
            </w:pPr>
            <w:r>
              <w:t>4.80</w:t>
            </w:r>
          </w:p>
        </w:tc>
        <w:tc>
          <w:tcPr>
            <w:tcW w:w="924" w:type="dxa"/>
            <w:vAlign w:val="center"/>
          </w:tcPr>
          <w:p>
            <w:pPr>
              <w:pStyle w:val="17"/>
            </w:pPr>
            <w:r>
              <w:t>4.80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6"/>
            </w:pPr>
            <w:r>
              <w:t>唐山高新技术产业开发区人民检察院（本级）小计</w:t>
            </w:r>
          </w:p>
        </w:tc>
        <w:tc>
          <w:tcPr>
            <w:tcW w:w="886" w:type="dxa"/>
            <w:vAlign w:val="center"/>
          </w:tcPr>
          <w:p>
            <w:pPr>
              <w:pStyle w:val="17"/>
            </w:pPr>
          </w:p>
        </w:tc>
        <w:tc>
          <w:tcPr>
            <w:tcW w:w="969" w:type="dxa"/>
            <w:vAlign w:val="center"/>
          </w:tcPr>
          <w:p>
            <w:pPr>
              <w:pStyle w:val="18"/>
            </w:pPr>
          </w:p>
        </w:tc>
        <w:tc>
          <w:tcPr>
            <w:tcW w:w="804" w:type="dxa"/>
            <w:vAlign w:val="center"/>
          </w:tcPr>
          <w:p>
            <w:pPr>
              <w:pStyle w:val="18"/>
            </w:pPr>
          </w:p>
        </w:tc>
        <w:tc>
          <w:tcPr>
            <w:tcW w:w="518" w:type="dxa"/>
            <w:vAlign w:val="center"/>
          </w:tcPr>
          <w:p>
            <w:pPr>
              <w:pStyle w:val="16"/>
            </w:pPr>
          </w:p>
        </w:tc>
        <w:tc>
          <w:tcPr>
            <w:tcW w:w="464" w:type="dxa"/>
            <w:vAlign w:val="center"/>
          </w:tcPr>
          <w:p>
            <w:pPr>
              <w:pStyle w:val="17"/>
            </w:pPr>
          </w:p>
        </w:tc>
        <w:tc>
          <w:tcPr>
            <w:tcW w:w="924" w:type="dxa"/>
            <w:vAlign w:val="center"/>
          </w:tcPr>
          <w:p>
            <w:pPr>
              <w:pStyle w:val="17"/>
            </w:pPr>
          </w:p>
        </w:tc>
        <w:tc>
          <w:tcPr>
            <w:tcW w:w="924" w:type="dxa"/>
            <w:vAlign w:val="center"/>
          </w:tcPr>
          <w:p>
            <w:pPr>
              <w:pStyle w:val="17"/>
            </w:pPr>
            <w:r>
              <w:t>4.80</w:t>
            </w:r>
          </w:p>
        </w:tc>
        <w:tc>
          <w:tcPr>
            <w:tcW w:w="924" w:type="dxa"/>
            <w:vAlign w:val="center"/>
          </w:tcPr>
          <w:p>
            <w:pPr>
              <w:pStyle w:val="17"/>
            </w:pPr>
            <w:r>
              <w:t>4.80</w:t>
            </w: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p>
        </w:tc>
        <w:tc>
          <w:tcPr>
            <w:tcW w:w="924" w:type="dxa"/>
            <w:vAlign w:val="center"/>
          </w:tcPr>
          <w:p>
            <w:pPr>
              <w:pStyle w:val="17"/>
            </w:pPr>
            <w:r>
              <w:t>4.80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服务器</w:t>
            </w:r>
          </w:p>
        </w:tc>
        <w:tc>
          <w:tcPr>
            <w:tcW w:w="804" w:type="dxa"/>
            <w:vAlign w:val="center"/>
          </w:tcPr>
          <w:p>
            <w:pPr>
              <w:pStyle w:val="14"/>
            </w:pPr>
            <w:r>
              <w:t>A02010103</w:t>
            </w:r>
          </w:p>
        </w:tc>
        <w:tc>
          <w:tcPr>
            <w:tcW w:w="518" w:type="dxa"/>
            <w:vAlign w:val="center"/>
          </w:tcPr>
          <w:p>
            <w:pPr>
              <w:pStyle w:val="15"/>
            </w:pPr>
            <w:r>
              <w:t>台</w:t>
            </w:r>
          </w:p>
        </w:tc>
        <w:tc>
          <w:tcPr>
            <w:tcW w:w="464" w:type="dxa"/>
            <w:vAlign w:val="center"/>
          </w:tcPr>
          <w:p>
            <w:pPr>
              <w:pStyle w:val="13"/>
            </w:pPr>
            <w:r>
              <w:t>1</w:t>
            </w:r>
          </w:p>
        </w:tc>
        <w:tc>
          <w:tcPr>
            <w:tcW w:w="924" w:type="dxa"/>
            <w:vAlign w:val="center"/>
          </w:tcPr>
          <w:p>
            <w:pPr>
              <w:pStyle w:val="13"/>
            </w:pPr>
            <w:r>
              <w:t>3.65</w:t>
            </w:r>
          </w:p>
        </w:tc>
        <w:tc>
          <w:tcPr>
            <w:tcW w:w="924" w:type="dxa"/>
            <w:vAlign w:val="center"/>
          </w:tcPr>
          <w:p>
            <w:pPr>
              <w:pStyle w:val="13"/>
            </w:pPr>
            <w:r>
              <w:t>3.65</w:t>
            </w:r>
          </w:p>
        </w:tc>
        <w:tc>
          <w:tcPr>
            <w:tcW w:w="924" w:type="dxa"/>
            <w:vAlign w:val="center"/>
          </w:tcPr>
          <w:p>
            <w:pPr>
              <w:pStyle w:val="13"/>
            </w:pPr>
            <w:r>
              <w:t>3.65</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3.65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其他办公设备</w:t>
            </w:r>
          </w:p>
        </w:tc>
        <w:tc>
          <w:tcPr>
            <w:tcW w:w="804" w:type="dxa"/>
            <w:vAlign w:val="center"/>
          </w:tcPr>
          <w:p>
            <w:pPr>
              <w:pStyle w:val="14"/>
            </w:pPr>
            <w:r>
              <w:t>A020299</w:t>
            </w:r>
          </w:p>
        </w:tc>
        <w:tc>
          <w:tcPr>
            <w:tcW w:w="518" w:type="dxa"/>
            <w:vAlign w:val="center"/>
          </w:tcPr>
          <w:p>
            <w:pPr>
              <w:pStyle w:val="15"/>
            </w:pPr>
            <w:r>
              <w:t>台</w:t>
            </w:r>
          </w:p>
        </w:tc>
        <w:tc>
          <w:tcPr>
            <w:tcW w:w="464" w:type="dxa"/>
            <w:vAlign w:val="center"/>
          </w:tcPr>
          <w:p>
            <w:pPr>
              <w:pStyle w:val="13"/>
            </w:pPr>
            <w:r>
              <w:t>1</w:t>
            </w:r>
          </w:p>
        </w:tc>
        <w:tc>
          <w:tcPr>
            <w:tcW w:w="924" w:type="dxa"/>
            <w:vAlign w:val="center"/>
          </w:tcPr>
          <w:p>
            <w:pPr>
              <w:pStyle w:val="13"/>
            </w:pPr>
            <w:r>
              <w:t>0.35</w:t>
            </w:r>
          </w:p>
        </w:tc>
        <w:tc>
          <w:tcPr>
            <w:tcW w:w="924" w:type="dxa"/>
            <w:vAlign w:val="center"/>
          </w:tcPr>
          <w:p>
            <w:pPr>
              <w:pStyle w:val="13"/>
            </w:pPr>
            <w:r>
              <w:t>0.35</w:t>
            </w:r>
          </w:p>
        </w:tc>
        <w:tc>
          <w:tcPr>
            <w:tcW w:w="924" w:type="dxa"/>
            <w:vAlign w:val="center"/>
          </w:tcPr>
          <w:p>
            <w:pPr>
              <w:pStyle w:val="13"/>
            </w:pPr>
            <w:r>
              <w:t>0.35</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0.35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热水器</w:t>
            </w:r>
          </w:p>
        </w:tc>
        <w:tc>
          <w:tcPr>
            <w:tcW w:w="804" w:type="dxa"/>
            <w:vAlign w:val="center"/>
          </w:tcPr>
          <w:p>
            <w:pPr>
              <w:pStyle w:val="14"/>
            </w:pPr>
            <w:r>
              <w:t>A02061808</w:t>
            </w:r>
          </w:p>
        </w:tc>
        <w:tc>
          <w:tcPr>
            <w:tcW w:w="518" w:type="dxa"/>
            <w:vAlign w:val="center"/>
          </w:tcPr>
          <w:p>
            <w:pPr>
              <w:pStyle w:val="15"/>
            </w:pPr>
            <w:r>
              <w:t>台</w:t>
            </w:r>
          </w:p>
        </w:tc>
        <w:tc>
          <w:tcPr>
            <w:tcW w:w="464" w:type="dxa"/>
            <w:vAlign w:val="center"/>
          </w:tcPr>
          <w:p>
            <w:pPr>
              <w:pStyle w:val="13"/>
            </w:pPr>
            <w:r>
              <w:t>3</w:t>
            </w:r>
          </w:p>
        </w:tc>
        <w:tc>
          <w:tcPr>
            <w:tcW w:w="924" w:type="dxa"/>
            <w:vAlign w:val="center"/>
          </w:tcPr>
          <w:p>
            <w:pPr>
              <w:pStyle w:val="13"/>
            </w:pPr>
            <w:r>
              <w:t>0.20</w:t>
            </w:r>
          </w:p>
        </w:tc>
        <w:tc>
          <w:tcPr>
            <w:tcW w:w="924" w:type="dxa"/>
            <w:vAlign w:val="center"/>
          </w:tcPr>
          <w:p>
            <w:pPr>
              <w:pStyle w:val="13"/>
            </w:pPr>
            <w:r>
              <w:t>0.60</w:t>
            </w:r>
          </w:p>
        </w:tc>
        <w:tc>
          <w:tcPr>
            <w:tcW w:w="924" w:type="dxa"/>
            <w:vAlign w:val="center"/>
          </w:tcPr>
          <w:p>
            <w:pPr>
              <w:pStyle w:val="13"/>
            </w:pPr>
            <w:r>
              <w:t>0.60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903" w:type="dxa"/>
            <w:vAlign w:val="center"/>
          </w:tcPr>
          <w:p>
            <w:pPr>
              <w:pStyle w:val="14"/>
            </w:pPr>
            <w:r>
              <w:t>检察院办案业务费</w:t>
            </w:r>
          </w:p>
        </w:tc>
        <w:tc>
          <w:tcPr>
            <w:tcW w:w="886" w:type="dxa"/>
            <w:vAlign w:val="center"/>
          </w:tcPr>
          <w:p>
            <w:pPr>
              <w:pStyle w:val="13"/>
            </w:pPr>
            <w:r>
              <w:t>50.00</w:t>
            </w:r>
          </w:p>
        </w:tc>
        <w:tc>
          <w:tcPr>
            <w:tcW w:w="969" w:type="dxa"/>
            <w:vAlign w:val="center"/>
          </w:tcPr>
          <w:p>
            <w:pPr>
              <w:pStyle w:val="14"/>
            </w:pPr>
            <w:r>
              <w:t>其他不另分类的物品</w:t>
            </w:r>
          </w:p>
        </w:tc>
        <w:tc>
          <w:tcPr>
            <w:tcW w:w="804" w:type="dxa"/>
            <w:vAlign w:val="center"/>
          </w:tcPr>
          <w:p>
            <w:pPr>
              <w:pStyle w:val="14"/>
            </w:pPr>
            <w:r>
              <w:t>A9999</w:t>
            </w:r>
          </w:p>
        </w:tc>
        <w:tc>
          <w:tcPr>
            <w:tcW w:w="518" w:type="dxa"/>
            <w:vAlign w:val="center"/>
          </w:tcPr>
          <w:p>
            <w:pPr>
              <w:pStyle w:val="15"/>
            </w:pPr>
            <w:r>
              <w:t>台</w:t>
            </w:r>
          </w:p>
        </w:tc>
        <w:tc>
          <w:tcPr>
            <w:tcW w:w="464" w:type="dxa"/>
            <w:vAlign w:val="center"/>
          </w:tcPr>
          <w:p>
            <w:pPr>
              <w:pStyle w:val="13"/>
            </w:pPr>
            <w:r>
              <w:t>1</w:t>
            </w:r>
          </w:p>
        </w:tc>
        <w:tc>
          <w:tcPr>
            <w:tcW w:w="924" w:type="dxa"/>
            <w:vAlign w:val="center"/>
          </w:tcPr>
          <w:p>
            <w:pPr>
              <w:pStyle w:val="13"/>
            </w:pPr>
            <w:r>
              <w:t>0.20</w:t>
            </w:r>
          </w:p>
        </w:tc>
        <w:tc>
          <w:tcPr>
            <w:tcW w:w="924" w:type="dxa"/>
            <w:vAlign w:val="center"/>
          </w:tcPr>
          <w:p>
            <w:pPr>
              <w:pStyle w:val="13"/>
            </w:pPr>
            <w:r>
              <w:t>0.20</w:t>
            </w:r>
          </w:p>
        </w:tc>
        <w:tc>
          <w:tcPr>
            <w:tcW w:w="924" w:type="dxa"/>
            <w:vAlign w:val="center"/>
          </w:tcPr>
          <w:p>
            <w:pPr>
              <w:pStyle w:val="13"/>
            </w:pPr>
            <w:r>
              <w:t>0.20</w:t>
            </w: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p>
        </w:tc>
        <w:tc>
          <w:tcPr>
            <w:tcW w:w="924" w:type="dxa"/>
            <w:vAlign w:val="center"/>
          </w:tcPr>
          <w:p>
            <w:pPr>
              <w:pStyle w:val="13"/>
            </w:pPr>
            <w:r>
              <w:t>0.20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rPr>
          <w:rFonts w:ascii="黑体" w:hAnsi="黑体" w:eastAsia="黑体" w:cs="黑体"/>
          <w:color w:val="000000"/>
          <w:sz w:val="32"/>
        </w:rPr>
      </w:pPr>
      <w:bookmarkStart w:id="16" w:name="_Toc_3_3_0000000016"/>
    </w:p>
    <w:p>
      <w:pPr>
        <w:spacing w:before="10" w:after="10" w:line="240" w:lineRule="auto"/>
        <w:ind w:firstLine="640"/>
        <w:jc w:val="left"/>
        <w:outlineLvl w:val="2"/>
        <w:rPr>
          <w:rFonts w:ascii="黑体" w:hAnsi="黑体" w:eastAsia="黑体" w:cs="黑体"/>
          <w:color w:val="000000"/>
          <w:sz w:val="32"/>
        </w:rPr>
      </w:pPr>
    </w:p>
    <w:p>
      <w:pPr>
        <w:spacing w:before="10" w:after="10" w:line="240" w:lineRule="auto"/>
        <w:ind w:firstLine="640"/>
        <w:jc w:val="left"/>
        <w:outlineLvl w:val="2"/>
      </w:pPr>
      <w:r>
        <w:rPr>
          <w:rFonts w:ascii="黑体" w:hAnsi="黑体" w:eastAsia="黑体" w:cs="黑体"/>
          <w:color w:val="000000"/>
          <w:sz w:val="32"/>
        </w:rPr>
        <w:t>七、国有资产信息</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唐山高新技术产业开发区人民检察院（含所属单位）上年末固定资产金额为0.00万元（详见下表）。本年度拟购置固定资产总额为</w:t>
      </w:r>
      <w:r>
        <w:rPr>
          <w:rFonts w:hint="eastAsia" w:eastAsia="方正仿宋_GBK" w:cs="Times New Roman"/>
          <w:b w:val="0"/>
          <w:color w:val="000000"/>
          <w:sz w:val="28"/>
          <w:lang w:val="en-US" w:eastAsia="zh-CN"/>
        </w:rPr>
        <w:t>4.8</w:t>
      </w:r>
      <w:r>
        <w:rPr>
          <w:rFonts w:ascii="Times New Roman" w:hAnsi="Times New Roman" w:eastAsia="方正仿宋_GBK" w:cs="Times New Roman"/>
          <w:b w:val="0"/>
          <w:color w:val="000000"/>
          <w:sz w:val="28"/>
        </w:rPr>
        <w:t>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tcBorders>
              <w:top w:val="single" w:color="FFFFFF" w:sz="6" w:space="0"/>
              <w:left w:val="single" w:color="FFFFFF" w:sz="6" w:space="0"/>
              <w:right w:val="single" w:color="FFFFFF" w:sz="6" w:space="0"/>
            </w:tcBorders>
            <w:vAlign w:val="center"/>
          </w:tcPr>
          <w:p>
            <w:pPr>
              <w:pStyle w:val="11"/>
            </w:pPr>
            <w:r>
              <w:t>136唐山高新技术产业开发区人民检察院</w:t>
            </w:r>
          </w:p>
        </w:tc>
        <w:tc>
          <w:tcPr>
            <w:tcW w:w="9866" w:type="dxa"/>
            <w:gridSpan w:val="2"/>
            <w:tcBorders>
              <w:top w:val="single" w:color="FFFFFF" w:sz="6" w:space="0"/>
              <w:left w:val="single" w:color="FFFFFF" w:sz="6" w:space="0"/>
              <w:right w:val="single" w:color="FFFFFF" w:sz="6" w:space="0"/>
            </w:tcBorders>
            <w:vAlign w:val="center"/>
          </w:tcPr>
          <w:p>
            <w:pPr>
              <w:pStyle w:val="9"/>
            </w:pPr>
            <w:r>
              <w:t>截止时间：2021-12-31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4933" w:type="dxa"/>
            <w:vAlign w:val="center"/>
          </w:tcPr>
          <w:p>
            <w:pPr>
              <w:pStyle w:val="12"/>
            </w:pPr>
            <w:r>
              <w:t>项   目</w:t>
            </w:r>
          </w:p>
        </w:tc>
        <w:tc>
          <w:tcPr>
            <w:tcW w:w="4933" w:type="dxa"/>
            <w:vAlign w:val="center"/>
          </w:tcPr>
          <w:p>
            <w:pPr>
              <w:pStyle w:val="12"/>
            </w:pPr>
            <w:r>
              <w:t>数量</w:t>
            </w:r>
          </w:p>
        </w:tc>
        <w:tc>
          <w:tcPr>
            <w:tcW w:w="4933"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4933" w:type="dxa"/>
            <w:vAlign w:val="center"/>
          </w:tcPr>
          <w:p>
            <w:pPr>
              <w:pStyle w:val="14"/>
              <w:ind w:firstLine="0" w:firstLineChars="0"/>
              <w:jc w:val="center"/>
              <w:rPr>
                <w:rFonts w:hint="eastAsia" w:ascii="方正书宋_GBK" w:hAnsi="方正书宋_GBK" w:eastAsia="方正书宋_GBK" w:cs="方正书宋_GBK"/>
                <w:sz w:val="21"/>
                <w:szCs w:val="24"/>
                <w:lang w:val="en-US" w:eastAsia="zh-CN" w:bidi="ar-SA"/>
              </w:rPr>
            </w:pPr>
            <w:r>
              <w:rPr>
                <w:rFonts w:hint="eastAsia"/>
                <w:lang w:val="en-US" w:eastAsia="zh-CN"/>
              </w:rPr>
              <w:t>合        计</w:t>
            </w:r>
          </w:p>
        </w:tc>
        <w:tc>
          <w:tcPr>
            <w:tcW w:w="4933" w:type="dxa"/>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4933"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123.81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一、土地房屋及构筑物</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其中：房屋</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default" w:ascii="方正书宋_GBK" w:hAnsi="方正书宋_GBK" w:eastAsia="方正书宋_GBK" w:cs="方正书宋_GBK"/>
                <w:sz w:val="21"/>
                <w:szCs w:val="24"/>
                <w:lang w:val="en-US" w:eastAsia="zh-CN" w:bidi="ar-SA"/>
              </w:rPr>
            </w:pPr>
            <w:r>
              <w:rPr>
                <w:rFonts w:hint="eastAsia"/>
                <w:lang w:eastAsia="zh-CN"/>
              </w:rPr>
              <w:t>二、通用设备</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793</w:t>
            </w:r>
            <w:r>
              <w:rPr>
                <w:rFonts w:hint="eastAsia"/>
                <w:color w:val="000000"/>
                <w:sz w:val="22"/>
                <w:szCs w:val="22"/>
              </w:rPr>
              <w:t>.00</w:t>
            </w:r>
          </w:p>
        </w:tc>
        <w:tc>
          <w:tcPr>
            <w:tcW w:w="4933" w:type="dxa"/>
            <w:vAlign w:val="center"/>
          </w:tcPr>
          <w:p>
            <w:pPr>
              <w:jc w:val="right"/>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28.65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其中：汽车</w:t>
            </w:r>
          </w:p>
        </w:tc>
        <w:tc>
          <w:tcPr>
            <w:tcW w:w="0" w:type="auto"/>
            <w:vAlign w:val="center"/>
          </w:tcPr>
          <w:p>
            <w:pPr>
              <w:pStyle w:val="15"/>
              <w:ind w:firstLine="0" w:firstLineChars="0"/>
              <w:rPr>
                <w:rFonts w:hint="eastAsia" w:ascii="方正书宋_GBK" w:hAnsi="方正书宋_GBK" w:eastAsia="方正书宋_GBK" w:cs="方正书宋_GBK"/>
                <w:sz w:val="21"/>
                <w:szCs w:val="24"/>
                <w:lang w:val="en-US" w:eastAsia="zh-CN"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三、专用设备</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rPr>
              <w:t>104.00</w:t>
            </w:r>
          </w:p>
        </w:tc>
        <w:tc>
          <w:tcPr>
            <w:tcW w:w="4933" w:type="dxa"/>
            <w:vAlign w:val="center"/>
          </w:tcPr>
          <w:p>
            <w:pPr>
              <w:jc w:val="right"/>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0.15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四、文物与陈列品</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其中：文物</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陈列品</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五、图书档案</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其中：图书资料</w:t>
            </w:r>
          </w:p>
        </w:tc>
        <w:tc>
          <w:tcPr>
            <w:tcW w:w="0" w:type="auto"/>
            <w:vAlign w:val="center"/>
          </w:tcPr>
          <w:p>
            <w:pPr>
              <w:pStyle w:val="15"/>
              <w:ind w:firstLine="0" w:firstLineChars="0"/>
              <w:rPr>
                <w:rFonts w:ascii="方正书宋_GBK" w:hAnsi="方正书宋_GBK" w:eastAsia="方正书宋_GBK" w:cs="方正书宋_GBK"/>
                <w:sz w:val="21"/>
                <w:szCs w:val="24"/>
                <w:lang w:val="en-US" w:eastAsia="uk-UA" w:bidi="ar-SA"/>
              </w:rPr>
            </w:pPr>
          </w:p>
        </w:tc>
        <w:tc>
          <w:tcPr>
            <w:tcW w:w="0" w:type="auto"/>
            <w:vAlign w:val="center"/>
          </w:tcPr>
          <w:p>
            <w:pPr>
              <w:pStyle w:val="13"/>
              <w:ind w:firstLine="0" w:firstLineChars="0"/>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六、家具、用具、装具及动植物</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593</w:t>
            </w:r>
            <w:r>
              <w:rPr>
                <w:rFonts w:hint="eastAsia"/>
                <w:color w:val="000000"/>
                <w:sz w:val="22"/>
                <w:szCs w:val="22"/>
              </w:rPr>
              <w:t>.00</w:t>
            </w:r>
          </w:p>
        </w:tc>
        <w:tc>
          <w:tcPr>
            <w:tcW w:w="4933" w:type="dxa"/>
            <w:vAlign w:val="center"/>
          </w:tcPr>
          <w:p>
            <w:pPr>
              <w:jc w:val="right"/>
              <w:rPr>
                <w:rFonts w:hint="default" w:ascii="方正书宋_GBK" w:hAnsi="方正书宋_GBK" w:eastAsia="方正书宋_GBK" w:cs="方正书宋_GBK"/>
                <w:sz w:val="21"/>
                <w:szCs w:val="24"/>
                <w:lang w:val="en-US" w:eastAsia="zh-CN" w:bidi="ar-SA"/>
              </w:rPr>
            </w:pPr>
            <w:r>
              <w:rPr>
                <w:rFonts w:hint="eastAsia"/>
                <w:color w:val="000000"/>
                <w:sz w:val="22"/>
                <w:szCs w:val="22"/>
                <w:lang w:val="en-US" w:eastAsia="zh-CN"/>
              </w:rPr>
              <w:t>22.98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0" w:type="auto"/>
            <w:vAlign w:val="center"/>
          </w:tcPr>
          <w:p>
            <w:pPr>
              <w:pStyle w:val="14"/>
              <w:ind w:firstLine="0" w:firstLineChars="0"/>
              <w:rPr>
                <w:rFonts w:hint="eastAsia" w:ascii="方正书宋_GBK" w:hAnsi="方正书宋_GBK" w:eastAsia="方正书宋_GBK" w:cs="方正书宋_GBK"/>
                <w:sz w:val="21"/>
                <w:szCs w:val="24"/>
                <w:lang w:val="en-US" w:eastAsia="zh-CN" w:bidi="ar-SA"/>
              </w:rPr>
            </w:pPr>
            <w:r>
              <w:rPr>
                <w:rFonts w:hint="eastAsia"/>
                <w:lang w:eastAsia="zh-CN"/>
              </w:rPr>
              <w:t>其中：家具用具</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593</w:t>
            </w:r>
            <w:r>
              <w:rPr>
                <w:rFonts w:hint="eastAsia"/>
                <w:color w:val="000000"/>
                <w:sz w:val="22"/>
                <w:szCs w:val="22"/>
              </w:rPr>
              <w:t>.00</w:t>
            </w:r>
          </w:p>
        </w:tc>
        <w:tc>
          <w:tcPr>
            <w:tcW w:w="4933" w:type="dxa"/>
            <w:vAlign w:val="center"/>
          </w:tcPr>
          <w:p>
            <w:pPr>
              <w:jc w:val="right"/>
              <w:rPr>
                <w:rFonts w:ascii="方正书宋_GBK" w:hAnsi="方正书宋_GBK" w:eastAsia="方正书宋_GBK" w:cs="方正书宋_GBK"/>
                <w:sz w:val="21"/>
                <w:szCs w:val="24"/>
                <w:lang w:val="en-US" w:eastAsia="uk-UA" w:bidi="ar-SA"/>
              </w:rPr>
            </w:pPr>
            <w:r>
              <w:rPr>
                <w:rFonts w:hint="eastAsia"/>
                <w:color w:val="000000"/>
                <w:sz w:val="22"/>
                <w:szCs w:val="22"/>
                <w:lang w:val="en-US" w:eastAsia="zh-CN"/>
              </w:rPr>
              <w:t>22.98</w:t>
            </w: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r>
        <w:rPr>
          <w:rFonts w:ascii="Times New Roman" w:hAnsi="Times New Roman" w:eastAsia="方正仿宋_GBK" w:cs="Times New Roman"/>
          <w:color w:val="000000"/>
          <w:sz w:val="32"/>
        </w:rPr>
        <w:t xml:space="preserve"> </w:t>
      </w: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0" w:after="0"/>
        <w:ind w:firstLine="640"/>
        <w:jc w:val="left"/>
        <w:outlineLvl w:val="9"/>
        <w:rPr>
          <w:rFonts w:ascii="Times New Roman" w:hAnsi="Times New Roman" w:eastAsia="方正仿宋_GBK" w:cs="Times New Roman"/>
          <w:color w:val="000000"/>
          <w:sz w:val="32"/>
        </w:rPr>
      </w:pPr>
    </w:p>
    <w:p>
      <w:pPr>
        <w:spacing w:before="10" w:after="10" w:line="240" w:lineRule="auto"/>
        <w:ind w:firstLine="640"/>
        <w:jc w:val="left"/>
        <w:outlineLvl w:val="2"/>
      </w:pPr>
      <w:bookmarkStart w:id="17" w:name="_Toc_3_3_0000000017"/>
      <w:r>
        <w:rPr>
          <w:rFonts w:ascii="黑体" w:hAnsi="黑体" w:eastAsia="黑体" w:cs="黑体"/>
          <w:color w:val="000000"/>
          <w:sz w:val="32"/>
        </w:rPr>
        <w:t>八、名词解释</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财政预算管理的“三公”经费，是指</w:t>
      </w:r>
      <w:r>
        <w:rPr>
          <w:rFonts w:hint="eastAsia" w:eastAsia="方正仿宋_GBK" w:cs="Times New Roman"/>
          <w:b w:val="0"/>
          <w:color w:val="000000"/>
          <w:sz w:val="28"/>
          <w:lang w:eastAsia="zh-CN"/>
        </w:rPr>
        <w:t>区级</w:t>
      </w:r>
      <w:r>
        <w:rPr>
          <w:rFonts w:ascii="Times New Roman" w:hAnsi="Times New Roman" w:eastAsia="方正仿宋_GBK" w:cs="Times New Roman"/>
          <w:b w:val="0"/>
          <w:color w:val="000000"/>
          <w:sz w:val="28"/>
        </w:rPr>
        <w:t>部门用财政拨款安排的因公出国（境）费、公务用车购置及运维费和公务接待费。其中，因公出国（境）费反映单位公务出国（境）的住宿费、旅费、伙食补助费、杂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8" w:name="_Toc_3_3_0000000018"/>
      <w:r>
        <w:rPr>
          <w:rFonts w:ascii="黑体" w:hAnsi="黑体" w:eastAsia="黑体" w:cs="黑体"/>
          <w:color w:val="000000"/>
          <w:sz w:val="32"/>
        </w:rPr>
        <w:t>九、其他需要说明的事项</w:t>
      </w:r>
      <w:bookmarkEnd w:id="18"/>
    </w:p>
    <w:p>
      <w:pPr>
        <w:spacing w:before="0" w:after="0" w:line="500" w:lineRule="exact"/>
        <w:ind w:firstLine="560"/>
        <w:jc w:val="left"/>
        <w:outlineLvl w:val="9"/>
        <w:rPr>
          <w:rFonts w:hint="eastAsia" w:eastAsia="方正仿宋_GBK"/>
          <w:lang w:eastAsia="zh-CN"/>
        </w:rPr>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p>
      <w:pPr>
        <w:spacing w:before="0" w:after="0" w:line="500" w:lineRule="exact"/>
        <w:jc w:val="left"/>
        <w:outlineLvl w:val="9"/>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Arial Unicode MS"/>
    <w:panose1 w:val="03000509000000000000"/>
    <w:charset w:val="86"/>
    <w:family w:val="auto"/>
    <w:pitch w:val="default"/>
    <w:sig w:usb0="00000000" w:usb1="0000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方正楷体_GBK">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QwOWQxN2NlYjRkM2Q4NWZiOWIwOGU1YjkxNTdlYTAifQ=="/>
  </w:docVars>
  <w:rsids>
    <w:rsidRoot w:val="00000000"/>
    <w:rsid w:val="08B609F1"/>
    <w:rsid w:val="0A3847A7"/>
    <w:rsid w:val="15D64F8A"/>
    <w:rsid w:val="16752D97"/>
    <w:rsid w:val="20567C36"/>
    <w:rsid w:val="307210DE"/>
    <w:rsid w:val="5315294E"/>
    <w:rsid w:val="79A476E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2022-05-26T08:26:49Z</dcterms:created>
  <dcterms:modified xsi:type="dcterms:W3CDTF">2022-05-26T00:26:49Z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2022-05-26T08:26:48Z</dcterms:created>
  <dcterms:modified xsi:type="dcterms:W3CDTF">2022-05-26T00:26:48Z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2022-05-26T08:26:48Z</dcterms:created>
  <dcterms:modified xsi:type="dcterms:W3CDTF">2022-05-26T00:26:48Z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2022-05-26T08:26:48Z</dcterms:created>
  <dcterms:modified xsi:type="dcterms:W3CDTF">2022-05-26T00:26:48Z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2022-05-26T08:26:33Z</dcterms:created>
  <dcterms:modified xsi:type="dcterms:W3CDTF">2022-05-26T00:26:33Z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2022-05-26T08:26:45Z</dcterms:created>
  <dcterms:modified xsi:type="dcterms:W3CDTF">2022-05-26T00:26:45Z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2022-05-26T08:26:40Z</dcterms:created>
  <dcterms:modified xsi:type="dcterms:W3CDTF">2022-05-26T00:26:40Z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2022-05-26T08:26:39Z</dcterms:created>
  <dcterms:modified xsi:type="dcterms:W3CDTF">2022-05-26T00:26:39Z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2022-05-26T08:26:39Z</dcterms:created>
  <dcterms:modified xsi:type="dcterms:W3CDTF">2022-05-26T00:26:39Z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2022-05-26T08:26:38Z</dcterms:created>
  <dcterms:modified xsi:type="dcterms:W3CDTF">2022-05-26T00:26:38Z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2022-05-26T08:26:38Z</dcterms:created>
  <dcterms:modified xsi:type="dcterms:W3CDTF">2022-05-26T00:26:38Z</dcterms:modified>
</cp:coreProperties>
</file>

<file path=customXml/itemProps1.xml><?xml version="1.0" encoding="utf-8"?>
<ds:datastoreItem xmlns:ds="http://schemas.openxmlformats.org/officeDocument/2006/customXml" ds:itemID="{0f9342d3-1b39-47c8-8898-01247636efc5}">
  <ds:schemaRefs/>
</ds:datastoreItem>
</file>

<file path=customXml/itemProps10.xml><?xml version="1.0" encoding="utf-8"?>
<ds:datastoreItem xmlns:ds="http://schemas.openxmlformats.org/officeDocument/2006/customXml" ds:itemID="{be2f4c16-9579-42df-bcc0-1c60bbccf645}">
  <ds:schemaRefs/>
</ds:datastoreItem>
</file>

<file path=customXml/itemProps11.xml><?xml version="1.0" encoding="utf-8"?>
<ds:datastoreItem xmlns:ds="http://schemas.openxmlformats.org/officeDocument/2006/customXml" ds:itemID="{ff525eba-da5d-41e6-9bbb-c411f07fa9d8}">
  <ds:schemaRefs/>
</ds:datastoreItem>
</file>

<file path=customXml/itemProps12.xml><?xml version="1.0" encoding="utf-8"?>
<ds:datastoreItem xmlns:ds="http://schemas.openxmlformats.org/officeDocument/2006/customXml" ds:itemID="{56e2bf90-88bb-4667-b479-cc6e10a95fe7}">
  <ds:schemaRefs/>
</ds:datastoreItem>
</file>

<file path=customXml/itemProps13.xml><?xml version="1.0" encoding="utf-8"?>
<ds:datastoreItem xmlns:ds="http://schemas.openxmlformats.org/officeDocument/2006/customXml" ds:itemID="{a6716f6b-a829-4b6c-b325-9897797bab45}">
  <ds:schemaRefs/>
</ds:datastoreItem>
</file>

<file path=customXml/itemProps14.xml><?xml version="1.0" encoding="utf-8"?>
<ds:datastoreItem xmlns:ds="http://schemas.openxmlformats.org/officeDocument/2006/customXml" ds:itemID="{f9a590a2-062a-479c-8ccd-ed18ff22296e}">
  <ds:schemaRefs/>
</ds:datastoreItem>
</file>

<file path=customXml/itemProps15.xml><?xml version="1.0" encoding="utf-8"?>
<ds:datastoreItem xmlns:ds="http://schemas.openxmlformats.org/officeDocument/2006/customXml" ds:itemID="{512b5d7d-29c7-457b-b463-27292e1a67c0}">
  <ds:schemaRefs/>
</ds:datastoreItem>
</file>

<file path=customXml/itemProps16.xml><?xml version="1.0" encoding="utf-8"?>
<ds:datastoreItem xmlns:ds="http://schemas.openxmlformats.org/officeDocument/2006/customXml" ds:itemID="{e75574a0-30a0-419d-88ef-f6cdadec4e11}">
  <ds:schemaRefs/>
</ds:datastoreItem>
</file>

<file path=customXml/itemProps17.xml><?xml version="1.0" encoding="utf-8"?>
<ds:datastoreItem xmlns:ds="http://schemas.openxmlformats.org/officeDocument/2006/customXml" ds:itemID="{4c1d5cfb-af9e-423f-ae04-31c8a0ed14e6}">
  <ds:schemaRefs/>
</ds:datastoreItem>
</file>

<file path=customXml/itemProps18.xml><?xml version="1.0" encoding="utf-8"?>
<ds:datastoreItem xmlns:ds="http://schemas.openxmlformats.org/officeDocument/2006/customXml" ds:itemID="{010eb2cf-efda-4e08-a187-2260643e881b}">
  <ds:schemaRefs/>
</ds:datastoreItem>
</file>

<file path=customXml/itemProps19.xml><?xml version="1.0" encoding="utf-8"?>
<ds:datastoreItem xmlns:ds="http://schemas.openxmlformats.org/officeDocument/2006/customXml" ds:itemID="{99d14a57-0b04-4587-934c-73b4a7331f53}">
  <ds:schemaRefs/>
</ds:datastoreItem>
</file>

<file path=customXml/itemProps2.xml><?xml version="1.0" encoding="utf-8"?>
<ds:datastoreItem xmlns:ds="http://schemas.openxmlformats.org/officeDocument/2006/customXml" ds:itemID="{5f8b1ce9-afdc-4728-ab77-98483e0b3c4a}">
  <ds:schemaRefs/>
</ds:datastoreItem>
</file>

<file path=customXml/itemProps20.xml><?xml version="1.0" encoding="utf-8"?>
<ds:datastoreItem xmlns:ds="http://schemas.openxmlformats.org/officeDocument/2006/customXml" ds:itemID="{989862db-b11f-41a9-9d81-cbf1692d66fc}">
  <ds:schemaRefs/>
</ds:datastoreItem>
</file>

<file path=customXml/itemProps21.xml><?xml version="1.0" encoding="utf-8"?>
<ds:datastoreItem xmlns:ds="http://schemas.openxmlformats.org/officeDocument/2006/customXml" ds:itemID="{6bb37e5b-8458-47cc-9004-c6f7dd9d4008}">
  <ds:schemaRefs/>
</ds:datastoreItem>
</file>

<file path=customXml/itemProps22.xml><?xml version="1.0" encoding="utf-8"?>
<ds:datastoreItem xmlns:ds="http://schemas.openxmlformats.org/officeDocument/2006/customXml" ds:itemID="{61d5d561-ab68-4f1e-8583-89ba7c2c3c13}">
  <ds:schemaRefs/>
</ds:datastoreItem>
</file>

<file path=customXml/itemProps3.xml><?xml version="1.0" encoding="utf-8"?>
<ds:datastoreItem xmlns:ds="http://schemas.openxmlformats.org/officeDocument/2006/customXml" ds:itemID="{c6a1037b-f75b-471d-bcb3-9bac09462d3c}">
  <ds:schemaRefs/>
</ds:datastoreItem>
</file>

<file path=customXml/itemProps4.xml><?xml version="1.0" encoding="utf-8"?>
<ds:datastoreItem xmlns:ds="http://schemas.openxmlformats.org/officeDocument/2006/customXml" ds:itemID="{c70a7c7b-d41c-4dda-aee7-e72b1f0a034c}">
  <ds:schemaRefs/>
</ds:datastoreItem>
</file>

<file path=customXml/itemProps5.xml><?xml version="1.0" encoding="utf-8"?>
<ds:datastoreItem xmlns:ds="http://schemas.openxmlformats.org/officeDocument/2006/customXml" ds:itemID="{5ea579c2-2224-4f51-82e3-2bbe4707d804}">
  <ds:schemaRefs/>
</ds:datastoreItem>
</file>

<file path=customXml/itemProps6.xml><?xml version="1.0" encoding="utf-8"?>
<ds:datastoreItem xmlns:ds="http://schemas.openxmlformats.org/officeDocument/2006/customXml" ds:itemID="{810370ef-01f5-49ea-9f91-0602739caeb9}">
  <ds:schemaRefs/>
</ds:datastoreItem>
</file>

<file path=customXml/itemProps7.xml><?xml version="1.0" encoding="utf-8"?>
<ds:datastoreItem xmlns:ds="http://schemas.openxmlformats.org/officeDocument/2006/customXml" ds:itemID="{a9bd49c8-2fdf-489a-8a4d-bd68f856827c}">
  <ds:schemaRefs/>
</ds:datastoreItem>
</file>

<file path=customXml/itemProps8.xml><?xml version="1.0" encoding="utf-8"?>
<ds:datastoreItem xmlns:ds="http://schemas.openxmlformats.org/officeDocument/2006/customXml" ds:itemID="{5e1c9525-7d5a-41b6-bff3-2127cf8158db}">
  <ds:schemaRefs/>
</ds:datastoreItem>
</file>

<file path=customXml/itemProps9.xml><?xml version="1.0" encoding="utf-8"?>
<ds:datastoreItem xmlns:ds="http://schemas.openxmlformats.org/officeDocument/2006/customXml" ds:itemID="{e639625e-725c-4e3e-bed5-20104160a283}">
  <ds:schemaRefs/>
</ds:datastoreItem>
</file>

<file path=docProps/app.xml><?xml version="1.0" encoding="utf-8"?>
<Properties xmlns="http://schemas.openxmlformats.org/officeDocument/2006/extended-properties" xmlns:vt="http://schemas.openxmlformats.org/officeDocument/2006/docPropsVTypes">
  <Pages>31</Pages>
  <Words>10873</Words>
  <Characters>11598</Characters>
  <TotalTime>1</TotalTime>
  <ScaleCrop>false</ScaleCrop>
  <LinksUpToDate>false</LinksUpToDate>
  <CharactersWithSpaces>11726</CharactersWithSpaces>
  <Application>WPS Office_12.1.0.15120_F1E327BC-269C-435d-A152-05C5408002CA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2022-05-26T08:26:00Z</dcterms:created>
  <dc:creator>Master</dc:creator>
  <cp:lastModifiedBy>爱希</cp:lastModifiedBy>
  <dcterms:modified xsi:type="dcterms:W3CDTF">2023-09-05T08:17:39Z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95551D5EBBD14C4588BE55CFE9E08788</vt:lpwstr>
  </property>
</Properties>
</file>