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0BC" w:rsidRPr="00293765" w:rsidRDefault="002A00BC" w:rsidP="002A00BC">
      <w:pPr>
        <w:jc w:val="center"/>
        <w:rPr>
          <w:rFonts w:ascii="仿宋" w:eastAsia="仿宋" w:hAnsi="仿宋" w:cs="仿宋"/>
          <w:b/>
          <w:color w:val="333333"/>
          <w:sz w:val="36"/>
          <w:szCs w:val="36"/>
        </w:rPr>
      </w:pPr>
      <w:r w:rsidRPr="00293765">
        <w:rPr>
          <w:rFonts w:ascii="仿宋" w:eastAsia="仿宋" w:hAnsi="仿宋" w:cs="仿宋" w:hint="eastAsia"/>
          <w:b/>
          <w:color w:val="333333"/>
          <w:sz w:val="36"/>
          <w:szCs w:val="36"/>
        </w:rPr>
        <w:t>唐山市卫生计生委综合监督执法局分局</w:t>
      </w:r>
    </w:p>
    <w:p w:rsidR="002A00BC" w:rsidRPr="00293765" w:rsidRDefault="00293765" w:rsidP="002A00BC">
      <w:pPr>
        <w:jc w:val="center"/>
        <w:rPr>
          <w:rFonts w:ascii="仿宋" w:eastAsia="仿宋" w:hAnsi="仿宋" w:cs="仿宋"/>
          <w:b/>
          <w:color w:val="333333"/>
          <w:sz w:val="36"/>
          <w:szCs w:val="36"/>
        </w:rPr>
      </w:pPr>
      <w:r w:rsidRPr="00293765">
        <w:rPr>
          <w:rFonts w:ascii="仿宋" w:eastAsia="仿宋" w:hAnsi="仿宋" w:cs="仿宋" w:hint="eastAsia"/>
          <w:b/>
          <w:color w:val="333333"/>
          <w:sz w:val="36"/>
          <w:szCs w:val="36"/>
        </w:rPr>
        <w:t>2017年</w:t>
      </w:r>
      <w:r w:rsidR="002A00BC" w:rsidRPr="00293765">
        <w:rPr>
          <w:rFonts w:ascii="仿宋" w:eastAsia="仿宋" w:hAnsi="仿宋" w:cs="仿宋" w:hint="eastAsia"/>
          <w:b/>
          <w:color w:val="333333"/>
          <w:sz w:val="36"/>
          <w:szCs w:val="36"/>
        </w:rPr>
        <w:t>部门决算情况说明</w:t>
      </w:r>
    </w:p>
    <w:p w:rsidR="00CA791E" w:rsidRPr="00293765" w:rsidRDefault="00CA791E" w:rsidP="00CA791E">
      <w:pPr>
        <w:jc w:val="center"/>
        <w:rPr>
          <w:rFonts w:ascii="仿宋" w:eastAsia="仿宋" w:hAnsi="仿宋" w:cs="仿宋"/>
          <w:color w:val="333333"/>
          <w:sz w:val="32"/>
          <w:szCs w:val="32"/>
        </w:rPr>
      </w:pPr>
      <w:r w:rsidRPr="00293765">
        <w:rPr>
          <w:rFonts w:ascii="仿宋" w:eastAsia="仿宋" w:hAnsi="仿宋" w:cs="仿宋" w:hint="eastAsia"/>
          <w:color w:val="333333"/>
          <w:sz w:val="32"/>
          <w:szCs w:val="32"/>
        </w:rPr>
        <w:t>目 录</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第一部分 部门概况</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一、部门职权</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二、部门决算单位构成</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 xml:space="preserve">第二部分 2017 </w:t>
      </w:r>
      <w:proofErr w:type="gramStart"/>
      <w:r w:rsidRPr="00293765">
        <w:rPr>
          <w:rFonts w:ascii="仿宋" w:eastAsia="仿宋" w:hAnsi="仿宋" w:cs="仿宋" w:hint="eastAsia"/>
          <w:color w:val="333333"/>
          <w:sz w:val="32"/>
          <w:szCs w:val="32"/>
        </w:rPr>
        <w:t>年部门</w:t>
      </w:r>
      <w:proofErr w:type="gramEnd"/>
      <w:r w:rsidRPr="00293765">
        <w:rPr>
          <w:rFonts w:ascii="仿宋" w:eastAsia="仿宋" w:hAnsi="仿宋" w:cs="仿宋" w:hint="eastAsia"/>
          <w:color w:val="333333"/>
          <w:sz w:val="32"/>
          <w:szCs w:val="32"/>
        </w:rPr>
        <w:t>决算情况说明</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一、2017 年度收入支出决算情况</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二、2017 年度“三公”经费支出情况</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三、2017 年度财政拨款收入支出决算总体情况说明</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四、政府采购支出情况</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五、固定资产占用情况</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六、机关运行经费支出情况</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七、绩效预算管理工作开展情况说明</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八、其他重要事项的情况说明</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第三部分 名词解释</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一、部门决算</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二、基本支出、项目支出</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三、年末结转和结余</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四、“三公”经费</w:t>
      </w:r>
    </w:p>
    <w:p w:rsidR="00CA791E" w:rsidRPr="00293765" w:rsidRDefault="00CA791E" w:rsidP="00CA791E">
      <w:pPr>
        <w:jc w:val="left"/>
        <w:rPr>
          <w:rFonts w:ascii="仿宋" w:eastAsia="仿宋" w:hAnsi="仿宋" w:cs="仿宋"/>
          <w:color w:val="333333"/>
          <w:sz w:val="32"/>
          <w:szCs w:val="32"/>
        </w:rPr>
      </w:pPr>
      <w:r w:rsidRPr="00293765">
        <w:rPr>
          <w:rFonts w:ascii="仿宋" w:eastAsia="仿宋" w:hAnsi="仿宋" w:cs="仿宋" w:hint="eastAsia"/>
          <w:color w:val="333333"/>
          <w:sz w:val="32"/>
          <w:szCs w:val="32"/>
        </w:rPr>
        <w:t>五、机关运行经费</w:t>
      </w:r>
    </w:p>
    <w:p w:rsidR="006E5A4B" w:rsidRPr="00293765" w:rsidRDefault="006E5A4B" w:rsidP="006E5A4B">
      <w:pPr>
        <w:autoSpaceDE w:val="0"/>
        <w:autoSpaceDN w:val="0"/>
        <w:adjustRightInd w:val="0"/>
        <w:spacing w:line="360" w:lineRule="auto"/>
        <w:rPr>
          <w:rFonts w:ascii="仿宋" w:eastAsia="仿宋" w:hAnsi="仿宋" w:cs="仿宋_GB2312"/>
          <w:spacing w:val="-6"/>
          <w:kern w:val="0"/>
          <w:sz w:val="32"/>
          <w:szCs w:val="32"/>
        </w:rPr>
      </w:pPr>
    </w:p>
    <w:p w:rsidR="002A00BC" w:rsidRPr="00F4276B" w:rsidRDefault="002A00BC" w:rsidP="002A00BC">
      <w:pPr>
        <w:spacing w:line="560" w:lineRule="exact"/>
        <w:ind w:firstLineChars="200" w:firstLine="616"/>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lastRenderedPageBreak/>
        <w:t>第一部分  部门</w:t>
      </w:r>
      <w:r w:rsidR="00B452F3" w:rsidRPr="00F4276B">
        <w:rPr>
          <w:rFonts w:asciiTheme="majorEastAsia" w:eastAsiaTheme="majorEastAsia" w:hAnsiTheme="majorEastAsia" w:cs="仿宋_GB2312" w:hint="eastAsia"/>
          <w:spacing w:val="-6"/>
          <w:kern w:val="0"/>
          <w:sz w:val="32"/>
          <w:szCs w:val="32"/>
        </w:rPr>
        <w:t>概况</w:t>
      </w:r>
    </w:p>
    <w:p w:rsidR="00B452F3" w:rsidRPr="00F4276B" w:rsidRDefault="00B452F3" w:rsidP="00B452F3">
      <w:pPr>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 xml:space="preserve">    一、部门职权</w:t>
      </w:r>
    </w:p>
    <w:p w:rsidR="002A00BC" w:rsidRPr="00F4276B" w:rsidRDefault="002A00BC" w:rsidP="002A00BC">
      <w:pPr>
        <w:spacing w:line="560" w:lineRule="exact"/>
        <w:ind w:firstLineChars="200" w:firstLine="616"/>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唐山市卫生计生委综合监督执法局分局，隶属于唐山市卫生计生委下属的唐山市卫生计生委综合监督执法局管理，是综合监督执法局的一个科室，经唐山市卫生计生委与高新区管委会协商，进驻唐山市高新区对高新区的公共场所和生活饮用水进行监督管理，由高新区负责工作经费，其人事关系不变，分局不再设置科室，设有1名局长和1名副局长，3-5名监督员组成，目前只有3名监督员。</w:t>
      </w:r>
    </w:p>
    <w:p w:rsidR="002A00BC" w:rsidRPr="00F4276B" w:rsidRDefault="002A00BC" w:rsidP="002A00BC">
      <w:pPr>
        <w:spacing w:line="560" w:lineRule="exact"/>
        <w:ind w:firstLineChars="200" w:firstLine="616"/>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主要职责：</w:t>
      </w:r>
    </w:p>
    <w:p w:rsidR="002A00BC" w:rsidRPr="00F4276B" w:rsidRDefault="002A00BC" w:rsidP="002A00BC">
      <w:pPr>
        <w:spacing w:line="560" w:lineRule="exact"/>
        <w:ind w:firstLineChars="200" w:firstLine="616"/>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1、负责公共场所（宾馆、美容美发、洗浴、商场等）的卫生监督管理工作。</w:t>
      </w:r>
    </w:p>
    <w:p w:rsidR="002A00BC" w:rsidRPr="00F4276B" w:rsidRDefault="002A00BC" w:rsidP="002A00BC">
      <w:pPr>
        <w:spacing w:line="560" w:lineRule="exact"/>
        <w:ind w:firstLineChars="200" w:firstLine="616"/>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2、负责城市生活饮用水和涉水产品生产经营的卫生监督管理工作。</w:t>
      </w:r>
    </w:p>
    <w:p w:rsidR="002A00BC" w:rsidRPr="00F4276B" w:rsidRDefault="002A00BC" w:rsidP="002A00BC">
      <w:pPr>
        <w:spacing w:line="560" w:lineRule="exact"/>
        <w:ind w:firstLineChars="200" w:firstLine="616"/>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3、受理公共场所和生活饮用水经营过程中的投诉举报工作。</w:t>
      </w:r>
    </w:p>
    <w:p w:rsidR="002A00BC" w:rsidRPr="00F4276B" w:rsidRDefault="002A00BC" w:rsidP="002A00BC">
      <w:pPr>
        <w:spacing w:line="560" w:lineRule="exact"/>
        <w:ind w:firstLineChars="200" w:firstLine="616"/>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4、查处公共场所和生活饮用水经营过程中的违法行为。</w:t>
      </w:r>
    </w:p>
    <w:p w:rsidR="00423F9D" w:rsidRPr="00F4276B" w:rsidRDefault="00DF6E7E" w:rsidP="001E3D52">
      <w:pPr>
        <w:autoSpaceDE w:val="0"/>
        <w:autoSpaceDN w:val="0"/>
        <w:adjustRightInd w:val="0"/>
        <w:spacing w:line="360" w:lineRule="auto"/>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第</w:t>
      </w:r>
      <w:r w:rsidR="00157D0A" w:rsidRPr="00F4276B">
        <w:rPr>
          <w:rFonts w:asciiTheme="majorEastAsia" w:eastAsiaTheme="majorEastAsia" w:hAnsiTheme="majorEastAsia" w:cs="仿宋_GB2312" w:hint="eastAsia"/>
          <w:spacing w:val="-6"/>
          <w:kern w:val="0"/>
          <w:sz w:val="32"/>
          <w:szCs w:val="32"/>
        </w:rPr>
        <w:t>二</w:t>
      </w:r>
      <w:r w:rsidRPr="00F4276B">
        <w:rPr>
          <w:rFonts w:asciiTheme="majorEastAsia" w:eastAsiaTheme="majorEastAsia" w:hAnsiTheme="majorEastAsia" w:cs="仿宋_GB2312" w:hint="eastAsia"/>
          <w:spacing w:val="-6"/>
          <w:kern w:val="0"/>
          <w:sz w:val="32"/>
          <w:szCs w:val="32"/>
        </w:rPr>
        <w:t xml:space="preserve">部分  </w:t>
      </w:r>
      <w:r w:rsidR="00640CD9" w:rsidRPr="00F4276B">
        <w:rPr>
          <w:rFonts w:asciiTheme="majorEastAsia" w:eastAsiaTheme="majorEastAsia" w:hAnsiTheme="majorEastAsia" w:cs="仿宋_GB2312" w:hint="eastAsia"/>
          <w:spacing w:val="-6"/>
          <w:kern w:val="0"/>
          <w:sz w:val="32"/>
          <w:szCs w:val="32"/>
        </w:rPr>
        <w:t>2017</w:t>
      </w:r>
      <w:r w:rsidRPr="00F4276B">
        <w:rPr>
          <w:rFonts w:asciiTheme="majorEastAsia" w:eastAsiaTheme="majorEastAsia" w:hAnsiTheme="majorEastAsia" w:cs="仿宋_GB2312" w:hint="eastAsia"/>
          <w:spacing w:val="-6"/>
          <w:kern w:val="0"/>
          <w:sz w:val="32"/>
          <w:szCs w:val="32"/>
        </w:rPr>
        <w:t>年度部门决算报表情况说明</w:t>
      </w:r>
    </w:p>
    <w:p w:rsidR="00B452F3" w:rsidRPr="00F4276B" w:rsidRDefault="00B452F3" w:rsidP="00B452F3">
      <w:pPr>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 xml:space="preserve">    二、部门决算单位构成</w:t>
      </w:r>
    </w:p>
    <w:p w:rsidR="00B452F3" w:rsidRPr="00F4276B" w:rsidRDefault="00B452F3" w:rsidP="00B452F3">
      <w:pPr>
        <w:spacing w:line="560" w:lineRule="exact"/>
        <w:ind w:firstLineChars="200" w:firstLine="616"/>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唐山市卫生计生委综合监督执法局分局</w:t>
      </w:r>
    </w:p>
    <w:p w:rsidR="00B452F3" w:rsidRPr="00F4276B" w:rsidRDefault="00B452F3" w:rsidP="00B452F3">
      <w:pPr>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 xml:space="preserve">第二部分 2017 </w:t>
      </w:r>
      <w:proofErr w:type="gramStart"/>
      <w:r w:rsidRPr="00F4276B">
        <w:rPr>
          <w:rFonts w:asciiTheme="majorEastAsia" w:eastAsiaTheme="majorEastAsia" w:hAnsiTheme="majorEastAsia" w:cs="仿宋" w:hint="eastAsia"/>
          <w:color w:val="333333"/>
          <w:sz w:val="32"/>
          <w:szCs w:val="32"/>
        </w:rPr>
        <w:t>年部门</w:t>
      </w:r>
      <w:proofErr w:type="gramEnd"/>
      <w:r w:rsidRPr="00F4276B">
        <w:rPr>
          <w:rFonts w:asciiTheme="majorEastAsia" w:eastAsiaTheme="majorEastAsia" w:hAnsiTheme="majorEastAsia" w:cs="仿宋" w:hint="eastAsia"/>
          <w:color w:val="333333"/>
          <w:sz w:val="32"/>
          <w:szCs w:val="32"/>
        </w:rPr>
        <w:t>决算情况说明</w:t>
      </w:r>
    </w:p>
    <w:p w:rsidR="00947A63" w:rsidRPr="00F4276B" w:rsidRDefault="00947A63" w:rsidP="00947A63">
      <w:pPr>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一、 2017年度收入支出决算情况</w:t>
      </w:r>
    </w:p>
    <w:p w:rsidR="00947A63" w:rsidRPr="00F4276B" w:rsidRDefault="00947A63" w:rsidP="00947A63">
      <w:pPr>
        <w:adjustRightInd w:val="0"/>
        <w:snapToGrid w:val="0"/>
        <w:spacing w:line="580" w:lineRule="exact"/>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 xml:space="preserve">　　（一）2017年初结转和结余0万元，本年收入2.5万元，本年支出2.5万元，年末结转和结余0万元。</w:t>
      </w:r>
    </w:p>
    <w:p w:rsidR="00947A63" w:rsidRPr="00F4276B" w:rsidRDefault="00947A63" w:rsidP="00947A63">
      <w:pPr>
        <w:adjustRightInd w:val="0"/>
        <w:snapToGrid w:val="0"/>
        <w:spacing w:line="580" w:lineRule="exact"/>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lastRenderedPageBreak/>
        <w:t xml:space="preserve">　　（二）2017年度一般公共预算财政拨款上年结转和结余0万元，本年收入2.5万元，本年支出2.5万元，年末结转和结余0万元。</w:t>
      </w:r>
    </w:p>
    <w:p w:rsidR="00947A63" w:rsidRPr="00F4276B" w:rsidRDefault="00947A63" w:rsidP="00947A63">
      <w:pPr>
        <w:adjustRightInd w:val="0"/>
        <w:snapToGrid w:val="0"/>
        <w:spacing w:line="580" w:lineRule="exact"/>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 xml:space="preserve">    （三）2017年度政府性基金预算财政拨款上年结转和结余0万元，本年收入0万元，本年支出0万元，年末结转和结余0万元。</w:t>
      </w:r>
    </w:p>
    <w:p w:rsidR="00947A63" w:rsidRPr="00F4276B" w:rsidRDefault="00947A63" w:rsidP="00947A63">
      <w:pPr>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二、 2017年度“三公”经费支出情况</w:t>
      </w:r>
    </w:p>
    <w:p w:rsidR="00947A63" w:rsidRPr="00F4276B" w:rsidRDefault="00947A63" w:rsidP="00947A63">
      <w:pPr>
        <w:adjustRightInd w:val="0"/>
        <w:snapToGrid w:val="0"/>
        <w:spacing w:line="580" w:lineRule="exact"/>
        <w:ind w:firstLineChars="200" w:firstLine="640"/>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2017年度部门决算“三公”经费总额0万元，年初预算数0万元、上年决算数0万元，同比增加0万元。具体情况如下</w:t>
      </w:r>
    </w:p>
    <w:p w:rsidR="00947A63" w:rsidRPr="00F4276B" w:rsidRDefault="00947A63" w:rsidP="00947A63">
      <w:pPr>
        <w:shd w:val="solid" w:color="FFFFFF" w:fill="auto"/>
        <w:autoSpaceDN w:val="0"/>
        <w:spacing w:before="75" w:after="75" w:line="23" w:lineRule="atLeast"/>
        <w:ind w:right="75"/>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 xml:space="preserve">　  一、因公出国经费：年初预算没安排，年终决算0</w:t>
      </w:r>
    </w:p>
    <w:p w:rsidR="00947A63" w:rsidRPr="00F4276B" w:rsidRDefault="00947A63" w:rsidP="00947A63">
      <w:pPr>
        <w:shd w:val="solid" w:color="FFFFFF" w:fill="auto"/>
        <w:autoSpaceDN w:val="0"/>
        <w:spacing w:before="75" w:after="75" w:line="23" w:lineRule="atLeast"/>
        <w:ind w:right="75"/>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万元，与2016年持平。原因:未发生该项业务。</w:t>
      </w:r>
    </w:p>
    <w:p w:rsidR="00947A63" w:rsidRPr="00F4276B" w:rsidRDefault="00947A63" w:rsidP="00947A63">
      <w:pPr>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 xml:space="preserve">　　二、公务用车购置及运行费：</w:t>
      </w:r>
      <w:proofErr w:type="gramStart"/>
      <w:r w:rsidRPr="00F4276B">
        <w:rPr>
          <w:rFonts w:asciiTheme="majorEastAsia" w:eastAsiaTheme="majorEastAsia" w:hAnsiTheme="majorEastAsia" w:cs="仿宋" w:hint="eastAsia"/>
          <w:color w:val="333333"/>
          <w:sz w:val="32"/>
          <w:szCs w:val="32"/>
        </w:rPr>
        <w:t>我部门</w:t>
      </w:r>
      <w:proofErr w:type="gramEnd"/>
      <w:r w:rsidRPr="00F4276B">
        <w:rPr>
          <w:rFonts w:asciiTheme="majorEastAsia" w:eastAsiaTheme="majorEastAsia" w:hAnsiTheme="majorEastAsia" w:cs="仿宋" w:hint="eastAsia"/>
          <w:color w:val="333333"/>
          <w:sz w:val="32"/>
          <w:szCs w:val="32"/>
        </w:rPr>
        <w:t>未配备公务用车。</w:t>
      </w:r>
    </w:p>
    <w:p w:rsidR="00947A63" w:rsidRPr="00F4276B" w:rsidRDefault="00947A63" w:rsidP="00947A63">
      <w:pPr>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 xml:space="preserve">　　三、公务接待费：年初预算0万元，年终决算0万元，与2016年持平。</w:t>
      </w:r>
    </w:p>
    <w:p w:rsidR="00947A63" w:rsidRPr="00F4276B" w:rsidRDefault="00947A63" w:rsidP="00947A63">
      <w:pPr>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三、2017年度财政拨款收入支出决算总体情况说明</w:t>
      </w:r>
    </w:p>
    <w:p w:rsidR="00947A63" w:rsidRPr="00F4276B" w:rsidRDefault="00947A63" w:rsidP="00947A63">
      <w:pPr>
        <w:spacing w:line="600" w:lineRule="exact"/>
        <w:ind w:firstLineChars="200" w:firstLine="640"/>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2017年财政拨款支出年初预算数2.5万元，决算数2.5万元，年末结转和结余0万元。决算数比年初预算数持平</w:t>
      </w:r>
    </w:p>
    <w:p w:rsidR="00947A63" w:rsidRPr="00F4276B" w:rsidRDefault="00947A63" w:rsidP="00947A63">
      <w:pPr>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四、政府采购支出情况</w:t>
      </w:r>
    </w:p>
    <w:p w:rsidR="00947A63" w:rsidRPr="00F4276B" w:rsidRDefault="00947A63" w:rsidP="00947A63">
      <w:pPr>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 xml:space="preserve">　　2017年我单位政府采购计划金额为0万元，实际采购金额 0万元。</w:t>
      </w:r>
    </w:p>
    <w:p w:rsidR="00947A63" w:rsidRPr="00F4276B" w:rsidRDefault="00947A63" w:rsidP="00947A63">
      <w:pPr>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五、固定资产占用情况</w:t>
      </w:r>
    </w:p>
    <w:p w:rsidR="00947A63" w:rsidRPr="00F4276B" w:rsidRDefault="00947A63" w:rsidP="00947A63">
      <w:pPr>
        <w:spacing w:line="600" w:lineRule="exact"/>
        <w:ind w:firstLineChars="200" w:firstLine="640"/>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lastRenderedPageBreak/>
        <w:t>截止2017年末，部门资产总额11.8</w:t>
      </w:r>
      <w:r w:rsidR="002A600E">
        <w:rPr>
          <w:rFonts w:asciiTheme="majorEastAsia" w:eastAsiaTheme="majorEastAsia" w:hAnsiTheme="majorEastAsia" w:cs="仿宋" w:hint="eastAsia"/>
          <w:color w:val="333333"/>
          <w:sz w:val="32"/>
          <w:szCs w:val="32"/>
        </w:rPr>
        <w:t>8</w:t>
      </w:r>
      <w:r w:rsidRPr="00F4276B">
        <w:rPr>
          <w:rFonts w:asciiTheme="majorEastAsia" w:eastAsiaTheme="majorEastAsia" w:hAnsiTheme="majorEastAsia" w:cs="仿宋" w:hint="eastAsia"/>
          <w:color w:val="333333"/>
          <w:sz w:val="32"/>
          <w:szCs w:val="32"/>
        </w:rPr>
        <w:t>万元，较年初持平。其中：</w:t>
      </w:r>
      <w:r w:rsidR="00F4276B" w:rsidRPr="00F4276B">
        <w:rPr>
          <w:rFonts w:asciiTheme="majorEastAsia" w:eastAsiaTheme="majorEastAsia" w:hAnsiTheme="majorEastAsia" w:cs="仿宋" w:hint="eastAsia"/>
          <w:color w:val="333333"/>
          <w:sz w:val="32"/>
          <w:szCs w:val="32"/>
        </w:rPr>
        <w:t>其他固定资产10.54</w:t>
      </w:r>
      <w:r w:rsidRPr="00F4276B">
        <w:rPr>
          <w:rFonts w:asciiTheme="majorEastAsia" w:eastAsiaTheme="majorEastAsia" w:hAnsiTheme="majorEastAsia" w:cs="仿宋" w:hint="eastAsia"/>
          <w:color w:val="333333"/>
          <w:sz w:val="32"/>
          <w:szCs w:val="32"/>
        </w:rPr>
        <w:t>万元</w:t>
      </w:r>
      <w:r w:rsidR="00F4276B" w:rsidRPr="00F4276B">
        <w:rPr>
          <w:rFonts w:asciiTheme="majorEastAsia" w:eastAsiaTheme="majorEastAsia" w:hAnsiTheme="majorEastAsia" w:cs="仿宋" w:hint="eastAsia"/>
          <w:color w:val="333333"/>
          <w:sz w:val="32"/>
          <w:szCs w:val="32"/>
        </w:rPr>
        <w:t>，无形资产1.3</w:t>
      </w:r>
      <w:r w:rsidR="002A600E">
        <w:rPr>
          <w:rFonts w:asciiTheme="majorEastAsia" w:eastAsiaTheme="majorEastAsia" w:hAnsiTheme="majorEastAsia" w:cs="仿宋" w:hint="eastAsia"/>
          <w:color w:val="333333"/>
          <w:sz w:val="32"/>
          <w:szCs w:val="32"/>
        </w:rPr>
        <w:t>4</w:t>
      </w:r>
      <w:r w:rsidR="00F4276B" w:rsidRPr="00F4276B">
        <w:rPr>
          <w:rFonts w:asciiTheme="majorEastAsia" w:eastAsiaTheme="majorEastAsia" w:hAnsiTheme="majorEastAsia" w:cs="仿宋" w:hint="eastAsia"/>
          <w:color w:val="333333"/>
          <w:sz w:val="32"/>
          <w:szCs w:val="32"/>
        </w:rPr>
        <w:t>万元，与2016年底数持平。</w:t>
      </w:r>
    </w:p>
    <w:p w:rsidR="00947A63" w:rsidRPr="00F4276B" w:rsidRDefault="00947A63" w:rsidP="00947A63">
      <w:pPr>
        <w:jc w:val="left"/>
        <w:rPr>
          <w:rFonts w:asciiTheme="majorEastAsia" w:eastAsiaTheme="majorEastAsia" w:hAnsiTheme="majorEastAsia" w:cs="仿宋"/>
          <w:color w:val="333333"/>
          <w:sz w:val="32"/>
          <w:szCs w:val="32"/>
        </w:rPr>
      </w:pPr>
      <w:r w:rsidRPr="00F4276B">
        <w:rPr>
          <w:rFonts w:asciiTheme="majorEastAsia" w:eastAsiaTheme="majorEastAsia" w:hAnsiTheme="majorEastAsia" w:cs="仿宋" w:hint="eastAsia"/>
          <w:color w:val="333333"/>
          <w:sz w:val="32"/>
          <w:szCs w:val="32"/>
        </w:rPr>
        <w:t>六、机关运行经费支出情况</w:t>
      </w:r>
    </w:p>
    <w:p w:rsidR="00721A9A" w:rsidRPr="00F4276B" w:rsidRDefault="00947A63" w:rsidP="00F4276B">
      <w:pPr>
        <w:jc w:val="left"/>
        <w:rPr>
          <w:rFonts w:asciiTheme="majorEastAsia" w:eastAsiaTheme="majorEastAsia" w:hAnsiTheme="majorEastAsia"/>
          <w:sz w:val="32"/>
          <w:szCs w:val="32"/>
        </w:rPr>
      </w:pPr>
      <w:r w:rsidRPr="00F4276B">
        <w:rPr>
          <w:rFonts w:asciiTheme="majorEastAsia" w:eastAsiaTheme="majorEastAsia" w:hAnsiTheme="majorEastAsia" w:cs="仿宋" w:hint="eastAsia"/>
          <w:color w:val="333333"/>
          <w:sz w:val="32"/>
          <w:szCs w:val="32"/>
        </w:rPr>
        <w:t xml:space="preserve">    201</w:t>
      </w:r>
      <w:r w:rsidR="00F4276B" w:rsidRPr="00F4276B">
        <w:rPr>
          <w:rFonts w:asciiTheme="majorEastAsia" w:eastAsiaTheme="majorEastAsia" w:hAnsiTheme="majorEastAsia" w:cs="仿宋" w:hint="eastAsia"/>
          <w:color w:val="333333"/>
          <w:sz w:val="32"/>
          <w:szCs w:val="32"/>
        </w:rPr>
        <w:t>7</w:t>
      </w:r>
      <w:r w:rsidRPr="00F4276B">
        <w:rPr>
          <w:rFonts w:asciiTheme="majorEastAsia" w:eastAsiaTheme="majorEastAsia" w:hAnsiTheme="majorEastAsia" w:cs="仿宋" w:hint="eastAsia"/>
          <w:color w:val="333333"/>
          <w:sz w:val="32"/>
          <w:szCs w:val="32"/>
        </w:rPr>
        <w:t xml:space="preserve"> 年</w:t>
      </w:r>
      <w:r w:rsidR="00F4276B" w:rsidRPr="00F4276B">
        <w:rPr>
          <w:rFonts w:asciiTheme="majorEastAsia" w:eastAsiaTheme="majorEastAsia" w:hAnsiTheme="majorEastAsia" w:cs="仿宋" w:hint="eastAsia"/>
          <w:color w:val="333333"/>
          <w:sz w:val="32"/>
          <w:szCs w:val="32"/>
        </w:rPr>
        <w:t>唐山市卫生计生委综合监督执法</w:t>
      </w:r>
      <w:proofErr w:type="gramStart"/>
      <w:r w:rsidR="00F4276B" w:rsidRPr="00F4276B">
        <w:rPr>
          <w:rFonts w:asciiTheme="majorEastAsia" w:eastAsiaTheme="majorEastAsia" w:hAnsiTheme="majorEastAsia" w:cs="仿宋" w:hint="eastAsia"/>
          <w:color w:val="333333"/>
          <w:sz w:val="32"/>
          <w:szCs w:val="32"/>
        </w:rPr>
        <w:t>局分局</w:t>
      </w:r>
      <w:proofErr w:type="gramEnd"/>
      <w:r w:rsidRPr="00F4276B">
        <w:rPr>
          <w:rFonts w:asciiTheme="majorEastAsia" w:eastAsiaTheme="majorEastAsia" w:hAnsiTheme="majorEastAsia" w:cs="仿宋" w:hint="eastAsia"/>
          <w:color w:val="333333"/>
          <w:sz w:val="32"/>
          <w:szCs w:val="32"/>
        </w:rPr>
        <w:t>机关运行费支出</w:t>
      </w:r>
      <w:r w:rsidR="00F4276B" w:rsidRPr="00F4276B">
        <w:rPr>
          <w:rFonts w:asciiTheme="majorEastAsia" w:eastAsiaTheme="majorEastAsia" w:hAnsiTheme="majorEastAsia" w:cs="仿宋" w:hint="eastAsia"/>
          <w:color w:val="333333"/>
          <w:sz w:val="32"/>
          <w:szCs w:val="32"/>
        </w:rPr>
        <w:t>0</w:t>
      </w:r>
      <w:r w:rsidRPr="00F4276B">
        <w:rPr>
          <w:rFonts w:asciiTheme="majorEastAsia" w:eastAsiaTheme="majorEastAsia" w:hAnsiTheme="majorEastAsia" w:cs="仿宋" w:hint="eastAsia"/>
          <w:color w:val="333333"/>
          <w:sz w:val="32"/>
          <w:szCs w:val="32"/>
        </w:rPr>
        <w:t xml:space="preserve"> 万元，</w:t>
      </w:r>
      <w:r w:rsidR="00D91B98">
        <w:rPr>
          <w:rFonts w:asciiTheme="majorEastAsia" w:eastAsiaTheme="majorEastAsia" w:hAnsiTheme="majorEastAsia" w:cs="仿宋" w:hint="eastAsia"/>
          <w:color w:val="333333"/>
          <w:sz w:val="32"/>
          <w:szCs w:val="32"/>
        </w:rPr>
        <w:t>因为我局为市局派出机构，机关运行经费由市级保障</w:t>
      </w:r>
      <w:r w:rsidR="00F4276B" w:rsidRPr="00F4276B">
        <w:rPr>
          <w:rFonts w:asciiTheme="majorEastAsia" w:eastAsiaTheme="majorEastAsia" w:hAnsiTheme="majorEastAsia" w:hint="eastAsia"/>
          <w:sz w:val="32"/>
          <w:szCs w:val="32"/>
        </w:rPr>
        <w:t>。</w:t>
      </w:r>
    </w:p>
    <w:p w:rsidR="00FE4B0F" w:rsidRPr="00F4276B" w:rsidRDefault="00E327BD" w:rsidP="00721A9A">
      <w:pPr>
        <w:autoSpaceDE w:val="0"/>
        <w:autoSpaceDN w:val="0"/>
        <w:adjustRightInd w:val="0"/>
        <w:spacing w:line="360" w:lineRule="auto"/>
        <w:ind w:firstLineChars="200" w:firstLine="616"/>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七</w:t>
      </w:r>
      <w:r w:rsidR="003E2E84" w:rsidRPr="00F4276B">
        <w:rPr>
          <w:rFonts w:asciiTheme="majorEastAsia" w:eastAsiaTheme="majorEastAsia" w:hAnsiTheme="majorEastAsia" w:cs="仿宋_GB2312" w:hint="eastAsia"/>
          <w:spacing w:val="-6"/>
          <w:kern w:val="0"/>
          <w:sz w:val="32"/>
          <w:szCs w:val="32"/>
        </w:rPr>
        <w:t>、</w:t>
      </w:r>
      <w:r w:rsidR="003A2BFD" w:rsidRPr="00F4276B">
        <w:rPr>
          <w:rFonts w:asciiTheme="majorEastAsia" w:eastAsiaTheme="majorEastAsia" w:hAnsiTheme="majorEastAsia" w:cs="仿宋_GB2312" w:hint="eastAsia"/>
          <w:spacing w:val="-6"/>
          <w:kern w:val="0"/>
          <w:sz w:val="32"/>
          <w:szCs w:val="32"/>
        </w:rPr>
        <w:t>预算</w:t>
      </w:r>
      <w:r w:rsidR="003E2E84" w:rsidRPr="00F4276B">
        <w:rPr>
          <w:rFonts w:asciiTheme="majorEastAsia" w:eastAsiaTheme="majorEastAsia" w:hAnsiTheme="majorEastAsia" w:cs="仿宋_GB2312" w:hint="eastAsia"/>
          <w:spacing w:val="-6"/>
          <w:kern w:val="0"/>
          <w:sz w:val="32"/>
          <w:szCs w:val="32"/>
        </w:rPr>
        <w:t>绩效管理工作开展情况说明</w:t>
      </w:r>
    </w:p>
    <w:p w:rsidR="004536D0" w:rsidRPr="009F5772" w:rsidRDefault="004536D0" w:rsidP="004536D0">
      <w:pPr>
        <w:ind w:firstLineChars="200" w:firstLine="640"/>
        <w:rPr>
          <w:rFonts w:ascii="宋体" w:hAnsi="宋体"/>
          <w:sz w:val="32"/>
          <w:szCs w:val="32"/>
        </w:rPr>
      </w:pPr>
      <w:r>
        <w:rPr>
          <w:rFonts w:ascii="宋体" w:hAnsi="宋体" w:hint="eastAsia"/>
          <w:sz w:val="32"/>
          <w:szCs w:val="32"/>
        </w:rPr>
        <w:t>我单位</w:t>
      </w:r>
      <w:r w:rsidRPr="002D5CAD">
        <w:rPr>
          <w:rFonts w:ascii="宋体" w:hAnsi="宋体" w:hint="eastAsia"/>
          <w:sz w:val="32"/>
          <w:szCs w:val="32"/>
        </w:rPr>
        <w:t>负责高新区范围内公共场所经常性卫生监督工作</w:t>
      </w:r>
      <w:r>
        <w:rPr>
          <w:rFonts w:ascii="宋体" w:hAnsi="宋体" w:hint="eastAsia"/>
          <w:sz w:val="32"/>
          <w:szCs w:val="32"/>
        </w:rPr>
        <w:t>，2017年度监督覆盖率100%。</w:t>
      </w:r>
      <w:r w:rsidRPr="002D5CAD">
        <w:rPr>
          <w:rFonts w:ascii="宋体" w:hAnsi="宋体" w:hint="eastAsia"/>
          <w:sz w:val="32"/>
          <w:szCs w:val="32"/>
        </w:rPr>
        <w:t>负责高新区范围内生活饮用水卫生监督工作，并负责对辖区内涉及生活饮用水卫生安全产品经营单位的涉水产品进行经常性的卫生监督工作</w:t>
      </w:r>
      <w:r>
        <w:rPr>
          <w:rFonts w:ascii="宋体" w:hAnsi="宋体" w:hint="eastAsia"/>
          <w:sz w:val="32"/>
          <w:szCs w:val="32"/>
        </w:rPr>
        <w:t>，2017年度监督覆盖率100%。</w:t>
      </w:r>
      <w:r w:rsidRPr="002D5CAD">
        <w:rPr>
          <w:rFonts w:ascii="宋体" w:hAnsi="宋体" w:hint="eastAsia"/>
          <w:sz w:val="32"/>
          <w:szCs w:val="32"/>
        </w:rPr>
        <w:t>对出现的违法案件按行政执法程序进行调查处理</w:t>
      </w:r>
      <w:r>
        <w:rPr>
          <w:rFonts w:ascii="宋体" w:hAnsi="宋体" w:hint="eastAsia"/>
          <w:sz w:val="32"/>
          <w:szCs w:val="32"/>
        </w:rPr>
        <w:t>，做到公平公正执法，执法必严，违法必究。受理、核实</w:t>
      </w:r>
      <w:bookmarkStart w:id="0" w:name="_GoBack"/>
      <w:bookmarkEnd w:id="0"/>
      <w:r>
        <w:rPr>
          <w:rFonts w:ascii="宋体" w:hAnsi="宋体" w:hint="eastAsia"/>
          <w:sz w:val="32"/>
          <w:szCs w:val="32"/>
        </w:rPr>
        <w:t>群众投诉举报，回复率100%。</w:t>
      </w:r>
      <w:r w:rsidRPr="00F4276B">
        <w:rPr>
          <w:rFonts w:asciiTheme="majorEastAsia" w:eastAsiaTheme="majorEastAsia" w:hAnsiTheme="majorEastAsia" w:cs="仿宋_GB2312" w:hint="eastAsia"/>
          <w:spacing w:val="-6"/>
          <w:kern w:val="0"/>
          <w:sz w:val="32"/>
          <w:szCs w:val="32"/>
        </w:rPr>
        <w:t>为提高绩效管理工作的成效，对资金流向、作用成果等方面加强监督与管理，针对存在问题，及时进行整改。</w:t>
      </w:r>
    </w:p>
    <w:p w:rsidR="007A7514" w:rsidRPr="00F4276B" w:rsidRDefault="0041704F" w:rsidP="0041704F">
      <w:pPr>
        <w:autoSpaceDE w:val="0"/>
        <w:autoSpaceDN w:val="0"/>
        <w:adjustRightInd w:val="0"/>
        <w:spacing w:line="360" w:lineRule="auto"/>
        <w:ind w:firstLineChars="250" w:firstLine="770"/>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八</w:t>
      </w:r>
      <w:r w:rsidR="007A7514" w:rsidRPr="00F4276B">
        <w:rPr>
          <w:rFonts w:asciiTheme="majorEastAsia" w:eastAsiaTheme="majorEastAsia" w:hAnsiTheme="majorEastAsia" w:cs="仿宋_GB2312" w:hint="eastAsia"/>
          <w:spacing w:val="-6"/>
          <w:kern w:val="0"/>
          <w:sz w:val="32"/>
          <w:szCs w:val="32"/>
        </w:rPr>
        <w:t>、其他重要事项说明</w:t>
      </w:r>
    </w:p>
    <w:p w:rsidR="005C4B2D" w:rsidRPr="00F4276B" w:rsidRDefault="005C4B2D" w:rsidP="0041704F">
      <w:pPr>
        <w:autoSpaceDE w:val="0"/>
        <w:autoSpaceDN w:val="0"/>
        <w:adjustRightInd w:val="0"/>
        <w:spacing w:line="360" w:lineRule="auto"/>
        <w:ind w:firstLineChars="250" w:firstLine="770"/>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2017年本部门无国有资本经营预算财政拨款收支，因此相关报表无数据。</w:t>
      </w:r>
    </w:p>
    <w:p w:rsidR="001E3D52" w:rsidRPr="00F4276B" w:rsidRDefault="001E3D52" w:rsidP="001E3D52">
      <w:pPr>
        <w:autoSpaceDE w:val="0"/>
        <w:autoSpaceDN w:val="0"/>
        <w:adjustRightInd w:val="0"/>
        <w:spacing w:line="360" w:lineRule="auto"/>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第</w:t>
      </w:r>
      <w:r w:rsidR="00E327BD" w:rsidRPr="00F4276B">
        <w:rPr>
          <w:rFonts w:asciiTheme="majorEastAsia" w:eastAsiaTheme="majorEastAsia" w:hAnsiTheme="majorEastAsia" w:cs="仿宋_GB2312" w:hint="eastAsia"/>
          <w:spacing w:val="-6"/>
          <w:kern w:val="0"/>
          <w:sz w:val="32"/>
          <w:szCs w:val="32"/>
        </w:rPr>
        <w:t>三</w:t>
      </w:r>
      <w:r w:rsidRPr="00F4276B">
        <w:rPr>
          <w:rFonts w:asciiTheme="majorEastAsia" w:eastAsiaTheme="majorEastAsia" w:hAnsiTheme="majorEastAsia" w:cs="仿宋_GB2312" w:hint="eastAsia"/>
          <w:spacing w:val="-6"/>
          <w:kern w:val="0"/>
          <w:sz w:val="32"/>
          <w:szCs w:val="32"/>
        </w:rPr>
        <w:t>部分  名词解释</w:t>
      </w:r>
    </w:p>
    <w:p w:rsidR="00FB0D17" w:rsidRPr="00F4276B" w:rsidRDefault="00FB0D17" w:rsidP="0041704F">
      <w:pPr>
        <w:autoSpaceDE w:val="0"/>
        <w:autoSpaceDN w:val="0"/>
        <w:adjustRightInd w:val="0"/>
        <w:spacing w:line="360" w:lineRule="auto"/>
        <w:ind w:firstLineChars="244" w:firstLine="752"/>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一、</w:t>
      </w:r>
      <w:r w:rsidR="001625B6" w:rsidRPr="00F4276B">
        <w:rPr>
          <w:rFonts w:asciiTheme="majorEastAsia" w:eastAsiaTheme="majorEastAsia" w:hAnsiTheme="majorEastAsia" w:cs="仿宋_GB2312" w:hint="eastAsia"/>
          <w:spacing w:val="-6"/>
          <w:kern w:val="0"/>
          <w:sz w:val="32"/>
          <w:szCs w:val="32"/>
        </w:rPr>
        <w:t>部门决算</w:t>
      </w:r>
    </w:p>
    <w:p w:rsidR="001625B6" w:rsidRPr="00F4276B" w:rsidRDefault="00FB0D17" w:rsidP="0041704F">
      <w:pPr>
        <w:autoSpaceDE w:val="0"/>
        <w:autoSpaceDN w:val="0"/>
        <w:adjustRightInd w:val="0"/>
        <w:spacing w:line="360" w:lineRule="auto"/>
        <w:ind w:firstLineChars="244" w:firstLine="752"/>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lastRenderedPageBreak/>
        <w:t>部门决算：</w:t>
      </w:r>
      <w:r w:rsidR="001625B6" w:rsidRPr="00F4276B">
        <w:rPr>
          <w:rFonts w:asciiTheme="majorEastAsia" w:eastAsiaTheme="majorEastAsia" w:hAnsiTheme="majorEastAsia" w:cs="仿宋_GB2312" w:hint="eastAsia"/>
          <w:spacing w:val="-6"/>
          <w:kern w:val="0"/>
          <w:sz w:val="32"/>
          <w:szCs w:val="32"/>
        </w:rPr>
        <w:t>指行政事业单位在年度终了，根据财政部门决算编审要求，在日常会计核算的基础上编制的、综合反映本单位预算执行结果和财务状况的总结性文件。</w:t>
      </w:r>
    </w:p>
    <w:p w:rsidR="00FB0D17" w:rsidRPr="00F4276B" w:rsidRDefault="00FB0D17" w:rsidP="00FB0D17">
      <w:pPr>
        <w:numPr>
          <w:ilvl w:val="0"/>
          <w:numId w:val="2"/>
        </w:numPr>
        <w:autoSpaceDE w:val="0"/>
        <w:autoSpaceDN w:val="0"/>
        <w:adjustRightInd w:val="0"/>
        <w:spacing w:line="360" w:lineRule="auto"/>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基本支出、项目支出</w:t>
      </w:r>
    </w:p>
    <w:p w:rsidR="00FE4B0F" w:rsidRPr="00F4276B" w:rsidRDefault="00FB0D17" w:rsidP="00FB0D17">
      <w:pPr>
        <w:autoSpaceDE w:val="0"/>
        <w:autoSpaceDN w:val="0"/>
        <w:adjustRightInd w:val="0"/>
        <w:spacing w:line="360" w:lineRule="auto"/>
        <w:ind w:firstLineChars="250" w:firstLine="770"/>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基本支出指预算单位为保障机构正常运转和完成日常工作任务而发生的各项支出，包括人员经费和公用经费。</w:t>
      </w:r>
    </w:p>
    <w:p w:rsidR="00FB0D17" w:rsidRPr="00F4276B" w:rsidRDefault="00FB0D17" w:rsidP="00FB0D17">
      <w:pPr>
        <w:autoSpaceDE w:val="0"/>
        <w:autoSpaceDN w:val="0"/>
        <w:adjustRightInd w:val="0"/>
        <w:spacing w:line="360" w:lineRule="auto"/>
        <w:ind w:firstLine="600"/>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项目支出：指在基础之外未完成特定行政任务和事业发展目标所发生的支出。</w:t>
      </w:r>
    </w:p>
    <w:p w:rsidR="00FB0D17" w:rsidRPr="00F4276B" w:rsidRDefault="00FB0D17" w:rsidP="00FB0D17">
      <w:pPr>
        <w:autoSpaceDE w:val="0"/>
        <w:autoSpaceDN w:val="0"/>
        <w:adjustRightInd w:val="0"/>
        <w:spacing w:line="360" w:lineRule="auto"/>
        <w:ind w:firstLine="600"/>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三、</w:t>
      </w:r>
      <w:r w:rsidR="00FE4B0F" w:rsidRPr="00F4276B">
        <w:rPr>
          <w:rFonts w:asciiTheme="majorEastAsia" w:eastAsiaTheme="majorEastAsia" w:hAnsiTheme="majorEastAsia" w:cs="仿宋_GB2312" w:hint="eastAsia"/>
          <w:spacing w:val="-6"/>
          <w:kern w:val="0"/>
          <w:sz w:val="32"/>
          <w:szCs w:val="32"/>
        </w:rPr>
        <w:t>年末结转和结余</w:t>
      </w:r>
    </w:p>
    <w:p w:rsidR="00FE4B0F" w:rsidRPr="00F4276B" w:rsidRDefault="00FB0D17" w:rsidP="00FB0D17">
      <w:pPr>
        <w:autoSpaceDE w:val="0"/>
        <w:autoSpaceDN w:val="0"/>
        <w:adjustRightInd w:val="0"/>
        <w:spacing w:line="360" w:lineRule="auto"/>
        <w:ind w:firstLine="600"/>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年末结转和结余</w:t>
      </w:r>
      <w:r w:rsidR="00FE4B0F" w:rsidRPr="00F4276B">
        <w:rPr>
          <w:rFonts w:asciiTheme="majorEastAsia" w:eastAsiaTheme="majorEastAsia" w:hAnsiTheme="majorEastAsia" w:cs="仿宋_GB2312" w:hint="eastAsia"/>
          <w:spacing w:val="-6"/>
          <w:kern w:val="0"/>
          <w:sz w:val="32"/>
          <w:szCs w:val="32"/>
        </w:rPr>
        <w:t>指本年度或以前年度预算安排、因客观条件发生变化无法按原计划实施，需要延迟到以后年度按有关规定继续使用的资金。</w:t>
      </w:r>
    </w:p>
    <w:p w:rsidR="00FB0D17" w:rsidRPr="00F4276B" w:rsidRDefault="00FB0D17" w:rsidP="00FB0D17">
      <w:pPr>
        <w:autoSpaceDE w:val="0"/>
        <w:autoSpaceDN w:val="0"/>
        <w:adjustRightInd w:val="0"/>
        <w:spacing w:line="360" w:lineRule="auto"/>
        <w:ind w:firstLine="600"/>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四、“三公”经费</w:t>
      </w:r>
    </w:p>
    <w:p w:rsidR="00FB0D17" w:rsidRPr="00F4276B" w:rsidRDefault="00FB0D17" w:rsidP="00FB0D17">
      <w:pPr>
        <w:autoSpaceDE w:val="0"/>
        <w:autoSpaceDN w:val="0"/>
        <w:adjustRightInd w:val="0"/>
        <w:spacing w:line="360" w:lineRule="auto"/>
        <w:ind w:firstLineChars="150" w:firstLine="462"/>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三公”经费包括因公出国（境）费、公务用车购置及运行费和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领导干部专车、一般公务用车和执法执勤用车。公务接待费，指单位按规定开支的各类公务接待（含外宾接待）支出。</w:t>
      </w:r>
    </w:p>
    <w:p w:rsidR="005C4B2D" w:rsidRPr="00F4276B" w:rsidRDefault="005C4B2D" w:rsidP="007F48CC">
      <w:pPr>
        <w:autoSpaceDE w:val="0"/>
        <w:autoSpaceDN w:val="0"/>
        <w:adjustRightInd w:val="0"/>
        <w:spacing w:line="360" w:lineRule="auto"/>
        <w:ind w:firstLineChars="200" w:firstLine="616"/>
        <w:rPr>
          <w:rFonts w:asciiTheme="majorEastAsia" w:eastAsiaTheme="majorEastAsia" w:hAnsiTheme="majorEastAsia" w:cs="仿宋_GB2312"/>
          <w:spacing w:val="-6"/>
          <w:kern w:val="0"/>
          <w:sz w:val="32"/>
          <w:szCs w:val="32"/>
        </w:rPr>
      </w:pPr>
      <w:r w:rsidRPr="00F4276B">
        <w:rPr>
          <w:rFonts w:asciiTheme="majorEastAsia" w:eastAsiaTheme="majorEastAsia" w:hAnsiTheme="majorEastAsia" w:cs="仿宋_GB2312" w:hint="eastAsia"/>
          <w:spacing w:val="-6"/>
          <w:kern w:val="0"/>
          <w:sz w:val="32"/>
          <w:szCs w:val="32"/>
        </w:rPr>
        <w:t>五、</w:t>
      </w:r>
      <w:r w:rsidR="00FE4B0F" w:rsidRPr="00F4276B">
        <w:rPr>
          <w:rFonts w:asciiTheme="majorEastAsia" w:eastAsiaTheme="majorEastAsia" w:hAnsiTheme="majorEastAsia" w:cs="仿宋_GB2312" w:hint="eastAsia"/>
          <w:spacing w:val="-6"/>
          <w:kern w:val="0"/>
          <w:sz w:val="32"/>
          <w:szCs w:val="32"/>
        </w:rPr>
        <w:t>机关运行经费</w:t>
      </w:r>
    </w:p>
    <w:p w:rsidR="00CC7138" w:rsidRPr="00F4276B" w:rsidRDefault="005C4B2D" w:rsidP="007F48CC">
      <w:pPr>
        <w:autoSpaceDE w:val="0"/>
        <w:autoSpaceDN w:val="0"/>
        <w:adjustRightInd w:val="0"/>
        <w:spacing w:line="360" w:lineRule="auto"/>
        <w:ind w:firstLineChars="200" w:firstLine="616"/>
        <w:rPr>
          <w:rFonts w:asciiTheme="majorEastAsia" w:eastAsiaTheme="majorEastAsia" w:hAnsiTheme="majorEastAsia"/>
          <w:sz w:val="32"/>
          <w:szCs w:val="32"/>
        </w:rPr>
      </w:pPr>
      <w:r w:rsidRPr="00F4276B">
        <w:rPr>
          <w:rFonts w:asciiTheme="majorEastAsia" w:eastAsiaTheme="majorEastAsia" w:hAnsiTheme="majorEastAsia" w:cs="仿宋_GB2312" w:hint="eastAsia"/>
          <w:spacing w:val="-6"/>
          <w:kern w:val="0"/>
          <w:sz w:val="32"/>
          <w:szCs w:val="32"/>
        </w:rPr>
        <w:lastRenderedPageBreak/>
        <w:t>机关运行经费</w:t>
      </w:r>
      <w:r w:rsidR="00FE4B0F" w:rsidRPr="00F4276B">
        <w:rPr>
          <w:rFonts w:asciiTheme="majorEastAsia" w:eastAsiaTheme="majorEastAsia" w:hAnsiTheme="majorEastAsia" w:cs="仿宋_GB2312" w:hint="eastAsia"/>
          <w:spacing w:val="-6"/>
          <w:kern w:val="0"/>
          <w:sz w:val="32"/>
          <w:szCs w:val="32"/>
        </w:rPr>
        <w:t>指为保障行政单位（含参照公务员法管理的事业单位）运行用于购买货物和服务的各项资金，包括办公费、印刷费、差旅费、会议费、日常维修费、公务用车运行维护费等。</w:t>
      </w:r>
    </w:p>
    <w:p w:rsidR="00C5008B" w:rsidRPr="00293765" w:rsidRDefault="00CC7138" w:rsidP="00293765">
      <w:pPr>
        <w:rPr>
          <w:rFonts w:ascii="仿宋" w:eastAsia="仿宋" w:hAnsi="仿宋" w:cs="仿宋_GB2312"/>
          <w:spacing w:val="-6"/>
          <w:kern w:val="0"/>
          <w:sz w:val="32"/>
          <w:szCs w:val="32"/>
        </w:rPr>
      </w:pPr>
      <w:r w:rsidRPr="00293765">
        <w:rPr>
          <w:rFonts w:ascii="仿宋" w:eastAsia="仿宋" w:hAnsi="仿宋" w:hint="eastAsia"/>
          <w:sz w:val="32"/>
          <w:szCs w:val="32"/>
        </w:rPr>
        <w:t xml:space="preserve">                                                  </w:t>
      </w:r>
      <w:r w:rsidRPr="00293765">
        <w:rPr>
          <w:rFonts w:ascii="仿宋" w:eastAsia="仿宋" w:hAnsi="仿宋" w:cs="仿宋_GB2312" w:hint="eastAsia"/>
          <w:spacing w:val="-6"/>
          <w:kern w:val="0"/>
          <w:sz w:val="32"/>
          <w:szCs w:val="32"/>
        </w:rPr>
        <w:t xml:space="preserve"> </w:t>
      </w:r>
      <w:r w:rsidR="00AF6E30" w:rsidRPr="00293765">
        <w:rPr>
          <w:rFonts w:ascii="仿宋" w:eastAsia="仿宋" w:hAnsi="仿宋" w:cs="仿宋_GB2312" w:hint="eastAsia"/>
          <w:spacing w:val="-6"/>
          <w:kern w:val="0"/>
          <w:sz w:val="32"/>
          <w:szCs w:val="32"/>
        </w:rPr>
        <w:t xml:space="preserve"> </w:t>
      </w:r>
    </w:p>
    <w:sectPr w:rsidR="00C5008B" w:rsidRPr="00293765" w:rsidSect="00DF6E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10C" w:rsidRDefault="0095610C" w:rsidP="002A00BC">
      <w:r>
        <w:separator/>
      </w:r>
    </w:p>
  </w:endnote>
  <w:endnote w:type="continuationSeparator" w:id="0">
    <w:p w:rsidR="0095610C" w:rsidRDefault="0095610C" w:rsidP="002A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10C" w:rsidRDefault="0095610C" w:rsidP="002A00BC">
      <w:r>
        <w:separator/>
      </w:r>
    </w:p>
  </w:footnote>
  <w:footnote w:type="continuationSeparator" w:id="0">
    <w:p w:rsidR="0095610C" w:rsidRDefault="0095610C" w:rsidP="002A0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B52"/>
    <w:multiLevelType w:val="hybridMultilevel"/>
    <w:tmpl w:val="A7808C3C"/>
    <w:lvl w:ilvl="0" w:tplc="DFAC70E0">
      <w:start w:val="1"/>
      <w:numFmt w:val="japaneseCounting"/>
      <w:lvlText w:val="%1、"/>
      <w:lvlJc w:val="left"/>
      <w:pPr>
        <w:tabs>
          <w:tab w:val="num" w:pos="1380"/>
        </w:tabs>
        <w:ind w:left="1380" w:hanging="645"/>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C4540C"/>
    <w:multiLevelType w:val="hybridMultilevel"/>
    <w:tmpl w:val="4D7E743A"/>
    <w:lvl w:ilvl="0" w:tplc="6F3CD23E">
      <w:start w:val="1"/>
      <w:numFmt w:val="japaneseCounting"/>
      <w:lvlText w:val="%1、"/>
      <w:lvlJc w:val="left"/>
      <w:pPr>
        <w:tabs>
          <w:tab w:val="num" w:pos="1455"/>
        </w:tabs>
        <w:ind w:left="1455" w:hanging="720"/>
      </w:pPr>
      <w:rPr>
        <w:rFonts w:hint="default"/>
      </w:rPr>
    </w:lvl>
    <w:lvl w:ilvl="1" w:tplc="04090019" w:tentative="1">
      <w:start w:val="1"/>
      <w:numFmt w:val="lowerLetter"/>
      <w:lvlText w:val="%2)"/>
      <w:lvlJc w:val="left"/>
      <w:pPr>
        <w:tabs>
          <w:tab w:val="num" w:pos="1575"/>
        </w:tabs>
        <w:ind w:left="1575" w:hanging="420"/>
      </w:pPr>
    </w:lvl>
    <w:lvl w:ilvl="2" w:tplc="0409001B" w:tentative="1">
      <w:start w:val="1"/>
      <w:numFmt w:val="lowerRoman"/>
      <w:lvlText w:val="%3."/>
      <w:lvlJc w:val="righ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9" w:tentative="1">
      <w:start w:val="1"/>
      <w:numFmt w:val="lowerLetter"/>
      <w:lvlText w:val="%5)"/>
      <w:lvlJc w:val="left"/>
      <w:pPr>
        <w:tabs>
          <w:tab w:val="num" w:pos="2835"/>
        </w:tabs>
        <w:ind w:left="2835" w:hanging="420"/>
      </w:pPr>
    </w:lvl>
    <w:lvl w:ilvl="5" w:tplc="0409001B" w:tentative="1">
      <w:start w:val="1"/>
      <w:numFmt w:val="lowerRoman"/>
      <w:lvlText w:val="%6."/>
      <w:lvlJc w:val="righ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9" w:tentative="1">
      <w:start w:val="1"/>
      <w:numFmt w:val="lowerLetter"/>
      <w:lvlText w:val="%8)"/>
      <w:lvlJc w:val="left"/>
      <w:pPr>
        <w:tabs>
          <w:tab w:val="num" w:pos="4095"/>
        </w:tabs>
        <w:ind w:left="4095" w:hanging="420"/>
      </w:pPr>
    </w:lvl>
    <w:lvl w:ilvl="8" w:tplc="0409001B" w:tentative="1">
      <w:start w:val="1"/>
      <w:numFmt w:val="lowerRoman"/>
      <w:lvlText w:val="%9."/>
      <w:lvlJc w:val="right"/>
      <w:pPr>
        <w:tabs>
          <w:tab w:val="num" w:pos="4515"/>
        </w:tabs>
        <w:ind w:left="4515" w:hanging="420"/>
      </w:pPr>
    </w:lvl>
  </w:abstractNum>
  <w:abstractNum w:abstractNumId="2">
    <w:nsid w:val="18024CE8"/>
    <w:multiLevelType w:val="hybridMultilevel"/>
    <w:tmpl w:val="8E1A0A62"/>
    <w:lvl w:ilvl="0" w:tplc="346C936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79F11D8"/>
    <w:multiLevelType w:val="hybridMultilevel"/>
    <w:tmpl w:val="758840CA"/>
    <w:lvl w:ilvl="0" w:tplc="346C936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4B0F"/>
    <w:rsid w:val="00014B32"/>
    <w:rsid w:val="000C766B"/>
    <w:rsid w:val="000D741E"/>
    <w:rsid w:val="000E2378"/>
    <w:rsid w:val="001141D8"/>
    <w:rsid w:val="00157D0A"/>
    <w:rsid w:val="001625B6"/>
    <w:rsid w:val="00186852"/>
    <w:rsid w:val="00195E9C"/>
    <w:rsid w:val="001E3D52"/>
    <w:rsid w:val="00253683"/>
    <w:rsid w:val="00265E42"/>
    <w:rsid w:val="00293765"/>
    <w:rsid w:val="002A00BC"/>
    <w:rsid w:val="002A600E"/>
    <w:rsid w:val="002E7250"/>
    <w:rsid w:val="0034524D"/>
    <w:rsid w:val="00365A0B"/>
    <w:rsid w:val="003968DB"/>
    <w:rsid w:val="003A2BFD"/>
    <w:rsid w:val="003B6E39"/>
    <w:rsid w:val="003E2736"/>
    <w:rsid w:val="003E2E84"/>
    <w:rsid w:val="003F7CC8"/>
    <w:rsid w:val="00405B4B"/>
    <w:rsid w:val="0041704F"/>
    <w:rsid w:val="00423F9D"/>
    <w:rsid w:val="00444B39"/>
    <w:rsid w:val="00451596"/>
    <w:rsid w:val="004536D0"/>
    <w:rsid w:val="00486E01"/>
    <w:rsid w:val="004A25FD"/>
    <w:rsid w:val="00502279"/>
    <w:rsid w:val="00593D18"/>
    <w:rsid w:val="005B0AA9"/>
    <w:rsid w:val="005C4B2D"/>
    <w:rsid w:val="005F007B"/>
    <w:rsid w:val="00640CD9"/>
    <w:rsid w:val="006B7840"/>
    <w:rsid w:val="006E5A4B"/>
    <w:rsid w:val="00700949"/>
    <w:rsid w:val="00721A9A"/>
    <w:rsid w:val="00724B4A"/>
    <w:rsid w:val="007A6099"/>
    <w:rsid w:val="007A7514"/>
    <w:rsid w:val="007F19AE"/>
    <w:rsid w:val="007F48CC"/>
    <w:rsid w:val="008A7E71"/>
    <w:rsid w:val="008B0417"/>
    <w:rsid w:val="008D2710"/>
    <w:rsid w:val="00947A63"/>
    <w:rsid w:val="00953E2F"/>
    <w:rsid w:val="0095610C"/>
    <w:rsid w:val="00975299"/>
    <w:rsid w:val="00A540DE"/>
    <w:rsid w:val="00AA67C1"/>
    <w:rsid w:val="00AC53E9"/>
    <w:rsid w:val="00AC5C67"/>
    <w:rsid w:val="00AC72E8"/>
    <w:rsid w:val="00AF6E30"/>
    <w:rsid w:val="00B02C17"/>
    <w:rsid w:val="00B03C56"/>
    <w:rsid w:val="00B452F3"/>
    <w:rsid w:val="00B6689B"/>
    <w:rsid w:val="00B76E30"/>
    <w:rsid w:val="00B82706"/>
    <w:rsid w:val="00BA6B7B"/>
    <w:rsid w:val="00C1037E"/>
    <w:rsid w:val="00C5008B"/>
    <w:rsid w:val="00C63A2B"/>
    <w:rsid w:val="00CA791E"/>
    <w:rsid w:val="00CC7138"/>
    <w:rsid w:val="00D24522"/>
    <w:rsid w:val="00D42962"/>
    <w:rsid w:val="00D91B98"/>
    <w:rsid w:val="00DF6E7E"/>
    <w:rsid w:val="00E25578"/>
    <w:rsid w:val="00E327BD"/>
    <w:rsid w:val="00E84022"/>
    <w:rsid w:val="00EB6E88"/>
    <w:rsid w:val="00F40ABD"/>
    <w:rsid w:val="00F4276B"/>
    <w:rsid w:val="00FA2829"/>
    <w:rsid w:val="00FB0D17"/>
    <w:rsid w:val="00FE4401"/>
    <w:rsid w:val="00FE4B0F"/>
    <w:rsid w:val="00FE6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4B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A00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A00BC"/>
    <w:rPr>
      <w:kern w:val="2"/>
      <w:sz w:val="18"/>
      <w:szCs w:val="18"/>
    </w:rPr>
  </w:style>
  <w:style w:type="paragraph" w:styleId="a4">
    <w:name w:val="footer"/>
    <w:basedOn w:val="a"/>
    <w:link w:val="Char0"/>
    <w:rsid w:val="002A00BC"/>
    <w:pPr>
      <w:tabs>
        <w:tab w:val="center" w:pos="4153"/>
        <w:tab w:val="right" w:pos="8306"/>
      </w:tabs>
      <w:snapToGrid w:val="0"/>
      <w:jc w:val="left"/>
    </w:pPr>
    <w:rPr>
      <w:sz w:val="18"/>
      <w:szCs w:val="18"/>
    </w:rPr>
  </w:style>
  <w:style w:type="character" w:customStyle="1" w:styleId="Char0">
    <w:name w:val="页脚 Char"/>
    <w:basedOn w:val="a0"/>
    <w:link w:val="a4"/>
    <w:rsid w:val="002A00BC"/>
    <w:rPr>
      <w:kern w:val="2"/>
      <w:sz w:val="18"/>
      <w:szCs w:val="18"/>
    </w:rPr>
  </w:style>
  <w:style w:type="paragraph" w:styleId="a5">
    <w:name w:val="Plain Text"/>
    <w:basedOn w:val="a"/>
    <w:link w:val="Char1"/>
    <w:unhideWhenUsed/>
    <w:rsid w:val="00721A9A"/>
    <w:rPr>
      <w:rFonts w:ascii="宋体" w:hAnsi="Courier New" w:cs="Courier New"/>
      <w:szCs w:val="21"/>
    </w:rPr>
  </w:style>
  <w:style w:type="character" w:customStyle="1" w:styleId="Char1">
    <w:name w:val="纯文本 Char"/>
    <w:basedOn w:val="a0"/>
    <w:link w:val="a5"/>
    <w:rsid w:val="00721A9A"/>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571360">
      <w:bodyDiv w:val="1"/>
      <w:marLeft w:val="0"/>
      <w:marRight w:val="0"/>
      <w:marTop w:val="0"/>
      <w:marBottom w:val="0"/>
      <w:divBdr>
        <w:top w:val="none" w:sz="0" w:space="0" w:color="auto"/>
        <w:left w:val="none" w:sz="0" w:space="0" w:color="auto"/>
        <w:bottom w:val="none" w:sz="0" w:space="0" w:color="auto"/>
        <w:right w:val="none" w:sz="0" w:space="0" w:color="auto"/>
      </w:divBdr>
      <w:divsChild>
        <w:div w:id="839781498">
          <w:marLeft w:val="0"/>
          <w:marRight w:val="0"/>
          <w:marTop w:val="0"/>
          <w:marBottom w:val="0"/>
          <w:divBdr>
            <w:top w:val="none" w:sz="0" w:space="0" w:color="auto"/>
            <w:left w:val="none" w:sz="0" w:space="0" w:color="auto"/>
            <w:bottom w:val="none" w:sz="0" w:space="0" w:color="auto"/>
            <w:right w:val="none" w:sz="0" w:space="0" w:color="auto"/>
          </w:divBdr>
        </w:div>
      </w:divsChild>
    </w:div>
    <w:div w:id="729770349">
      <w:bodyDiv w:val="1"/>
      <w:marLeft w:val="0"/>
      <w:marRight w:val="0"/>
      <w:marTop w:val="0"/>
      <w:marBottom w:val="0"/>
      <w:divBdr>
        <w:top w:val="none" w:sz="0" w:space="0" w:color="auto"/>
        <w:left w:val="none" w:sz="0" w:space="0" w:color="auto"/>
        <w:bottom w:val="none" w:sz="0" w:space="0" w:color="auto"/>
        <w:right w:val="none" w:sz="0" w:space="0" w:color="auto"/>
      </w:divBdr>
      <w:divsChild>
        <w:div w:id="954795179">
          <w:marLeft w:val="0"/>
          <w:marRight w:val="0"/>
          <w:marTop w:val="0"/>
          <w:marBottom w:val="0"/>
          <w:divBdr>
            <w:top w:val="none" w:sz="0" w:space="0" w:color="auto"/>
            <w:left w:val="none" w:sz="0" w:space="0" w:color="auto"/>
            <w:bottom w:val="none" w:sz="0" w:space="0" w:color="auto"/>
            <w:right w:val="none" w:sz="0" w:space="0" w:color="auto"/>
          </w:divBdr>
        </w:div>
      </w:divsChild>
    </w:div>
    <w:div w:id="1789229032">
      <w:bodyDiv w:val="1"/>
      <w:marLeft w:val="0"/>
      <w:marRight w:val="0"/>
      <w:marTop w:val="0"/>
      <w:marBottom w:val="0"/>
      <w:divBdr>
        <w:top w:val="none" w:sz="0" w:space="0" w:color="auto"/>
        <w:left w:val="none" w:sz="0" w:space="0" w:color="auto"/>
        <w:bottom w:val="none" w:sz="0" w:space="0" w:color="auto"/>
        <w:right w:val="none" w:sz="0" w:space="0" w:color="auto"/>
      </w:divBdr>
    </w:div>
    <w:div w:id="1941641299">
      <w:bodyDiv w:val="1"/>
      <w:marLeft w:val="0"/>
      <w:marRight w:val="0"/>
      <w:marTop w:val="0"/>
      <w:marBottom w:val="0"/>
      <w:divBdr>
        <w:top w:val="none" w:sz="0" w:space="0" w:color="auto"/>
        <w:left w:val="none" w:sz="0" w:space="0" w:color="auto"/>
        <w:bottom w:val="none" w:sz="0" w:space="0" w:color="auto"/>
        <w:right w:val="none" w:sz="0" w:space="0" w:color="auto"/>
      </w:divBdr>
    </w:div>
    <w:div w:id="200042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dc:title>
  <dc:creator>Master</dc:creator>
  <cp:lastModifiedBy>Master</cp:lastModifiedBy>
  <cp:revision>8</cp:revision>
  <cp:lastPrinted>2017-11-10T06:23:00Z</cp:lastPrinted>
  <dcterms:created xsi:type="dcterms:W3CDTF">2018-08-06T11:56:00Z</dcterms:created>
  <dcterms:modified xsi:type="dcterms:W3CDTF">2018-08-07T02:44:00Z</dcterms:modified>
</cp:coreProperties>
</file>